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30700A2" w14:textId="785DD0A2" w:rsidR="00B4459B" w:rsidRDefault="00B4459B" w:rsidP="00B4459B">
      <w:pPr>
        <w:autoSpaceDE w:val="0"/>
        <w:autoSpaceDN w:val="0"/>
        <w:adjustRightInd w:val="0"/>
        <w:spacing w:after="0" w:line="240" w:lineRule="auto"/>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59264" behindDoc="0" locked="0" layoutInCell="1" allowOverlap="1" wp14:anchorId="1D9C3F02" wp14:editId="0E29E946">
            <wp:simplePos x="0" y="0"/>
            <wp:positionH relativeFrom="column">
              <wp:posOffset>1339215</wp:posOffset>
            </wp:positionH>
            <wp:positionV relativeFrom="paragraph">
              <wp:posOffset>13335</wp:posOffset>
            </wp:positionV>
            <wp:extent cx="3036570" cy="1104265"/>
            <wp:effectExtent l="0" t="0" r="0" b="0"/>
            <wp:wrapNone/>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r w:rsidR="00F133A4">
        <w:rPr>
          <w:rFonts w:asciiTheme="majorBidi" w:hAnsiTheme="majorBidi" w:cstheme="majorBidi" w:hint="eastAsia"/>
          <w:sz w:val="24"/>
          <w:szCs w:val="24"/>
        </w:rPr>
        <w:t xml:space="preserve"> </w:t>
      </w:r>
    </w:p>
    <w:p w14:paraId="1EB035AC" w14:textId="77777777" w:rsidR="00B4459B" w:rsidRDefault="00B4459B" w:rsidP="00B4459B">
      <w:pPr>
        <w:autoSpaceDE w:val="0"/>
        <w:autoSpaceDN w:val="0"/>
        <w:adjustRightInd w:val="0"/>
        <w:spacing w:after="0" w:line="240" w:lineRule="auto"/>
        <w:rPr>
          <w:rFonts w:asciiTheme="majorBidi" w:hAnsiTheme="majorBidi" w:cstheme="majorBidi"/>
          <w:sz w:val="24"/>
          <w:szCs w:val="24"/>
        </w:rPr>
      </w:pPr>
    </w:p>
    <w:p w14:paraId="6907D3C2" w14:textId="77777777" w:rsidR="00B4459B" w:rsidRDefault="00B4459B" w:rsidP="00B4459B">
      <w:pPr>
        <w:autoSpaceDE w:val="0"/>
        <w:autoSpaceDN w:val="0"/>
        <w:adjustRightInd w:val="0"/>
        <w:spacing w:after="0" w:line="240" w:lineRule="auto"/>
        <w:rPr>
          <w:rFonts w:asciiTheme="majorBidi" w:hAnsiTheme="majorBidi" w:cstheme="majorBidi"/>
          <w:sz w:val="24"/>
          <w:szCs w:val="24"/>
        </w:rPr>
      </w:pPr>
    </w:p>
    <w:p w14:paraId="6C53B63B" w14:textId="77777777" w:rsidR="00B4459B" w:rsidRDefault="00B4459B" w:rsidP="00B4459B">
      <w:pPr>
        <w:autoSpaceDE w:val="0"/>
        <w:autoSpaceDN w:val="0"/>
        <w:adjustRightInd w:val="0"/>
        <w:spacing w:after="0" w:line="240" w:lineRule="auto"/>
        <w:rPr>
          <w:rFonts w:asciiTheme="majorBidi" w:hAnsiTheme="majorBidi" w:cstheme="majorBidi"/>
          <w:sz w:val="24"/>
          <w:szCs w:val="24"/>
        </w:rPr>
      </w:pPr>
    </w:p>
    <w:p w14:paraId="6282DFD4" w14:textId="77777777" w:rsidR="00B4459B" w:rsidRDefault="00B4459B" w:rsidP="00B4459B">
      <w:pPr>
        <w:autoSpaceDE w:val="0"/>
        <w:autoSpaceDN w:val="0"/>
        <w:adjustRightInd w:val="0"/>
        <w:spacing w:after="0" w:line="240" w:lineRule="auto"/>
        <w:jc w:val="center"/>
        <w:rPr>
          <w:rFonts w:asciiTheme="majorBidi" w:hAnsiTheme="majorBidi" w:cstheme="majorBidi"/>
          <w:sz w:val="24"/>
          <w:szCs w:val="24"/>
        </w:rPr>
      </w:pPr>
    </w:p>
    <w:p w14:paraId="51D1C585" w14:textId="77777777" w:rsidR="00B4459B" w:rsidRDefault="00B4459B" w:rsidP="00B4459B">
      <w:pPr>
        <w:autoSpaceDE w:val="0"/>
        <w:autoSpaceDN w:val="0"/>
        <w:adjustRightInd w:val="0"/>
        <w:spacing w:after="0" w:line="240" w:lineRule="auto"/>
        <w:jc w:val="center"/>
        <w:rPr>
          <w:rFonts w:asciiTheme="majorBidi" w:hAnsiTheme="majorBidi" w:cstheme="majorBidi"/>
          <w:sz w:val="24"/>
          <w:szCs w:val="24"/>
        </w:rPr>
      </w:pPr>
    </w:p>
    <w:p w14:paraId="779362AB" w14:textId="77777777" w:rsidR="00B4459B" w:rsidRDefault="00B4459B" w:rsidP="00B4459B">
      <w:pPr>
        <w:autoSpaceDE w:val="0"/>
        <w:autoSpaceDN w:val="0"/>
        <w:adjustRightInd w:val="0"/>
        <w:spacing w:after="0" w:line="240" w:lineRule="auto"/>
        <w:jc w:val="center"/>
        <w:rPr>
          <w:rFonts w:asciiTheme="majorBidi" w:hAnsiTheme="majorBidi" w:cstheme="majorBidi"/>
          <w:sz w:val="24"/>
          <w:szCs w:val="24"/>
        </w:rPr>
      </w:pPr>
    </w:p>
    <w:p w14:paraId="6C3D34C7" w14:textId="77777777" w:rsidR="00B4459B" w:rsidRDefault="00B4459B" w:rsidP="00B4459B">
      <w:pPr>
        <w:autoSpaceDE w:val="0"/>
        <w:autoSpaceDN w:val="0"/>
        <w:adjustRightInd w:val="0"/>
        <w:spacing w:after="0" w:line="240" w:lineRule="auto"/>
        <w:rPr>
          <w:rFonts w:asciiTheme="majorBidi" w:hAnsiTheme="majorBidi" w:cstheme="majorBidi"/>
          <w:sz w:val="24"/>
          <w:szCs w:val="24"/>
        </w:rPr>
      </w:pPr>
    </w:p>
    <w:p w14:paraId="031E9D79" w14:textId="77777777" w:rsidR="00B4459B" w:rsidRDefault="00B4459B" w:rsidP="00B4459B">
      <w:pPr>
        <w:autoSpaceDE w:val="0"/>
        <w:autoSpaceDN w:val="0"/>
        <w:adjustRightInd w:val="0"/>
        <w:spacing w:after="0" w:line="240" w:lineRule="auto"/>
        <w:rPr>
          <w:rFonts w:asciiTheme="majorBidi" w:hAnsiTheme="majorBidi" w:cstheme="majorBidi"/>
          <w:sz w:val="24"/>
          <w:szCs w:val="24"/>
        </w:rPr>
      </w:pPr>
    </w:p>
    <w:p w14:paraId="488BE314" w14:textId="77777777" w:rsidR="00B4459B" w:rsidRDefault="00B4459B" w:rsidP="00B4459B">
      <w:pPr>
        <w:autoSpaceDE w:val="0"/>
        <w:autoSpaceDN w:val="0"/>
        <w:adjustRightInd w:val="0"/>
        <w:spacing w:after="0" w:line="240" w:lineRule="auto"/>
        <w:rPr>
          <w:rFonts w:asciiTheme="majorBidi" w:hAnsiTheme="majorBidi" w:cstheme="majorBidi"/>
          <w:sz w:val="24"/>
          <w:szCs w:val="24"/>
        </w:rPr>
      </w:pPr>
    </w:p>
    <w:p w14:paraId="399351FB" w14:textId="77777777" w:rsidR="00B4459B" w:rsidRDefault="00B4459B" w:rsidP="00B4459B">
      <w:pPr>
        <w:autoSpaceDE w:val="0"/>
        <w:autoSpaceDN w:val="0"/>
        <w:adjustRightInd w:val="0"/>
        <w:spacing w:after="0" w:line="240" w:lineRule="auto"/>
        <w:rPr>
          <w:rFonts w:asciiTheme="majorBidi" w:hAnsiTheme="majorBidi" w:cstheme="majorBidi"/>
          <w:sz w:val="24"/>
          <w:szCs w:val="24"/>
        </w:rPr>
      </w:pPr>
    </w:p>
    <w:p w14:paraId="63BCE140" w14:textId="77777777" w:rsidR="00B4459B" w:rsidRDefault="00B4459B" w:rsidP="00B4459B">
      <w:pPr>
        <w:autoSpaceDE w:val="0"/>
        <w:autoSpaceDN w:val="0"/>
        <w:adjustRightInd w:val="0"/>
        <w:spacing w:after="0" w:line="240" w:lineRule="auto"/>
        <w:jc w:val="center"/>
        <w:rPr>
          <w:rFonts w:asciiTheme="majorBidi" w:hAnsiTheme="majorBidi" w:cstheme="majorBidi"/>
          <w:sz w:val="24"/>
          <w:szCs w:val="24"/>
        </w:rPr>
      </w:pPr>
    </w:p>
    <w:p w14:paraId="601A30A3" w14:textId="77777777" w:rsidR="00B4459B" w:rsidRDefault="00B4459B" w:rsidP="00B4459B">
      <w:pPr>
        <w:autoSpaceDE w:val="0"/>
        <w:autoSpaceDN w:val="0"/>
        <w:adjustRightInd w:val="0"/>
        <w:spacing w:after="0" w:line="240" w:lineRule="auto"/>
        <w:jc w:val="center"/>
        <w:rPr>
          <w:rFonts w:asciiTheme="majorBidi" w:hAnsiTheme="majorBidi" w:cstheme="majorBidi"/>
          <w:sz w:val="24"/>
          <w:szCs w:val="24"/>
        </w:rPr>
      </w:pPr>
    </w:p>
    <w:p w14:paraId="67C8B5A1" w14:textId="77777777" w:rsidR="00B4459B" w:rsidRPr="009D505E" w:rsidRDefault="00B4459B" w:rsidP="00B4459B">
      <w:pPr>
        <w:pStyle w:val="Normal1"/>
        <w:jc w:val="center"/>
        <w:rPr>
          <w:rFonts w:asciiTheme="minorHAnsi" w:hAnsiTheme="minorHAnsi" w:cstheme="minorHAnsi"/>
          <w:b/>
          <w:sz w:val="32"/>
          <w:szCs w:val="48"/>
        </w:rPr>
      </w:pPr>
      <w:r w:rsidRPr="009D505E">
        <w:rPr>
          <w:rFonts w:asciiTheme="minorHAnsi" w:hAnsiTheme="minorHAnsi" w:cstheme="minorHAnsi"/>
          <w:b/>
          <w:sz w:val="32"/>
          <w:szCs w:val="48"/>
        </w:rPr>
        <w:t>Design and investigation of deformation mechanisms involved in IVB element based multi-principal component alloys</w:t>
      </w:r>
    </w:p>
    <w:p w14:paraId="19ECC838" w14:textId="77777777" w:rsidR="00B4459B" w:rsidRDefault="00B4459B" w:rsidP="00B4459B">
      <w:pPr>
        <w:autoSpaceDE w:val="0"/>
        <w:autoSpaceDN w:val="0"/>
        <w:adjustRightInd w:val="0"/>
        <w:spacing w:after="0" w:line="240" w:lineRule="auto"/>
        <w:jc w:val="center"/>
        <w:rPr>
          <w:rFonts w:asciiTheme="majorBidi" w:hAnsiTheme="majorBidi" w:cstheme="majorBidi"/>
          <w:sz w:val="24"/>
          <w:szCs w:val="24"/>
        </w:rPr>
      </w:pPr>
    </w:p>
    <w:p w14:paraId="2BC9C0F2" w14:textId="77777777" w:rsidR="00B4459B" w:rsidRPr="009D505E" w:rsidRDefault="00B4459B" w:rsidP="00B4459B">
      <w:pPr>
        <w:autoSpaceDE w:val="0"/>
        <w:autoSpaceDN w:val="0"/>
        <w:adjustRightInd w:val="0"/>
        <w:spacing w:after="0" w:line="240" w:lineRule="auto"/>
        <w:jc w:val="center"/>
        <w:rPr>
          <w:rFonts w:eastAsiaTheme="majorEastAsia" w:cstheme="majorBidi"/>
          <w:b/>
          <w:bCs/>
          <w:sz w:val="32"/>
          <w:szCs w:val="32"/>
        </w:rPr>
      </w:pPr>
      <w:r w:rsidRPr="009D505E">
        <w:rPr>
          <w:rFonts w:eastAsiaTheme="majorEastAsia" w:cstheme="majorBidi"/>
          <w:b/>
          <w:bCs/>
          <w:sz w:val="32"/>
          <w:szCs w:val="32"/>
        </w:rPr>
        <w:t>By:</w:t>
      </w:r>
    </w:p>
    <w:p w14:paraId="75FBCB05" w14:textId="77777777" w:rsidR="00B4459B" w:rsidRPr="00177AB6" w:rsidRDefault="00B4459B" w:rsidP="00B4459B">
      <w:pPr>
        <w:autoSpaceDE w:val="0"/>
        <w:autoSpaceDN w:val="0"/>
        <w:adjustRightInd w:val="0"/>
        <w:spacing w:after="0" w:line="240" w:lineRule="auto"/>
        <w:jc w:val="center"/>
        <w:rPr>
          <w:rFonts w:asciiTheme="majorBidi" w:hAnsiTheme="majorBidi" w:cstheme="majorBidi"/>
          <w:sz w:val="24"/>
          <w:szCs w:val="24"/>
        </w:rPr>
      </w:pPr>
    </w:p>
    <w:p w14:paraId="57A8671E" w14:textId="77777777" w:rsidR="00B4459B" w:rsidRPr="009D505E" w:rsidRDefault="00B4459B" w:rsidP="00B4459B">
      <w:pPr>
        <w:spacing w:after="304" w:line="276" w:lineRule="auto"/>
        <w:ind w:left="10" w:right="113" w:hanging="10"/>
        <w:jc w:val="center"/>
        <w:rPr>
          <w:rFonts w:cstheme="minorHAnsi"/>
          <w:sz w:val="28"/>
          <w:szCs w:val="28"/>
        </w:rPr>
      </w:pPr>
      <w:r w:rsidRPr="009D505E">
        <w:rPr>
          <w:rFonts w:cstheme="minorHAnsi"/>
          <w:sz w:val="28"/>
          <w:szCs w:val="28"/>
        </w:rPr>
        <w:t>Yuhe Huang</w:t>
      </w:r>
    </w:p>
    <w:p w14:paraId="7288BDBE" w14:textId="77777777" w:rsidR="00B4459B" w:rsidRPr="009D505E" w:rsidRDefault="00B4459B" w:rsidP="00B4459B">
      <w:pPr>
        <w:spacing w:after="304"/>
        <w:ind w:left="10" w:right="113" w:hanging="10"/>
        <w:jc w:val="center"/>
        <w:rPr>
          <w:rFonts w:cstheme="minorHAnsi"/>
          <w:sz w:val="28"/>
          <w:szCs w:val="28"/>
        </w:rPr>
      </w:pPr>
      <w:r w:rsidRPr="009D505E">
        <w:rPr>
          <w:rFonts w:cstheme="minorHAnsi"/>
          <w:sz w:val="28"/>
          <w:szCs w:val="28"/>
        </w:rPr>
        <w:t xml:space="preserve">A thesis submitted in partial fulfilment for the degree of Doctor of Philosophy </w:t>
      </w:r>
    </w:p>
    <w:p w14:paraId="02E405AF" w14:textId="77777777" w:rsidR="00B4459B" w:rsidRDefault="00B4459B" w:rsidP="00B4459B">
      <w:pPr>
        <w:jc w:val="center"/>
        <w:rPr>
          <w:rFonts w:asciiTheme="majorBidi" w:hAnsiTheme="majorBidi" w:cstheme="majorBidi"/>
          <w:sz w:val="24"/>
          <w:szCs w:val="24"/>
        </w:rPr>
      </w:pPr>
    </w:p>
    <w:p w14:paraId="00BAAE2B" w14:textId="77777777" w:rsidR="00B4459B" w:rsidRDefault="00B4459B" w:rsidP="00B4459B">
      <w:pPr>
        <w:rPr>
          <w:rFonts w:asciiTheme="majorBidi" w:hAnsiTheme="majorBidi" w:cstheme="majorBidi"/>
          <w:sz w:val="24"/>
          <w:szCs w:val="24"/>
        </w:rPr>
      </w:pPr>
    </w:p>
    <w:p w14:paraId="14B865D1" w14:textId="77777777" w:rsidR="00B4459B" w:rsidRDefault="00B4459B" w:rsidP="00B4459B">
      <w:pPr>
        <w:jc w:val="center"/>
        <w:rPr>
          <w:rFonts w:asciiTheme="majorBidi" w:hAnsiTheme="majorBidi" w:cstheme="majorBidi"/>
          <w:sz w:val="24"/>
          <w:szCs w:val="24"/>
        </w:rPr>
      </w:pPr>
    </w:p>
    <w:p w14:paraId="0126C443" w14:textId="77777777" w:rsidR="00B4459B" w:rsidRDefault="00B4459B" w:rsidP="00B4459B">
      <w:pPr>
        <w:jc w:val="center"/>
        <w:rPr>
          <w:rFonts w:asciiTheme="majorBidi" w:hAnsiTheme="majorBidi" w:cstheme="majorBidi"/>
          <w:sz w:val="24"/>
          <w:szCs w:val="24"/>
        </w:rPr>
      </w:pPr>
    </w:p>
    <w:p w14:paraId="4743EDAD" w14:textId="77777777" w:rsidR="00B4459B" w:rsidRDefault="00B4459B" w:rsidP="00B4459B">
      <w:pPr>
        <w:jc w:val="center"/>
        <w:rPr>
          <w:rFonts w:asciiTheme="majorBidi" w:hAnsiTheme="majorBidi" w:cstheme="majorBidi"/>
          <w:sz w:val="24"/>
          <w:szCs w:val="24"/>
        </w:rPr>
      </w:pPr>
    </w:p>
    <w:p w14:paraId="1401DFBF" w14:textId="77777777" w:rsidR="00B4459B" w:rsidRPr="009D505E" w:rsidRDefault="00B4459B" w:rsidP="00B4459B">
      <w:pPr>
        <w:spacing w:after="120" w:line="360" w:lineRule="auto"/>
        <w:jc w:val="center"/>
        <w:rPr>
          <w:rFonts w:cstheme="majorBidi"/>
          <w:sz w:val="28"/>
          <w:szCs w:val="28"/>
        </w:rPr>
      </w:pPr>
      <w:r w:rsidRPr="009D505E">
        <w:rPr>
          <w:rFonts w:cstheme="majorBidi"/>
          <w:sz w:val="28"/>
          <w:szCs w:val="28"/>
        </w:rPr>
        <w:t>The University of Sheffield</w:t>
      </w:r>
    </w:p>
    <w:p w14:paraId="26F167FF" w14:textId="77777777" w:rsidR="00B4459B" w:rsidRPr="009D505E" w:rsidRDefault="00B4459B" w:rsidP="00B4459B">
      <w:pPr>
        <w:autoSpaceDE w:val="0"/>
        <w:autoSpaceDN w:val="0"/>
        <w:adjustRightInd w:val="0"/>
        <w:spacing w:after="120" w:line="360" w:lineRule="auto"/>
        <w:jc w:val="center"/>
        <w:rPr>
          <w:rFonts w:cstheme="majorBidi"/>
          <w:sz w:val="28"/>
          <w:szCs w:val="28"/>
        </w:rPr>
      </w:pPr>
      <w:r w:rsidRPr="009D505E">
        <w:rPr>
          <w:rFonts w:cstheme="majorBidi"/>
          <w:sz w:val="28"/>
          <w:szCs w:val="28"/>
        </w:rPr>
        <w:t>Faculty of Engineering</w:t>
      </w:r>
    </w:p>
    <w:p w14:paraId="162F71AA" w14:textId="77777777" w:rsidR="00B4459B" w:rsidRPr="009D505E" w:rsidRDefault="00B4459B" w:rsidP="00B4459B">
      <w:pPr>
        <w:spacing w:after="120" w:line="360" w:lineRule="auto"/>
        <w:jc w:val="center"/>
        <w:rPr>
          <w:rFonts w:cstheme="majorBidi"/>
          <w:sz w:val="28"/>
          <w:szCs w:val="28"/>
        </w:rPr>
      </w:pPr>
      <w:r w:rsidRPr="009D505E">
        <w:rPr>
          <w:rFonts w:cstheme="majorBidi"/>
          <w:sz w:val="28"/>
          <w:szCs w:val="28"/>
        </w:rPr>
        <w:t>Department of Material Science and engineering</w:t>
      </w:r>
    </w:p>
    <w:p w14:paraId="352839EF" w14:textId="6644F2B2" w:rsidR="00B4459B" w:rsidRPr="009D505E" w:rsidRDefault="005B532D" w:rsidP="00B4459B">
      <w:pPr>
        <w:jc w:val="center"/>
        <w:rPr>
          <w:rFonts w:cstheme="majorBidi"/>
          <w:sz w:val="28"/>
          <w:szCs w:val="28"/>
        </w:rPr>
      </w:pPr>
      <w:r>
        <w:rPr>
          <w:rFonts w:cstheme="majorBidi"/>
          <w:sz w:val="28"/>
          <w:szCs w:val="28"/>
        </w:rPr>
        <w:t>15</w:t>
      </w:r>
      <w:r w:rsidR="00B4459B">
        <w:rPr>
          <w:rFonts w:cstheme="majorBidi"/>
          <w:sz w:val="28"/>
          <w:szCs w:val="28"/>
          <w:vertAlign w:val="superscript"/>
        </w:rPr>
        <w:t>th</w:t>
      </w:r>
      <w:r w:rsidR="00B4459B">
        <w:rPr>
          <w:rFonts w:cstheme="majorBidi"/>
          <w:sz w:val="28"/>
          <w:szCs w:val="28"/>
        </w:rPr>
        <w:t xml:space="preserve"> </w:t>
      </w:r>
      <w:r w:rsidR="004B790E">
        <w:rPr>
          <w:rFonts w:cstheme="majorBidi"/>
          <w:sz w:val="28"/>
          <w:szCs w:val="28"/>
        </w:rPr>
        <w:t>October</w:t>
      </w:r>
      <w:r w:rsidR="00B4459B" w:rsidRPr="009D505E">
        <w:rPr>
          <w:rFonts w:cstheme="majorBidi"/>
          <w:sz w:val="28"/>
          <w:szCs w:val="28"/>
        </w:rPr>
        <w:t xml:space="preserve"> 2019</w:t>
      </w:r>
    </w:p>
    <w:p w14:paraId="634361FC" w14:textId="77777777" w:rsidR="00EA0E0B" w:rsidRPr="001E3029" w:rsidRDefault="00EA0E0B" w:rsidP="005F6FF5">
      <w:pPr>
        <w:rPr>
          <w:rFonts w:asciiTheme="majorBidi" w:hAnsiTheme="majorBidi" w:cstheme="majorBidi"/>
          <w:sz w:val="24"/>
          <w:szCs w:val="24"/>
        </w:rPr>
        <w:sectPr w:rsidR="00EA0E0B" w:rsidRPr="001E3029" w:rsidSect="0011227A">
          <w:footerReference w:type="default" r:id="rId9"/>
          <w:pgSz w:w="12240" w:h="15840"/>
          <w:pgMar w:top="1440" w:right="1440" w:bottom="1440" w:left="1440" w:header="720" w:footer="720" w:gutter="0"/>
          <w:pgNumType w:fmt="lowerRoman"/>
          <w:cols w:space="720"/>
          <w:docGrid w:linePitch="360"/>
        </w:sectPr>
      </w:pPr>
    </w:p>
    <w:p w14:paraId="2E97821C" w14:textId="77777777" w:rsidR="00624970" w:rsidRPr="005F6FF5" w:rsidRDefault="00624970" w:rsidP="00624970">
      <w:pPr>
        <w:pStyle w:val="1"/>
        <w:spacing w:before="0" w:after="120" w:line="360" w:lineRule="auto"/>
        <w:rPr>
          <w:rFonts w:asciiTheme="minorHAnsi" w:hAnsiTheme="minorHAnsi"/>
          <w:b/>
          <w:color w:val="000000" w:themeColor="text1"/>
        </w:rPr>
      </w:pPr>
      <w:bookmarkStart w:id="0" w:name="_Toc523388630"/>
      <w:bookmarkStart w:id="1" w:name="_Toc22052498"/>
      <w:r w:rsidRPr="001E3029">
        <w:rPr>
          <w:rFonts w:asciiTheme="minorHAnsi" w:hAnsiTheme="minorHAnsi"/>
          <w:b/>
          <w:color w:val="000000" w:themeColor="text1"/>
        </w:rPr>
        <w:lastRenderedPageBreak/>
        <w:t>Abstract</w:t>
      </w:r>
      <w:bookmarkEnd w:id="0"/>
      <w:bookmarkEnd w:id="1"/>
    </w:p>
    <w:p w14:paraId="49980C98" w14:textId="77777777" w:rsidR="00996005" w:rsidRPr="00996005" w:rsidRDefault="00996005" w:rsidP="00996005">
      <w:pPr>
        <w:spacing w:after="60" w:line="360" w:lineRule="auto"/>
        <w:jc w:val="both"/>
        <w:rPr>
          <w:rFonts w:ascii="Liberation Serif" w:eastAsia="宋体" w:hAnsi="Liberation Serif" w:cs="宋体" w:hint="eastAsia"/>
          <w:sz w:val="24"/>
          <w:szCs w:val="24"/>
          <w:lang w:val="en-US"/>
        </w:rPr>
      </w:pPr>
      <w:bookmarkStart w:id="2" w:name="_Hlk15665969"/>
      <w:bookmarkStart w:id="3" w:name="_Hlk5868586"/>
      <w:r w:rsidRPr="00996005">
        <w:rPr>
          <w:rFonts w:ascii="Calibri" w:eastAsia="宋体" w:hAnsi="Calibri" w:cs="Calibri"/>
        </w:rPr>
        <w:t xml:space="preserve">Refractory high-entropy alloys (RHEAs) are a promising new class of multi-principal component alloy systems that have attracted extensive interest from researchers owing to their impressive structural and mechanical properties at high temperatures. However, the </w:t>
      </w:r>
      <w:r w:rsidRPr="00996005">
        <w:rPr>
          <w:rFonts w:ascii="Calibri" w:eastAsia="宋体" w:hAnsi="Calibri" w:cs="Calibri"/>
          <w:lang w:val="en-US"/>
        </w:rPr>
        <w:t>real-world applications for RHEAs are restricted, due to the low strain hardening capability and resultant poor ductility at ambient temperatures. In comparison with the ‘3d transitional group’ face-centred cubic (FCC) HEAs, the low ductility and strain hardening exhibited by RHEAs is mainly attributed to the lack of closely-packed planes and relatively high critical resolved shear stress, which is necessary to activate the slip systems in the body-centred cubic (BCC) structure. Recent research has shown that twinning-induced plasticity (TWIP) and transformation-induced plasticity (TRIP) effects were successfully engineered in the ‘3d transitional group’ HEAs (possessing main components of V, Cr, Mn, Fe, Co, Ni, Cu) through the tuning of phase stability. Hence, inspired by these developments, a new design strategy for IVB element-based ductile RHEAs was proposed and investigated in the current research.</w:t>
      </w:r>
    </w:p>
    <w:p w14:paraId="6927FA95" w14:textId="3649D2D6" w:rsidR="00996005" w:rsidRPr="00996005" w:rsidRDefault="00996005" w:rsidP="00996005">
      <w:pPr>
        <w:spacing w:after="60" w:line="360" w:lineRule="auto"/>
        <w:jc w:val="both"/>
        <w:rPr>
          <w:rFonts w:ascii="Calibri" w:eastAsia="宋体" w:hAnsi="Calibri" w:cs="Calibri"/>
          <w:lang w:val="en-US"/>
        </w:rPr>
      </w:pPr>
      <w:r w:rsidRPr="00996005">
        <w:rPr>
          <w:rFonts w:ascii="Calibri" w:eastAsia="宋体" w:hAnsi="Calibri" w:cs="Calibri"/>
        </w:rPr>
        <w:t xml:space="preserve">The mechanical performance of RHEAs </w:t>
      </w:r>
      <w:r w:rsidR="00401E54">
        <w:rPr>
          <w:rFonts w:ascii="Calibri" w:eastAsia="宋体" w:hAnsi="Calibri" w:cs="Calibri" w:hint="eastAsia"/>
        </w:rPr>
        <w:t>is</w:t>
      </w:r>
      <w:r w:rsidRPr="00996005">
        <w:rPr>
          <w:rFonts w:ascii="Calibri" w:eastAsia="宋体" w:hAnsi="Calibri" w:cs="Calibri"/>
        </w:rPr>
        <w:t xml:space="preserve"> known to be sensitive to intrinsic elasticity (isotropy or anisotropy), energetically favouring the formation of a BCC structure at ambient temperatures. Through the application of the semi-empirical and </w:t>
      </w:r>
      <w:r w:rsidRPr="00996005">
        <w:rPr>
          <w:rFonts w:ascii="Calibri" w:eastAsia="宋体" w:hAnsi="Calibri" w:cs="Calibri"/>
          <w:i/>
          <w:iCs/>
        </w:rPr>
        <w:t>ab initio</w:t>
      </w:r>
      <w:r w:rsidRPr="00996005">
        <w:rPr>
          <w:rFonts w:ascii="Calibri" w:eastAsia="宋体" w:hAnsi="Calibri" w:cs="Calibri"/>
        </w:rPr>
        <w:t xml:space="preserve"> methods, a primary screening procedure for ductile equiatomic RHEAs was presented and tested. </w:t>
      </w:r>
      <w:bookmarkStart w:id="4" w:name="_Hlk7427024"/>
      <w:r w:rsidRPr="00996005">
        <w:rPr>
          <w:rFonts w:ascii="Calibri" w:eastAsia="宋体" w:hAnsi="Calibri" w:cs="Calibri"/>
        </w:rPr>
        <w:t>The dependence on the amount of β (BCC)</w:t>
      </w:r>
      <w:bookmarkEnd w:id="4"/>
      <w:r w:rsidRPr="00996005">
        <w:rPr>
          <w:rFonts w:ascii="Calibri" w:eastAsia="宋体" w:hAnsi="Calibri" w:cs="Calibri"/>
        </w:rPr>
        <w:t xml:space="preserve"> phase stabilising elements on the deformation mechanism was investigated for the TiZrHfTa system. With the reduction of Ta additions, the deformation mechanism was found to evolve initially from (i) dislocation glide; to (ii) dislocation glide cooperating with mechanical twinning; followed by (iii) dislocation glide with stress-induced martensitic phase transformation and mechanical twinning. As a result, strength and ductility were observed to changed accordingly. As a result of the complex and cooperative deformation mechanism (dislocation motion, mechanical twinning in the β matrix and martensite twinning), the strain hardening capability of TiZrHfTa</w:t>
      </w:r>
      <w:r w:rsidRPr="00996005">
        <w:rPr>
          <w:rFonts w:ascii="Calibri" w:eastAsia="宋体" w:hAnsi="Calibri" w:cs="Calibri"/>
          <w:vertAlign w:val="subscript"/>
        </w:rPr>
        <w:t>0.5</w:t>
      </w:r>
      <w:r w:rsidRPr="00996005">
        <w:rPr>
          <w:rFonts w:ascii="Calibri" w:eastAsia="宋体" w:hAnsi="Calibri" w:cs="Calibri"/>
        </w:rPr>
        <w:t xml:space="preserve"> was found to achieve 6GPa. Also observed to occur were the unusual type II orthorhombic (α’’) {351}&lt;-211&gt;</w:t>
      </w:r>
      <w:r w:rsidRPr="00996005">
        <w:rPr>
          <w:rFonts w:ascii="Calibri" w:eastAsia="宋体" w:hAnsi="Calibri" w:cs="Calibri"/>
          <w:vertAlign w:val="subscript"/>
        </w:rPr>
        <w:t>α’’</w:t>
      </w:r>
      <w:r w:rsidRPr="00996005">
        <w:rPr>
          <w:rFonts w:ascii="Calibri" w:eastAsia="宋体" w:hAnsi="Calibri" w:cs="Calibri"/>
        </w:rPr>
        <w:t xml:space="preserve"> martensite twinning mode, together with abnormal cooperation between self-accommodation (SA) {111}</w:t>
      </w:r>
      <w:r w:rsidRPr="00996005">
        <w:rPr>
          <w:rFonts w:ascii="Calibri" w:eastAsia="宋体" w:hAnsi="Calibri" w:cs="Calibri"/>
          <w:vertAlign w:val="subscript"/>
        </w:rPr>
        <w:t>α’’</w:t>
      </w:r>
      <w:r w:rsidRPr="00996005">
        <w:rPr>
          <w:rFonts w:ascii="Calibri" w:eastAsia="宋体" w:hAnsi="Calibri" w:cs="Calibri"/>
        </w:rPr>
        <w:t xml:space="preserve"> type I and {011}</w:t>
      </w:r>
      <w:r w:rsidRPr="00996005">
        <w:rPr>
          <w:rFonts w:ascii="Calibri" w:eastAsia="宋体" w:hAnsi="Calibri" w:cs="Calibri"/>
          <w:vertAlign w:val="subscript"/>
        </w:rPr>
        <w:t>α’’</w:t>
      </w:r>
      <w:r w:rsidRPr="00996005">
        <w:rPr>
          <w:rFonts w:ascii="Calibri" w:eastAsia="宋体" w:hAnsi="Calibri" w:cs="Calibri"/>
        </w:rPr>
        <w:t xml:space="preserve"> compound twinning modes. In contrast with previous reportedly simultaneously activated TRIP and TWIP alloys, whose TWIP-effect mainly occurs in the martensite phase, this newly discovered deformation mechanism was termed Transformation-Twinning Induced Plasticity (TTIP) and characterised by utilising the SA twinnings in the martensite phase resulting from TRIP. This deformation mechanism triggers and cooperates with the lattice corresponding </w:t>
      </w:r>
      <w:r w:rsidRPr="00996005">
        <w:rPr>
          <w:rFonts w:ascii="Calibri" w:eastAsia="宋体" w:hAnsi="Calibri" w:cs="Calibri"/>
        </w:rPr>
        <w:lastRenderedPageBreak/>
        <w:t xml:space="preserve">mechanical twinning (TWIP) in the austenite phase, enabling a continuous strain hardening capability throughout the deformation process. </w:t>
      </w:r>
    </w:p>
    <w:p w14:paraId="3DC51E64" w14:textId="77777777" w:rsidR="00996005" w:rsidRPr="00996005" w:rsidRDefault="00996005" w:rsidP="00996005">
      <w:pPr>
        <w:spacing w:after="60" w:line="360" w:lineRule="auto"/>
        <w:jc w:val="both"/>
        <w:rPr>
          <w:rFonts w:ascii="Calibri" w:eastAsia="宋体" w:hAnsi="Calibri" w:cs="Calibri"/>
          <w:lang w:val="en-US"/>
        </w:rPr>
      </w:pPr>
      <w:r w:rsidRPr="00996005">
        <w:rPr>
          <w:rFonts w:ascii="Calibri" w:eastAsia="宋体" w:hAnsi="Calibri" w:cs="Calibri"/>
        </w:rPr>
        <w:t>Through the application of the infinitesimal deformation approach (IDA) and the theory of the crystallography of deformation twinning, the origin and activation sequence of different TTIP-type twinning modes was successfully simulated. By following the magnitude of atomic shuffle displacement and twinning shear vectors, the origin of {351}&lt;-211&gt;</w:t>
      </w:r>
      <w:r w:rsidRPr="00996005">
        <w:rPr>
          <w:rFonts w:ascii="Calibri" w:eastAsia="宋体" w:hAnsi="Calibri" w:cs="Calibri"/>
          <w:vertAlign w:val="subscript"/>
        </w:rPr>
        <w:t>α’’</w:t>
      </w:r>
      <w:r w:rsidRPr="00996005">
        <w:rPr>
          <w:rFonts w:ascii="Calibri" w:eastAsia="宋体" w:hAnsi="Calibri" w:cs="Calibri"/>
        </w:rPr>
        <w:t xml:space="preserve"> type II SA twinning, SA {111}</w:t>
      </w:r>
      <w:r w:rsidRPr="00996005">
        <w:rPr>
          <w:rFonts w:ascii="Calibri" w:eastAsia="宋体" w:hAnsi="Calibri" w:cs="Calibri"/>
          <w:vertAlign w:val="subscript"/>
        </w:rPr>
        <w:t>α’’</w:t>
      </w:r>
      <w:r w:rsidRPr="00996005">
        <w:rPr>
          <w:rFonts w:ascii="Calibri" w:eastAsia="宋体" w:hAnsi="Calibri" w:cs="Calibri"/>
        </w:rPr>
        <w:t xml:space="preserve"> type I and {011}</w:t>
      </w:r>
      <w:r w:rsidRPr="00996005">
        <w:rPr>
          <w:rFonts w:ascii="Calibri" w:eastAsia="宋体" w:hAnsi="Calibri" w:cs="Calibri"/>
          <w:vertAlign w:val="subscript"/>
        </w:rPr>
        <w:t>α’’</w:t>
      </w:r>
      <w:r w:rsidRPr="00996005">
        <w:rPr>
          <w:rFonts w:ascii="Calibri" w:eastAsia="宋体" w:hAnsi="Calibri" w:cs="Calibri"/>
        </w:rPr>
        <w:t xml:space="preserve"> compound twinning modes were determined. Determined as being sensitive to the phase stability, the TTIP effect was observed to achieve a peak when the Ta content was reduced to 13 at. %. Through carefully controlled heat treatments, (TiZrHf)</w:t>
      </w:r>
      <w:r w:rsidRPr="00996005">
        <w:rPr>
          <w:rFonts w:ascii="Calibri" w:eastAsia="宋体" w:hAnsi="Calibri" w:cs="Calibri"/>
          <w:vertAlign w:val="subscript"/>
        </w:rPr>
        <w:t>87</w:t>
      </w:r>
      <w:r w:rsidRPr="00996005">
        <w:rPr>
          <w:rFonts w:ascii="Calibri" w:eastAsia="宋体" w:hAnsi="Calibri" w:cs="Calibri"/>
        </w:rPr>
        <w:t>Ta</w:t>
      </w:r>
      <w:r w:rsidRPr="00996005">
        <w:rPr>
          <w:rFonts w:ascii="Calibri" w:eastAsia="宋体" w:hAnsi="Calibri" w:cs="Calibri"/>
          <w:vertAlign w:val="subscript"/>
        </w:rPr>
        <w:t xml:space="preserve">13 </w:t>
      </w:r>
      <w:r w:rsidRPr="00996005">
        <w:rPr>
          <w:rFonts w:ascii="Calibri" w:eastAsia="宋体" w:hAnsi="Calibri" w:cs="Calibri"/>
        </w:rPr>
        <w:t>was found to achieve significant mechanical performance, producing an ultimate tensile strength of 1310MPa, in addition to an elongation of 25.3% and a strain hardening rate of 12.6 GPa. Microstructural analyses utilising electron backscatter diffraction (EBSD) and transmission electron microscopy (TEM) techniques were undertaken on (TiZrHf)</w:t>
      </w:r>
      <w:r w:rsidRPr="00996005">
        <w:rPr>
          <w:rFonts w:ascii="Calibri" w:eastAsia="宋体" w:hAnsi="Calibri" w:cs="Calibri"/>
          <w:vertAlign w:val="subscript"/>
        </w:rPr>
        <w:t>87</w:t>
      </w:r>
      <w:r w:rsidRPr="00996005">
        <w:rPr>
          <w:rFonts w:ascii="Calibri" w:eastAsia="宋体" w:hAnsi="Calibri" w:cs="Calibri"/>
        </w:rPr>
        <w:t>Ta</w:t>
      </w:r>
      <w:r w:rsidRPr="00996005">
        <w:rPr>
          <w:rFonts w:ascii="Calibri" w:eastAsia="宋体" w:hAnsi="Calibri" w:cs="Calibri"/>
          <w:vertAlign w:val="subscript"/>
        </w:rPr>
        <w:t>13</w:t>
      </w:r>
      <w:r w:rsidRPr="00996005">
        <w:rPr>
          <w:rFonts w:ascii="Calibri" w:eastAsia="宋体" w:hAnsi="Calibri" w:cs="Calibri"/>
        </w:rPr>
        <w:t xml:space="preserve"> samples that were tensile tested to different strains. The findings of these analyses aided in determining the importance of the TTIP effect in optimising the microstructure evolution of the sample. It was observed that a three-stage TTIP effect occurred comprising of (i) SA {351}&lt;-211&gt;</w:t>
      </w:r>
      <w:r w:rsidRPr="00996005">
        <w:rPr>
          <w:rFonts w:ascii="Calibri" w:eastAsia="宋体" w:hAnsi="Calibri" w:cs="Calibri"/>
          <w:vertAlign w:val="subscript"/>
        </w:rPr>
        <w:t xml:space="preserve"> α’’</w:t>
      </w:r>
      <w:r w:rsidRPr="00996005">
        <w:rPr>
          <w:rFonts w:ascii="Calibri" w:eastAsia="宋体" w:hAnsi="Calibri" w:cs="Calibri"/>
        </w:rPr>
        <w:t xml:space="preserve"> twinning; to (ii) mechanical {351}&lt;1-12&gt;</w:t>
      </w:r>
      <w:r w:rsidRPr="00996005">
        <w:rPr>
          <w:rFonts w:ascii="Calibri" w:eastAsia="宋体" w:hAnsi="Calibri" w:cs="Calibri"/>
          <w:vertAlign w:val="subscript"/>
        </w:rPr>
        <w:t xml:space="preserve"> α’’</w:t>
      </w:r>
      <w:r w:rsidRPr="00996005">
        <w:rPr>
          <w:rFonts w:ascii="Calibri" w:eastAsia="宋体" w:hAnsi="Calibri" w:cs="Calibri"/>
        </w:rPr>
        <w:t xml:space="preserve"> and {332}&lt;11-3&gt;</w:t>
      </w:r>
      <w:r w:rsidRPr="00996005">
        <w:rPr>
          <w:rFonts w:ascii="Calibri" w:eastAsia="宋体" w:hAnsi="Calibri" w:cs="Calibri"/>
          <w:vertAlign w:val="subscript"/>
        </w:rPr>
        <w:t>β</w:t>
      </w:r>
      <w:r w:rsidRPr="00996005">
        <w:rPr>
          <w:rFonts w:ascii="Calibri" w:eastAsia="宋体" w:hAnsi="Calibri" w:cs="Calibri"/>
        </w:rPr>
        <w:t xml:space="preserve"> twinning; then to (iii) Secondary {111}</w:t>
      </w:r>
      <w:r w:rsidRPr="00996005">
        <w:rPr>
          <w:rFonts w:ascii="Calibri" w:eastAsia="宋体" w:hAnsi="Calibri" w:cs="Calibri"/>
          <w:vertAlign w:val="subscript"/>
        </w:rPr>
        <w:t>α’’</w:t>
      </w:r>
      <w:r w:rsidRPr="00996005">
        <w:rPr>
          <w:rFonts w:ascii="Calibri" w:eastAsia="宋体" w:hAnsi="Calibri" w:cs="Calibri"/>
        </w:rPr>
        <w:t xml:space="preserve"> type I and {011}</w:t>
      </w:r>
      <w:r w:rsidRPr="00996005">
        <w:rPr>
          <w:rFonts w:ascii="Calibri" w:eastAsia="宋体" w:hAnsi="Calibri" w:cs="Calibri"/>
          <w:vertAlign w:val="subscript"/>
        </w:rPr>
        <w:t>α’’</w:t>
      </w:r>
      <w:r w:rsidRPr="00996005">
        <w:rPr>
          <w:rFonts w:ascii="Calibri" w:eastAsia="宋体" w:hAnsi="Calibri" w:cs="Calibri"/>
        </w:rPr>
        <w:t xml:space="preserve"> compound twinning. The dense martensitic twinning laths enabled by the TTIP effect were concluded to be the main contributing factors to the dramatically increased mechanical performance described. </w:t>
      </w:r>
    </w:p>
    <w:p w14:paraId="4E2BAA42" w14:textId="77777777" w:rsidR="00996005" w:rsidRPr="00996005" w:rsidRDefault="00996005" w:rsidP="00996005">
      <w:pPr>
        <w:spacing w:after="60" w:line="360" w:lineRule="auto"/>
        <w:jc w:val="both"/>
        <w:rPr>
          <w:rFonts w:ascii="Calibri" w:eastAsia="宋体" w:hAnsi="Calibri" w:cs="Calibri"/>
          <w:lang w:val="en-US"/>
        </w:rPr>
      </w:pPr>
      <w:r w:rsidRPr="00996005">
        <w:rPr>
          <w:rFonts w:ascii="Calibri" w:eastAsia="宋体" w:hAnsi="Calibri" w:cs="Calibri"/>
        </w:rPr>
        <w:t xml:space="preserve">Therefore, the importance and novelty of the research reported in the current work has produced important findings in two key areas: The determination of a new strategy to enable the design of ductile RHEAs via </w:t>
      </w:r>
      <w:r w:rsidRPr="00996005">
        <w:rPr>
          <w:rFonts w:ascii="Calibri" w:eastAsia="宋体" w:hAnsi="Calibri" w:cs="Calibri"/>
          <w:color w:val="000000"/>
        </w:rPr>
        <w:t xml:space="preserve">tailoring the stability of the β phase, as well as research that has provided a transition pathway between the TRIP and TWIP mechanisms. Furthermore, this work has the opportunity to aid the broadening of the design window for a variety of metallic materials that exhibit the β to α’’ </w:t>
      </w:r>
      <w:bookmarkStart w:id="5" w:name="_Hlk15045925"/>
      <w:r w:rsidRPr="00996005">
        <w:rPr>
          <w:rFonts w:ascii="Calibri" w:eastAsia="宋体" w:hAnsi="Calibri" w:cs="Calibri"/>
          <w:color w:val="000000"/>
        </w:rPr>
        <w:t xml:space="preserve">athermal </w:t>
      </w:r>
      <w:bookmarkEnd w:id="5"/>
      <w:r w:rsidRPr="00996005">
        <w:rPr>
          <w:rFonts w:ascii="Calibri" w:eastAsia="宋体" w:hAnsi="Calibri" w:cs="Calibri"/>
          <w:color w:val="000000"/>
        </w:rPr>
        <w:t>phase transformation during the deformation process.</w:t>
      </w:r>
    </w:p>
    <w:p w14:paraId="65F66D96" w14:textId="4E843906" w:rsidR="00DD756B" w:rsidRPr="00996005" w:rsidRDefault="00DD756B" w:rsidP="00624970">
      <w:pPr>
        <w:spacing w:after="60" w:line="360" w:lineRule="auto"/>
        <w:jc w:val="both"/>
        <w:rPr>
          <w:color w:val="000000" w:themeColor="text1"/>
          <w:lang w:val="en-US"/>
        </w:rPr>
      </w:pPr>
    </w:p>
    <w:p w14:paraId="418C77B7" w14:textId="4AB2ABEF" w:rsidR="00DD756B" w:rsidRDefault="00DD756B" w:rsidP="00624970">
      <w:pPr>
        <w:spacing w:after="60" w:line="360" w:lineRule="auto"/>
        <w:jc w:val="both"/>
        <w:rPr>
          <w:color w:val="000000" w:themeColor="text1"/>
        </w:rPr>
      </w:pPr>
    </w:p>
    <w:bookmarkEnd w:id="2"/>
    <w:p w14:paraId="3C990393" w14:textId="77777777" w:rsidR="00624970" w:rsidRDefault="00624970" w:rsidP="00624970">
      <w:pPr>
        <w:pStyle w:val="Normal1"/>
        <w:suppressAutoHyphens w:val="0"/>
        <w:spacing w:after="200" w:line="360" w:lineRule="auto"/>
        <w:rPr>
          <w:rFonts w:asciiTheme="minorHAnsi" w:hAnsiTheme="minorHAnsi" w:cstheme="minorBidi"/>
          <w:sz w:val="22"/>
          <w:szCs w:val="22"/>
          <w:lang w:val="en-GB" w:bidi="ar-SA"/>
        </w:rPr>
      </w:pPr>
    </w:p>
    <w:p w14:paraId="552AE343" w14:textId="77777777" w:rsidR="00624970" w:rsidRDefault="00624970" w:rsidP="00624970">
      <w:pPr>
        <w:pStyle w:val="Normal1"/>
        <w:suppressAutoHyphens w:val="0"/>
        <w:spacing w:after="200" w:line="360" w:lineRule="auto"/>
        <w:rPr>
          <w:rFonts w:asciiTheme="minorHAnsi" w:hAnsiTheme="minorHAnsi" w:cstheme="minorBidi"/>
          <w:sz w:val="22"/>
          <w:szCs w:val="22"/>
          <w:lang w:val="en-GB" w:bidi="ar-SA"/>
        </w:rPr>
      </w:pPr>
    </w:p>
    <w:p w14:paraId="71794EA8" w14:textId="77777777" w:rsidR="00DD65C8" w:rsidRPr="005F6FF5" w:rsidRDefault="00DD65C8" w:rsidP="00DD65C8">
      <w:pPr>
        <w:pStyle w:val="1"/>
        <w:spacing w:before="0" w:after="120" w:line="360" w:lineRule="auto"/>
        <w:rPr>
          <w:rFonts w:asciiTheme="minorHAnsi" w:hAnsiTheme="minorHAnsi"/>
          <w:b/>
          <w:color w:val="000000" w:themeColor="text1"/>
        </w:rPr>
      </w:pPr>
      <w:bookmarkStart w:id="6" w:name="_Toc523388631"/>
      <w:bookmarkStart w:id="7" w:name="_Toc5959160"/>
      <w:bookmarkStart w:id="8" w:name="_Toc22052499"/>
      <w:bookmarkEnd w:id="3"/>
      <w:r w:rsidRPr="001E3029">
        <w:rPr>
          <w:rFonts w:asciiTheme="minorHAnsi" w:hAnsiTheme="minorHAnsi"/>
          <w:b/>
          <w:color w:val="000000" w:themeColor="text1"/>
        </w:rPr>
        <w:lastRenderedPageBreak/>
        <w:t>Acknowledgement</w:t>
      </w:r>
      <w:bookmarkEnd w:id="6"/>
      <w:bookmarkEnd w:id="7"/>
      <w:bookmarkEnd w:id="8"/>
      <w:r w:rsidRPr="001E3029">
        <w:rPr>
          <w:rFonts w:asciiTheme="minorHAnsi" w:hAnsiTheme="minorHAnsi"/>
          <w:b/>
          <w:color w:val="000000" w:themeColor="text1"/>
        </w:rPr>
        <w:t xml:space="preserve"> </w:t>
      </w:r>
    </w:p>
    <w:p w14:paraId="31227507" w14:textId="77777777" w:rsidR="00DD65C8" w:rsidRDefault="00DD65C8" w:rsidP="00DD65C8">
      <w:pPr>
        <w:pStyle w:val="Normal1"/>
        <w:spacing w:after="120" w:line="360" w:lineRule="auto"/>
        <w:jc w:val="both"/>
        <w:rPr>
          <w:rFonts w:asciiTheme="minorHAnsi" w:hAnsiTheme="minorHAnsi" w:cstheme="minorBidi"/>
          <w:sz w:val="22"/>
          <w:szCs w:val="22"/>
          <w:lang w:val="en-GB" w:bidi="ar-SA"/>
        </w:rPr>
      </w:pPr>
      <w:r w:rsidRPr="00884A89">
        <w:rPr>
          <w:rFonts w:asciiTheme="minorHAnsi" w:hAnsiTheme="minorHAnsi" w:cstheme="minorBidi"/>
          <w:sz w:val="22"/>
          <w:szCs w:val="22"/>
          <w:lang w:val="en-GB" w:bidi="ar-SA"/>
        </w:rPr>
        <w:t xml:space="preserve">I would like to </w:t>
      </w:r>
      <w:r>
        <w:rPr>
          <w:rFonts w:asciiTheme="minorHAnsi" w:hAnsiTheme="minorHAnsi" w:cstheme="minorBidi"/>
          <w:sz w:val="22"/>
          <w:szCs w:val="22"/>
          <w:lang w:val="en-GB" w:bidi="ar-SA"/>
        </w:rPr>
        <w:t>extend my gratitude to Professor Iain Todd</w:t>
      </w:r>
      <w:r w:rsidRPr="00884A89">
        <w:rPr>
          <w:rFonts w:asciiTheme="minorHAnsi" w:hAnsiTheme="minorHAnsi" w:cstheme="minorBidi"/>
          <w:sz w:val="22"/>
          <w:szCs w:val="22"/>
          <w:lang w:val="en-GB" w:bidi="ar-SA"/>
        </w:rPr>
        <w:t xml:space="preserve"> for his </w:t>
      </w:r>
      <w:r w:rsidRPr="008C71F2">
        <w:rPr>
          <w:rFonts w:asciiTheme="minorHAnsi" w:hAnsiTheme="minorHAnsi" w:cstheme="minorBidi"/>
          <w:noProof/>
          <w:sz w:val="22"/>
          <w:szCs w:val="22"/>
          <w:lang w:val="en-GB" w:bidi="ar-SA"/>
        </w:rPr>
        <w:t>continuous</w:t>
      </w:r>
      <w:r w:rsidRPr="00884A89">
        <w:rPr>
          <w:rFonts w:asciiTheme="minorHAnsi" w:hAnsiTheme="minorHAnsi" w:cstheme="minorBidi"/>
          <w:sz w:val="22"/>
          <w:szCs w:val="22"/>
          <w:lang w:val="en-GB" w:bidi="ar-SA"/>
        </w:rPr>
        <w:t xml:space="preserve"> encouragement,</w:t>
      </w:r>
      <w:r>
        <w:rPr>
          <w:rFonts w:asciiTheme="minorHAnsi" w:hAnsiTheme="minorHAnsi" w:cstheme="minorBidi"/>
          <w:sz w:val="22"/>
          <w:szCs w:val="22"/>
          <w:lang w:val="en-GB" w:bidi="ar-SA"/>
        </w:rPr>
        <w:t xml:space="preserve"> instructive advice, extreme patience </w:t>
      </w:r>
      <w:r w:rsidRPr="00884A89">
        <w:rPr>
          <w:rFonts w:asciiTheme="minorHAnsi" w:hAnsiTheme="minorHAnsi" w:cstheme="minorBidi"/>
          <w:sz w:val="22"/>
          <w:szCs w:val="22"/>
          <w:lang w:val="en-GB" w:bidi="ar-SA"/>
        </w:rPr>
        <w:t>and</w:t>
      </w:r>
      <w:r>
        <w:rPr>
          <w:rFonts w:asciiTheme="minorHAnsi" w:hAnsiTheme="minorHAnsi" w:cstheme="minorBidi"/>
          <w:sz w:val="22"/>
          <w:szCs w:val="22"/>
          <w:lang w:val="en-GB" w:bidi="ar-SA"/>
        </w:rPr>
        <w:t xml:space="preserve"> vigorous support over the past four years.</w:t>
      </w:r>
      <w:r w:rsidRPr="00884A89">
        <w:rPr>
          <w:rFonts w:asciiTheme="minorHAnsi" w:hAnsiTheme="minorHAnsi" w:cstheme="minorBidi"/>
          <w:sz w:val="22"/>
          <w:szCs w:val="22"/>
          <w:lang w:val="en-GB" w:bidi="ar-SA"/>
        </w:rPr>
        <w:t xml:space="preserve"> </w:t>
      </w:r>
      <w:r>
        <w:rPr>
          <w:rFonts w:asciiTheme="minorHAnsi" w:hAnsiTheme="minorHAnsi" w:cstheme="minorBidi"/>
          <w:sz w:val="22"/>
          <w:szCs w:val="22"/>
          <w:lang w:val="en-GB" w:bidi="ar-SA"/>
        </w:rPr>
        <w:t xml:space="preserve">His </w:t>
      </w:r>
      <w:r w:rsidRPr="002E019C">
        <w:rPr>
          <w:rFonts w:asciiTheme="minorHAnsi" w:hAnsiTheme="minorHAnsi" w:cstheme="minorBidi"/>
          <w:sz w:val="22"/>
          <w:szCs w:val="22"/>
          <w:lang w:val="en-GB" w:bidi="ar-SA"/>
        </w:rPr>
        <w:t>forbearance</w:t>
      </w:r>
      <w:r w:rsidRPr="00884A89">
        <w:rPr>
          <w:rFonts w:asciiTheme="minorHAnsi" w:hAnsiTheme="minorHAnsi" w:cstheme="minorBidi"/>
          <w:sz w:val="22"/>
          <w:szCs w:val="22"/>
          <w:lang w:val="en-GB" w:bidi="ar-SA"/>
        </w:rPr>
        <w:t xml:space="preserve"> allow</w:t>
      </w:r>
      <w:r>
        <w:rPr>
          <w:rFonts w:asciiTheme="minorHAnsi" w:hAnsiTheme="minorHAnsi" w:cstheme="minorBidi"/>
          <w:sz w:val="22"/>
          <w:szCs w:val="22"/>
          <w:lang w:val="en-GB" w:bidi="ar-SA"/>
        </w:rPr>
        <w:t xml:space="preserve">ed </w:t>
      </w:r>
      <w:r w:rsidRPr="00884A89">
        <w:rPr>
          <w:rFonts w:asciiTheme="minorHAnsi" w:hAnsiTheme="minorHAnsi" w:cstheme="minorBidi"/>
          <w:sz w:val="22"/>
          <w:szCs w:val="22"/>
          <w:lang w:val="en-GB" w:bidi="ar-SA"/>
        </w:rPr>
        <w:t>me</w:t>
      </w:r>
      <w:r>
        <w:rPr>
          <w:rFonts w:asciiTheme="minorHAnsi" w:hAnsiTheme="minorHAnsi" w:cstheme="minorBidi"/>
          <w:sz w:val="22"/>
          <w:szCs w:val="22"/>
          <w:lang w:val="en-GB" w:bidi="ar-SA"/>
        </w:rPr>
        <w:t xml:space="preserve"> to use all my effort to pursue </w:t>
      </w:r>
      <w:r w:rsidRPr="00CE5E84">
        <w:rPr>
          <w:rFonts w:asciiTheme="minorHAnsi" w:hAnsiTheme="minorHAnsi" w:cstheme="minorBidi"/>
          <w:sz w:val="22"/>
          <w:szCs w:val="22"/>
          <w:lang w:val="en-GB" w:bidi="ar-SA"/>
        </w:rPr>
        <w:t xml:space="preserve">the star in the sky and </w:t>
      </w:r>
      <w:r>
        <w:rPr>
          <w:rFonts w:asciiTheme="minorHAnsi" w:hAnsiTheme="minorHAnsi" w:cstheme="minorBidi"/>
          <w:sz w:val="22"/>
          <w:szCs w:val="22"/>
          <w:lang w:val="en-GB" w:bidi="ar-SA"/>
        </w:rPr>
        <w:t xml:space="preserve">his illuminating guidance </w:t>
      </w:r>
      <w:r w:rsidRPr="00884A89">
        <w:rPr>
          <w:rFonts w:asciiTheme="minorHAnsi" w:hAnsiTheme="minorHAnsi" w:cstheme="minorBidi"/>
          <w:sz w:val="22"/>
          <w:szCs w:val="22"/>
          <w:lang w:val="en-GB" w:bidi="ar-SA"/>
        </w:rPr>
        <w:t>always</w:t>
      </w:r>
      <w:r>
        <w:rPr>
          <w:rFonts w:asciiTheme="minorHAnsi" w:hAnsiTheme="minorHAnsi" w:cstheme="minorBidi"/>
          <w:sz w:val="22"/>
          <w:szCs w:val="22"/>
          <w:lang w:val="en-GB" w:bidi="ar-SA"/>
        </w:rPr>
        <w:t xml:space="preserve"> lead</w:t>
      </w:r>
      <w:r w:rsidRPr="00884A89">
        <w:rPr>
          <w:rFonts w:asciiTheme="minorHAnsi" w:hAnsiTheme="minorHAnsi" w:cstheme="minorBidi"/>
          <w:sz w:val="22"/>
          <w:szCs w:val="22"/>
          <w:lang w:val="en-GB" w:bidi="ar-SA"/>
        </w:rPr>
        <w:t xml:space="preserve"> me back to the </w:t>
      </w:r>
      <w:r>
        <w:rPr>
          <w:rFonts w:asciiTheme="minorHAnsi" w:hAnsiTheme="minorHAnsi" w:cstheme="minorBidi"/>
          <w:sz w:val="22"/>
          <w:szCs w:val="22"/>
          <w:lang w:val="en-GB" w:bidi="ar-SA"/>
        </w:rPr>
        <w:t>right route</w:t>
      </w:r>
      <w:r w:rsidRPr="00884A89">
        <w:rPr>
          <w:rFonts w:asciiTheme="minorHAnsi" w:hAnsiTheme="minorHAnsi" w:cstheme="minorBidi"/>
          <w:sz w:val="22"/>
          <w:szCs w:val="22"/>
          <w:lang w:val="en-GB" w:bidi="ar-SA"/>
        </w:rPr>
        <w:t xml:space="preserve"> when I </w:t>
      </w:r>
      <w:r>
        <w:rPr>
          <w:rFonts w:asciiTheme="minorHAnsi" w:hAnsiTheme="minorHAnsi" w:cstheme="minorBidi"/>
          <w:sz w:val="22"/>
          <w:szCs w:val="22"/>
          <w:lang w:val="en-GB" w:bidi="ar-SA"/>
        </w:rPr>
        <w:t>get lost</w:t>
      </w:r>
      <w:r w:rsidRPr="00884A89">
        <w:rPr>
          <w:rFonts w:asciiTheme="minorHAnsi" w:hAnsiTheme="minorHAnsi" w:cstheme="minorBidi"/>
          <w:sz w:val="22"/>
          <w:szCs w:val="22"/>
          <w:lang w:val="en-GB" w:bidi="ar-SA"/>
        </w:rPr>
        <w:t>. I would</w:t>
      </w:r>
      <w:r>
        <w:rPr>
          <w:rFonts w:asciiTheme="minorHAnsi" w:hAnsiTheme="minorHAnsi" w:cstheme="minorBidi"/>
          <w:sz w:val="22"/>
          <w:szCs w:val="22"/>
          <w:lang w:val="en-GB" w:bidi="ar-SA"/>
        </w:rPr>
        <w:t xml:space="preserve"> also</w:t>
      </w:r>
      <w:r w:rsidRPr="00884A89">
        <w:rPr>
          <w:rFonts w:asciiTheme="minorHAnsi" w:hAnsiTheme="minorHAnsi" w:cstheme="minorBidi"/>
          <w:sz w:val="22"/>
          <w:szCs w:val="22"/>
          <w:lang w:val="en-GB" w:bidi="ar-SA"/>
        </w:rPr>
        <w:t xml:space="preserve"> like to express my gratitude to </w:t>
      </w:r>
      <w:r>
        <w:rPr>
          <w:rFonts w:asciiTheme="minorHAnsi" w:hAnsiTheme="minorHAnsi" w:cstheme="minorBidi"/>
          <w:sz w:val="22"/>
          <w:szCs w:val="22"/>
          <w:lang w:val="en-GB" w:bidi="ar-SA"/>
        </w:rPr>
        <w:t>Professor W Mark Rainforth</w:t>
      </w:r>
      <w:r w:rsidRPr="00884A89">
        <w:rPr>
          <w:rFonts w:asciiTheme="minorHAnsi" w:hAnsiTheme="minorHAnsi" w:cstheme="minorBidi"/>
          <w:sz w:val="22"/>
          <w:szCs w:val="22"/>
          <w:lang w:val="en-GB" w:bidi="ar-SA"/>
        </w:rPr>
        <w:t>,</w:t>
      </w:r>
      <w:r>
        <w:rPr>
          <w:rFonts w:asciiTheme="minorHAnsi" w:hAnsiTheme="minorHAnsi" w:cstheme="minorBidi"/>
          <w:sz w:val="22"/>
          <w:szCs w:val="22"/>
          <w:lang w:val="en-GB" w:bidi="ar-SA"/>
        </w:rPr>
        <w:t xml:space="preserve"> whom</w:t>
      </w:r>
      <w:r w:rsidRPr="00884A89">
        <w:rPr>
          <w:rFonts w:asciiTheme="minorHAnsi" w:hAnsiTheme="minorHAnsi" w:cstheme="minorBidi"/>
          <w:sz w:val="22"/>
          <w:szCs w:val="22"/>
          <w:lang w:val="en-GB" w:bidi="ar-SA"/>
        </w:rPr>
        <w:t xml:space="preserve"> </w:t>
      </w:r>
      <w:r>
        <w:rPr>
          <w:rFonts w:asciiTheme="minorHAnsi" w:hAnsiTheme="minorHAnsi" w:cstheme="minorBidi"/>
          <w:sz w:val="22"/>
          <w:szCs w:val="22"/>
          <w:lang w:val="en-GB" w:bidi="ar-SA"/>
        </w:rPr>
        <w:t>lit my way to the world of microcosmos</w:t>
      </w:r>
      <w:r w:rsidRPr="00884A89">
        <w:rPr>
          <w:rFonts w:asciiTheme="minorHAnsi" w:hAnsiTheme="minorHAnsi" w:cstheme="minorBidi"/>
          <w:sz w:val="22"/>
          <w:szCs w:val="22"/>
          <w:lang w:val="en-GB" w:bidi="ar-SA"/>
        </w:rPr>
        <w:t>.</w:t>
      </w:r>
      <w:r>
        <w:rPr>
          <w:rFonts w:asciiTheme="minorHAnsi" w:hAnsiTheme="minorHAnsi" w:cstheme="minorBidi"/>
          <w:sz w:val="22"/>
          <w:szCs w:val="22"/>
          <w:lang w:val="en-GB" w:bidi="ar-SA"/>
        </w:rPr>
        <w:t xml:space="preserve"> Without his comprehensive knowledge and creative </w:t>
      </w:r>
      <w:r w:rsidRPr="008C71F2">
        <w:rPr>
          <w:rFonts w:asciiTheme="minorHAnsi" w:hAnsiTheme="minorHAnsi" w:cstheme="minorBidi"/>
          <w:noProof/>
          <w:sz w:val="22"/>
          <w:szCs w:val="22"/>
          <w:lang w:val="en-GB" w:bidi="ar-SA"/>
        </w:rPr>
        <w:t>advice</w:t>
      </w:r>
      <w:r>
        <w:rPr>
          <w:rFonts w:asciiTheme="minorHAnsi" w:hAnsiTheme="minorHAnsi" w:cstheme="minorBidi"/>
          <w:noProof/>
          <w:sz w:val="22"/>
          <w:szCs w:val="22"/>
          <w:lang w:val="en-GB" w:bidi="ar-SA"/>
        </w:rPr>
        <w:t>,</w:t>
      </w:r>
      <w:r>
        <w:rPr>
          <w:rFonts w:asciiTheme="minorHAnsi" w:hAnsiTheme="minorHAnsi" w:cstheme="minorBidi"/>
          <w:sz w:val="22"/>
          <w:szCs w:val="22"/>
          <w:lang w:val="en-GB" w:bidi="ar-SA"/>
        </w:rPr>
        <w:t xml:space="preserve"> this work will be produced.</w:t>
      </w:r>
      <w:r w:rsidRPr="00884A89">
        <w:rPr>
          <w:rFonts w:asciiTheme="minorHAnsi" w:hAnsiTheme="minorHAnsi" w:cstheme="minorBidi"/>
          <w:sz w:val="22"/>
          <w:szCs w:val="22"/>
          <w:lang w:val="en-GB" w:bidi="ar-SA"/>
        </w:rPr>
        <w:t xml:space="preserve"> </w:t>
      </w:r>
    </w:p>
    <w:p w14:paraId="11F06284" w14:textId="77777777" w:rsidR="00DD65C8" w:rsidRPr="00884A89" w:rsidRDefault="00DD65C8" w:rsidP="00DD65C8">
      <w:pPr>
        <w:pStyle w:val="Normal1"/>
        <w:spacing w:after="200" w:line="360" w:lineRule="auto"/>
        <w:jc w:val="both"/>
        <w:rPr>
          <w:rFonts w:asciiTheme="minorHAnsi" w:hAnsiTheme="minorHAnsi" w:cstheme="minorBidi"/>
          <w:sz w:val="22"/>
          <w:szCs w:val="22"/>
          <w:lang w:val="en-GB" w:bidi="ar-SA"/>
        </w:rPr>
      </w:pPr>
      <w:r w:rsidRPr="00884A89">
        <w:rPr>
          <w:rFonts w:asciiTheme="minorHAnsi" w:hAnsiTheme="minorHAnsi" w:cstheme="minorBidi"/>
          <w:sz w:val="22"/>
          <w:szCs w:val="22"/>
          <w:lang w:val="en-GB" w:bidi="ar-SA"/>
        </w:rPr>
        <w:t>I</w:t>
      </w:r>
      <w:r>
        <w:rPr>
          <w:rFonts w:asciiTheme="minorHAnsi" w:hAnsiTheme="minorHAnsi" w:cstheme="minorBidi"/>
          <w:sz w:val="22"/>
          <w:szCs w:val="22"/>
          <w:lang w:val="en-GB" w:bidi="ar-SA"/>
        </w:rPr>
        <w:t xml:space="preserve"> also</w:t>
      </w:r>
      <w:r w:rsidRPr="00884A89">
        <w:rPr>
          <w:rFonts w:asciiTheme="minorHAnsi" w:hAnsiTheme="minorHAnsi" w:cstheme="minorBidi"/>
          <w:sz w:val="22"/>
          <w:szCs w:val="22"/>
          <w:lang w:val="en-GB" w:bidi="ar-SA"/>
        </w:rPr>
        <w:t xml:space="preserve"> </w:t>
      </w:r>
      <w:r>
        <w:rPr>
          <w:rFonts w:asciiTheme="minorHAnsi" w:hAnsiTheme="minorHAnsi" w:cstheme="minorBidi"/>
          <w:sz w:val="22"/>
          <w:szCs w:val="22"/>
          <w:lang w:val="en-GB" w:bidi="ar-SA"/>
        </w:rPr>
        <w:t>appreciate</w:t>
      </w:r>
      <w:r w:rsidRPr="00884A89">
        <w:rPr>
          <w:rFonts w:asciiTheme="minorHAnsi" w:hAnsiTheme="minorHAnsi" w:cstheme="minorBidi"/>
          <w:sz w:val="22"/>
          <w:szCs w:val="22"/>
          <w:lang w:val="en-GB" w:bidi="ar-SA"/>
        </w:rPr>
        <w:t xml:space="preserve"> the</w:t>
      </w:r>
      <w:r>
        <w:rPr>
          <w:rFonts w:asciiTheme="minorHAnsi" w:hAnsiTheme="minorHAnsi" w:cstheme="minorBidi"/>
          <w:sz w:val="22"/>
          <w:szCs w:val="22"/>
          <w:lang w:val="en-GB" w:bidi="ar-SA"/>
        </w:rPr>
        <w:t xml:space="preserve"> valuable</w:t>
      </w:r>
      <w:r w:rsidRPr="00884A89">
        <w:rPr>
          <w:rFonts w:asciiTheme="minorHAnsi" w:hAnsiTheme="minorHAnsi" w:cstheme="minorBidi"/>
          <w:sz w:val="22"/>
          <w:szCs w:val="22"/>
          <w:lang w:val="en-GB" w:bidi="ar-SA"/>
        </w:rPr>
        <w:t xml:space="preserve"> </w:t>
      </w:r>
      <w:r>
        <w:rPr>
          <w:rFonts w:asciiTheme="minorHAnsi" w:hAnsiTheme="minorHAnsi" w:cstheme="minorBidi"/>
          <w:noProof/>
          <w:sz w:val="22"/>
          <w:szCs w:val="22"/>
          <w:lang w:val="en-GB" w:bidi="ar-SA"/>
        </w:rPr>
        <w:t>suggestions</w:t>
      </w:r>
      <w:r w:rsidRPr="00884A89">
        <w:rPr>
          <w:rFonts w:asciiTheme="minorHAnsi" w:hAnsiTheme="minorHAnsi" w:cstheme="minorBidi"/>
          <w:sz w:val="22"/>
          <w:szCs w:val="22"/>
          <w:lang w:val="en-GB" w:bidi="ar-SA"/>
        </w:rPr>
        <w:t xml:space="preserve"> given freely by </w:t>
      </w:r>
      <w:r w:rsidRPr="00E41C7E">
        <w:rPr>
          <w:rFonts w:asciiTheme="minorHAnsi" w:hAnsiTheme="minorHAnsi" w:cstheme="minorBidi"/>
          <w:sz w:val="22"/>
          <w:szCs w:val="22"/>
          <w:lang w:val="en-GB" w:bidi="ar-SA"/>
        </w:rPr>
        <w:t xml:space="preserve">Dr </w:t>
      </w:r>
      <w:r>
        <w:rPr>
          <w:rFonts w:asciiTheme="minorHAnsi" w:hAnsiTheme="minorHAnsi" w:cstheme="minorBidi"/>
          <w:sz w:val="22"/>
          <w:szCs w:val="22"/>
          <w:lang w:val="en-GB" w:bidi="ar-SA"/>
        </w:rPr>
        <w:t>Russell Goodall</w:t>
      </w:r>
      <w:r w:rsidRPr="00E41C7E">
        <w:rPr>
          <w:rFonts w:asciiTheme="minorHAnsi" w:hAnsiTheme="minorHAnsi" w:cstheme="minorBidi"/>
          <w:sz w:val="22"/>
          <w:szCs w:val="22"/>
          <w:lang w:val="en-GB" w:bidi="ar-SA"/>
        </w:rPr>
        <w:t xml:space="preserve"> and </w:t>
      </w:r>
      <w:r>
        <w:rPr>
          <w:rFonts w:asciiTheme="minorHAnsi" w:hAnsiTheme="minorHAnsi" w:cstheme="minorBidi"/>
          <w:sz w:val="22"/>
          <w:szCs w:val="22"/>
          <w:lang w:val="en-GB" w:bidi="ar-SA"/>
        </w:rPr>
        <w:t>Dr R</w:t>
      </w:r>
      <w:r w:rsidRPr="00E41C7E">
        <w:rPr>
          <w:rFonts w:asciiTheme="minorHAnsi" w:hAnsiTheme="minorHAnsi" w:cstheme="minorBidi"/>
          <w:sz w:val="22"/>
          <w:szCs w:val="22"/>
          <w:lang w:val="en-GB" w:bidi="ar-SA"/>
        </w:rPr>
        <w:t xml:space="preserve">ichard </w:t>
      </w:r>
      <w:r>
        <w:rPr>
          <w:rFonts w:asciiTheme="minorHAnsi" w:hAnsiTheme="minorHAnsi" w:cstheme="minorBidi"/>
          <w:sz w:val="22"/>
          <w:szCs w:val="22"/>
          <w:lang w:val="en-GB" w:bidi="ar-SA"/>
        </w:rPr>
        <w:t>T</w:t>
      </w:r>
      <w:r w:rsidRPr="00E41C7E">
        <w:rPr>
          <w:rFonts w:asciiTheme="minorHAnsi" w:hAnsiTheme="minorHAnsi" w:cstheme="minorBidi"/>
          <w:sz w:val="22"/>
          <w:szCs w:val="22"/>
          <w:lang w:val="en-GB" w:bidi="ar-SA"/>
        </w:rPr>
        <w:t xml:space="preserve">hackery in the </w:t>
      </w:r>
      <w:r>
        <w:rPr>
          <w:rFonts w:asciiTheme="minorHAnsi" w:hAnsiTheme="minorHAnsi" w:cstheme="minorBidi"/>
          <w:sz w:val="22"/>
          <w:szCs w:val="22"/>
          <w:lang w:val="en-GB" w:bidi="ar-SA"/>
        </w:rPr>
        <w:t>internal assessment</w:t>
      </w:r>
      <w:r w:rsidRPr="00E41C7E">
        <w:rPr>
          <w:rFonts w:asciiTheme="minorHAnsi" w:hAnsiTheme="minorHAnsi" w:cstheme="minorBidi"/>
          <w:sz w:val="22"/>
          <w:szCs w:val="22"/>
          <w:lang w:val="en-GB" w:bidi="ar-SA"/>
        </w:rPr>
        <w:t xml:space="preserve"> for </w:t>
      </w:r>
      <w:r>
        <w:rPr>
          <w:rFonts w:asciiTheme="minorHAnsi" w:hAnsiTheme="minorHAnsi" w:cstheme="minorBidi"/>
          <w:sz w:val="22"/>
          <w:szCs w:val="22"/>
          <w:lang w:val="en-GB" w:bidi="ar-SA"/>
        </w:rPr>
        <w:t xml:space="preserve">the </w:t>
      </w:r>
      <w:r w:rsidRPr="008C71F2">
        <w:rPr>
          <w:rFonts w:asciiTheme="minorHAnsi" w:hAnsiTheme="minorHAnsi" w:cstheme="minorBidi"/>
          <w:noProof/>
          <w:sz w:val="22"/>
          <w:szCs w:val="22"/>
          <w:lang w:val="en-GB" w:bidi="ar-SA"/>
        </w:rPr>
        <w:t>annual</w:t>
      </w:r>
      <w:r w:rsidRPr="00E41C7E">
        <w:rPr>
          <w:rFonts w:asciiTheme="minorHAnsi" w:hAnsiTheme="minorHAnsi" w:cstheme="minorBidi"/>
          <w:sz w:val="22"/>
          <w:szCs w:val="22"/>
          <w:lang w:val="en-GB" w:bidi="ar-SA"/>
        </w:rPr>
        <w:t xml:space="preserve"> report</w:t>
      </w:r>
      <w:r>
        <w:rPr>
          <w:rFonts w:asciiTheme="minorHAnsi" w:hAnsiTheme="minorHAnsi" w:cstheme="minorBidi"/>
          <w:sz w:val="22"/>
          <w:szCs w:val="22"/>
          <w:lang w:val="en-GB" w:bidi="ar-SA"/>
        </w:rPr>
        <w:t xml:space="preserve">, which broadened my research in various perspectives. My sincere gratitude is extended to Dr </w:t>
      </w:r>
      <w:r w:rsidRPr="00884A89">
        <w:rPr>
          <w:rFonts w:asciiTheme="minorHAnsi" w:hAnsiTheme="minorHAnsi" w:cstheme="minorBidi"/>
          <w:sz w:val="22"/>
          <w:szCs w:val="22"/>
          <w:lang w:val="en-GB" w:bidi="ar-SA"/>
        </w:rPr>
        <w:t>Gao Junheng</w:t>
      </w:r>
      <w:r>
        <w:rPr>
          <w:rFonts w:asciiTheme="minorHAnsi" w:hAnsiTheme="minorHAnsi" w:cstheme="minorBidi"/>
          <w:sz w:val="22"/>
          <w:szCs w:val="22"/>
          <w:lang w:val="en-GB" w:bidi="ar-SA"/>
        </w:rPr>
        <w:t>, Dr Leong Zhaoyuan</w:t>
      </w:r>
      <w:r w:rsidRPr="00884A89">
        <w:rPr>
          <w:rFonts w:asciiTheme="minorHAnsi" w:hAnsiTheme="minorHAnsi" w:cstheme="minorBidi"/>
          <w:sz w:val="22"/>
          <w:szCs w:val="22"/>
          <w:lang w:val="en-GB" w:bidi="ar-SA"/>
        </w:rPr>
        <w:t xml:space="preserve"> </w:t>
      </w:r>
      <w:r>
        <w:rPr>
          <w:rFonts w:asciiTheme="minorHAnsi" w:hAnsiTheme="minorHAnsi" w:cstheme="minorBidi"/>
          <w:sz w:val="22"/>
          <w:szCs w:val="22"/>
          <w:lang w:val="en-GB" w:bidi="ar-SA"/>
        </w:rPr>
        <w:t>and Dr Guan Dikai</w:t>
      </w:r>
      <w:r w:rsidRPr="00884A89">
        <w:rPr>
          <w:rFonts w:asciiTheme="minorHAnsi" w:hAnsiTheme="minorHAnsi" w:cstheme="minorBidi"/>
          <w:sz w:val="22"/>
          <w:szCs w:val="22"/>
          <w:lang w:val="en-GB" w:bidi="ar-SA"/>
        </w:rPr>
        <w:t xml:space="preserve">, </w:t>
      </w:r>
      <w:r>
        <w:rPr>
          <w:rFonts w:asciiTheme="minorHAnsi" w:hAnsiTheme="minorHAnsi" w:cstheme="minorBidi"/>
          <w:sz w:val="22"/>
          <w:szCs w:val="22"/>
          <w:lang w:val="en-GB" w:bidi="ar-SA"/>
        </w:rPr>
        <w:t xml:space="preserve">from aided in g building the experiment plans and transformed the deductions in the mind to </w:t>
      </w:r>
      <w:r w:rsidRPr="0012727D">
        <w:rPr>
          <w:rFonts w:asciiTheme="minorHAnsi" w:hAnsiTheme="minorHAnsi" w:cstheme="minorBidi"/>
          <w:sz w:val="22"/>
          <w:szCs w:val="22"/>
          <w:lang w:val="en-GB" w:bidi="ar-SA"/>
        </w:rPr>
        <w:t>rigorous</w:t>
      </w:r>
      <w:r>
        <w:rPr>
          <w:rFonts w:asciiTheme="minorHAnsi" w:hAnsiTheme="minorHAnsi" w:cstheme="minorBidi"/>
          <w:sz w:val="22"/>
          <w:szCs w:val="22"/>
          <w:lang w:val="en-GB" w:bidi="ar-SA"/>
        </w:rPr>
        <w:t xml:space="preserve"> data on paper. </w:t>
      </w:r>
      <w:r w:rsidRPr="00884A89">
        <w:rPr>
          <w:rFonts w:asciiTheme="minorHAnsi" w:hAnsiTheme="minorHAnsi" w:cstheme="minorBidi"/>
          <w:sz w:val="22"/>
          <w:szCs w:val="22"/>
          <w:lang w:val="en-GB" w:bidi="ar-SA"/>
        </w:rPr>
        <w:t xml:space="preserve">Many thanks to my </w:t>
      </w:r>
      <w:r>
        <w:rPr>
          <w:rFonts w:asciiTheme="minorHAnsi" w:hAnsiTheme="minorHAnsi" w:cstheme="minorBidi"/>
          <w:sz w:val="22"/>
          <w:szCs w:val="22"/>
          <w:lang w:val="en-GB" w:bidi="ar-SA"/>
        </w:rPr>
        <w:t>friends and colleagues</w:t>
      </w:r>
      <w:r w:rsidRPr="00884A89">
        <w:rPr>
          <w:rFonts w:asciiTheme="minorHAnsi" w:hAnsiTheme="minorHAnsi" w:cstheme="minorBidi"/>
          <w:sz w:val="22"/>
          <w:szCs w:val="22"/>
          <w:lang w:val="en-GB" w:bidi="ar-SA"/>
        </w:rPr>
        <w:t xml:space="preserve">. In no </w:t>
      </w:r>
      <w:r>
        <w:rPr>
          <w:rFonts w:asciiTheme="minorHAnsi" w:hAnsiTheme="minorHAnsi" w:cstheme="minorBidi"/>
          <w:sz w:val="22"/>
          <w:szCs w:val="22"/>
          <w:lang w:val="en-GB" w:bidi="ar-SA"/>
        </w:rPr>
        <w:t>special</w:t>
      </w:r>
      <w:r w:rsidRPr="00884A89">
        <w:rPr>
          <w:rFonts w:asciiTheme="minorHAnsi" w:hAnsiTheme="minorHAnsi" w:cstheme="minorBidi"/>
          <w:sz w:val="22"/>
          <w:szCs w:val="22"/>
          <w:lang w:val="en-GB" w:bidi="ar-SA"/>
        </w:rPr>
        <w:t xml:space="preserve"> order, </w:t>
      </w:r>
      <w:r>
        <w:rPr>
          <w:rFonts w:asciiTheme="minorHAnsi" w:hAnsiTheme="minorHAnsi" w:cstheme="minorBidi"/>
          <w:sz w:val="22"/>
          <w:szCs w:val="22"/>
          <w:lang w:val="en-GB" w:bidi="ar-SA"/>
        </w:rPr>
        <w:t xml:space="preserve">Dr </w:t>
      </w:r>
      <w:r w:rsidRPr="00884A89">
        <w:rPr>
          <w:rFonts w:asciiTheme="minorHAnsi" w:hAnsiTheme="minorHAnsi" w:cstheme="minorBidi"/>
          <w:sz w:val="22"/>
          <w:szCs w:val="22"/>
          <w:lang w:val="en-GB" w:bidi="ar-SA"/>
        </w:rPr>
        <w:t>Phil Mahoney,</w:t>
      </w:r>
      <w:r>
        <w:rPr>
          <w:rFonts w:asciiTheme="minorHAnsi" w:hAnsiTheme="minorHAnsi" w:cstheme="minorBidi"/>
          <w:sz w:val="22"/>
          <w:szCs w:val="22"/>
          <w:lang w:val="en-GB" w:bidi="ar-SA"/>
        </w:rPr>
        <w:t xml:space="preserve"> Dr</w:t>
      </w:r>
      <w:r w:rsidRPr="00884A89">
        <w:rPr>
          <w:rFonts w:asciiTheme="minorHAnsi" w:hAnsiTheme="minorHAnsi" w:cstheme="minorBidi"/>
          <w:sz w:val="22"/>
          <w:szCs w:val="22"/>
          <w:lang w:val="en-GB" w:bidi="ar-SA"/>
        </w:rPr>
        <w:t xml:space="preserve"> </w:t>
      </w:r>
      <w:r>
        <w:rPr>
          <w:rFonts w:asciiTheme="minorHAnsi" w:hAnsiTheme="minorHAnsi" w:cstheme="minorBidi"/>
          <w:sz w:val="22"/>
          <w:szCs w:val="22"/>
          <w:lang w:val="en-GB" w:bidi="ar-SA"/>
        </w:rPr>
        <w:t xml:space="preserve">Nan </w:t>
      </w:r>
      <w:r w:rsidRPr="008C71F2">
        <w:rPr>
          <w:rFonts w:asciiTheme="minorHAnsi" w:hAnsiTheme="minorHAnsi" w:cstheme="minorBidi"/>
          <w:noProof/>
          <w:sz w:val="22"/>
          <w:szCs w:val="22"/>
          <w:lang w:val="en-GB" w:bidi="ar-SA"/>
        </w:rPr>
        <w:t>haotian</w:t>
      </w:r>
      <w:r w:rsidRPr="00884A89">
        <w:rPr>
          <w:rFonts w:asciiTheme="minorHAnsi" w:hAnsiTheme="minorHAnsi" w:cstheme="minorBidi"/>
          <w:sz w:val="22"/>
          <w:szCs w:val="22"/>
          <w:lang w:val="en-GB" w:bidi="ar-SA"/>
        </w:rPr>
        <w:t>,</w:t>
      </w:r>
      <w:r>
        <w:rPr>
          <w:rFonts w:asciiTheme="minorHAnsi" w:hAnsiTheme="minorHAnsi" w:cstheme="minorBidi"/>
          <w:sz w:val="22"/>
          <w:szCs w:val="22"/>
          <w:lang w:val="en-GB" w:bidi="ar-SA"/>
        </w:rPr>
        <w:t xml:space="preserve"> Dr Xu Yidong, Dr Jacob Corteen, Dr </w:t>
      </w:r>
      <w:r w:rsidRPr="00437817">
        <w:rPr>
          <w:rFonts w:asciiTheme="minorHAnsi" w:hAnsiTheme="minorHAnsi" w:cstheme="minorBidi"/>
          <w:sz w:val="22"/>
          <w:szCs w:val="22"/>
          <w:lang w:val="en-GB" w:bidi="ar-SA"/>
        </w:rPr>
        <w:t>Everth Hernández-Nava</w:t>
      </w:r>
      <w:r>
        <w:rPr>
          <w:rFonts w:asciiTheme="minorHAnsi" w:hAnsiTheme="minorHAnsi" w:cstheme="minorBidi"/>
          <w:sz w:val="22"/>
          <w:szCs w:val="22"/>
          <w:lang w:val="en-GB" w:bidi="ar-SA"/>
        </w:rPr>
        <w:t>. Thanks</w:t>
      </w:r>
      <w:r w:rsidRPr="00884A89">
        <w:rPr>
          <w:rFonts w:asciiTheme="minorHAnsi" w:hAnsiTheme="minorHAnsi" w:cstheme="minorBidi"/>
          <w:sz w:val="22"/>
          <w:szCs w:val="22"/>
          <w:lang w:val="en-GB" w:bidi="ar-SA"/>
        </w:rPr>
        <w:t xml:space="preserve"> for </w:t>
      </w:r>
      <w:r>
        <w:rPr>
          <w:rFonts w:asciiTheme="minorHAnsi" w:hAnsiTheme="minorHAnsi" w:cstheme="minorBidi"/>
          <w:sz w:val="22"/>
          <w:szCs w:val="22"/>
          <w:lang w:val="en-GB" w:bidi="ar-SA"/>
        </w:rPr>
        <w:t>thefruitful discussions which made the tedious melting and TEM sessions shine.</w:t>
      </w:r>
      <w:r w:rsidRPr="00884A89">
        <w:rPr>
          <w:rFonts w:asciiTheme="minorHAnsi" w:hAnsiTheme="minorHAnsi" w:cstheme="minorBidi"/>
          <w:sz w:val="22"/>
          <w:szCs w:val="22"/>
          <w:lang w:val="en-GB" w:bidi="ar-SA"/>
        </w:rPr>
        <w:t xml:space="preserve"> </w:t>
      </w:r>
      <w:r>
        <w:rPr>
          <w:rFonts w:asciiTheme="minorHAnsi" w:hAnsiTheme="minorHAnsi" w:cstheme="minorBidi"/>
          <w:sz w:val="22"/>
          <w:szCs w:val="22"/>
          <w:lang w:val="en-GB" w:bidi="ar-SA"/>
        </w:rPr>
        <w:t xml:space="preserve">The timely </w:t>
      </w:r>
      <w:r w:rsidRPr="008C71F2">
        <w:rPr>
          <w:rFonts w:asciiTheme="minorHAnsi" w:hAnsiTheme="minorHAnsi" w:cstheme="minorBidi"/>
          <w:noProof/>
          <w:sz w:val="22"/>
          <w:szCs w:val="22"/>
          <w:lang w:val="en-GB" w:bidi="ar-SA"/>
        </w:rPr>
        <w:t>help</w:t>
      </w:r>
      <w:r w:rsidRPr="00884A89">
        <w:rPr>
          <w:rFonts w:asciiTheme="minorHAnsi" w:hAnsiTheme="minorHAnsi" w:cstheme="minorBidi"/>
          <w:sz w:val="22"/>
          <w:szCs w:val="22"/>
          <w:lang w:val="en-GB" w:bidi="ar-SA"/>
        </w:rPr>
        <w:t xml:space="preserve"> and general </w:t>
      </w:r>
      <w:r w:rsidRPr="008C71F2">
        <w:rPr>
          <w:rFonts w:asciiTheme="minorHAnsi" w:hAnsiTheme="minorHAnsi" w:cstheme="minorBidi"/>
          <w:noProof/>
          <w:sz w:val="22"/>
          <w:szCs w:val="22"/>
          <w:lang w:val="en-GB" w:bidi="ar-SA"/>
        </w:rPr>
        <w:t>advice</w:t>
      </w:r>
      <w:r>
        <w:rPr>
          <w:rFonts w:asciiTheme="minorHAnsi" w:hAnsiTheme="minorHAnsi" w:cstheme="minorBidi"/>
          <w:sz w:val="22"/>
          <w:szCs w:val="22"/>
          <w:lang w:val="en-GB" w:bidi="ar-SA"/>
        </w:rPr>
        <w:t xml:space="preserve"> from you made PhD life much simpler</w:t>
      </w:r>
      <w:r w:rsidRPr="00884A89">
        <w:rPr>
          <w:rFonts w:asciiTheme="minorHAnsi" w:hAnsiTheme="minorHAnsi" w:cstheme="minorBidi"/>
          <w:sz w:val="22"/>
          <w:szCs w:val="22"/>
          <w:lang w:val="en-GB" w:bidi="ar-SA"/>
        </w:rPr>
        <w:t xml:space="preserve">. The </w:t>
      </w:r>
      <w:r>
        <w:rPr>
          <w:rFonts w:asciiTheme="minorHAnsi" w:hAnsiTheme="minorHAnsi" w:cstheme="minorBidi"/>
          <w:sz w:val="22"/>
          <w:szCs w:val="22"/>
          <w:lang w:val="en-GB" w:bidi="ar-SA"/>
        </w:rPr>
        <w:t xml:space="preserve">help from </w:t>
      </w:r>
      <w:r w:rsidRPr="00884A89">
        <w:rPr>
          <w:rFonts w:asciiTheme="minorHAnsi" w:hAnsiTheme="minorHAnsi" w:cstheme="minorBidi"/>
          <w:sz w:val="22"/>
          <w:szCs w:val="22"/>
          <w:lang w:val="en-GB" w:bidi="ar-SA"/>
        </w:rPr>
        <w:t xml:space="preserve">technical staff </w:t>
      </w:r>
      <w:r>
        <w:rPr>
          <w:rFonts w:asciiTheme="minorHAnsi" w:hAnsiTheme="minorHAnsi" w:cstheme="minorBidi"/>
          <w:sz w:val="22"/>
          <w:szCs w:val="22"/>
          <w:lang w:val="en-GB" w:bidi="ar-SA"/>
        </w:rPr>
        <w:t xml:space="preserve">in the </w:t>
      </w:r>
      <w:r w:rsidRPr="008C71F2">
        <w:rPr>
          <w:rFonts w:asciiTheme="minorHAnsi" w:hAnsiTheme="minorHAnsi" w:cstheme="minorBidi"/>
          <w:noProof/>
          <w:sz w:val="22"/>
          <w:szCs w:val="22"/>
          <w:lang w:val="en-GB" w:bidi="ar-SA"/>
        </w:rPr>
        <w:t>department</w:t>
      </w:r>
      <w:r>
        <w:rPr>
          <w:rFonts w:asciiTheme="minorHAnsi" w:hAnsiTheme="minorHAnsi" w:cstheme="minorBidi"/>
          <w:sz w:val="22"/>
          <w:szCs w:val="22"/>
          <w:lang w:val="en-GB" w:bidi="ar-SA"/>
        </w:rPr>
        <w:t xml:space="preserve"> and Sorby centre</w:t>
      </w:r>
      <w:r w:rsidRPr="00884A89">
        <w:rPr>
          <w:rFonts w:asciiTheme="minorHAnsi" w:hAnsiTheme="minorHAnsi" w:cstheme="minorBidi"/>
          <w:sz w:val="22"/>
          <w:szCs w:val="22"/>
          <w:lang w:val="en-GB" w:bidi="ar-SA"/>
        </w:rPr>
        <w:t xml:space="preserve"> </w:t>
      </w:r>
      <w:r>
        <w:rPr>
          <w:rFonts w:asciiTheme="minorHAnsi" w:hAnsiTheme="minorHAnsi" w:cstheme="minorBidi"/>
          <w:sz w:val="22"/>
          <w:szCs w:val="22"/>
          <w:lang w:val="en-GB" w:bidi="ar-SA"/>
        </w:rPr>
        <w:t>was also</w:t>
      </w:r>
      <w:r w:rsidRPr="00884A89">
        <w:rPr>
          <w:rFonts w:asciiTheme="minorHAnsi" w:hAnsiTheme="minorHAnsi" w:cstheme="minorBidi"/>
          <w:sz w:val="22"/>
          <w:szCs w:val="22"/>
          <w:lang w:val="en-GB" w:bidi="ar-SA"/>
        </w:rPr>
        <w:t xml:space="preserve"> </w:t>
      </w:r>
      <w:r>
        <w:rPr>
          <w:rFonts w:asciiTheme="minorHAnsi" w:hAnsiTheme="minorHAnsi" w:cstheme="minorBidi"/>
          <w:sz w:val="22"/>
          <w:szCs w:val="22"/>
          <w:lang w:val="en-GB" w:bidi="ar-SA"/>
        </w:rPr>
        <w:t>excellent</w:t>
      </w:r>
      <w:r w:rsidRPr="00884A89">
        <w:rPr>
          <w:rFonts w:asciiTheme="minorHAnsi" w:hAnsiTheme="minorHAnsi" w:cstheme="minorBidi"/>
          <w:sz w:val="22"/>
          <w:szCs w:val="22"/>
          <w:lang w:val="en-GB" w:bidi="ar-SA"/>
        </w:rPr>
        <w:t xml:space="preserve"> and </w:t>
      </w:r>
      <w:r>
        <w:rPr>
          <w:rFonts w:asciiTheme="minorHAnsi" w:hAnsiTheme="minorHAnsi" w:cstheme="minorBidi"/>
          <w:sz w:val="22"/>
          <w:szCs w:val="22"/>
          <w:lang w:val="en-GB" w:bidi="ar-SA"/>
        </w:rPr>
        <w:t>invaluable</w:t>
      </w:r>
      <w:r w:rsidRPr="00884A89">
        <w:rPr>
          <w:rFonts w:asciiTheme="minorHAnsi" w:hAnsiTheme="minorHAnsi" w:cstheme="minorBidi"/>
          <w:sz w:val="22"/>
          <w:szCs w:val="22"/>
          <w:lang w:val="en-GB" w:bidi="ar-SA"/>
        </w:rPr>
        <w:t xml:space="preserve">, </w:t>
      </w:r>
      <w:r>
        <w:rPr>
          <w:rFonts w:asciiTheme="minorHAnsi" w:hAnsiTheme="minorHAnsi" w:cstheme="minorBidi"/>
          <w:sz w:val="22"/>
          <w:szCs w:val="22"/>
          <w:lang w:val="en-GB" w:bidi="ar-SA"/>
        </w:rPr>
        <w:t>which aided the success of these experiments</w:t>
      </w:r>
      <w:r w:rsidRPr="00884A89">
        <w:rPr>
          <w:rFonts w:asciiTheme="minorHAnsi" w:hAnsiTheme="minorHAnsi" w:cstheme="minorBidi"/>
          <w:sz w:val="22"/>
          <w:szCs w:val="22"/>
          <w:lang w:val="en-GB" w:bidi="ar-SA"/>
        </w:rPr>
        <w:t>.</w:t>
      </w:r>
      <w:r w:rsidRPr="00651864">
        <w:t xml:space="preserve"> </w:t>
      </w:r>
      <w:r>
        <w:rPr>
          <w:rFonts w:asciiTheme="minorHAnsi" w:hAnsiTheme="minorHAnsi" w:cstheme="minorBidi"/>
          <w:sz w:val="22"/>
          <w:szCs w:val="22"/>
          <w:lang w:val="en-GB" w:bidi="ar-SA"/>
        </w:rPr>
        <w:t>I would like to express</w:t>
      </w:r>
      <w:r w:rsidRPr="00651864">
        <w:rPr>
          <w:rFonts w:asciiTheme="minorHAnsi" w:hAnsiTheme="minorHAnsi" w:cstheme="minorBidi"/>
          <w:sz w:val="22"/>
          <w:szCs w:val="22"/>
          <w:lang w:val="en-GB" w:bidi="ar-SA"/>
        </w:rPr>
        <w:t xml:space="preserve"> my sincere </w:t>
      </w:r>
      <w:r>
        <w:rPr>
          <w:rFonts w:asciiTheme="minorHAnsi" w:hAnsiTheme="minorHAnsi" w:cstheme="minorBidi"/>
          <w:sz w:val="22"/>
          <w:szCs w:val="22"/>
          <w:lang w:val="en-GB" w:bidi="ar-SA"/>
        </w:rPr>
        <w:t>thanks</w:t>
      </w:r>
      <w:r w:rsidRPr="00651864">
        <w:rPr>
          <w:rFonts w:asciiTheme="minorHAnsi" w:hAnsiTheme="minorHAnsi" w:cstheme="minorBidi"/>
          <w:sz w:val="22"/>
          <w:szCs w:val="22"/>
          <w:lang w:val="en-GB" w:bidi="ar-SA"/>
        </w:rPr>
        <w:t xml:space="preserve"> </w:t>
      </w:r>
      <w:r>
        <w:rPr>
          <w:rFonts w:asciiTheme="minorHAnsi" w:hAnsiTheme="minorHAnsi" w:cstheme="minorBidi"/>
          <w:sz w:val="22"/>
          <w:szCs w:val="22"/>
          <w:lang w:val="en-GB" w:bidi="ar-SA"/>
        </w:rPr>
        <w:t>to</w:t>
      </w:r>
      <w:r w:rsidRPr="00651864">
        <w:rPr>
          <w:rFonts w:asciiTheme="minorHAnsi" w:hAnsiTheme="minorHAnsi" w:cstheme="minorBidi"/>
          <w:sz w:val="22"/>
          <w:szCs w:val="22"/>
          <w:lang w:val="en-GB" w:bidi="ar-SA"/>
        </w:rPr>
        <w:t xml:space="preserve"> </w:t>
      </w:r>
      <w:r>
        <w:rPr>
          <w:rFonts w:asciiTheme="minorHAnsi" w:hAnsiTheme="minorHAnsi" w:cstheme="minorBidi"/>
          <w:sz w:val="22"/>
          <w:szCs w:val="22"/>
          <w:lang w:val="en-GB" w:bidi="ar-SA"/>
        </w:rPr>
        <w:t xml:space="preserve">Neil Hind and </w:t>
      </w:r>
      <w:r w:rsidRPr="00651864">
        <w:rPr>
          <w:rFonts w:asciiTheme="minorHAnsi" w:hAnsiTheme="minorHAnsi" w:cstheme="minorBidi"/>
          <w:sz w:val="22"/>
          <w:szCs w:val="22"/>
          <w:lang w:val="en-GB" w:bidi="ar-SA"/>
        </w:rPr>
        <w:t>Dean, for their timely help in</w:t>
      </w:r>
      <w:r>
        <w:rPr>
          <w:rFonts w:asciiTheme="minorHAnsi" w:hAnsiTheme="minorHAnsi" w:cstheme="minorBidi"/>
          <w:sz w:val="22"/>
          <w:szCs w:val="22"/>
          <w:lang w:val="en-GB" w:bidi="ar-SA"/>
        </w:rPr>
        <w:t xml:space="preserve"> rolling, heat-treatment</w:t>
      </w:r>
      <w:r w:rsidRPr="00651864">
        <w:rPr>
          <w:rFonts w:asciiTheme="minorHAnsi" w:hAnsiTheme="minorHAnsi" w:cstheme="minorBidi"/>
          <w:sz w:val="22"/>
          <w:szCs w:val="22"/>
          <w:lang w:val="en-GB" w:bidi="ar-SA"/>
        </w:rPr>
        <w:t xml:space="preserve"> and </w:t>
      </w:r>
      <w:r>
        <w:rPr>
          <w:rFonts w:asciiTheme="minorHAnsi" w:hAnsiTheme="minorHAnsi" w:cstheme="minorBidi"/>
          <w:sz w:val="22"/>
          <w:szCs w:val="22"/>
          <w:lang w:val="en-GB" w:bidi="ar-SA"/>
        </w:rPr>
        <w:t>mechanical</w:t>
      </w:r>
      <w:r w:rsidRPr="00651864">
        <w:rPr>
          <w:rFonts w:asciiTheme="minorHAnsi" w:hAnsiTheme="minorHAnsi" w:cstheme="minorBidi"/>
          <w:sz w:val="22"/>
          <w:szCs w:val="22"/>
          <w:lang w:val="en-GB" w:bidi="ar-SA"/>
        </w:rPr>
        <w:t xml:space="preserve"> test</w:t>
      </w:r>
      <w:r>
        <w:rPr>
          <w:rFonts w:asciiTheme="minorHAnsi" w:hAnsiTheme="minorHAnsi" w:cstheme="minorBidi"/>
          <w:sz w:val="22"/>
          <w:szCs w:val="22"/>
          <w:lang w:val="en-GB" w:bidi="ar-SA"/>
        </w:rPr>
        <w:t>ing</w:t>
      </w:r>
      <w:r w:rsidRPr="00651864">
        <w:rPr>
          <w:rFonts w:asciiTheme="minorHAnsi" w:hAnsiTheme="minorHAnsi" w:cstheme="minorBidi"/>
          <w:sz w:val="22"/>
          <w:szCs w:val="22"/>
          <w:lang w:val="en-GB" w:bidi="ar-SA"/>
        </w:rPr>
        <w:t>.</w:t>
      </w:r>
      <w:r>
        <w:rPr>
          <w:rFonts w:asciiTheme="minorHAnsi" w:hAnsiTheme="minorHAnsi" w:cstheme="minorBidi"/>
          <w:sz w:val="22"/>
          <w:szCs w:val="22"/>
          <w:lang w:val="en-GB" w:bidi="ar-SA"/>
        </w:rPr>
        <w:t xml:space="preserve"> Without their help, I could not complete this thesis to time.</w:t>
      </w:r>
      <w:r w:rsidRPr="00651864">
        <w:rPr>
          <w:rFonts w:asciiTheme="minorHAnsi" w:hAnsiTheme="minorHAnsi" w:cstheme="minorBidi"/>
          <w:sz w:val="22"/>
          <w:szCs w:val="22"/>
          <w:lang w:val="en-GB" w:bidi="ar-SA"/>
        </w:rPr>
        <w:t xml:space="preserve"> I would also </w:t>
      </w:r>
      <w:r>
        <w:rPr>
          <w:rFonts w:asciiTheme="minorHAnsi" w:hAnsiTheme="minorHAnsi" w:cstheme="minorBidi"/>
          <w:sz w:val="22"/>
          <w:szCs w:val="22"/>
          <w:lang w:val="en-GB" w:bidi="ar-SA"/>
        </w:rPr>
        <w:t>like to</w:t>
      </w:r>
      <w:r w:rsidRPr="00651864">
        <w:rPr>
          <w:rFonts w:asciiTheme="minorHAnsi" w:hAnsiTheme="minorHAnsi" w:cstheme="minorBidi"/>
          <w:sz w:val="22"/>
          <w:szCs w:val="22"/>
          <w:lang w:val="en-GB" w:bidi="ar-SA"/>
        </w:rPr>
        <w:t xml:space="preserve"> express my </w:t>
      </w:r>
      <w:r>
        <w:rPr>
          <w:rFonts w:asciiTheme="minorHAnsi" w:hAnsiTheme="minorHAnsi" w:cstheme="minorBidi"/>
          <w:sz w:val="22"/>
          <w:szCs w:val="22"/>
          <w:lang w:val="en-GB" w:bidi="ar-SA"/>
        </w:rPr>
        <w:t>gratitude</w:t>
      </w:r>
      <w:r w:rsidRPr="00651864">
        <w:rPr>
          <w:rFonts w:asciiTheme="minorHAnsi" w:hAnsiTheme="minorHAnsi" w:cstheme="minorBidi"/>
          <w:sz w:val="22"/>
          <w:szCs w:val="22"/>
          <w:lang w:val="en-GB" w:bidi="ar-SA"/>
        </w:rPr>
        <w:t xml:space="preserve"> to</w:t>
      </w:r>
      <w:r w:rsidRPr="00246B80">
        <w:t xml:space="preserve"> </w:t>
      </w:r>
      <w:r w:rsidRPr="00246B80">
        <w:rPr>
          <w:rFonts w:asciiTheme="minorHAnsi" w:hAnsiTheme="minorHAnsi" w:cstheme="minorBidi"/>
          <w:sz w:val="22"/>
          <w:szCs w:val="22"/>
          <w:lang w:val="en-GB" w:bidi="ar-SA"/>
        </w:rPr>
        <w:t>Dr Peter Korgul</w:t>
      </w:r>
      <w:r>
        <w:rPr>
          <w:rFonts w:asciiTheme="minorHAnsi" w:hAnsiTheme="minorHAnsi" w:cstheme="minorBidi"/>
          <w:sz w:val="22"/>
          <w:szCs w:val="22"/>
          <w:lang w:val="en-GB" w:bidi="ar-SA"/>
        </w:rPr>
        <w:t>,</w:t>
      </w:r>
      <w:r w:rsidRPr="00651864">
        <w:rPr>
          <w:rFonts w:asciiTheme="minorHAnsi" w:hAnsiTheme="minorHAnsi" w:cstheme="minorBidi"/>
          <w:sz w:val="22"/>
          <w:szCs w:val="22"/>
          <w:lang w:val="en-GB" w:bidi="ar-SA"/>
        </w:rPr>
        <w:t xml:space="preserve"> Dr Peng Zeng, Dr Le Ma</w:t>
      </w:r>
      <w:r>
        <w:rPr>
          <w:rFonts w:asciiTheme="minorHAnsi" w:hAnsiTheme="minorHAnsi" w:cstheme="minorBidi"/>
          <w:sz w:val="22"/>
          <w:szCs w:val="22"/>
          <w:lang w:val="en-GB" w:bidi="ar-SA"/>
        </w:rPr>
        <w:t>, Dr</w:t>
      </w:r>
      <w:r w:rsidRPr="00640756">
        <w:t xml:space="preserve"> </w:t>
      </w:r>
      <w:r w:rsidRPr="00640756">
        <w:rPr>
          <w:rFonts w:asciiTheme="minorHAnsi" w:hAnsiTheme="minorHAnsi" w:cstheme="minorBidi"/>
          <w:sz w:val="22"/>
          <w:szCs w:val="22"/>
          <w:lang w:val="en-GB" w:bidi="ar-SA"/>
        </w:rPr>
        <w:t>Cheryl Shaw</w:t>
      </w:r>
      <w:r>
        <w:rPr>
          <w:rFonts w:asciiTheme="minorHAnsi" w:hAnsiTheme="minorHAnsi" w:cstheme="minorBidi"/>
          <w:sz w:val="22"/>
          <w:szCs w:val="22"/>
          <w:lang w:val="en-GB" w:bidi="ar-SA"/>
        </w:rPr>
        <w:t xml:space="preserve"> </w:t>
      </w:r>
      <w:r w:rsidRPr="00651864">
        <w:rPr>
          <w:rFonts w:asciiTheme="minorHAnsi" w:hAnsiTheme="minorHAnsi" w:cstheme="minorBidi"/>
          <w:sz w:val="22"/>
          <w:szCs w:val="22"/>
          <w:lang w:val="en-GB" w:bidi="ar-SA"/>
        </w:rPr>
        <w:t xml:space="preserve">and Dr </w:t>
      </w:r>
      <w:r>
        <w:rPr>
          <w:rFonts w:asciiTheme="minorHAnsi" w:hAnsiTheme="minorHAnsi" w:cstheme="minorBidi"/>
          <w:sz w:val="22"/>
          <w:szCs w:val="22"/>
          <w:lang w:val="en-GB" w:bidi="ar-SA"/>
        </w:rPr>
        <w:t>Ian Ross</w:t>
      </w:r>
      <w:r w:rsidRPr="00651864">
        <w:rPr>
          <w:rFonts w:asciiTheme="minorHAnsi" w:hAnsiTheme="minorHAnsi" w:cstheme="minorBidi"/>
          <w:sz w:val="22"/>
          <w:szCs w:val="22"/>
          <w:lang w:val="en-GB" w:bidi="ar-SA"/>
        </w:rPr>
        <w:t xml:space="preserve"> in </w:t>
      </w:r>
      <w:r>
        <w:rPr>
          <w:rFonts w:asciiTheme="minorHAnsi" w:hAnsiTheme="minorHAnsi" w:cstheme="minorBidi"/>
          <w:sz w:val="22"/>
          <w:szCs w:val="22"/>
          <w:lang w:val="en-GB" w:bidi="ar-SA"/>
        </w:rPr>
        <w:t xml:space="preserve">the </w:t>
      </w:r>
      <w:r w:rsidRPr="00651864">
        <w:rPr>
          <w:rFonts w:asciiTheme="minorHAnsi" w:hAnsiTheme="minorHAnsi" w:cstheme="minorBidi"/>
          <w:sz w:val="22"/>
          <w:szCs w:val="22"/>
          <w:lang w:val="en-GB" w:bidi="ar-SA"/>
        </w:rPr>
        <w:t xml:space="preserve">Sorby </w:t>
      </w:r>
      <w:r>
        <w:rPr>
          <w:rFonts w:asciiTheme="minorHAnsi" w:hAnsiTheme="minorHAnsi" w:cstheme="minorBidi"/>
          <w:sz w:val="22"/>
          <w:szCs w:val="22"/>
          <w:lang w:val="en-GB" w:bidi="ar-SA"/>
        </w:rPr>
        <w:t>c</w:t>
      </w:r>
      <w:r w:rsidRPr="00651864">
        <w:rPr>
          <w:rFonts w:asciiTheme="minorHAnsi" w:hAnsiTheme="minorHAnsi" w:cstheme="minorBidi"/>
          <w:sz w:val="22"/>
          <w:szCs w:val="22"/>
          <w:lang w:val="en-GB" w:bidi="ar-SA"/>
        </w:rPr>
        <w:t>entre for their training</w:t>
      </w:r>
      <w:r>
        <w:rPr>
          <w:rFonts w:asciiTheme="minorHAnsi" w:hAnsiTheme="minorHAnsi" w:cstheme="minorBidi"/>
          <w:sz w:val="22"/>
          <w:szCs w:val="22"/>
          <w:lang w:val="en-GB" w:bidi="ar-SA"/>
        </w:rPr>
        <w:t xml:space="preserve"> of various ‘expensive’ equipment, fruitful discussion</w:t>
      </w:r>
      <w:r w:rsidRPr="00651864">
        <w:rPr>
          <w:rFonts w:asciiTheme="minorHAnsi" w:hAnsiTheme="minorHAnsi" w:cstheme="minorBidi"/>
          <w:sz w:val="22"/>
          <w:szCs w:val="22"/>
          <w:lang w:val="en-GB" w:bidi="ar-SA"/>
        </w:rPr>
        <w:t xml:space="preserve"> and timely help when </w:t>
      </w:r>
      <w:r>
        <w:rPr>
          <w:rFonts w:asciiTheme="minorHAnsi" w:hAnsiTheme="minorHAnsi" w:cstheme="minorBidi"/>
          <w:sz w:val="22"/>
          <w:szCs w:val="22"/>
          <w:lang w:val="en-GB" w:bidi="ar-SA"/>
        </w:rPr>
        <w:t>needed</w:t>
      </w:r>
      <w:r w:rsidRPr="00651864">
        <w:rPr>
          <w:rFonts w:asciiTheme="minorHAnsi" w:hAnsiTheme="minorHAnsi" w:cstheme="minorBidi"/>
          <w:sz w:val="22"/>
          <w:szCs w:val="22"/>
          <w:lang w:val="en-GB" w:bidi="ar-SA"/>
        </w:rPr>
        <w:t xml:space="preserve">.  </w:t>
      </w:r>
    </w:p>
    <w:p w14:paraId="4E0014AE" w14:textId="77777777" w:rsidR="00DD65C8" w:rsidRDefault="00DD65C8" w:rsidP="00DD65C8">
      <w:pPr>
        <w:pStyle w:val="Normal1"/>
        <w:suppressAutoHyphens w:val="0"/>
        <w:spacing w:after="200" w:line="360" w:lineRule="auto"/>
        <w:jc w:val="both"/>
        <w:rPr>
          <w:rFonts w:asciiTheme="minorHAnsi" w:hAnsiTheme="minorHAnsi" w:cstheme="minorBidi"/>
          <w:sz w:val="22"/>
          <w:szCs w:val="22"/>
          <w:lang w:val="en-GB" w:bidi="ar-SA"/>
        </w:rPr>
      </w:pPr>
      <w:r>
        <w:rPr>
          <w:rFonts w:asciiTheme="minorHAnsi" w:hAnsiTheme="minorHAnsi" w:cstheme="minorBidi"/>
          <w:sz w:val="22"/>
          <w:szCs w:val="22"/>
          <w:lang w:val="en-GB" w:bidi="ar-SA"/>
        </w:rPr>
        <w:t xml:space="preserve">Finally, I would like to dedicate this thesis to my family, who </w:t>
      </w:r>
      <w:r w:rsidRPr="008C71F2">
        <w:rPr>
          <w:rFonts w:asciiTheme="minorHAnsi" w:hAnsiTheme="minorHAnsi" w:cstheme="minorBidi"/>
          <w:noProof/>
          <w:sz w:val="22"/>
          <w:szCs w:val="22"/>
          <w:lang w:val="en-GB" w:bidi="ar-SA"/>
        </w:rPr>
        <w:t>ha</w:t>
      </w:r>
      <w:r>
        <w:rPr>
          <w:rFonts w:asciiTheme="minorHAnsi" w:hAnsiTheme="minorHAnsi" w:cstheme="minorBidi"/>
          <w:noProof/>
          <w:sz w:val="22"/>
          <w:szCs w:val="22"/>
          <w:lang w:val="en-GB" w:bidi="ar-SA"/>
        </w:rPr>
        <w:t>ve</w:t>
      </w:r>
      <w:r>
        <w:rPr>
          <w:rFonts w:asciiTheme="minorHAnsi" w:hAnsiTheme="minorHAnsi" w:cstheme="minorBidi"/>
          <w:sz w:val="22"/>
          <w:szCs w:val="22"/>
          <w:lang w:val="en-GB" w:bidi="ar-SA"/>
        </w:rPr>
        <w:t xml:space="preserve"> provided </w:t>
      </w:r>
      <w:r w:rsidRPr="008C71F2">
        <w:rPr>
          <w:rFonts w:asciiTheme="minorHAnsi" w:hAnsiTheme="minorHAnsi" w:cstheme="minorBidi"/>
          <w:noProof/>
          <w:sz w:val="22"/>
          <w:szCs w:val="22"/>
          <w:lang w:val="en-GB" w:bidi="ar-SA"/>
        </w:rPr>
        <w:t>me</w:t>
      </w:r>
      <w:r>
        <w:rPr>
          <w:rFonts w:asciiTheme="minorHAnsi" w:hAnsiTheme="minorHAnsi" w:cstheme="minorBidi"/>
          <w:noProof/>
          <w:sz w:val="22"/>
          <w:szCs w:val="22"/>
          <w:lang w:val="en-GB" w:bidi="ar-SA"/>
        </w:rPr>
        <w:t xml:space="preserve"> with</w:t>
      </w:r>
      <w:r>
        <w:rPr>
          <w:rFonts w:asciiTheme="minorHAnsi" w:hAnsiTheme="minorHAnsi" w:cstheme="minorBidi"/>
          <w:sz w:val="22"/>
          <w:szCs w:val="22"/>
          <w:lang w:val="en-GB" w:bidi="ar-SA"/>
        </w:rPr>
        <w:t xml:space="preserve"> a solid basis to pursue this </w:t>
      </w:r>
      <w:r w:rsidRPr="00246B80">
        <w:rPr>
          <w:rFonts w:asciiTheme="minorHAnsi" w:hAnsiTheme="minorHAnsi" w:cstheme="minorBidi"/>
          <w:sz w:val="22"/>
          <w:szCs w:val="22"/>
          <w:lang w:val="en-GB" w:bidi="ar-SA"/>
        </w:rPr>
        <w:t>doctoral degree</w:t>
      </w:r>
      <w:r>
        <w:rPr>
          <w:rFonts w:asciiTheme="minorHAnsi" w:hAnsiTheme="minorHAnsi" w:cstheme="minorBidi"/>
          <w:sz w:val="22"/>
          <w:szCs w:val="22"/>
          <w:lang w:val="en-GB" w:bidi="ar-SA"/>
        </w:rPr>
        <w:t xml:space="preserve">. Without their love, patience and </w:t>
      </w:r>
      <w:r w:rsidRPr="00246B80">
        <w:rPr>
          <w:rFonts w:asciiTheme="minorHAnsi" w:hAnsiTheme="minorHAnsi" w:cstheme="minorBidi"/>
          <w:sz w:val="22"/>
          <w:szCs w:val="22"/>
          <w:lang w:val="en-GB" w:bidi="ar-SA"/>
        </w:rPr>
        <w:t>tolerance</w:t>
      </w:r>
      <w:r>
        <w:rPr>
          <w:rFonts w:asciiTheme="minorHAnsi" w:hAnsiTheme="minorHAnsi" w:cstheme="minorBidi"/>
          <w:sz w:val="22"/>
          <w:szCs w:val="22"/>
          <w:lang w:val="en-GB" w:bidi="ar-SA"/>
        </w:rPr>
        <w:t xml:space="preserve">, I could not finish this work. Their love fuelled me and </w:t>
      </w:r>
      <w:r>
        <w:rPr>
          <w:rFonts w:asciiTheme="minorHAnsi" w:hAnsiTheme="minorHAnsi" w:cstheme="minorBidi"/>
          <w:noProof/>
          <w:sz w:val="22"/>
          <w:szCs w:val="22"/>
          <w:lang w:val="en-GB" w:bidi="ar-SA"/>
        </w:rPr>
        <w:t>become</w:t>
      </w:r>
      <w:r>
        <w:rPr>
          <w:rFonts w:asciiTheme="minorHAnsi" w:hAnsiTheme="minorHAnsi" w:cstheme="minorBidi"/>
          <w:sz w:val="22"/>
          <w:szCs w:val="22"/>
          <w:lang w:val="en-GB" w:bidi="ar-SA"/>
        </w:rPr>
        <w:t xml:space="preserve"> the axiom of all formula. </w:t>
      </w:r>
    </w:p>
    <w:p w14:paraId="6B114982" w14:textId="1A780E8B" w:rsidR="00DD756B" w:rsidRDefault="00DD756B" w:rsidP="00DD756B">
      <w:pPr>
        <w:pStyle w:val="Normal1"/>
        <w:rPr>
          <w:rFonts w:hint="eastAsia"/>
          <w:lang w:val="en-GB"/>
        </w:rPr>
      </w:pPr>
    </w:p>
    <w:p w14:paraId="0FE2015F" w14:textId="77777777" w:rsidR="00DD65C8" w:rsidRPr="00DD65C8" w:rsidRDefault="00DD65C8" w:rsidP="00DD756B">
      <w:pPr>
        <w:pStyle w:val="Normal1"/>
        <w:rPr>
          <w:rFonts w:hint="eastAsia"/>
          <w:lang w:val="en-GB"/>
        </w:rPr>
      </w:pPr>
    </w:p>
    <w:p w14:paraId="113E0288" w14:textId="77777777" w:rsidR="00DD756B" w:rsidRDefault="00DD756B" w:rsidP="00DD756B">
      <w:pPr>
        <w:pStyle w:val="Normal1"/>
        <w:rPr>
          <w:rFonts w:hint="eastAsia"/>
        </w:rPr>
      </w:pPr>
    </w:p>
    <w:p w14:paraId="12F3CA17" w14:textId="3C3B94AF" w:rsidR="00DD756B" w:rsidRDefault="00DD756B" w:rsidP="00DD756B">
      <w:pPr>
        <w:pStyle w:val="Normal1"/>
        <w:rPr>
          <w:rFonts w:hint="eastAsia"/>
        </w:rPr>
      </w:pPr>
    </w:p>
    <w:p w14:paraId="54C3C68E" w14:textId="77777777" w:rsidR="00DD65C8" w:rsidRDefault="00DD65C8" w:rsidP="00DD756B">
      <w:pPr>
        <w:pStyle w:val="Normal1"/>
        <w:rPr>
          <w:rFonts w:hint="eastAsia"/>
        </w:rPr>
      </w:pPr>
    </w:p>
    <w:p w14:paraId="2D9C8E0D" w14:textId="77777777" w:rsidR="00DD756B" w:rsidRDefault="00DD756B" w:rsidP="00DD756B">
      <w:pPr>
        <w:pStyle w:val="Normal1"/>
        <w:rPr>
          <w:rFonts w:hint="eastAsia"/>
        </w:rPr>
      </w:pPr>
    </w:p>
    <w:p w14:paraId="6A025D51" w14:textId="77777777" w:rsidR="00DD756B" w:rsidRDefault="00DD756B" w:rsidP="00DD756B">
      <w:pPr>
        <w:pStyle w:val="Normal1"/>
        <w:rPr>
          <w:rFonts w:hint="eastAsia"/>
        </w:rPr>
      </w:pPr>
    </w:p>
    <w:p w14:paraId="6BF6B24D" w14:textId="77777777" w:rsidR="00DD756B" w:rsidRPr="001E3029" w:rsidRDefault="00DD756B" w:rsidP="00DD756B">
      <w:pPr>
        <w:pStyle w:val="1"/>
        <w:rPr>
          <w:rFonts w:asciiTheme="minorHAnsi" w:hAnsiTheme="minorHAnsi"/>
          <w:b/>
          <w:color w:val="000000" w:themeColor="text1"/>
        </w:rPr>
      </w:pPr>
      <w:bookmarkStart w:id="9" w:name="_Toc22052500"/>
      <w:r w:rsidRPr="001E3029">
        <w:rPr>
          <w:rFonts w:asciiTheme="minorHAnsi" w:hAnsiTheme="minorHAnsi"/>
          <w:b/>
          <w:color w:val="000000" w:themeColor="text1"/>
        </w:rPr>
        <w:lastRenderedPageBreak/>
        <w:t>Table of contents</w:t>
      </w:r>
      <w:bookmarkEnd w:id="9"/>
    </w:p>
    <w:sdt>
      <w:sdtPr>
        <w:rPr>
          <w:lang w:val="zh-CN"/>
        </w:rPr>
        <w:id w:val="-1877603265"/>
        <w:docPartObj>
          <w:docPartGallery w:val="Table of Contents"/>
          <w:docPartUnique/>
        </w:docPartObj>
      </w:sdtPr>
      <w:sdtEndPr>
        <w:rPr>
          <w:b/>
          <w:bCs/>
        </w:rPr>
      </w:sdtEndPr>
      <w:sdtContent>
        <w:p w14:paraId="722312C1" w14:textId="77777777" w:rsidR="00DD756B" w:rsidRPr="00D83DBA" w:rsidRDefault="00DD756B" w:rsidP="00DD756B">
          <w:pPr>
            <w:rPr>
              <w:rStyle w:val="af9"/>
              <w:rFonts w:asciiTheme="minorHAnsi" w:hAnsiTheme="minorHAnsi"/>
              <w:color w:val="000000" w:themeColor="text1"/>
            </w:rPr>
          </w:pPr>
        </w:p>
        <w:p w14:paraId="46B68DCC" w14:textId="19B6C426" w:rsidR="00701082" w:rsidRDefault="00DD756B">
          <w:pPr>
            <w:pStyle w:val="TOC1"/>
            <w:tabs>
              <w:tab w:val="right" w:leader="dot" w:pos="9350"/>
            </w:tabs>
            <w:rPr>
              <w:noProof/>
            </w:rPr>
          </w:pPr>
          <w:r>
            <w:rPr>
              <w:b/>
              <w:bCs/>
              <w:lang w:val="zh-CN"/>
            </w:rPr>
            <w:fldChar w:fldCharType="begin"/>
          </w:r>
          <w:r>
            <w:rPr>
              <w:b/>
              <w:bCs/>
              <w:lang w:val="zh-CN"/>
            </w:rPr>
            <w:instrText xml:space="preserve"> TOC \o "1-3" \h \z \u </w:instrText>
          </w:r>
          <w:r>
            <w:rPr>
              <w:b/>
              <w:bCs/>
              <w:lang w:val="zh-CN"/>
            </w:rPr>
            <w:fldChar w:fldCharType="separate"/>
          </w:r>
          <w:hyperlink w:anchor="_Toc22052498" w:history="1">
            <w:r w:rsidR="00701082" w:rsidRPr="00F87648">
              <w:rPr>
                <w:rStyle w:val="af5"/>
                <w:b/>
                <w:noProof/>
              </w:rPr>
              <w:t>Abstract</w:t>
            </w:r>
            <w:r w:rsidR="00701082">
              <w:rPr>
                <w:noProof/>
                <w:webHidden/>
              </w:rPr>
              <w:tab/>
            </w:r>
            <w:r w:rsidR="00701082">
              <w:rPr>
                <w:noProof/>
                <w:webHidden/>
              </w:rPr>
              <w:fldChar w:fldCharType="begin"/>
            </w:r>
            <w:r w:rsidR="00701082">
              <w:rPr>
                <w:noProof/>
                <w:webHidden/>
              </w:rPr>
              <w:instrText xml:space="preserve"> PAGEREF _Toc22052498 \h </w:instrText>
            </w:r>
            <w:r w:rsidR="00701082">
              <w:rPr>
                <w:noProof/>
                <w:webHidden/>
              </w:rPr>
            </w:r>
            <w:r w:rsidR="00701082">
              <w:rPr>
                <w:noProof/>
                <w:webHidden/>
              </w:rPr>
              <w:fldChar w:fldCharType="separate"/>
            </w:r>
            <w:r w:rsidR="00701082">
              <w:rPr>
                <w:noProof/>
                <w:webHidden/>
              </w:rPr>
              <w:t>i</w:t>
            </w:r>
            <w:r w:rsidR="00701082">
              <w:rPr>
                <w:noProof/>
                <w:webHidden/>
              </w:rPr>
              <w:fldChar w:fldCharType="end"/>
            </w:r>
          </w:hyperlink>
        </w:p>
        <w:p w14:paraId="646A9583" w14:textId="503DC96F" w:rsidR="00701082" w:rsidRDefault="00077961">
          <w:pPr>
            <w:pStyle w:val="TOC1"/>
            <w:tabs>
              <w:tab w:val="right" w:leader="dot" w:pos="9350"/>
            </w:tabs>
            <w:rPr>
              <w:noProof/>
            </w:rPr>
          </w:pPr>
          <w:hyperlink w:anchor="_Toc22052499" w:history="1">
            <w:r w:rsidR="00701082" w:rsidRPr="00F87648">
              <w:rPr>
                <w:rStyle w:val="af5"/>
                <w:b/>
                <w:noProof/>
              </w:rPr>
              <w:t>Acknowledgement</w:t>
            </w:r>
            <w:r w:rsidR="00701082">
              <w:rPr>
                <w:noProof/>
                <w:webHidden/>
              </w:rPr>
              <w:tab/>
            </w:r>
            <w:r w:rsidR="00701082">
              <w:rPr>
                <w:noProof/>
                <w:webHidden/>
              </w:rPr>
              <w:fldChar w:fldCharType="begin"/>
            </w:r>
            <w:r w:rsidR="00701082">
              <w:rPr>
                <w:noProof/>
                <w:webHidden/>
              </w:rPr>
              <w:instrText xml:space="preserve"> PAGEREF _Toc22052499 \h </w:instrText>
            </w:r>
            <w:r w:rsidR="00701082">
              <w:rPr>
                <w:noProof/>
                <w:webHidden/>
              </w:rPr>
            </w:r>
            <w:r w:rsidR="00701082">
              <w:rPr>
                <w:noProof/>
                <w:webHidden/>
              </w:rPr>
              <w:fldChar w:fldCharType="separate"/>
            </w:r>
            <w:r w:rsidR="00701082">
              <w:rPr>
                <w:noProof/>
                <w:webHidden/>
              </w:rPr>
              <w:t>iii</w:t>
            </w:r>
            <w:r w:rsidR="00701082">
              <w:rPr>
                <w:noProof/>
                <w:webHidden/>
              </w:rPr>
              <w:fldChar w:fldCharType="end"/>
            </w:r>
          </w:hyperlink>
        </w:p>
        <w:p w14:paraId="67F6AA97" w14:textId="029B5447" w:rsidR="00701082" w:rsidRDefault="00077961">
          <w:pPr>
            <w:pStyle w:val="TOC1"/>
            <w:tabs>
              <w:tab w:val="right" w:leader="dot" w:pos="9350"/>
            </w:tabs>
            <w:rPr>
              <w:noProof/>
            </w:rPr>
          </w:pPr>
          <w:hyperlink w:anchor="_Toc22052500" w:history="1">
            <w:r w:rsidR="00701082" w:rsidRPr="00F87648">
              <w:rPr>
                <w:rStyle w:val="af5"/>
                <w:b/>
                <w:noProof/>
              </w:rPr>
              <w:t>Table of contents</w:t>
            </w:r>
            <w:r w:rsidR="00701082">
              <w:rPr>
                <w:noProof/>
                <w:webHidden/>
              </w:rPr>
              <w:tab/>
            </w:r>
            <w:r w:rsidR="00701082">
              <w:rPr>
                <w:noProof/>
                <w:webHidden/>
              </w:rPr>
              <w:fldChar w:fldCharType="begin"/>
            </w:r>
            <w:r w:rsidR="00701082">
              <w:rPr>
                <w:noProof/>
                <w:webHidden/>
              </w:rPr>
              <w:instrText xml:space="preserve"> PAGEREF _Toc22052500 \h </w:instrText>
            </w:r>
            <w:r w:rsidR="00701082">
              <w:rPr>
                <w:noProof/>
                <w:webHidden/>
              </w:rPr>
            </w:r>
            <w:r w:rsidR="00701082">
              <w:rPr>
                <w:noProof/>
                <w:webHidden/>
              </w:rPr>
              <w:fldChar w:fldCharType="separate"/>
            </w:r>
            <w:r w:rsidR="00701082">
              <w:rPr>
                <w:noProof/>
                <w:webHidden/>
              </w:rPr>
              <w:t>iv</w:t>
            </w:r>
            <w:r w:rsidR="00701082">
              <w:rPr>
                <w:noProof/>
                <w:webHidden/>
              </w:rPr>
              <w:fldChar w:fldCharType="end"/>
            </w:r>
          </w:hyperlink>
        </w:p>
        <w:p w14:paraId="7CFB4130" w14:textId="23254F47" w:rsidR="00701082" w:rsidRDefault="00077961">
          <w:pPr>
            <w:pStyle w:val="TOC1"/>
            <w:tabs>
              <w:tab w:val="right" w:leader="dot" w:pos="9350"/>
            </w:tabs>
            <w:rPr>
              <w:noProof/>
            </w:rPr>
          </w:pPr>
          <w:hyperlink w:anchor="_Toc22052501" w:history="1">
            <w:r w:rsidR="00701082" w:rsidRPr="00F87648">
              <w:rPr>
                <w:rStyle w:val="af5"/>
                <w:b/>
                <w:noProof/>
              </w:rPr>
              <w:t>List of Figures</w:t>
            </w:r>
            <w:r w:rsidR="00701082">
              <w:rPr>
                <w:noProof/>
                <w:webHidden/>
              </w:rPr>
              <w:tab/>
            </w:r>
            <w:r w:rsidR="00701082">
              <w:rPr>
                <w:noProof/>
                <w:webHidden/>
              </w:rPr>
              <w:fldChar w:fldCharType="begin"/>
            </w:r>
            <w:r w:rsidR="00701082">
              <w:rPr>
                <w:noProof/>
                <w:webHidden/>
              </w:rPr>
              <w:instrText xml:space="preserve"> PAGEREF _Toc22052501 \h </w:instrText>
            </w:r>
            <w:r w:rsidR="00701082">
              <w:rPr>
                <w:noProof/>
                <w:webHidden/>
              </w:rPr>
            </w:r>
            <w:r w:rsidR="00701082">
              <w:rPr>
                <w:noProof/>
                <w:webHidden/>
              </w:rPr>
              <w:fldChar w:fldCharType="separate"/>
            </w:r>
            <w:r w:rsidR="00701082">
              <w:rPr>
                <w:noProof/>
                <w:webHidden/>
              </w:rPr>
              <w:t>vii</w:t>
            </w:r>
            <w:r w:rsidR="00701082">
              <w:rPr>
                <w:noProof/>
                <w:webHidden/>
              </w:rPr>
              <w:fldChar w:fldCharType="end"/>
            </w:r>
          </w:hyperlink>
        </w:p>
        <w:p w14:paraId="4E00C293" w14:textId="6857689D" w:rsidR="00701082" w:rsidRDefault="00077961">
          <w:pPr>
            <w:pStyle w:val="TOC1"/>
            <w:tabs>
              <w:tab w:val="right" w:leader="dot" w:pos="9350"/>
            </w:tabs>
            <w:rPr>
              <w:noProof/>
            </w:rPr>
          </w:pPr>
          <w:hyperlink w:anchor="_Toc22052502" w:history="1">
            <w:r w:rsidR="00701082" w:rsidRPr="00F87648">
              <w:rPr>
                <w:rStyle w:val="af5"/>
                <w:b/>
                <w:noProof/>
              </w:rPr>
              <w:t>List of Tables</w:t>
            </w:r>
            <w:r w:rsidR="00701082">
              <w:rPr>
                <w:noProof/>
                <w:webHidden/>
              </w:rPr>
              <w:tab/>
            </w:r>
            <w:r w:rsidR="00701082">
              <w:rPr>
                <w:noProof/>
                <w:webHidden/>
              </w:rPr>
              <w:fldChar w:fldCharType="begin"/>
            </w:r>
            <w:r w:rsidR="00701082">
              <w:rPr>
                <w:noProof/>
                <w:webHidden/>
              </w:rPr>
              <w:instrText xml:space="preserve"> PAGEREF _Toc22052502 \h </w:instrText>
            </w:r>
            <w:r w:rsidR="00701082">
              <w:rPr>
                <w:noProof/>
                <w:webHidden/>
              </w:rPr>
            </w:r>
            <w:r w:rsidR="00701082">
              <w:rPr>
                <w:noProof/>
                <w:webHidden/>
              </w:rPr>
              <w:fldChar w:fldCharType="separate"/>
            </w:r>
            <w:r w:rsidR="00701082">
              <w:rPr>
                <w:noProof/>
                <w:webHidden/>
              </w:rPr>
              <w:t>xix</w:t>
            </w:r>
            <w:r w:rsidR="00701082">
              <w:rPr>
                <w:noProof/>
                <w:webHidden/>
              </w:rPr>
              <w:fldChar w:fldCharType="end"/>
            </w:r>
          </w:hyperlink>
        </w:p>
        <w:p w14:paraId="0E35703A" w14:textId="3ACDAEED" w:rsidR="00701082" w:rsidRDefault="00077961">
          <w:pPr>
            <w:pStyle w:val="TOC1"/>
            <w:tabs>
              <w:tab w:val="right" w:leader="dot" w:pos="9350"/>
            </w:tabs>
            <w:rPr>
              <w:noProof/>
            </w:rPr>
          </w:pPr>
          <w:hyperlink w:anchor="_Toc22052503" w:history="1">
            <w:r w:rsidR="00701082" w:rsidRPr="00F87648">
              <w:rPr>
                <w:rStyle w:val="af5"/>
                <w:b/>
                <w:noProof/>
              </w:rPr>
              <w:t>Chapter 1 Introduction</w:t>
            </w:r>
            <w:r w:rsidR="00701082">
              <w:rPr>
                <w:noProof/>
                <w:webHidden/>
              </w:rPr>
              <w:tab/>
            </w:r>
            <w:r w:rsidR="00701082">
              <w:rPr>
                <w:noProof/>
                <w:webHidden/>
              </w:rPr>
              <w:fldChar w:fldCharType="begin"/>
            </w:r>
            <w:r w:rsidR="00701082">
              <w:rPr>
                <w:noProof/>
                <w:webHidden/>
              </w:rPr>
              <w:instrText xml:space="preserve"> PAGEREF _Toc22052503 \h </w:instrText>
            </w:r>
            <w:r w:rsidR="00701082">
              <w:rPr>
                <w:noProof/>
                <w:webHidden/>
              </w:rPr>
            </w:r>
            <w:r w:rsidR="00701082">
              <w:rPr>
                <w:noProof/>
                <w:webHidden/>
              </w:rPr>
              <w:fldChar w:fldCharType="separate"/>
            </w:r>
            <w:r w:rsidR="00701082">
              <w:rPr>
                <w:noProof/>
                <w:webHidden/>
              </w:rPr>
              <w:t>1</w:t>
            </w:r>
            <w:r w:rsidR="00701082">
              <w:rPr>
                <w:noProof/>
                <w:webHidden/>
              </w:rPr>
              <w:fldChar w:fldCharType="end"/>
            </w:r>
          </w:hyperlink>
        </w:p>
        <w:p w14:paraId="331F06FC" w14:textId="2B3BD5C9" w:rsidR="00701082" w:rsidRDefault="00077961">
          <w:pPr>
            <w:pStyle w:val="TOC1"/>
            <w:tabs>
              <w:tab w:val="right" w:leader="dot" w:pos="9350"/>
            </w:tabs>
            <w:rPr>
              <w:noProof/>
            </w:rPr>
          </w:pPr>
          <w:hyperlink w:anchor="_Toc22052504" w:history="1">
            <w:r w:rsidR="00701082" w:rsidRPr="00F87648">
              <w:rPr>
                <w:rStyle w:val="af5"/>
                <w:b/>
                <w:noProof/>
              </w:rPr>
              <w:t>Chapter 2 Literature review</w:t>
            </w:r>
            <w:r w:rsidR="00701082">
              <w:rPr>
                <w:noProof/>
                <w:webHidden/>
              </w:rPr>
              <w:tab/>
            </w:r>
            <w:r w:rsidR="00701082">
              <w:rPr>
                <w:noProof/>
                <w:webHidden/>
              </w:rPr>
              <w:fldChar w:fldCharType="begin"/>
            </w:r>
            <w:r w:rsidR="00701082">
              <w:rPr>
                <w:noProof/>
                <w:webHidden/>
              </w:rPr>
              <w:instrText xml:space="preserve"> PAGEREF _Toc22052504 \h </w:instrText>
            </w:r>
            <w:r w:rsidR="00701082">
              <w:rPr>
                <w:noProof/>
                <w:webHidden/>
              </w:rPr>
            </w:r>
            <w:r w:rsidR="00701082">
              <w:rPr>
                <w:noProof/>
                <w:webHidden/>
              </w:rPr>
              <w:fldChar w:fldCharType="separate"/>
            </w:r>
            <w:r w:rsidR="00701082">
              <w:rPr>
                <w:noProof/>
                <w:webHidden/>
              </w:rPr>
              <w:t>6</w:t>
            </w:r>
            <w:r w:rsidR="00701082">
              <w:rPr>
                <w:noProof/>
                <w:webHidden/>
              </w:rPr>
              <w:fldChar w:fldCharType="end"/>
            </w:r>
          </w:hyperlink>
        </w:p>
        <w:p w14:paraId="485BC7F0" w14:textId="03255553" w:rsidR="00701082" w:rsidRDefault="00077961">
          <w:pPr>
            <w:pStyle w:val="TOC2"/>
            <w:rPr>
              <w:noProof/>
            </w:rPr>
          </w:pPr>
          <w:hyperlink w:anchor="_Toc22052505" w:history="1">
            <w:r w:rsidR="00701082" w:rsidRPr="00F87648">
              <w:rPr>
                <w:rStyle w:val="af5"/>
                <w:b/>
                <w:noProof/>
              </w:rPr>
              <w:t>2.1 Background</w:t>
            </w:r>
            <w:r w:rsidR="00701082">
              <w:rPr>
                <w:noProof/>
                <w:webHidden/>
              </w:rPr>
              <w:tab/>
            </w:r>
            <w:r w:rsidR="00701082">
              <w:rPr>
                <w:noProof/>
                <w:webHidden/>
              </w:rPr>
              <w:fldChar w:fldCharType="begin"/>
            </w:r>
            <w:r w:rsidR="00701082">
              <w:rPr>
                <w:noProof/>
                <w:webHidden/>
              </w:rPr>
              <w:instrText xml:space="preserve"> PAGEREF _Toc22052505 \h </w:instrText>
            </w:r>
            <w:r w:rsidR="00701082">
              <w:rPr>
                <w:noProof/>
                <w:webHidden/>
              </w:rPr>
            </w:r>
            <w:r w:rsidR="00701082">
              <w:rPr>
                <w:noProof/>
                <w:webHidden/>
              </w:rPr>
              <w:fldChar w:fldCharType="separate"/>
            </w:r>
            <w:r w:rsidR="00701082">
              <w:rPr>
                <w:noProof/>
                <w:webHidden/>
              </w:rPr>
              <w:t>6</w:t>
            </w:r>
            <w:r w:rsidR="00701082">
              <w:rPr>
                <w:noProof/>
                <w:webHidden/>
              </w:rPr>
              <w:fldChar w:fldCharType="end"/>
            </w:r>
          </w:hyperlink>
        </w:p>
        <w:p w14:paraId="04122C97" w14:textId="08399C17" w:rsidR="00701082" w:rsidRDefault="00077961">
          <w:pPr>
            <w:pStyle w:val="TOC2"/>
            <w:rPr>
              <w:noProof/>
            </w:rPr>
          </w:pPr>
          <w:hyperlink w:anchor="_Toc22052506" w:history="1">
            <w:r w:rsidR="00701082" w:rsidRPr="00F87648">
              <w:rPr>
                <w:rStyle w:val="af5"/>
                <w:b/>
                <w:noProof/>
              </w:rPr>
              <w:t>2.2 Definition and classification of HEAs</w:t>
            </w:r>
            <w:r w:rsidR="00701082">
              <w:rPr>
                <w:noProof/>
                <w:webHidden/>
              </w:rPr>
              <w:tab/>
            </w:r>
            <w:r w:rsidR="00701082">
              <w:rPr>
                <w:noProof/>
                <w:webHidden/>
              </w:rPr>
              <w:fldChar w:fldCharType="begin"/>
            </w:r>
            <w:r w:rsidR="00701082">
              <w:rPr>
                <w:noProof/>
                <w:webHidden/>
              </w:rPr>
              <w:instrText xml:space="preserve"> PAGEREF _Toc22052506 \h </w:instrText>
            </w:r>
            <w:r w:rsidR="00701082">
              <w:rPr>
                <w:noProof/>
                <w:webHidden/>
              </w:rPr>
            </w:r>
            <w:r w:rsidR="00701082">
              <w:rPr>
                <w:noProof/>
                <w:webHidden/>
              </w:rPr>
              <w:fldChar w:fldCharType="separate"/>
            </w:r>
            <w:r w:rsidR="00701082">
              <w:rPr>
                <w:noProof/>
                <w:webHidden/>
              </w:rPr>
              <w:t>7</w:t>
            </w:r>
            <w:r w:rsidR="00701082">
              <w:rPr>
                <w:noProof/>
                <w:webHidden/>
              </w:rPr>
              <w:fldChar w:fldCharType="end"/>
            </w:r>
          </w:hyperlink>
        </w:p>
        <w:p w14:paraId="48454DA2" w14:textId="1478376D" w:rsidR="00701082" w:rsidRDefault="00077961">
          <w:pPr>
            <w:pStyle w:val="TOC2"/>
            <w:rPr>
              <w:noProof/>
            </w:rPr>
          </w:pPr>
          <w:hyperlink w:anchor="_Toc22052507" w:history="1">
            <w:r w:rsidR="00701082" w:rsidRPr="00F87648">
              <w:rPr>
                <w:rStyle w:val="af5"/>
                <w:b/>
                <w:noProof/>
              </w:rPr>
              <w:t>2.3 Phase prediction of multi-components alloys</w:t>
            </w:r>
            <w:r w:rsidR="00701082">
              <w:rPr>
                <w:noProof/>
                <w:webHidden/>
              </w:rPr>
              <w:tab/>
            </w:r>
            <w:r w:rsidR="00701082">
              <w:rPr>
                <w:noProof/>
                <w:webHidden/>
              </w:rPr>
              <w:fldChar w:fldCharType="begin"/>
            </w:r>
            <w:r w:rsidR="00701082">
              <w:rPr>
                <w:noProof/>
                <w:webHidden/>
              </w:rPr>
              <w:instrText xml:space="preserve"> PAGEREF _Toc22052507 \h </w:instrText>
            </w:r>
            <w:r w:rsidR="00701082">
              <w:rPr>
                <w:noProof/>
                <w:webHidden/>
              </w:rPr>
            </w:r>
            <w:r w:rsidR="00701082">
              <w:rPr>
                <w:noProof/>
                <w:webHidden/>
              </w:rPr>
              <w:fldChar w:fldCharType="separate"/>
            </w:r>
            <w:r w:rsidR="00701082">
              <w:rPr>
                <w:noProof/>
                <w:webHidden/>
              </w:rPr>
              <w:t>10</w:t>
            </w:r>
            <w:r w:rsidR="00701082">
              <w:rPr>
                <w:noProof/>
                <w:webHidden/>
              </w:rPr>
              <w:fldChar w:fldCharType="end"/>
            </w:r>
          </w:hyperlink>
        </w:p>
        <w:p w14:paraId="25C02335" w14:textId="7CC164DB" w:rsidR="00701082" w:rsidRDefault="00077961">
          <w:pPr>
            <w:pStyle w:val="TOC3"/>
            <w:tabs>
              <w:tab w:val="right" w:leader="dot" w:pos="9350"/>
            </w:tabs>
            <w:rPr>
              <w:noProof/>
            </w:rPr>
          </w:pPr>
          <w:hyperlink w:anchor="_Toc22052508" w:history="1">
            <w:r w:rsidR="00701082" w:rsidRPr="00F87648">
              <w:rPr>
                <w:rStyle w:val="af5"/>
                <w:b/>
                <w:noProof/>
              </w:rPr>
              <w:t>2.3.2 Semi-empirical methods</w:t>
            </w:r>
            <w:r w:rsidR="00701082">
              <w:rPr>
                <w:noProof/>
                <w:webHidden/>
              </w:rPr>
              <w:tab/>
            </w:r>
            <w:r w:rsidR="00701082">
              <w:rPr>
                <w:noProof/>
                <w:webHidden/>
              </w:rPr>
              <w:fldChar w:fldCharType="begin"/>
            </w:r>
            <w:r w:rsidR="00701082">
              <w:rPr>
                <w:noProof/>
                <w:webHidden/>
              </w:rPr>
              <w:instrText xml:space="preserve"> PAGEREF _Toc22052508 \h </w:instrText>
            </w:r>
            <w:r w:rsidR="00701082">
              <w:rPr>
                <w:noProof/>
                <w:webHidden/>
              </w:rPr>
            </w:r>
            <w:r w:rsidR="00701082">
              <w:rPr>
                <w:noProof/>
                <w:webHidden/>
              </w:rPr>
              <w:fldChar w:fldCharType="separate"/>
            </w:r>
            <w:r w:rsidR="00701082">
              <w:rPr>
                <w:noProof/>
                <w:webHidden/>
              </w:rPr>
              <w:t>18</w:t>
            </w:r>
            <w:r w:rsidR="00701082">
              <w:rPr>
                <w:noProof/>
                <w:webHidden/>
              </w:rPr>
              <w:fldChar w:fldCharType="end"/>
            </w:r>
          </w:hyperlink>
        </w:p>
        <w:p w14:paraId="57137C8C" w14:textId="6A4E3CC8" w:rsidR="00701082" w:rsidRDefault="00077961">
          <w:pPr>
            <w:pStyle w:val="TOC3"/>
            <w:tabs>
              <w:tab w:val="right" w:leader="dot" w:pos="9350"/>
            </w:tabs>
            <w:rPr>
              <w:noProof/>
            </w:rPr>
          </w:pPr>
          <w:hyperlink w:anchor="_Toc22052509" w:history="1">
            <w:r w:rsidR="00701082" w:rsidRPr="00F87648">
              <w:rPr>
                <w:rStyle w:val="af5"/>
                <w:b/>
                <w:noProof/>
              </w:rPr>
              <w:t>2.3.3 Ab-initio methods</w:t>
            </w:r>
            <w:r w:rsidR="00701082">
              <w:rPr>
                <w:noProof/>
                <w:webHidden/>
              </w:rPr>
              <w:tab/>
            </w:r>
            <w:r w:rsidR="00701082">
              <w:rPr>
                <w:noProof/>
                <w:webHidden/>
              </w:rPr>
              <w:fldChar w:fldCharType="begin"/>
            </w:r>
            <w:r w:rsidR="00701082">
              <w:rPr>
                <w:noProof/>
                <w:webHidden/>
              </w:rPr>
              <w:instrText xml:space="preserve"> PAGEREF _Toc22052509 \h </w:instrText>
            </w:r>
            <w:r w:rsidR="00701082">
              <w:rPr>
                <w:noProof/>
                <w:webHidden/>
              </w:rPr>
            </w:r>
            <w:r w:rsidR="00701082">
              <w:rPr>
                <w:noProof/>
                <w:webHidden/>
              </w:rPr>
              <w:fldChar w:fldCharType="separate"/>
            </w:r>
            <w:r w:rsidR="00701082">
              <w:rPr>
                <w:noProof/>
                <w:webHidden/>
              </w:rPr>
              <w:t>23</w:t>
            </w:r>
            <w:r w:rsidR="00701082">
              <w:rPr>
                <w:noProof/>
                <w:webHidden/>
              </w:rPr>
              <w:fldChar w:fldCharType="end"/>
            </w:r>
          </w:hyperlink>
        </w:p>
        <w:p w14:paraId="219DEDF6" w14:textId="3380CF5B" w:rsidR="00701082" w:rsidRDefault="00077961">
          <w:pPr>
            <w:pStyle w:val="TOC2"/>
            <w:rPr>
              <w:noProof/>
            </w:rPr>
          </w:pPr>
          <w:hyperlink w:anchor="_Toc22052510" w:history="1">
            <w:r w:rsidR="00701082" w:rsidRPr="00F87648">
              <w:rPr>
                <w:rStyle w:val="af5"/>
                <w:b/>
                <w:noProof/>
              </w:rPr>
              <w:t xml:space="preserve">2.4 Prediction of mechanical performance of HEAs by empirical and  </w:t>
            </w:r>
            <w:r w:rsidR="00701082" w:rsidRPr="00F87648">
              <w:rPr>
                <w:rStyle w:val="af5"/>
                <w:b/>
                <w:i/>
                <w:noProof/>
              </w:rPr>
              <w:t>ab initio</w:t>
            </w:r>
            <w:r w:rsidR="00701082" w:rsidRPr="00F87648">
              <w:rPr>
                <w:rStyle w:val="af5"/>
                <w:b/>
                <w:noProof/>
              </w:rPr>
              <w:t xml:space="preserve"> methods.</w:t>
            </w:r>
            <w:r w:rsidR="00701082">
              <w:rPr>
                <w:noProof/>
                <w:webHidden/>
              </w:rPr>
              <w:tab/>
            </w:r>
            <w:r w:rsidR="00701082">
              <w:rPr>
                <w:noProof/>
                <w:webHidden/>
              </w:rPr>
              <w:fldChar w:fldCharType="begin"/>
            </w:r>
            <w:r w:rsidR="00701082">
              <w:rPr>
                <w:noProof/>
                <w:webHidden/>
              </w:rPr>
              <w:instrText xml:space="preserve"> PAGEREF _Toc22052510 \h </w:instrText>
            </w:r>
            <w:r w:rsidR="00701082">
              <w:rPr>
                <w:noProof/>
                <w:webHidden/>
              </w:rPr>
            </w:r>
            <w:r w:rsidR="00701082">
              <w:rPr>
                <w:noProof/>
                <w:webHidden/>
              </w:rPr>
              <w:fldChar w:fldCharType="separate"/>
            </w:r>
            <w:r w:rsidR="00701082">
              <w:rPr>
                <w:noProof/>
                <w:webHidden/>
              </w:rPr>
              <w:t>34</w:t>
            </w:r>
            <w:r w:rsidR="00701082">
              <w:rPr>
                <w:noProof/>
                <w:webHidden/>
              </w:rPr>
              <w:fldChar w:fldCharType="end"/>
            </w:r>
          </w:hyperlink>
        </w:p>
        <w:p w14:paraId="42BECDCF" w14:textId="14C31A30" w:rsidR="00701082" w:rsidRDefault="00077961">
          <w:pPr>
            <w:pStyle w:val="TOC2"/>
            <w:rPr>
              <w:noProof/>
            </w:rPr>
          </w:pPr>
          <w:hyperlink w:anchor="_Toc22052511" w:history="1">
            <w:r w:rsidR="00701082" w:rsidRPr="00F87648">
              <w:rPr>
                <w:rStyle w:val="af5"/>
                <w:b/>
                <w:noProof/>
              </w:rPr>
              <w:t>2.5 Strengthening strategy and deformation mechanisms in HEAs.</w:t>
            </w:r>
            <w:r w:rsidR="00701082">
              <w:rPr>
                <w:noProof/>
                <w:webHidden/>
              </w:rPr>
              <w:tab/>
            </w:r>
            <w:r w:rsidR="00701082">
              <w:rPr>
                <w:noProof/>
                <w:webHidden/>
              </w:rPr>
              <w:fldChar w:fldCharType="begin"/>
            </w:r>
            <w:r w:rsidR="00701082">
              <w:rPr>
                <w:noProof/>
                <w:webHidden/>
              </w:rPr>
              <w:instrText xml:space="preserve"> PAGEREF _Toc22052511 \h </w:instrText>
            </w:r>
            <w:r w:rsidR="00701082">
              <w:rPr>
                <w:noProof/>
                <w:webHidden/>
              </w:rPr>
            </w:r>
            <w:r w:rsidR="00701082">
              <w:rPr>
                <w:noProof/>
                <w:webHidden/>
              </w:rPr>
              <w:fldChar w:fldCharType="separate"/>
            </w:r>
            <w:r w:rsidR="00701082">
              <w:rPr>
                <w:noProof/>
                <w:webHidden/>
              </w:rPr>
              <w:t>39</w:t>
            </w:r>
            <w:r w:rsidR="00701082">
              <w:rPr>
                <w:noProof/>
                <w:webHidden/>
              </w:rPr>
              <w:fldChar w:fldCharType="end"/>
            </w:r>
          </w:hyperlink>
        </w:p>
        <w:p w14:paraId="2CEA5711" w14:textId="5CA41937" w:rsidR="00701082" w:rsidRDefault="00077961">
          <w:pPr>
            <w:pStyle w:val="TOC3"/>
            <w:tabs>
              <w:tab w:val="right" w:leader="dot" w:pos="9350"/>
            </w:tabs>
            <w:rPr>
              <w:noProof/>
            </w:rPr>
          </w:pPr>
          <w:hyperlink w:anchor="_Toc22052512" w:history="1">
            <w:r w:rsidR="00701082" w:rsidRPr="00F87648">
              <w:rPr>
                <w:rStyle w:val="af5"/>
                <w:b/>
                <w:noProof/>
              </w:rPr>
              <w:t>2.5.1 Precipitate strengthening</w:t>
            </w:r>
            <w:r w:rsidR="00701082">
              <w:rPr>
                <w:noProof/>
                <w:webHidden/>
              </w:rPr>
              <w:tab/>
            </w:r>
            <w:r w:rsidR="00701082">
              <w:rPr>
                <w:noProof/>
                <w:webHidden/>
              </w:rPr>
              <w:fldChar w:fldCharType="begin"/>
            </w:r>
            <w:r w:rsidR="00701082">
              <w:rPr>
                <w:noProof/>
                <w:webHidden/>
              </w:rPr>
              <w:instrText xml:space="preserve"> PAGEREF _Toc22052512 \h </w:instrText>
            </w:r>
            <w:r w:rsidR="00701082">
              <w:rPr>
                <w:noProof/>
                <w:webHidden/>
              </w:rPr>
            </w:r>
            <w:r w:rsidR="00701082">
              <w:rPr>
                <w:noProof/>
                <w:webHidden/>
              </w:rPr>
              <w:fldChar w:fldCharType="separate"/>
            </w:r>
            <w:r w:rsidR="00701082">
              <w:rPr>
                <w:noProof/>
                <w:webHidden/>
              </w:rPr>
              <w:t>40</w:t>
            </w:r>
            <w:r w:rsidR="00701082">
              <w:rPr>
                <w:noProof/>
                <w:webHidden/>
              </w:rPr>
              <w:fldChar w:fldCharType="end"/>
            </w:r>
          </w:hyperlink>
        </w:p>
        <w:p w14:paraId="351AEAFD" w14:textId="3CFF43BD" w:rsidR="00701082" w:rsidRDefault="00077961">
          <w:pPr>
            <w:pStyle w:val="TOC3"/>
            <w:tabs>
              <w:tab w:val="right" w:leader="dot" w:pos="9350"/>
            </w:tabs>
            <w:rPr>
              <w:noProof/>
            </w:rPr>
          </w:pPr>
          <w:hyperlink w:anchor="_Toc22052513" w:history="1">
            <w:r w:rsidR="00701082" w:rsidRPr="00F87648">
              <w:rPr>
                <w:rStyle w:val="af5"/>
                <w:b/>
                <w:noProof/>
              </w:rPr>
              <w:t>2.5.2 TRIP, TWIP and other strengthening strategies</w:t>
            </w:r>
            <w:r w:rsidR="00701082">
              <w:rPr>
                <w:noProof/>
                <w:webHidden/>
              </w:rPr>
              <w:tab/>
            </w:r>
            <w:r w:rsidR="00701082">
              <w:rPr>
                <w:noProof/>
                <w:webHidden/>
              </w:rPr>
              <w:fldChar w:fldCharType="begin"/>
            </w:r>
            <w:r w:rsidR="00701082">
              <w:rPr>
                <w:noProof/>
                <w:webHidden/>
              </w:rPr>
              <w:instrText xml:space="preserve"> PAGEREF _Toc22052513 \h </w:instrText>
            </w:r>
            <w:r w:rsidR="00701082">
              <w:rPr>
                <w:noProof/>
                <w:webHidden/>
              </w:rPr>
            </w:r>
            <w:r w:rsidR="00701082">
              <w:rPr>
                <w:noProof/>
                <w:webHidden/>
              </w:rPr>
              <w:fldChar w:fldCharType="separate"/>
            </w:r>
            <w:r w:rsidR="00701082">
              <w:rPr>
                <w:noProof/>
                <w:webHidden/>
              </w:rPr>
              <w:t>43</w:t>
            </w:r>
            <w:r w:rsidR="00701082">
              <w:rPr>
                <w:noProof/>
                <w:webHidden/>
              </w:rPr>
              <w:fldChar w:fldCharType="end"/>
            </w:r>
          </w:hyperlink>
        </w:p>
        <w:p w14:paraId="64B5AE25" w14:textId="591282F1" w:rsidR="00701082" w:rsidRDefault="00077961">
          <w:pPr>
            <w:pStyle w:val="TOC2"/>
            <w:rPr>
              <w:noProof/>
            </w:rPr>
          </w:pPr>
          <w:hyperlink w:anchor="_Toc22052514" w:history="1">
            <w:r w:rsidR="00701082" w:rsidRPr="00F87648">
              <w:rPr>
                <w:rStyle w:val="af5"/>
                <w:b/>
                <w:noProof/>
              </w:rPr>
              <w:t>2.6 Possibility to design high-performance RHEAs</w:t>
            </w:r>
            <w:r w:rsidR="00701082">
              <w:rPr>
                <w:noProof/>
                <w:webHidden/>
              </w:rPr>
              <w:tab/>
            </w:r>
            <w:r w:rsidR="00701082">
              <w:rPr>
                <w:noProof/>
                <w:webHidden/>
              </w:rPr>
              <w:fldChar w:fldCharType="begin"/>
            </w:r>
            <w:r w:rsidR="00701082">
              <w:rPr>
                <w:noProof/>
                <w:webHidden/>
              </w:rPr>
              <w:instrText xml:space="preserve"> PAGEREF _Toc22052514 \h </w:instrText>
            </w:r>
            <w:r w:rsidR="00701082">
              <w:rPr>
                <w:noProof/>
                <w:webHidden/>
              </w:rPr>
            </w:r>
            <w:r w:rsidR="00701082">
              <w:rPr>
                <w:noProof/>
                <w:webHidden/>
              </w:rPr>
              <w:fldChar w:fldCharType="separate"/>
            </w:r>
            <w:r w:rsidR="00701082">
              <w:rPr>
                <w:noProof/>
                <w:webHidden/>
              </w:rPr>
              <w:t>48</w:t>
            </w:r>
            <w:r w:rsidR="00701082">
              <w:rPr>
                <w:noProof/>
                <w:webHidden/>
              </w:rPr>
              <w:fldChar w:fldCharType="end"/>
            </w:r>
          </w:hyperlink>
        </w:p>
        <w:p w14:paraId="28E6B129" w14:textId="0C8ACAA1" w:rsidR="00701082" w:rsidRDefault="00077961">
          <w:pPr>
            <w:pStyle w:val="TOC3"/>
            <w:tabs>
              <w:tab w:val="right" w:leader="dot" w:pos="9350"/>
            </w:tabs>
            <w:rPr>
              <w:noProof/>
            </w:rPr>
          </w:pPr>
          <w:hyperlink w:anchor="_Toc22052515" w:history="1">
            <w:r w:rsidR="00701082" w:rsidRPr="00F87648">
              <w:rPr>
                <w:rStyle w:val="af5"/>
                <w:b/>
                <w:noProof/>
              </w:rPr>
              <w:t>2.6.1 Stress-induced athermal phase transformation</w:t>
            </w:r>
            <w:r w:rsidR="00701082">
              <w:rPr>
                <w:noProof/>
                <w:webHidden/>
              </w:rPr>
              <w:tab/>
            </w:r>
            <w:r w:rsidR="00701082">
              <w:rPr>
                <w:noProof/>
                <w:webHidden/>
              </w:rPr>
              <w:fldChar w:fldCharType="begin"/>
            </w:r>
            <w:r w:rsidR="00701082">
              <w:rPr>
                <w:noProof/>
                <w:webHidden/>
              </w:rPr>
              <w:instrText xml:space="preserve"> PAGEREF _Toc22052515 \h </w:instrText>
            </w:r>
            <w:r w:rsidR="00701082">
              <w:rPr>
                <w:noProof/>
                <w:webHidden/>
              </w:rPr>
            </w:r>
            <w:r w:rsidR="00701082">
              <w:rPr>
                <w:noProof/>
                <w:webHidden/>
              </w:rPr>
              <w:fldChar w:fldCharType="separate"/>
            </w:r>
            <w:r w:rsidR="00701082">
              <w:rPr>
                <w:noProof/>
                <w:webHidden/>
              </w:rPr>
              <w:t>49</w:t>
            </w:r>
            <w:r w:rsidR="00701082">
              <w:rPr>
                <w:noProof/>
                <w:webHidden/>
              </w:rPr>
              <w:fldChar w:fldCharType="end"/>
            </w:r>
          </w:hyperlink>
        </w:p>
        <w:p w14:paraId="35274511" w14:textId="303F0D3D" w:rsidR="00701082" w:rsidRDefault="00077961">
          <w:pPr>
            <w:pStyle w:val="TOC3"/>
            <w:tabs>
              <w:tab w:val="right" w:leader="dot" w:pos="9350"/>
            </w:tabs>
            <w:rPr>
              <w:noProof/>
            </w:rPr>
          </w:pPr>
          <w:hyperlink w:anchor="_Toc22052516" w:history="1">
            <w:r w:rsidR="00701082" w:rsidRPr="00F87648">
              <w:rPr>
                <w:rStyle w:val="af5"/>
                <w:b/>
                <w:noProof/>
              </w:rPr>
              <w:t>2.6.2 Self-accommodation structure and TWIP</w:t>
            </w:r>
            <w:r w:rsidR="00701082">
              <w:rPr>
                <w:noProof/>
                <w:webHidden/>
              </w:rPr>
              <w:tab/>
            </w:r>
            <w:r w:rsidR="00701082">
              <w:rPr>
                <w:noProof/>
                <w:webHidden/>
              </w:rPr>
              <w:fldChar w:fldCharType="begin"/>
            </w:r>
            <w:r w:rsidR="00701082">
              <w:rPr>
                <w:noProof/>
                <w:webHidden/>
              </w:rPr>
              <w:instrText xml:space="preserve"> PAGEREF _Toc22052516 \h </w:instrText>
            </w:r>
            <w:r w:rsidR="00701082">
              <w:rPr>
                <w:noProof/>
                <w:webHidden/>
              </w:rPr>
            </w:r>
            <w:r w:rsidR="00701082">
              <w:rPr>
                <w:noProof/>
                <w:webHidden/>
              </w:rPr>
              <w:fldChar w:fldCharType="separate"/>
            </w:r>
            <w:r w:rsidR="00701082">
              <w:rPr>
                <w:noProof/>
                <w:webHidden/>
              </w:rPr>
              <w:t>51</w:t>
            </w:r>
            <w:r w:rsidR="00701082">
              <w:rPr>
                <w:noProof/>
                <w:webHidden/>
              </w:rPr>
              <w:fldChar w:fldCharType="end"/>
            </w:r>
          </w:hyperlink>
        </w:p>
        <w:p w14:paraId="3E91687B" w14:textId="45A2D68D" w:rsidR="00701082" w:rsidRDefault="00077961">
          <w:pPr>
            <w:pStyle w:val="TOC2"/>
            <w:rPr>
              <w:noProof/>
            </w:rPr>
          </w:pPr>
          <w:hyperlink w:anchor="_Toc22052517" w:history="1">
            <w:r w:rsidR="00701082" w:rsidRPr="00F87648">
              <w:rPr>
                <w:rStyle w:val="af5"/>
                <w:b/>
                <w:noProof/>
              </w:rPr>
              <w:t>2.7 Summary</w:t>
            </w:r>
            <w:r w:rsidR="00701082">
              <w:rPr>
                <w:noProof/>
                <w:webHidden/>
              </w:rPr>
              <w:tab/>
            </w:r>
            <w:r w:rsidR="00701082">
              <w:rPr>
                <w:noProof/>
                <w:webHidden/>
              </w:rPr>
              <w:fldChar w:fldCharType="begin"/>
            </w:r>
            <w:r w:rsidR="00701082">
              <w:rPr>
                <w:noProof/>
                <w:webHidden/>
              </w:rPr>
              <w:instrText xml:space="preserve"> PAGEREF _Toc22052517 \h </w:instrText>
            </w:r>
            <w:r w:rsidR="00701082">
              <w:rPr>
                <w:noProof/>
                <w:webHidden/>
              </w:rPr>
            </w:r>
            <w:r w:rsidR="00701082">
              <w:rPr>
                <w:noProof/>
                <w:webHidden/>
              </w:rPr>
              <w:fldChar w:fldCharType="separate"/>
            </w:r>
            <w:r w:rsidR="00701082">
              <w:rPr>
                <w:noProof/>
                <w:webHidden/>
              </w:rPr>
              <w:t>56</w:t>
            </w:r>
            <w:r w:rsidR="00701082">
              <w:rPr>
                <w:noProof/>
                <w:webHidden/>
              </w:rPr>
              <w:fldChar w:fldCharType="end"/>
            </w:r>
          </w:hyperlink>
        </w:p>
        <w:p w14:paraId="6B61FF36" w14:textId="4F1CED6F" w:rsidR="00701082" w:rsidRDefault="00077961">
          <w:pPr>
            <w:pStyle w:val="TOC2"/>
            <w:rPr>
              <w:noProof/>
            </w:rPr>
          </w:pPr>
          <w:hyperlink w:anchor="_Toc22052518" w:history="1">
            <w:r w:rsidR="00701082" w:rsidRPr="00F87648">
              <w:rPr>
                <w:rStyle w:val="af5"/>
                <w:b/>
                <w:noProof/>
              </w:rPr>
              <w:t>2.8 References</w:t>
            </w:r>
            <w:r w:rsidR="00701082">
              <w:rPr>
                <w:noProof/>
                <w:webHidden/>
              </w:rPr>
              <w:tab/>
            </w:r>
            <w:r w:rsidR="00701082">
              <w:rPr>
                <w:noProof/>
                <w:webHidden/>
              </w:rPr>
              <w:fldChar w:fldCharType="begin"/>
            </w:r>
            <w:r w:rsidR="00701082">
              <w:rPr>
                <w:noProof/>
                <w:webHidden/>
              </w:rPr>
              <w:instrText xml:space="preserve"> PAGEREF _Toc22052518 \h </w:instrText>
            </w:r>
            <w:r w:rsidR="00701082">
              <w:rPr>
                <w:noProof/>
                <w:webHidden/>
              </w:rPr>
            </w:r>
            <w:r w:rsidR="00701082">
              <w:rPr>
                <w:noProof/>
                <w:webHidden/>
              </w:rPr>
              <w:fldChar w:fldCharType="separate"/>
            </w:r>
            <w:r w:rsidR="00701082">
              <w:rPr>
                <w:noProof/>
                <w:webHidden/>
              </w:rPr>
              <w:t>58</w:t>
            </w:r>
            <w:r w:rsidR="00701082">
              <w:rPr>
                <w:noProof/>
                <w:webHidden/>
              </w:rPr>
              <w:fldChar w:fldCharType="end"/>
            </w:r>
          </w:hyperlink>
        </w:p>
        <w:p w14:paraId="2988B43A" w14:textId="72C81924" w:rsidR="00701082" w:rsidRDefault="00077961">
          <w:pPr>
            <w:pStyle w:val="TOC1"/>
            <w:tabs>
              <w:tab w:val="right" w:leader="dot" w:pos="9350"/>
            </w:tabs>
            <w:rPr>
              <w:noProof/>
            </w:rPr>
          </w:pPr>
          <w:hyperlink w:anchor="_Toc22052519" w:history="1">
            <w:r w:rsidR="00701082" w:rsidRPr="00F87648">
              <w:rPr>
                <w:rStyle w:val="af5"/>
                <w:b/>
                <w:noProof/>
              </w:rPr>
              <w:t>Chapter. 3 Experimental methods</w:t>
            </w:r>
            <w:r w:rsidR="00701082">
              <w:rPr>
                <w:noProof/>
                <w:webHidden/>
              </w:rPr>
              <w:tab/>
            </w:r>
            <w:r w:rsidR="00701082">
              <w:rPr>
                <w:noProof/>
                <w:webHidden/>
              </w:rPr>
              <w:fldChar w:fldCharType="begin"/>
            </w:r>
            <w:r w:rsidR="00701082">
              <w:rPr>
                <w:noProof/>
                <w:webHidden/>
              </w:rPr>
              <w:instrText xml:space="preserve"> PAGEREF _Toc22052519 \h </w:instrText>
            </w:r>
            <w:r w:rsidR="00701082">
              <w:rPr>
                <w:noProof/>
                <w:webHidden/>
              </w:rPr>
            </w:r>
            <w:r w:rsidR="00701082">
              <w:rPr>
                <w:noProof/>
                <w:webHidden/>
              </w:rPr>
              <w:fldChar w:fldCharType="separate"/>
            </w:r>
            <w:r w:rsidR="00701082">
              <w:rPr>
                <w:noProof/>
                <w:webHidden/>
              </w:rPr>
              <w:t>72</w:t>
            </w:r>
            <w:r w:rsidR="00701082">
              <w:rPr>
                <w:noProof/>
                <w:webHidden/>
              </w:rPr>
              <w:fldChar w:fldCharType="end"/>
            </w:r>
          </w:hyperlink>
        </w:p>
        <w:p w14:paraId="7C76E76A" w14:textId="5C5BB4E5" w:rsidR="00701082" w:rsidRDefault="00077961">
          <w:pPr>
            <w:pStyle w:val="TOC2"/>
            <w:rPr>
              <w:noProof/>
            </w:rPr>
          </w:pPr>
          <w:hyperlink w:anchor="_Toc22052520" w:history="1">
            <w:r w:rsidR="00701082" w:rsidRPr="00F87648">
              <w:rPr>
                <w:rStyle w:val="af5"/>
                <w:b/>
                <w:noProof/>
              </w:rPr>
              <w:t>3.1 Alloy synthesis</w:t>
            </w:r>
            <w:r w:rsidR="00701082">
              <w:rPr>
                <w:noProof/>
                <w:webHidden/>
              </w:rPr>
              <w:tab/>
            </w:r>
            <w:r w:rsidR="00701082">
              <w:rPr>
                <w:noProof/>
                <w:webHidden/>
              </w:rPr>
              <w:fldChar w:fldCharType="begin"/>
            </w:r>
            <w:r w:rsidR="00701082">
              <w:rPr>
                <w:noProof/>
                <w:webHidden/>
              </w:rPr>
              <w:instrText xml:space="preserve"> PAGEREF _Toc22052520 \h </w:instrText>
            </w:r>
            <w:r w:rsidR="00701082">
              <w:rPr>
                <w:noProof/>
                <w:webHidden/>
              </w:rPr>
            </w:r>
            <w:r w:rsidR="00701082">
              <w:rPr>
                <w:noProof/>
                <w:webHidden/>
              </w:rPr>
              <w:fldChar w:fldCharType="separate"/>
            </w:r>
            <w:r w:rsidR="00701082">
              <w:rPr>
                <w:noProof/>
                <w:webHidden/>
              </w:rPr>
              <w:t>72</w:t>
            </w:r>
            <w:r w:rsidR="00701082">
              <w:rPr>
                <w:noProof/>
                <w:webHidden/>
              </w:rPr>
              <w:fldChar w:fldCharType="end"/>
            </w:r>
          </w:hyperlink>
        </w:p>
        <w:p w14:paraId="7898BF3F" w14:textId="33A0E2D1" w:rsidR="00701082" w:rsidRDefault="00077961">
          <w:pPr>
            <w:pStyle w:val="TOC3"/>
            <w:tabs>
              <w:tab w:val="right" w:leader="dot" w:pos="9350"/>
            </w:tabs>
            <w:rPr>
              <w:noProof/>
            </w:rPr>
          </w:pPr>
          <w:hyperlink w:anchor="_Toc22052521" w:history="1">
            <w:r w:rsidR="00701082" w:rsidRPr="00F87648">
              <w:rPr>
                <w:rStyle w:val="af5"/>
                <w:b/>
                <w:noProof/>
              </w:rPr>
              <w:t>3.1.1 Arc melting</w:t>
            </w:r>
            <w:r w:rsidR="00701082">
              <w:rPr>
                <w:noProof/>
                <w:webHidden/>
              </w:rPr>
              <w:tab/>
            </w:r>
            <w:r w:rsidR="00701082">
              <w:rPr>
                <w:noProof/>
                <w:webHidden/>
              </w:rPr>
              <w:fldChar w:fldCharType="begin"/>
            </w:r>
            <w:r w:rsidR="00701082">
              <w:rPr>
                <w:noProof/>
                <w:webHidden/>
              </w:rPr>
              <w:instrText xml:space="preserve"> PAGEREF _Toc22052521 \h </w:instrText>
            </w:r>
            <w:r w:rsidR="00701082">
              <w:rPr>
                <w:noProof/>
                <w:webHidden/>
              </w:rPr>
            </w:r>
            <w:r w:rsidR="00701082">
              <w:rPr>
                <w:noProof/>
                <w:webHidden/>
              </w:rPr>
              <w:fldChar w:fldCharType="separate"/>
            </w:r>
            <w:r w:rsidR="00701082">
              <w:rPr>
                <w:noProof/>
                <w:webHidden/>
              </w:rPr>
              <w:t>72</w:t>
            </w:r>
            <w:r w:rsidR="00701082">
              <w:rPr>
                <w:noProof/>
                <w:webHidden/>
              </w:rPr>
              <w:fldChar w:fldCharType="end"/>
            </w:r>
          </w:hyperlink>
        </w:p>
        <w:p w14:paraId="16EDC9E7" w14:textId="1AB2CA92" w:rsidR="00701082" w:rsidRDefault="00077961">
          <w:pPr>
            <w:pStyle w:val="TOC3"/>
            <w:tabs>
              <w:tab w:val="right" w:leader="dot" w:pos="9350"/>
            </w:tabs>
            <w:rPr>
              <w:noProof/>
            </w:rPr>
          </w:pPr>
          <w:hyperlink w:anchor="_Toc22052522" w:history="1">
            <w:r w:rsidR="00701082" w:rsidRPr="00F87648">
              <w:rPr>
                <w:rStyle w:val="af5"/>
                <w:b/>
                <w:noProof/>
              </w:rPr>
              <w:t>3.1.2 Suction casting</w:t>
            </w:r>
            <w:r w:rsidR="00701082">
              <w:rPr>
                <w:noProof/>
                <w:webHidden/>
              </w:rPr>
              <w:tab/>
            </w:r>
            <w:r w:rsidR="00701082">
              <w:rPr>
                <w:noProof/>
                <w:webHidden/>
              </w:rPr>
              <w:fldChar w:fldCharType="begin"/>
            </w:r>
            <w:r w:rsidR="00701082">
              <w:rPr>
                <w:noProof/>
                <w:webHidden/>
              </w:rPr>
              <w:instrText xml:space="preserve"> PAGEREF _Toc22052522 \h </w:instrText>
            </w:r>
            <w:r w:rsidR="00701082">
              <w:rPr>
                <w:noProof/>
                <w:webHidden/>
              </w:rPr>
            </w:r>
            <w:r w:rsidR="00701082">
              <w:rPr>
                <w:noProof/>
                <w:webHidden/>
              </w:rPr>
              <w:fldChar w:fldCharType="separate"/>
            </w:r>
            <w:r w:rsidR="00701082">
              <w:rPr>
                <w:noProof/>
                <w:webHidden/>
              </w:rPr>
              <w:t>73</w:t>
            </w:r>
            <w:r w:rsidR="00701082">
              <w:rPr>
                <w:noProof/>
                <w:webHidden/>
              </w:rPr>
              <w:fldChar w:fldCharType="end"/>
            </w:r>
          </w:hyperlink>
        </w:p>
        <w:p w14:paraId="3B6759B1" w14:textId="55B3781C" w:rsidR="00701082" w:rsidRDefault="00077961">
          <w:pPr>
            <w:pStyle w:val="TOC2"/>
            <w:rPr>
              <w:noProof/>
            </w:rPr>
          </w:pPr>
          <w:hyperlink w:anchor="_Toc22052523" w:history="1">
            <w:r w:rsidR="00701082" w:rsidRPr="00F87648">
              <w:rPr>
                <w:rStyle w:val="af5"/>
                <w:b/>
                <w:noProof/>
              </w:rPr>
              <w:t>3.2 Sample preparation and mechanical testing</w:t>
            </w:r>
            <w:r w:rsidR="00701082">
              <w:rPr>
                <w:noProof/>
                <w:webHidden/>
              </w:rPr>
              <w:tab/>
            </w:r>
            <w:r w:rsidR="00701082">
              <w:rPr>
                <w:noProof/>
                <w:webHidden/>
              </w:rPr>
              <w:fldChar w:fldCharType="begin"/>
            </w:r>
            <w:r w:rsidR="00701082">
              <w:rPr>
                <w:noProof/>
                <w:webHidden/>
              </w:rPr>
              <w:instrText xml:space="preserve"> PAGEREF _Toc22052523 \h </w:instrText>
            </w:r>
            <w:r w:rsidR="00701082">
              <w:rPr>
                <w:noProof/>
                <w:webHidden/>
              </w:rPr>
            </w:r>
            <w:r w:rsidR="00701082">
              <w:rPr>
                <w:noProof/>
                <w:webHidden/>
              </w:rPr>
              <w:fldChar w:fldCharType="separate"/>
            </w:r>
            <w:r w:rsidR="00701082">
              <w:rPr>
                <w:noProof/>
                <w:webHidden/>
              </w:rPr>
              <w:t>73</w:t>
            </w:r>
            <w:r w:rsidR="00701082">
              <w:rPr>
                <w:noProof/>
                <w:webHidden/>
              </w:rPr>
              <w:fldChar w:fldCharType="end"/>
            </w:r>
          </w:hyperlink>
        </w:p>
        <w:p w14:paraId="06E8ACAD" w14:textId="2AD1B8A8" w:rsidR="00701082" w:rsidRDefault="00077961">
          <w:pPr>
            <w:pStyle w:val="TOC3"/>
            <w:tabs>
              <w:tab w:val="right" w:leader="dot" w:pos="9350"/>
            </w:tabs>
            <w:rPr>
              <w:noProof/>
            </w:rPr>
          </w:pPr>
          <w:hyperlink w:anchor="_Toc22052524" w:history="1">
            <w:r w:rsidR="00701082" w:rsidRPr="00F87648">
              <w:rPr>
                <w:rStyle w:val="af5"/>
                <w:b/>
                <w:noProof/>
              </w:rPr>
              <w:t>3.2.1 Compression testing</w:t>
            </w:r>
            <w:r w:rsidR="00701082">
              <w:rPr>
                <w:noProof/>
                <w:webHidden/>
              </w:rPr>
              <w:tab/>
            </w:r>
            <w:r w:rsidR="00701082">
              <w:rPr>
                <w:noProof/>
                <w:webHidden/>
              </w:rPr>
              <w:fldChar w:fldCharType="begin"/>
            </w:r>
            <w:r w:rsidR="00701082">
              <w:rPr>
                <w:noProof/>
                <w:webHidden/>
              </w:rPr>
              <w:instrText xml:space="preserve"> PAGEREF _Toc22052524 \h </w:instrText>
            </w:r>
            <w:r w:rsidR="00701082">
              <w:rPr>
                <w:noProof/>
                <w:webHidden/>
              </w:rPr>
            </w:r>
            <w:r w:rsidR="00701082">
              <w:rPr>
                <w:noProof/>
                <w:webHidden/>
              </w:rPr>
              <w:fldChar w:fldCharType="separate"/>
            </w:r>
            <w:r w:rsidR="00701082">
              <w:rPr>
                <w:noProof/>
                <w:webHidden/>
              </w:rPr>
              <w:t>73</w:t>
            </w:r>
            <w:r w:rsidR="00701082">
              <w:rPr>
                <w:noProof/>
                <w:webHidden/>
              </w:rPr>
              <w:fldChar w:fldCharType="end"/>
            </w:r>
          </w:hyperlink>
        </w:p>
        <w:p w14:paraId="2735265E" w14:textId="78855FF9" w:rsidR="00701082" w:rsidRDefault="00077961">
          <w:pPr>
            <w:pStyle w:val="TOC3"/>
            <w:tabs>
              <w:tab w:val="right" w:leader="dot" w:pos="9350"/>
            </w:tabs>
            <w:rPr>
              <w:noProof/>
            </w:rPr>
          </w:pPr>
          <w:hyperlink w:anchor="_Toc22052525" w:history="1">
            <w:r w:rsidR="00701082" w:rsidRPr="00F87648">
              <w:rPr>
                <w:rStyle w:val="af5"/>
                <w:b/>
                <w:noProof/>
              </w:rPr>
              <w:t>3.2.2 Tensile test</w:t>
            </w:r>
            <w:r w:rsidR="00701082">
              <w:rPr>
                <w:noProof/>
                <w:webHidden/>
              </w:rPr>
              <w:tab/>
            </w:r>
            <w:r w:rsidR="00701082">
              <w:rPr>
                <w:noProof/>
                <w:webHidden/>
              </w:rPr>
              <w:fldChar w:fldCharType="begin"/>
            </w:r>
            <w:r w:rsidR="00701082">
              <w:rPr>
                <w:noProof/>
                <w:webHidden/>
              </w:rPr>
              <w:instrText xml:space="preserve"> PAGEREF _Toc22052525 \h </w:instrText>
            </w:r>
            <w:r w:rsidR="00701082">
              <w:rPr>
                <w:noProof/>
                <w:webHidden/>
              </w:rPr>
            </w:r>
            <w:r w:rsidR="00701082">
              <w:rPr>
                <w:noProof/>
                <w:webHidden/>
              </w:rPr>
              <w:fldChar w:fldCharType="separate"/>
            </w:r>
            <w:r w:rsidR="00701082">
              <w:rPr>
                <w:noProof/>
                <w:webHidden/>
              </w:rPr>
              <w:t>74</w:t>
            </w:r>
            <w:r w:rsidR="00701082">
              <w:rPr>
                <w:noProof/>
                <w:webHidden/>
              </w:rPr>
              <w:fldChar w:fldCharType="end"/>
            </w:r>
          </w:hyperlink>
        </w:p>
        <w:p w14:paraId="3D0D9C7F" w14:textId="1FEC1DED" w:rsidR="00701082" w:rsidRDefault="00077961">
          <w:pPr>
            <w:pStyle w:val="TOC2"/>
            <w:rPr>
              <w:noProof/>
            </w:rPr>
          </w:pPr>
          <w:hyperlink w:anchor="_Toc22052526" w:history="1">
            <w:r w:rsidR="00701082" w:rsidRPr="00F87648">
              <w:rPr>
                <w:rStyle w:val="af5"/>
                <w:b/>
                <w:noProof/>
              </w:rPr>
              <w:t>3.3 Characterisation methods and sample preparation</w:t>
            </w:r>
            <w:r w:rsidR="00701082">
              <w:rPr>
                <w:noProof/>
                <w:webHidden/>
              </w:rPr>
              <w:tab/>
            </w:r>
            <w:r w:rsidR="00701082">
              <w:rPr>
                <w:noProof/>
                <w:webHidden/>
              </w:rPr>
              <w:fldChar w:fldCharType="begin"/>
            </w:r>
            <w:r w:rsidR="00701082">
              <w:rPr>
                <w:noProof/>
                <w:webHidden/>
              </w:rPr>
              <w:instrText xml:space="preserve"> PAGEREF _Toc22052526 \h </w:instrText>
            </w:r>
            <w:r w:rsidR="00701082">
              <w:rPr>
                <w:noProof/>
                <w:webHidden/>
              </w:rPr>
            </w:r>
            <w:r w:rsidR="00701082">
              <w:rPr>
                <w:noProof/>
                <w:webHidden/>
              </w:rPr>
              <w:fldChar w:fldCharType="separate"/>
            </w:r>
            <w:r w:rsidR="00701082">
              <w:rPr>
                <w:noProof/>
                <w:webHidden/>
              </w:rPr>
              <w:t>75</w:t>
            </w:r>
            <w:r w:rsidR="00701082">
              <w:rPr>
                <w:noProof/>
                <w:webHidden/>
              </w:rPr>
              <w:fldChar w:fldCharType="end"/>
            </w:r>
          </w:hyperlink>
        </w:p>
        <w:p w14:paraId="4E397E64" w14:textId="2EB9ECC5" w:rsidR="00701082" w:rsidRDefault="00077961">
          <w:pPr>
            <w:pStyle w:val="TOC3"/>
            <w:tabs>
              <w:tab w:val="right" w:leader="dot" w:pos="9350"/>
            </w:tabs>
            <w:rPr>
              <w:noProof/>
            </w:rPr>
          </w:pPr>
          <w:hyperlink w:anchor="_Toc22052527" w:history="1">
            <w:r w:rsidR="00701082" w:rsidRPr="00F87648">
              <w:rPr>
                <w:rStyle w:val="af5"/>
                <w:b/>
                <w:noProof/>
              </w:rPr>
              <w:t>3.3.1 X-ray diffraction</w:t>
            </w:r>
            <w:r w:rsidR="00701082">
              <w:rPr>
                <w:noProof/>
                <w:webHidden/>
              </w:rPr>
              <w:tab/>
            </w:r>
            <w:r w:rsidR="00701082">
              <w:rPr>
                <w:noProof/>
                <w:webHidden/>
              </w:rPr>
              <w:fldChar w:fldCharType="begin"/>
            </w:r>
            <w:r w:rsidR="00701082">
              <w:rPr>
                <w:noProof/>
                <w:webHidden/>
              </w:rPr>
              <w:instrText xml:space="preserve"> PAGEREF _Toc22052527 \h </w:instrText>
            </w:r>
            <w:r w:rsidR="00701082">
              <w:rPr>
                <w:noProof/>
                <w:webHidden/>
              </w:rPr>
            </w:r>
            <w:r w:rsidR="00701082">
              <w:rPr>
                <w:noProof/>
                <w:webHidden/>
              </w:rPr>
              <w:fldChar w:fldCharType="separate"/>
            </w:r>
            <w:r w:rsidR="00701082">
              <w:rPr>
                <w:noProof/>
                <w:webHidden/>
              </w:rPr>
              <w:t>75</w:t>
            </w:r>
            <w:r w:rsidR="00701082">
              <w:rPr>
                <w:noProof/>
                <w:webHidden/>
              </w:rPr>
              <w:fldChar w:fldCharType="end"/>
            </w:r>
          </w:hyperlink>
        </w:p>
        <w:p w14:paraId="0EB29C65" w14:textId="5C0A6DAE" w:rsidR="00701082" w:rsidRDefault="00077961">
          <w:pPr>
            <w:pStyle w:val="TOC3"/>
            <w:tabs>
              <w:tab w:val="right" w:leader="dot" w:pos="9350"/>
            </w:tabs>
            <w:rPr>
              <w:noProof/>
            </w:rPr>
          </w:pPr>
          <w:hyperlink w:anchor="_Toc22052528" w:history="1">
            <w:r w:rsidR="00701082" w:rsidRPr="00F87648">
              <w:rPr>
                <w:rStyle w:val="af5"/>
                <w:b/>
                <w:noProof/>
              </w:rPr>
              <w:t>3.3.2 Scanning Electron Microscopy (SEM) and Electron Back Scattered Diffraction (EBSD)</w:t>
            </w:r>
            <w:r w:rsidR="00701082">
              <w:rPr>
                <w:noProof/>
                <w:webHidden/>
              </w:rPr>
              <w:tab/>
            </w:r>
            <w:r w:rsidR="00701082">
              <w:rPr>
                <w:noProof/>
                <w:webHidden/>
              </w:rPr>
              <w:fldChar w:fldCharType="begin"/>
            </w:r>
            <w:r w:rsidR="00701082">
              <w:rPr>
                <w:noProof/>
                <w:webHidden/>
              </w:rPr>
              <w:instrText xml:space="preserve"> PAGEREF _Toc22052528 \h </w:instrText>
            </w:r>
            <w:r w:rsidR="00701082">
              <w:rPr>
                <w:noProof/>
                <w:webHidden/>
              </w:rPr>
            </w:r>
            <w:r w:rsidR="00701082">
              <w:rPr>
                <w:noProof/>
                <w:webHidden/>
              </w:rPr>
              <w:fldChar w:fldCharType="separate"/>
            </w:r>
            <w:r w:rsidR="00701082">
              <w:rPr>
                <w:noProof/>
                <w:webHidden/>
              </w:rPr>
              <w:t>76</w:t>
            </w:r>
            <w:r w:rsidR="00701082">
              <w:rPr>
                <w:noProof/>
                <w:webHidden/>
              </w:rPr>
              <w:fldChar w:fldCharType="end"/>
            </w:r>
          </w:hyperlink>
        </w:p>
        <w:p w14:paraId="75268EE7" w14:textId="5AB63CD9" w:rsidR="00701082" w:rsidRDefault="00077961">
          <w:pPr>
            <w:pStyle w:val="TOC3"/>
            <w:tabs>
              <w:tab w:val="right" w:leader="dot" w:pos="9350"/>
            </w:tabs>
            <w:rPr>
              <w:noProof/>
            </w:rPr>
          </w:pPr>
          <w:hyperlink w:anchor="_Toc22052529" w:history="1">
            <w:r w:rsidR="00701082" w:rsidRPr="00F87648">
              <w:rPr>
                <w:rStyle w:val="af5"/>
                <w:b/>
                <w:noProof/>
              </w:rPr>
              <w:t>3.3.3 Transmission electron microscopy</w:t>
            </w:r>
            <w:r w:rsidR="00701082" w:rsidRPr="00F87648">
              <w:rPr>
                <w:rStyle w:val="af5"/>
                <w:noProof/>
              </w:rPr>
              <w:t xml:space="preserve"> </w:t>
            </w:r>
            <w:r w:rsidR="00701082" w:rsidRPr="00F87648">
              <w:rPr>
                <w:rStyle w:val="af5"/>
                <w:b/>
                <w:noProof/>
              </w:rPr>
              <w:t>(TEM) and High Resolution TEM (HRTEM)</w:t>
            </w:r>
            <w:r w:rsidR="00701082">
              <w:rPr>
                <w:noProof/>
                <w:webHidden/>
              </w:rPr>
              <w:tab/>
            </w:r>
            <w:r w:rsidR="00701082">
              <w:rPr>
                <w:noProof/>
                <w:webHidden/>
              </w:rPr>
              <w:fldChar w:fldCharType="begin"/>
            </w:r>
            <w:r w:rsidR="00701082">
              <w:rPr>
                <w:noProof/>
                <w:webHidden/>
              </w:rPr>
              <w:instrText xml:space="preserve"> PAGEREF _Toc22052529 \h </w:instrText>
            </w:r>
            <w:r w:rsidR="00701082">
              <w:rPr>
                <w:noProof/>
                <w:webHidden/>
              </w:rPr>
            </w:r>
            <w:r w:rsidR="00701082">
              <w:rPr>
                <w:noProof/>
                <w:webHidden/>
              </w:rPr>
              <w:fldChar w:fldCharType="separate"/>
            </w:r>
            <w:r w:rsidR="00701082">
              <w:rPr>
                <w:noProof/>
                <w:webHidden/>
              </w:rPr>
              <w:t>76</w:t>
            </w:r>
            <w:r w:rsidR="00701082">
              <w:rPr>
                <w:noProof/>
                <w:webHidden/>
              </w:rPr>
              <w:fldChar w:fldCharType="end"/>
            </w:r>
          </w:hyperlink>
        </w:p>
        <w:p w14:paraId="6345274E" w14:textId="45EA35F5" w:rsidR="00701082" w:rsidRDefault="00077961">
          <w:pPr>
            <w:pStyle w:val="TOC2"/>
            <w:rPr>
              <w:noProof/>
            </w:rPr>
          </w:pPr>
          <w:hyperlink w:anchor="_Toc22052530" w:history="1">
            <w:r w:rsidR="00701082" w:rsidRPr="00F87648">
              <w:rPr>
                <w:rStyle w:val="af5"/>
                <w:b/>
                <w:noProof/>
              </w:rPr>
              <w:t>3.4 References</w:t>
            </w:r>
            <w:r w:rsidR="00701082">
              <w:rPr>
                <w:noProof/>
                <w:webHidden/>
              </w:rPr>
              <w:tab/>
            </w:r>
            <w:r w:rsidR="00701082">
              <w:rPr>
                <w:noProof/>
                <w:webHidden/>
              </w:rPr>
              <w:fldChar w:fldCharType="begin"/>
            </w:r>
            <w:r w:rsidR="00701082">
              <w:rPr>
                <w:noProof/>
                <w:webHidden/>
              </w:rPr>
              <w:instrText xml:space="preserve"> PAGEREF _Toc22052530 \h </w:instrText>
            </w:r>
            <w:r w:rsidR="00701082">
              <w:rPr>
                <w:noProof/>
                <w:webHidden/>
              </w:rPr>
            </w:r>
            <w:r w:rsidR="00701082">
              <w:rPr>
                <w:noProof/>
                <w:webHidden/>
              </w:rPr>
              <w:fldChar w:fldCharType="separate"/>
            </w:r>
            <w:r w:rsidR="00701082">
              <w:rPr>
                <w:noProof/>
                <w:webHidden/>
              </w:rPr>
              <w:t>78</w:t>
            </w:r>
            <w:r w:rsidR="00701082">
              <w:rPr>
                <w:noProof/>
                <w:webHidden/>
              </w:rPr>
              <w:fldChar w:fldCharType="end"/>
            </w:r>
          </w:hyperlink>
        </w:p>
        <w:p w14:paraId="6F01D10C" w14:textId="054AAD2E" w:rsidR="00701082" w:rsidRDefault="00077961">
          <w:pPr>
            <w:pStyle w:val="TOC1"/>
            <w:tabs>
              <w:tab w:val="right" w:leader="dot" w:pos="9350"/>
            </w:tabs>
            <w:rPr>
              <w:noProof/>
            </w:rPr>
          </w:pPr>
          <w:hyperlink w:anchor="_Toc22052531" w:history="1">
            <w:r w:rsidR="00701082" w:rsidRPr="00F87648">
              <w:rPr>
                <w:rStyle w:val="af5"/>
                <w:b/>
                <w:noProof/>
              </w:rPr>
              <w:t xml:space="preserve">Chapter 4: Design of ductile </w:t>
            </w:r>
            <w:r w:rsidR="00701082" w:rsidRPr="00F87648">
              <w:rPr>
                <w:rStyle w:val="af5"/>
                <w:rFonts w:cs="Times New Roman"/>
                <w:b/>
                <w:noProof/>
              </w:rPr>
              <w:t>BCC</w:t>
            </w:r>
            <w:r w:rsidR="00701082" w:rsidRPr="00F87648">
              <w:rPr>
                <w:rStyle w:val="af5"/>
                <w:b/>
                <w:noProof/>
              </w:rPr>
              <w:t xml:space="preserve"> stable RHEAs</w:t>
            </w:r>
            <w:r w:rsidR="00701082">
              <w:rPr>
                <w:noProof/>
                <w:webHidden/>
              </w:rPr>
              <w:tab/>
            </w:r>
            <w:r w:rsidR="00701082">
              <w:rPr>
                <w:noProof/>
                <w:webHidden/>
              </w:rPr>
              <w:fldChar w:fldCharType="begin"/>
            </w:r>
            <w:r w:rsidR="00701082">
              <w:rPr>
                <w:noProof/>
                <w:webHidden/>
              </w:rPr>
              <w:instrText xml:space="preserve"> PAGEREF _Toc22052531 \h </w:instrText>
            </w:r>
            <w:r w:rsidR="00701082">
              <w:rPr>
                <w:noProof/>
                <w:webHidden/>
              </w:rPr>
            </w:r>
            <w:r w:rsidR="00701082">
              <w:rPr>
                <w:noProof/>
                <w:webHidden/>
              </w:rPr>
              <w:fldChar w:fldCharType="separate"/>
            </w:r>
            <w:r w:rsidR="00701082">
              <w:rPr>
                <w:noProof/>
                <w:webHidden/>
              </w:rPr>
              <w:t>79</w:t>
            </w:r>
            <w:r w:rsidR="00701082">
              <w:rPr>
                <w:noProof/>
                <w:webHidden/>
              </w:rPr>
              <w:fldChar w:fldCharType="end"/>
            </w:r>
          </w:hyperlink>
        </w:p>
        <w:p w14:paraId="33BDA0E9" w14:textId="779C0F9A" w:rsidR="00701082" w:rsidRDefault="00077961">
          <w:pPr>
            <w:pStyle w:val="TOC2"/>
            <w:rPr>
              <w:noProof/>
            </w:rPr>
          </w:pPr>
          <w:hyperlink w:anchor="_Toc22052532" w:history="1">
            <w:r w:rsidR="00701082" w:rsidRPr="00F87648">
              <w:rPr>
                <w:rStyle w:val="af5"/>
                <w:b/>
                <w:noProof/>
              </w:rPr>
              <w:t>4.1 Preface</w:t>
            </w:r>
            <w:r w:rsidR="00701082">
              <w:rPr>
                <w:noProof/>
                <w:webHidden/>
              </w:rPr>
              <w:tab/>
            </w:r>
            <w:r w:rsidR="00701082">
              <w:rPr>
                <w:noProof/>
                <w:webHidden/>
              </w:rPr>
              <w:fldChar w:fldCharType="begin"/>
            </w:r>
            <w:r w:rsidR="00701082">
              <w:rPr>
                <w:noProof/>
                <w:webHidden/>
              </w:rPr>
              <w:instrText xml:space="preserve"> PAGEREF _Toc22052532 \h </w:instrText>
            </w:r>
            <w:r w:rsidR="00701082">
              <w:rPr>
                <w:noProof/>
                <w:webHidden/>
              </w:rPr>
            </w:r>
            <w:r w:rsidR="00701082">
              <w:rPr>
                <w:noProof/>
                <w:webHidden/>
              </w:rPr>
              <w:fldChar w:fldCharType="separate"/>
            </w:r>
            <w:r w:rsidR="00701082">
              <w:rPr>
                <w:noProof/>
                <w:webHidden/>
              </w:rPr>
              <w:t>79</w:t>
            </w:r>
            <w:r w:rsidR="00701082">
              <w:rPr>
                <w:noProof/>
                <w:webHidden/>
              </w:rPr>
              <w:fldChar w:fldCharType="end"/>
            </w:r>
          </w:hyperlink>
        </w:p>
        <w:p w14:paraId="0CD2E5B0" w14:textId="56E6051A" w:rsidR="00701082" w:rsidRDefault="00077961">
          <w:pPr>
            <w:pStyle w:val="TOC2"/>
            <w:rPr>
              <w:noProof/>
            </w:rPr>
          </w:pPr>
          <w:hyperlink w:anchor="_Toc22052533" w:history="1">
            <w:r w:rsidR="00701082" w:rsidRPr="00F87648">
              <w:rPr>
                <w:rStyle w:val="af5"/>
                <w:b/>
                <w:noProof/>
              </w:rPr>
              <w:t xml:space="preserve">4.2 Analysis of the relationship between semi-empirical parameter: Mixing/formation enthalpy standard deviation, </w:t>
            </w:r>
            <w:r w:rsidR="00701082" w:rsidRPr="00F87648">
              <w:rPr>
                <w:rStyle w:val="af5"/>
                <w:b/>
                <w:i/>
                <w:noProof/>
              </w:rPr>
              <w:t>VEC</w:t>
            </w:r>
            <w:r w:rsidR="00701082" w:rsidRPr="00F87648">
              <w:rPr>
                <w:rStyle w:val="af5"/>
                <w:b/>
                <w:noProof/>
              </w:rPr>
              <w:t>.</w:t>
            </w:r>
            <w:r w:rsidR="00701082">
              <w:rPr>
                <w:noProof/>
                <w:webHidden/>
              </w:rPr>
              <w:tab/>
            </w:r>
            <w:r w:rsidR="00701082">
              <w:rPr>
                <w:noProof/>
                <w:webHidden/>
              </w:rPr>
              <w:fldChar w:fldCharType="begin"/>
            </w:r>
            <w:r w:rsidR="00701082">
              <w:rPr>
                <w:noProof/>
                <w:webHidden/>
              </w:rPr>
              <w:instrText xml:space="preserve"> PAGEREF _Toc22052533 \h </w:instrText>
            </w:r>
            <w:r w:rsidR="00701082">
              <w:rPr>
                <w:noProof/>
                <w:webHidden/>
              </w:rPr>
            </w:r>
            <w:r w:rsidR="00701082">
              <w:rPr>
                <w:noProof/>
                <w:webHidden/>
              </w:rPr>
              <w:fldChar w:fldCharType="separate"/>
            </w:r>
            <w:r w:rsidR="00701082">
              <w:rPr>
                <w:noProof/>
                <w:webHidden/>
              </w:rPr>
              <w:t>80</w:t>
            </w:r>
            <w:r w:rsidR="00701082">
              <w:rPr>
                <w:noProof/>
                <w:webHidden/>
              </w:rPr>
              <w:fldChar w:fldCharType="end"/>
            </w:r>
          </w:hyperlink>
        </w:p>
        <w:p w14:paraId="11C238A7" w14:textId="2618AEE2" w:rsidR="00701082" w:rsidRDefault="00077961">
          <w:pPr>
            <w:pStyle w:val="TOC2"/>
            <w:rPr>
              <w:noProof/>
            </w:rPr>
          </w:pPr>
          <w:hyperlink w:anchor="_Toc22052534" w:history="1">
            <w:r w:rsidR="00701082" w:rsidRPr="00F87648">
              <w:rPr>
                <w:rStyle w:val="af5"/>
                <w:b/>
                <w:noProof/>
              </w:rPr>
              <w:t>4.3 Phase constitution and mechanical performance of TiZrNbTa and TiZrHfTa.</w:t>
            </w:r>
            <w:r w:rsidR="00701082">
              <w:rPr>
                <w:noProof/>
                <w:webHidden/>
              </w:rPr>
              <w:tab/>
            </w:r>
            <w:r w:rsidR="00701082">
              <w:rPr>
                <w:noProof/>
                <w:webHidden/>
              </w:rPr>
              <w:fldChar w:fldCharType="begin"/>
            </w:r>
            <w:r w:rsidR="00701082">
              <w:rPr>
                <w:noProof/>
                <w:webHidden/>
              </w:rPr>
              <w:instrText xml:space="preserve"> PAGEREF _Toc22052534 \h </w:instrText>
            </w:r>
            <w:r w:rsidR="00701082">
              <w:rPr>
                <w:noProof/>
                <w:webHidden/>
              </w:rPr>
            </w:r>
            <w:r w:rsidR="00701082">
              <w:rPr>
                <w:noProof/>
                <w:webHidden/>
              </w:rPr>
              <w:fldChar w:fldCharType="separate"/>
            </w:r>
            <w:r w:rsidR="00701082">
              <w:rPr>
                <w:noProof/>
                <w:webHidden/>
              </w:rPr>
              <w:t>85</w:t>
            </w:r>
            <w:r w:rsidR="00701082">
              <w:rPr>
                <w:noProof/>
                <w:webHidden/>
              </w:rPr>
              <w:fldChar w:fldCharType="end"/>
            </w:r>
          </w:hyperlink>
        </w:p>
        <w:p w14:paraId="63041C7B" w14:textId="666A149F" w:rsidR="00701082" w:rsidRDefault="00077961">
          <w:pPr>
            <w:pStyle w:val="TOC2"/>
            <w:rPr>
              <w:noProof/>
            </w:rPr>
          </w:pPr>
          <w:hyperlink w:anchor="_Toc22052535" w:history="1">
            <w:r w:rsidR="00701082" w:rsidRPr="00F87648">
              <w:rPr>
                <w:rStyle w:val="af5"/>
                <w:b/>
                <w:noProof/>
              </w:rPr>
              <w:t>4.4 Discussion</w:t>
            </w:r>
            <w:r w:rsidR="00701082">
              <w:rPr>
                <w:noProof/>
                <w:webHidden/>
              </w:rPr>
              <w:tab/>
            </w:r>
            <w:r w:rsidR="00701082">
              <w:rPr>
                <w:noProof/>
                <w:webHidden/>
              </w:rPr>
              <w:fldChar w:fldCharType="begin"/>
            </w:r>
            <w:r w:rsidR="00701082">
              <w:rPr>
                <w:noProof/>
                <w:webHidden/>
              </w:rPr>
              <w:instrText xml:space="preserve"> PAGEREF _Toc22052535 \h </w:instrText>
            </w:r>
            <w:r w:rsidR="00701082">
              <w:rPr>
                <w:noProof/>
                <w:webHidden/>
              </w:rPr>
            </w:r>
            <w:r w:rsidR="00701082">
              <w:rPr>
                <w:noProof/>
                <w:webHidden/>
              </w:rPr>
              <w:fldChar w:fldCharType="separate"/>
            </w:r>
            <w:r w:rsidR="00701082">
              <w:rPr>
                <w:noProof/>
                <w:webHidden/>
              </w:rPr>
              <w:t>89</w:t>
            </w:r>
            <w:r w:rsidR="00701082">
              <w:rPr>
                <w:noProof/>
                <w:webHidden/>
              </w:rPr>
              <w:fldChar w:fldCharType="end"/>
            </w:r>
          </w:hyperlink>
        </w:p>
        <w:p w14:paraId="2FC59545" w14:textId="2885A1D1" w:rsidR="00701082" w:rsidRDefault="00077961">
          <w:pPr>
            <w:pStyle w:val="TOC2"/>
            <w:rPr>
              <w:noProof/>
            </w:rPr>
          </w:pPr>
          <w:hyperlink w:anchor="_Toc22052536" w:history="1">
            <w:r w:rsidR="00701082" w:rsidRPr="00F87648">
              <w:rPr>
                <w:rStyle w:val="af5"/>
                <w:b/>
                <w:noProof/>
              </w:rPr>
              <w:t>4.5 Conclusions</w:t>
            </w:r>
            <w:r w:rsidR="00701082">
              <w:rPr>
                <w:noProof/>
                <w:webHidden/>
              </w:rPr>
              <w:tab/>
            </w:r>
            <w:r w:rsidR="00701082">
              <w:rPr>
                <w:noProof/>
                <w:webHidden/>
              </w:rPr>
              <w:fldChar w:fldCharType="begin"/>
            </w:r>
            <w:r w:rsidR="00701082">
              <w:rPr>
                <w:noProof/>
                <w:webHidden/>
              </w:rPr>
              <w:instrText xml:space="preserve"> PAGEREF _Toc22052536 \h </w:instrText>
            </w:r>
            <w:r w:rsidR="00701082">
              <w:rPr>
                <w:noProof/>
                <w:webHidden/>
              </w:rPr>
            </w:r>
            <w:r w:rsidR="00701082">
              <w:rPr>
                <w:noProof/>
                <w:webHidden/>
              </w:rPr>
              <w:fldChar w:fldCharType="separate"/>
            </w:r>
            <w:r w:rsidR="00701082">
              <w:rPr>
                <w:noProof/>
                <w:webHidden/>
              </w:rPr>
              <w:t>91</w:t>
            </w:r>
            <w:r w:rsidR="00701082">
              <w:rPr>
                <w:noProof/>
                <w:webHidden/>
              </w:rPr>
              <w:fldChar w:fldCharType="end"/>
            </w:r>
          </w:hyperlink>
        </w:p>
        <w:p w14:paraId="49FC31D6" w14:textId="596EB526" w:rsidR="00701082" w:rsidRDefault="00077961">
          <w:pPr>
            <w:pStyle w:val="TOC2"/>
            <w:rPr>
              <w:noProof/>
            </w:rPr>
          </w:pPr>
          <w:hyperlink w:anchor="_Toc22052537" w:history="1">
            <w:r w:rsidR="00701082" w:rsidRPr="00F87648">
              <w:rPr>
                <w:rStyle w:val="af5"/>
                <w:b/>
                <w:noProof/>
              </w:rPr>
              <w:t>4.6 References</w:t>
            </w:r>
            <w:r w:rsidR="00701082">
              <w:rPr>
                <w:noProof/>
                <w:webHidden/>
              </w:rPr>
              <w:tab/>
            </w:r>
            <w:r w:rsidR="00701082">
              <w:rPr>
                <w:noProof/>
                <w:webHidden/>
              </w:rPr>
              <w:fldChar w:fldCharType="begin"/>
            </w:r>
            <w:r w:rsidR="00701082">
              <w:rPr>
                <w:noProof/>
                <w:webHidden/>
              </w:rPr>
              <w:instrText xml:space="preserve"> PAGEREF _Toc22052537 \h </w:instrText>
            </w:r>
            <w:r w:rsidR="00701082">
              <w:rPr>
                <w:noProof/>
                <w:webHidden/>
              </w:rPr>
            </w:r>
            <w:r w:rsidR="00701082">
              <w:rPr>
                <w:noProof/>
                <w:webHidden/>
              </w:rPr>
              <w:fldChar w:fldCharType="separate"/>
            </w:r>
            <w:r w:rsidR="00701082">
              <w:rPr>
                <w:noProof/>
                <w:webHidden/>
              </w:rPr>
              <w:t>93</w:t>
            </w:r>
            <w:r w:rsidR="00701082">
              <w:rPr>
                <w:noProof/>
                <w:webHidden/>
              </w:rPr>
              <w:fldChar w:fldCharType="end"/>
            </w:r>
          </w:hyperlink>
        </w:p>
        <w:p w14:paraId="6B10BA4D" w14:textId="39C9824A" w:rsidR="00701082" w:rsidRDefault="00077961">
          <w:pPr>
            <w:pStyle w:val="TOC1"/>
            <w:tabs>
              <w:tab w:val="right" w:leader="dot" w:pos="9350"/>
            </w:tabs>
            <w:rPr>
              <w:noProof/>
            </w:rPr>
          </w:pPr>
          <w:hyperlink w:anchor="_Toc22052538" w:history="1">
            <w:r w:rsidR="00701082" w:rsidRPr="00F87648">
              <w:rPr>
                <w:rStyle w:val="af5"/>
                <w:b/>
                <w:noProof/>
                <w:lang w:bidi="hi-IN"/>
              </w:rPr>
              <w:t>Chapter 5 Introduction of TWIP and TRIP effect into RHEAs by metastable engineering</w:t>
            </w:r>
            <w:r w:rsidR="00701082">
              <w:rPr>
                <w:noProof/>
                <w:webHidden/>
              </w:rPr>
              <w:tab/>
            </w:r>
            <w:r w:rsidR="00701082">
              <w:rPr>
                <w:noProof/>
                <w:webHidden/>
              </w:rPr>
              <w:fldChar w:fldCharType="begin"/>
            </w:r>
            <w:r w:rsidR="00701082">
              <w:rPr>
                <w:noProof/>
                <w:webHidden/>
              </w:rPr>
              <w:instrText xml:space="preserve"> PAGEREF _Toc22052538 \h </w:instrText>
            </w:r>
            <w:r w:rsidR="00701082">
              <w:rPr>
                <w:noProof/>
                <w:webHidden/>
              </w:rPr>
            </w:r>
            <w:r w:rsidR="00701082">
              <w:rPr>
                <w:noProof/>
                <w:webHidden/>
              </w:rPr>
              <w:fldChar w:fldCharType="separate"/>
            </w:r>
            <w:r w:rsidR="00701082">
              <w:rPr>
                <w:noProof/>
                <w:webHidden/>
              </w:rPr>
              <w:t>96</w:t>
            </w:r>
            <w:r w:rsidR="00701082">
              <w:rPr>
                <w:noProof/>
                <w:webHidden/>
              </w:rPr>
              <w:fldChar w:fldCharType="end"/>
            </w:r>
          </w:hyperlink>
        </w:p>
        <w:p w14:paraId="7BC81AD3" w14:textId="17056090" w:rsidR="00701082" w:rsidRDefault="00077961">
          <w:pPr>
            <w:pStyle w:val="TOC2"/>
            <w:rPr>
              <w:noProof/>
            </w:rPr>
          </w:pPr>
          <w:hyperlink w:anchor="_Toc22052539" w:history="1">
            <w:r w:rsidR="00701082" w:rsidRPr="00F87648">
              <w:rPr>
                <w:rStyle w:val="af5"/>
                <w:b/>
                <w:noProof/>
                <w:lang w:bidi="hi-IN"/>
              </w:rPr>
              <w:t>5.1 Preface</w:t>
            </w:r>
            <w:r w:rsidR="00701082">
              <w:rPr>
                <w:noProof/>
                <w:webHidden/>
              </w:rPr>
              <w:tab/>
            </w:r>
            <w:r w:rsidR="00701082">
              <w:rPr>
                <w:noProof/>
                <w:webHidden/>
              </w:rPr>
              <w:fldChar w:fldCharType="begin"/>
            </w:r>
            <w:r w:rsidR="00701082">
              <w:rPr>
                <w:noProof/>
                <w:webHidden/>
              </w:rPr>
              <w:instrText xml:space="preserve"> PAGEREF _Toc22052539 \h </w:instrText>
            </w:r>
            <w:r w:rsidR="00701082">
              <w:rPr>
                <w:noProof/>
                <w:webHidden/>
              </w:rPr>
            </w:r>
            <w:r w:rsidR="00701082">
              <w:rPr>
                <w:noProof/>
                <w:webHidden/>
              </w:rPr>
              <w:fldChar w:fldCharType="separate"/>
            </w:r>
            <w:r w:rsidR="00701082">
              <w:rPr>
                <w:noProof/>
                <w:webHidden/>
              </w:rPr>
              <w:t>96</w:t>
            </w:r>
            <w:r w:rsidR="00701082">
              <w:rPr>
                <w:noProof/>
                <w:webHidden/>
              </w:rPr>
              <w:fldChar w:fldCharType="end"/>
            </w:r>
          </w:hyperlink>
        </w:p>
        <w:p w14:paraId="46B9FE6C" w14:textId="5BFF6302" w:rsidR="00701082" w:rsidRDefault="00077961">
          <w:pPr>
            <w:pStyle w:val="TOC2"/>
            <w:rPr>
              <w:noProof/>
            </w:rPr>
          </w:pPr>
          <w:hyperlink w:anchor="_Toc22052540" w:history="1">
            <w:r w:rsidR="00701082" w:rsidRPr="00F87648">
              <w:rPr>
                <w:rStyle w:val="af5"/>
                <w:b/>
                <w:noProof/>
                <w:lang w:bidi="hi-IN"/>
              </w:rPr>
              <w:t>5.2 Phase constitution and mechanical performance of TiZrHfTa</w:t>
            </w:r>
            <w:r w:rsidR="00701082" w:rsidRPr="00F87648">
              <w:rPr>
                <w:rStyle w:val="af5"/>
                <w:b/>
                <w:noProof/>
                <w:vertAlign w:val="subscript"/>
                <w:lang w:bidi="hi-IN"/>
              </w:rPr>
              <w:t>x(x=0.5-1.0)</w:t>
            </w:r>
            <w:r w:rsidR="00701082">
              <w:rPr>
                <w:noProof/>
                <w:webHidden/>
              </w:rPr>
              <w:tab/>
            </w:r>
            <w:r w:rsidR="00701082">
              <w:rPr>
                <w:noProof/>
                <w:webHidden/>
              </w:rPr>
              <w:fldChar w:fldCharType="begin"/>
            </w:r>
            <w:r w:rsidR="00701082">
              <w:rPr>
                <w:noProof/>
                <w:webHidden/>
              </w:rPr>
              <w:instrText xml:space="preserve"> PAGEREF _Toc22052540 \h </w:instrText>
            </w:r>
            <w:r w:rsidR="00701082">
              <w:rPr>
                <w:noProof/>
                <w:webHidden/>
              </w:rPr>
            </w:r>
            <w:r w:rsidR="00701082">
              <w:rPr>
                <w:noProof/>
                <w:webHidden/>
              </w:rPr>
              <w:fldChar w:fldCharType="separate"/>
            </w:r>
            <w:r w:rsidR="00701082">
              <w:rPr>
                <w:noProof/>
                <w:webHidden/>
              </w:rPr>
              <w:t>98</w:t>
            </w:r>
            <w:r w:rsidR="00701082">
              <w:rPr>
                <w:noProof/>
                <w:webHidden/>
              </w:rPr>
              <w:fldChar w:fldCharType="end"/>
            </w:r>
          </w:hyperlink>
        </w:p>
        <w:p w14:paraId="6862531E" w14:textId="339D9220" w:rsidR="00701082" w:rsidRDefault="00077961">
          <w:pPr>
            <w:pStyle w:val="TOC2"/>
            <w:rPr>
              <w:noProof/>
            </w:rPr>
          </w:pPr>
          <w:hyperlink w:anchor="_Toc22052541" w:history="1">
            <w:r w:rsidR="00701082" w:rsidRPr="00F87648">
              <w:rPr>
                <w:rStyle w:val="af5"/>
                <w:b/>
                <w:noProof/>
                <w:lang w:bidi="hi-IN"/>
              </w:rPr>
              <w:t>5.3 Deformation mechanism evolution of TiZrHfTa</w:t>
            </w:r>
            <w:r w:rsidR="00701082" w:rsidRPr="00F87648">
              <w:rPr>
                <w:rStyle w:val="af5"/>
                <w:b/>
                <w:noProof/>
                <w:vertAlign w:val="subscript"/>
                <w:lang w:bidi="hi-IN"/>
              </w:rPr>
              <w:t>x(x=0.5,0.7,0.9)</w:t>
            </w:r>
            <w:r w:rsidR="00701082">
              <w:rPr>
                <w:noProof/>
                <w:webHidden/>
              </w:rPr>
              <w:tab/>
            </w:r>
            <w:r w:rsidR="00701082">
              <w:rPr>
                <w:noProof/>
                <w:webHidden/>
              </w:rPr>
              <w:fldChar w:fldCharType="begin"/>
            </w:r>
            <w:r w:rsidR="00701082">
              <w:rPr>
                <w:noProof/>
                <w:webHidden/>
              </w:rPr>
              <w:instrText xml:space="preserve"> PAGEREF _Toc22052541 \h </w:instrText>
            </w:r>
            <w:r w:rsidR="00701082">
              <w:rPr>
                <w:noProof/>
                <w:webHidden/>
              </w:rPr>
            </w:r>
            <w:r w:rsidR="00701082">
              <w:rPr>
                <w:noProof/>
                <w:webHidden/>
              </w:rPr>
              <w:fldChar w:fldCharType="separate"/>
            </w:r>
            <w:r w:rsidR="00701082">
              <w:rPr>
                <w:noProof/>
                <w:webHidden/>
              </w:rPr>
              <w:t>101</w:t>
            </w:r>
            <w:r w:rsidR="00701082">
              <w:rPr>
                <w:noProof/>
                <w:webHidden/>
              </w:rPr>
              <w:fldChar w:fldCharType="end"/>
            </w:r>
          </w:hyperlink>
        </w:p>
        <w:p w14:paraId="1F1B9698" w14:textId="30A8572D" w:rsidR="00701082" w:rsidRDefault="00077961">
          <w:pPr>
            <w:pStyle w:val="TOC2"/>
            <w:rPr>
              <w:noProof/>
            </w:rPr>
          </w:pPr>
          <w:hyperlink w:anchor="_Toc22052542" w:history="1">
            <w:r w:rsidR="00701082" w:rsidRPr="00F87648">
              <w:rPr>
                <w:rStyle w:val="af5"/>
                <w:b/>
                <w:noProof/>
                <w:lang w:bidi="hi-IN"/>
              </w:rPr>
              <w:t>5.4 Discussion</w:t>
            </w:r>
            <w:r w:rsidR="00701082">
              <w:rPr>
                <w:noProof/>
                <w:webHidden/>
              </w:rPr>
              <w:tab/>
            </w:r>
            <w:r w:rsidR="00701082">
              <w:rPr>
                <w:noProof/>
                <w:webHidden/>
              </w:rPr>
              <w:fldChar w:fldCharType="begin"/>
            </w:r>
            <w:r w:rsidR="00701082">
              <w:rPr>
                <w:noProof/>
                <w:webHidden/>
              </w:rPr>
              <w:instrText xml:space="preserve"> PAGEREF _Toc22052542 \h </w:instrText>
            </w:r>
            <w:r w:rsidR="00701082">
              <w:rPr>
                <w:noProof/>
                <w:webHidden/>
              </w:rPr>
            </w:r>
            <w:r w:rsidR="00701082">
              <w:rPr>
                <w:noProof/>
                <w:webHidden/>
              </w:rPr>
              <w:fldChar w:fldCharType="separate"/>
            </w:r>
            <w:r w:rsidR="00701082">
              <w:rPr>
                <w:noProof/>
                <w:webHidden/>
              </w:rPr>
              <w:t>117</w:t>
            </w:r>
            <w:r w:rsidR="00701082">
              <w:rPr>
                <w:noProof/>
                <w:webHidden/>
              </w:rPr>
              <w:fldChar w:fldCharType="end"/>
            </w:r>
          </w:hyperlink>
        </w:p>
        <w:p w14:paraId="006CFFE4" w14:textId="0029C221" w:rsidR="00701082" w:rsidRDefault="00077961">
          <w:pPr>
            <w:pStyle w:val="TOC2"/>
            <w:rPr>
              <w:noProof/>
            </w:rPr>
          </w:pPr>
          <w:hyperlink w:anchor="_Toc22052543" w:history="1">
            <w:r w:rsidR="00701082" w:rsidRPr="00F87648">
              <w:rPr>
                <w:rStyle w:val="af5"/>
                <w:b/>
                <w:noProof/>
                <w:lang w:bidi="hi-IN"/>
              </w:rPr>
              <w:t>5.5 Conclusions</w:t>
            </w:r>
            <w:r w:rsidR="00701082">
              <w:rPr>
                <w:noProof/>
                <w:webHidden/>
              </w:rPr>
              <w:tab/>
            </w:r>
            <w:r w:rsidR="00701082">
              <w:rPr>
                <w:noProof/>
                <w:webHidden/>
              </w:rPr>
              <w:fldChar w:fldCharType="begin"/>
            </w:r>
            <w:r w:rsidR="00701082">
              <w:rPr>
                <w:noProof/>
                <w:webHidden/>
              </w:rPr>
              <w:instrText xml:space="preserve"> PAGEREF _Toc22052543 \h </w:instrText>
            </w:r>
            <w:r w:rsidR="00701082">
              <w:rPr>
                <w:noProof/>
                <w:webHidden/>
              </w:rPr>
            </w:r>
            <w:r w:rsidR="00701082">
              <w:rPr>
                <w:noProof/>
                <w:webHidden/>
              </w:rPr>
              <w:fldChar w:fldCharType="separate"/>
            </w:r>
            <w:r w:rsidR="00701082">
              <w:rPr>
                <w:noProof/>
                <w:webHidden/>
              </w:rPr>
              <w:t>118</w:t>
            </w:r>
            <w:r w:rsidR="00701082">
              <w:rPr>
                <w:noProof/>
                <w:webHidden/>
              </w:rPr>
              <w:fldChar w:fldCharType="end"/>
            </w:r>
          </w:hyperlink>
        </w:p>
        <w:p w14:paraId="70A189EB" w14:textId="69344B1A" w:rsidR="00701082" w:rsidRDefault="00077961">
          <w:pPr>
            <w:pStyle w:val="TOC2"/>
            <w:rPr>
              <w:noProof/>
            </w:rPr>
          </w:pPr>
          <w:hyperlink w:anchor="_Toc22052544" w:history="1">
            <w:r w:rsidR="00701082" w:rsidRPr="00F87648">
              <w:rPr>
                <w:rStyle w:val="af5"/>
                <w:b/>
                <w:noProof/>
                <w:lang w:bidi="hi-IN"/>
              </w:rPr>
              <w:t>5.6 References</w:t>
            </w:r>
            <w:r w:rsidR="00701082">
              <w:rPr>
                <w:noProof/>
                <w:webHidden/>
              </w:rPr>
              <w:tab/>
            </w:r>
            <w:r w:rsidR="00701082">
              <w:rPr>
                <w:noProof/>
                <w:webHidden/>
              </w:rPr>
              <w:fldChar w:fldCharType="begin"/>
            </w:r>
            <w:r w:rsidR="00701082">
              <w:rPr>
                <w:noProof/>
                <w:webHidden/>
              </w:rPr>
              <w:instrText xml:space="preserve"> PAGEREF _Toc22052544 \h </w:instrText>
            </w:r>
            <w:r w:rsidR="00701082">
              <w:rPr>
                <w:noProof/>
                <w:webHidden/>
              </w:rPr>
            </w:r>
            <w:r w:rsidR="00701082">
              <w:rPr>
                <w:noProof/>
                <w:webHidden/>
              </w:rPr>
              <w:fldChar w:fldCharType="separate"/>
            </w:r>
            <w:r w:rsidR="00701082">
              <w:rPr>
                <w:noProof/>
                <w:webHidden/>
              </w:rPr>
              <w:t>120</w:t>
            </w:r>
            <w:r w:rsidR="00701082">
              <w:rPr>
                <w:noProof/>
                <w:webHidden/>
              </w:rPr>
              <w:fldChar w:fldCharType="end"/>
            </w:r>
          </w:hyperlink>
        </w:p>
        <w:p w14:paraId="0034F024" w14:textId="17775CF9" w:rsidR="00701082" w:rsidRDefault="00077961">
          <w:pPr>
            <w:pStyle w:val="TOC1"/>
            <w:tabs>
              <w:tab w:val="right" w:leader="dot" w:pos="9350"/>
            </w:tabs>
            <w:rPr>
              <w:noProof/>
            </w:rPr>
          </w:pPr>
          <w:hyperlink w:anchor="_Toc22052545" w:history="1">
            <w:r w:rsidR="00701082" w:rsidRPr="00F87648">
              <w:rPr>
                <w:rStyle w:val="af5"/>
                <w:b/>
                <w:noProof/>
                <w:lang w:bidi="hi-IN"/>
              </w:rPr>
              <w:t>Chapter.6 Transformation twinning induced plasticity</w:t>
            </w:r>
            <w:r w:rsidR="00701082">
              <w:rPr>
                <w:noProof/>
                <w:webHidden/>
              </w:rPr>
              <w:tab/>
            </w:r>
            <w:r w:rsidR="00701082">
              <w:rPr>
                <w:noProof/>
                <w:webHidden/>
              </w:rPr>
              <w:fldChar w:fldCharType="begin"/>
            </w:r>
            <w:r w:rsidR="00701082">
              <w:rPr>
                <w:noProof/>
                <w:webHidden/>
              </w:rPr>
              <w:instrText xml:space="preserve"> PAGEREF _Toc22052545 \h </w:instrText>
            </w:r>
            <w:r w:rsidR="00701082">
              <w:rPr>
                <w:noProof/>
                <w:webHidden/>
              </w:rPr>
            </w:r>
            <w:r w:rsidR="00701082">
              <w:rPr>
                <w:noProof/>
                <w:webHidden/>
              </w:rPr>
              <w:fldChar w:fldCharType="separate"/>
            </w:r>
            <w:r w:rsidR="00701082">
              <w:rPr>
                <w:noProof/>
                <w:webHidden/>
              </w:rPr>
              <w:t>124</w:t>
            </w:r>
            <w:r w:rsidR="00701082">
              <w:rPr>
                <w:noProof/>
                <w:webHidden/>
              </w:rPr>
              <w:fldChar w:fldCharType="end"/>
            </w:r>
          </w:hyperlink>
        </w:p>
        <w:p w14:paraId="09ED4629" w14:textId="0F7832D1" w:rsidR="00701082" w:rsidRDefault="00077961">
          <w:pPr>
            <w:pStyle w:val="TOC2"/>
            <w:rPr>
              <w:noProof/>
            </w:rPr>
          </w:pPr>
          <w:hyperlink w:anchor="_Toc22052546" w:history="1">
            <w:r w:rsidR="00701082" w:rsidRPr="00F87648">
              <w:rPr>
                <w:rStyle w:val="af5"/>
                <w:b/>
                <w:noProof/>
                <w:lang w:bidi="hi-IN"/>
              </w:rPr>
              <w:t>6.1 Preface</w:t>
            </w:r>
            <w:r w:rsidR="00701082">
              <w:rPr>
                <w:noProof/>
                <w:webHidden/>
              </w:rPr>
              <w:tab/>
            </w:r>
            <w:r w:rsidR="00701082">
              <w:rPr>
                <w:noProof/>
                <w:webHidden/>
              </w:rPr>
              <w:fldChar w:fldCharType="begin"/>
            </w:r>
            <w:r w:rsidR="00701082">
              <w:rPr>
                <w:noProof/>
                <w:webHidden/>
              </w:rPr>
              <w:instrText xml:space="preserve"> PAGEREF _Toc22052546 \h </w:instrText>
            </w:r>
            <w:r w:rsidR="00701082">
              <w:rPr>
                <w:noProof/>
                <w:webHidden/>
              </w:rPr>
            </w:r>
            <w:r w:rsidR="00701082">
              <w:rPr>
                <w:noProof/>
                <w:webHidden/>
              </w:rPr>
              <w:fldChar w:fldCharType="separate"/>
            </w:r>
            <w:r w:rsidR="00701082">
              <w:rPr>
                <w:noProof/>
                <w:webHidden/>
              </w:rPr>
              <w:t>124</w:t>
            </w:r>
            <w:r w:rsidR="00701082">
              <w:rPr>
                <w:noProof/>
                <w:webHidden/>
              </w:rPr>
              <w:fldChar w:fldCharType="end"/>
            </w:r>
          </w:hyperlink>
        </w:p>
        <w:p w14:paraId="6EA94565" w14:textId="1C3E9F6A" w:rsidR="00701082" w:rsidRDefault="00077961">
          <w:pPr>
            <w:pStyle w:val="TOC2"/>
            <w:rPr>
              <w:noProof/>
            </w:rPr>
          </w:pPr>
          <w:hyperlink w:anchor="_Toc22052547" w:history="1">
            <w:r w:rsidR="00701082" w:rsidRPr="00F87648">
              <w:rPr>
                <w:rStyle w:val="af5"/>
                <w:b/>
                <w:noProof/>
                <w:lang w:bidi="hi-IN"/>
              </w:rPr>
              <w:t>6.2 General solution of potential lattice invariant strain (LIS) type SA twinning and mechanical twinning in orthorhombic martensite</w:t>
            </w:r>
            <w:r w:rsidR="00701082">
              <w:rPr>
                <w:noProof/>
                <w:webHidden/>
              </w:rPr>
              <w:tab/>
            </w:r>
            <w:r w:rsidR="00701082">
              <w:rPr>
                <w:noProof/>
                <w:webHidden/>
              </w:rPr>
              <w:fldChar w:fldCharType="begin"/>
            </w:r>
            <w:r w:rsidR="00701082">
              <w:rPr>
                <w:noProof/>
                <w:webHidden/>
              </w:rPr>
              <w:instrText xml:space="preserve"> PAGEREF _Toc22052547 \h </w:instrText>
            </w:r>
            <w:r w:rsidR="00701082">
              <w:rPr>
                <w:noProof/>
                <w:webHidden/>
              </w:rPr>
            </w:r>
            <w:r w:rsidR="00701082">
              <w:rPr>
                <w:noProof/>
                <w:webHidden/>
              </w:rPr>
              <w:fldChar w:fldCharType="separate"/>
            </w:r>
            <w:r w:rsidR="00701082">
              <w:rPr>
                <w:noProof/>
                <w:webHidden/>
              </w:rPr>
              <w:t>125</w:t>
            </w:r>
            <w:r w:rsidR="00701082">
              <w:rPr>
                <w:noProof/>
                <w:webHidden/>
              </w:rPr>
              <w:fldChar w:fldCharType="end"/>
            </w:r>
          </w:hyperlink>
        </w:p>
        <w:p w14:paraId="6ED82C3D" w14:textId="028BEDEA" w:rsidR="00701082" w:rsidRDefault="00077961">
          <w:pPr>
            <w:pStyle w:val="TOC2"/>
            <w:rPr>
              <w:noProof/>
            </w:rPr>
          </w:pPr>
          <w:hyperlink w:anchor="_Toc22052548" w:history="1">
            <w:r w:rsidR="00701082" w:rsidRPr="00F87648">
              <w:rPr>
                <w:rStyle w:val="af5"/>
                <w:b/>
                <w:noProof/>
                <w:lang w:bidi="hi-IN"/>
              </w:rPr>
              <w:t>6.3 Identification of TTIP twinning modes and potential shuffle mechanisms</w:t>
            </w:r>
            <w:r w:rsidR="00701082">
              <w:rPr>
                <w:noProof/>
                <w:webHidden/>
              </w:rPr>
              <w:tab/>
            </w:r>
            <w:r w:rsidR="00701082">
              <w:rPr>
                <w:noProof/>
                <w:webHidden/>
              </w:rPr>
              <w:fldChar w:fldCharType="begin"/>
            </w:r>
            <w:r w:rsidR="00701082">
              <w:rPr>
                <w:noProof/>
                <w:webHidden/>
              </w:rPr>
              <w:instrText xml:space="preserve"> PAGEREF _Toc22052548 \h </w:instrText>
            </w:r>
            <w:r w:rsidR="00701082">
              <w:rPr>
                <w:noProof/>
                <w:webHidden/>
              </w:rPr>
            </w:r>
            <w:r w:rsidR="00701082">
              <w:rPr>
                <w:noProof/>
                <w:webHidden/>
              </w:rPr>
              <w:fldChar w:fldCharType="separate"/>
            </w:r>
            <w:r w:rsidR="00701082">
              <w:rPr>
                <w:noProof/>
                <w:webHidden/>
              </w:rPr>
              <w:t>132</w:t>
            </w:r>
            <w:r w:rsidR="00701082">
              <w:rPr>
                <w:noProof/>
                <w:webHidden/>
              </w:rPr>
              <w:fldChar w:fldCharType="end"/>
            </w:r>
          </w:hyperlink>
        </w:p>
        <w:p w14:paraId="76261B1D" w14:textId="26722A7E" w:rsidR="00701082" w:rsidRDefault="00077961">
          <w:pPr>
            <w:pStyle w:val="TOC2"/>
            <w:rPr>
              <w:noProof/>
            </w:rPr>
          </w:pPr>
          <w:hyperlink w:anchor="_Toc22052549" w:history="1">
            <w:r w:rsidR="00701082" w:rsidRPr="00F87648">
              <w:rPr>
                <w:rStyle w:val="af5"/>
                <w:b/>
                <w:noProof/>
                <w:lang w:bidi="hi-IN"/>
              </w:rPr>
              <w:t>6.4 Discussion and conclusions</w:t>
            </w:r>
            <w:r w:rsidR="00701082">
              <w:rPr>
                <w:noProof/>
                <w:webHidden/>
              </w:rPr>
              <w:tab/>
            </w:r>
            <w:r w:rsidR="00701082">
              <w:rPr>
                <w:noProof/>
                <w:webHidden/>
              </w:rPr>
              <w:fldChar w:fldCharType="begin"/>
            </w:r>
            <w:r w:rsidR="00701082">
              <w:rPr>
                <w:noProof/>
                <w:webHidden/>
              </w:rPr>
              <w:instrText xml:space="preserve"> PAGEREF _Toc22052549 \h </w:instrText>
            </w:r>
            <w:r w:rsidR="00701082">
              <w:rPr>
                <w:noProof/>
                <w:webHidden/>
              </w:rPr>
            </w:r>
            <w:r w:rsidR="00701082">
              <w:rPr>
                <w:noProof/>
                <w:webHidden/>
              </w:rPr>
              <w:fldChar w:fldCharType="separate"/>
            </w:r>
            <w:r w:rsidR="00701082">
              <w:rPr>
                <w:noProof/>
                <w:webHidden/>
              </w:rPr>
              <w:t>136</w:t>
            </w:r>
            <w:r w:rsidR="00701082">
              <w:rPr>
                <w:noProof/>
                <w:webHidden/>
              </w:rPr>
              <w:fldChar w:fldCharType="end"/>
            </w:r>
          </w:hyperlink>
        </w:p>
        <w:p w14:paraId="2EEB2A96" w14:textId="56E9511E" w:rsidR="00701082" w:rsidRDefault="00077961">
          <w:pPr>
            <w:pStyle w:val="TOC2"/>
            <w:rPr>
              <w:noProof/>
            </w:rPr>
          </w:pPr>
          <w:hyperlink w:anchor="_Toc22052550" w:history="1">
            <w:r w:rsidR="00701082" w:rsidRPr="00F87648">
              <w:rPr>
                <w:rStyle w:val="af5"/>
                <w:b/>
                <w:noProof/>
                <w:lang w:bidi="hi-IN"/>
              </w:rPr>
              <w:t>6.5 References</w:t>
            </w:r>
            <w:r w:rsidR="00701082">
              <w:rPr>
                <w:noProof/>
                <w:webHidden/>
              </w:rPr>
              <w:tab/>
            </w:r>
            <w:r w:rsidR="00701082">
              <w:rPr>
                <w:noProof/>
                <w:webHidden/>
              </w:rPr>
              <w:fldChar w:fldCharType="begin"/>
            </w:r>
            <w:r w:rsidR="00701082">
              <w:rPr>
                <w:noProof/>
                <w:webHidden/>
              </w:rPr>
              <w:instrText xml:space="preserve"> PAGEREF _Toc22052550 \h </w:instrText>
            </w:r>
            <w:r w:rsidR="00701082">
              <w:rPr>
                <w:noProof/>
                <w:webHidden/>
              </w:rPr>
            </w:r>
            <w:r w:rsidR="00701082">
              <w:rPr>
                <w:noProof/>
                <w:webHidden/>
              </w:rPr>
              <w:fldChar w:fldCharType="separate"/>
            </w:r>
            <w:r w:rsidR="00701082">
              <w:rPr>
                <w:noProof/>
                <w:webHidden/>
              </w:rPr>
              <w:t>139</w:t>
            </w:r>
            <w:r w:rsidR="00701082">
              <w:rPr>
                <w:noProof/>
                <w:webHidden/>
              </w:rPr>
              <w:fldChar w:fldCharType="end"/>
            </w:r>
          </w:hyperlink>
        </w:p>
        <w:p w14:paraId="0ECD8A7F" w14:textId="59F05F10" w:rsidR="00701082" w:rsidRDefault="00077961">
          <w:pPr>
            <w:pStyle w:val="TOC1"/>
            <w:tabs>
              <w:tab w:val="right" w:leader="dot" w:pos="9350"/>
            </w:tabs>
            <w:rPr>
              <w:noProof/>
            </w:rPr>
          </w:pPr>
          <w:hyperlink w:anchor="_Toc22052551" w:history="1">
            <w:r w:rsidR="00701082" w:rsidRPr="00F87648">
              <w:rPr>
                <w:rStyle w:val="af5"/>
                <w:b/>
                <w:noProof/>
                <w:lang w:bidi="hi-IN"/>
              </w:rPr>
              <w:t>Chapter.7 TTIP effect in (TiZrHf)</w:t>
            </w:r>
            <w:r w:rsidR="00701082" w:rsidRPr="00F87648">
              <w:rPr>
                <w:rStyle w:val="af5"/>
                <w:b/>
                <w:noProof/>
                <w:vertAlign w:val="subscript"/>
                <w:lang w:bidi="hi-IN"/>
              </w:rPr>
              <w:t>87</w:t>
            </w:r>
            <w:r w:rsidR="00701082" w:rsidRPr="00F87648">
              <w:rPr>
                <w:rStyle w:val="af5"/>
                <w:b/>
                <w:noProof/>
                <w:lang w:bidi="hi-IN"/>
              </w:rPr>
              <w:t>Ta</w:t>
            </w:r>
            <w:r w:rsidR="00701082" w:rsidRPr="00F87648">
              <w:rPr>
                <w:rStyle w:val="af5"/>
                <w:b/>
                <w:noProof/>
                <w:vertAlign w:val="subscript"/>
                <w:lang w:bidi="hi-IN"/>
              </w:rPr>
              <w:t>13</w:t>
            </w:r>
            <w:r w:rsidR="00701082">
              <w:rPr>
                <w:noProof/>
                <w:webHidden/>
              </w:rPr>
              <w:tab/>
            </w:r>
            <w:r w:rsidR="00701082">
              <w:rPr>
                <w:noProof/>
                <w:webHidden/>
              </w:rPr>
              <w:fldChar w:fldCharType="begin"/>
            </w:r>
            <w:r w:rsidR="00701082">
              <w:rPr>
                <w:noProof/>
                <w:webHidden/>
              </w:rPr>
              <w:instrText xml:space="preserve"> PAGEREF _Toc22052551 \h </w:instrText>
            </w:r>
            <w:r w:rsidR="00701082">
              <w:rPr>
                <w:noProof/>
                <w:webHidden/>
              </w:rPr>
            </w:r>
            <w:r w:rsidR="00701082">
              <w:rPr>
                <w:noProof/>
                <w:webHidden/>
              </w:rPr>
              <w:fldChar w:fldCharType="separate"/>
            </w:r>
            <w:r w:rsidR="00701082">
              <w:rPr>
                <w:noProof/>
                <w:webHidden/>
              </w:rPr>
              <w:t>141</w:t>
            </w:r>
            <w:r w:rsidR="00701082">
              <w:rPr>
                <w:noProof/>
                <w:webHidden/>
              </w:rPr>
              <w:fldChar w:fldCharType="end"/>
            </w:r>
          </w:hyperlink>
        </w:p>
        <w:p w14:paraId="7E46E0FB" w14:textId="0ADC4DC7" w:rsidR="00701082" w:rsidRDefault="00077961">
          <w:pPr>
            <w:pStyle w:val="TOC2"/>
            <w:rPr>
              <w:noProof/>
            </w:rPr>
          </w:pPr>
          <w:hyperlink w:anchor="_Toc22052552" w:history="1">
            <w:r w:rsidR="00701082" w:rsidRPr="00F87648">
              <w:rPr>
                <w:rStyle w:val="af5"/>
                <w:b/>
                <w:noProof/>
                <w:lang w:bidi="hi-IN"/>
              </w:rPr>
              <w:t>7.1 Preface</w:t>
            </w:r>
            <w:r w:rsidR="00701082">
              <w:rPr>
                <w:noProof/>
                <w:webHidden/>
              </w:rPr>
              <w:tab/>
            </w:r>
            <w:r w:rsidR="00701082">
              <w:rPr>
                <w:noProof/>
                <w:webHidden/>
              </w:rPr>
              <w:fldChar w:fldCharType="begin"/>
            </w:r>
            <w:r w:rsidR="00701082">
              <w:rPr>
                <w:noProof/>
                <w:webHidden/>
              </w:rPr>
              <w:instrText xml:space="preserve"> PAGEREF _Toc22052552 \h </w:instrText>
            </w:r>
            <w:r w:rsidR="00701082">
              <w:rPr>
                <w:noProof/>
                <w:webHidden/>
              </w:rPr>
            </w:r>
            <w:r w:rsidR="00701082">
              <w:rPr>
                <w:noProof/>
                <w:webHidden/>
              </w:rPr>
              <w:fldChar w:fldCharType="separate"/>
            </w:r>
            <w:r w:rsidR="00701082">
              <w:rPr>
                <w:noProof/>
                <w:webHidden/>
              </w:rPr>
              <w:t>141</w:t>
            </w:r>
            <w:r w:rsidR="00701082">
              <w:rPr>
                <w:noProof/>
                <w:webHidden/>
              </w:rPr>
              <w:fldChar w:fldCharType="end"/>
            </w:r>
          </w:hyperlink>
        </w:p>
        <w:p w14:paraId="0031FBE4" w14:textId="0170EDAE" w:rsidR="00701082" w:rsidRDefault="00077961">
          <w:pPr>
            <w:pStyle w:val="TOC2"/>
            <w:rPr>
              <w:noProof/>
            </w:rPr>
          </w:pPr>
          <w:hyperlink w:anchor="_Toc22052553" w:history="1">
            <w:r w:rsidR="00701082" w:rsidRPr="00F87648">
              <w:rPr>
                <w:rStyle w:val="af5"/>
                <w:b/>
                <w:noProof/>
                <w:lang w:bidi="hi-IN"/>
              </w:rPr>
              <w:t>7.2 Mechanical response and microstructure evolution</w:t>
            </w:r>
            <w:r w:rsidR="00701082">
              <w:rPr>
                <w:noProof/>
                <w:webHidden/>
              </w:rPr>
              <w:tab/>
            </w:r>
            <w:r w:rsidR="00701082">
              <w:rPr>
                <w:noProof/>
                <w:webHidden/>
              </w:rPr>
              <w:fldChar w:fldCharType="begin"/>
            </w:r>
            <w:r w:rsidR="00701082">
              <w:rPr>
                <w:noProof/>
                <w:webHidden/>
              </w:rPr>
              <w:instrText xml:space="preserve"> PAGEREF _Toc22052553 \h </w:instrText>
            </w:r>
            <w:r w:rsidR="00701082">
              <w:rPr>
                <w:noProof/>
                <w:webHidden/>
              </w:rPr>
            </w:r>
            <w:r w:rsidR="00701082">
              <w:rPr>
                <w:noProof/>
                <w:webHidden/>
              </w:rPr>
              <w:fldChar w:fldCharType="separate"/>
            </w:r>
            <w:r w:rsidR="00701082">
              <w:rPr>
                <w:noProof/>
                <w:webHidden/>
              </w:rPr>
              <w:t>143</w:t>
            </w:r>
            <w:r w:rsidR="00701082">
              <w:rPr>
                <w:noProof/>
                <w:webHidden/>
              </w:rPr>
              <w:fldChar w:fldCharType="end"/>
            </w:r>
          </w:hyperlink>
        </w:p>
        <w:p w14:paraId="1899134D" w14:textId="1A91ACED" w:rsidR="00701082" w:rsidRDefault="00077961">
          <w:pPr>
            <w:pStyle w:val="TOC2"/>
            <w:rPr>
              <w:noProof/>
            </w:rPr>
          </w:pPr>
          <w:hyperlink w:anchor="_Toc22052554" w:history="1">
            <w:r w:rsidR="00701082" w:rsidRPr="00F87648">
              <w:rPr>
                <w:rStyle w:val="af5"/>
                <w:b/>
                <w:noProof/>
                <w:lang w:bidi="hi-IN"/>
              </w:rPr>
              <w:t>7.3 Deformation mechanism evolution</w:t>
            </w:r>
            <w:r w:rsidR="00701082">
              <w:rPr>
                <w:noProof/>
                <w:webHidden/>
              </w:rPr>
              <w:tab/>
            </w:r>
            <w:r w:rsidR="00701082">
              <w:rPr>
                <w:noProof/>
                <w:webHidden/>
              </w:rPr>
              <w:fldChar w:fldCharType="begin"/>
            </w:r>
            <w:r w:rsidR="00701082">
              <w:rPr>
                <w:noProof/>
                <w:webHidden/>
              </w:rPr>
              <w:instrText xml:space="preserve"> PAGEREF _Toc22052554 \h </w:instrText>
            </w:r>
            <w:r w:rsidR="00701082">
              <w:rPr>
                <w:noProof/>
                <w:webHidden/>
              </w:rPr>
            </w:r>
            <w:r w:rsidR="00701082">
              <w:rPr>
                <w:noProof/>
                <w:webHidden/>
              </w:rPr>
              <w:fldChar w:fldCharType="separate"/>
            </w:r>
            <w:r w:rsidR="00701082">
              <w:rPr>
                <w:noProof/>
                <w:webHidden/>
              </w:rPr>
              <w:t>147</w:t>
            </w:r>
            <w:r w:rsidR="00701082">
              <w:rPr>
                <w:noProof/>
                <w:webHidden/>
              </w:rPr>
              <w:fldChar w:fldCharType="end"/>
            </w:r>
          </w:hyperlink>
        </w:p>
        <w:p w14:paraId="438630AA" w14:textId="7A866D6A" w:rsidR="00701082" w:rsidRDefault="00077961">
          <w:pPr>
            <w:pStyle w:val="TOC3"/>
            <w:tabs>
              <w:tab w:val="right" w:leader="dot" w:pos="9350"/>
            </w:tabs>
            <w:rPr>
              <w:noProof/>
            </w:rPr>
          </w:pPr>
          <w:hyperlink w:anchor="_Toc22052555" w:history="1">
            <w:r w:rsidR="00701082" w:rsidRPr="00F87648">
              <w:rPr>
                <w:rStyle w:val="af5"/>
                <w:b/>
                <w:noProof/>
                <w:lang w:bidi="hi-IN"/>
              </w:rPr>
              <w:t>7.3.1 Identification of type II {351}&lt;-211&gt;</w:t>
            </w:r>
            <w:r w:rsidR="00701082" w:rsidRPr="00F87648">
              <w:rPr>
                <w:rStyle w:val="af5"/>
                <w:b/>
                <w:noProof/>
                <w:vertAlign w:val="subscript"/>
                <w:lang w:bidi="hi-IN"/>
              </w:rPr>
              <w:t>α’’</w:t>
            </w:r>
            <w:r w:rsidR="00701082" w:rsidRPr="00F87648">
              <w:rPr>
                <w:rStyle w:val="af5"/>
                <w:b/>
                <w:noProof/>
                <w:lang w:bidi="hi-IN"/>
              </w:rPr>
              <w:t xml:space="preserve"> SA twinning</w:t>
            </w:r>
            <w:r w:rsidR="00701082">
              <w:rPr>
                <w:noProof/>
                <w:webHidden/>
              </w:rPr>
              <w:tab/>
            </w:r>
            <w:r w:rsidR="00701082">
              <w:rPr>
                <w:noProof/>
                <w:webHidden/>
              </w:rPr>
              <w:fldChar w:fldCharType="begin"/>
            </w:r>
            <w:r w:rsidR="00701082">
              <w:rPr>
                <w:noProof/>
                <w:webHidden/>
              </w:rPr>
              <w:instrText xml:space="preserve"> PAGEREF _Toc22052555 \h </w:instrText>
            </w:r>
            <w:r w:rsidR="00701082">
              <w:rPr>
                <w:noProof/>
                <w:webHidden/>
              </w:rPr>
            </w:r>
            <w:r w:rsidR="00701082">
              <w:rPr>
                <w:noProof/>
                <w:webHidden/>
              </w:rPr>
              <w:fldChar w:fldCharType="separate"/>
            </w:r>
            <w:r w:rsidR="00701082">
              <w:rPr>
                <w:noProof/>
                <w:webHidden/>
              </w:rPr>
              <w:t>147</w:t>
            </w:r>
            <w:r w:rsidR="00701082">
              <w:rPr>
                <w:noProof/>
                <w:webHidden/>
              </w:rPr>
              <w:fldChar w:fldCharType="end"/>
            </w:r>
          </w:hyperlink>
        </w:p>
        <w:p w14:paraId="0E05BABD" w14:textId="606D674F" w:rsidR="00701082" w:rsidRDefault="00077961">
          <w:pPr>
            <w:pStyle w:val="TOC3"/>
            <w:tabs>
              <w:tab w:val="right" w:leader="dot" w:pos="9350"/>
            </w:tabs>
            <w:rPr>
              <w:noProof/>
            </w:rPr>
          </w:pPr>
          <w:hyperlink w:anchor="_Toc22052556" w:history="1">
            <w:r w:rsidR="00701082" w:rsidRPr="00F87648">
              <w:rPr>
                <w:rStyle w:val="af5"/>
                <w:b/>
                <w:noProof/>
                <w:lang w:bidi="hi-IN"/>
              </w:rPr>
              <w:t>7.3.2 Evolution of type II {351}&lt;-211&gt;</w:t>
            </w:r>
            <w:r w:rsidR="00701082" w:rsidRPr="00F87648">
              <w:rPr>
                <w:rStyle w:val="af5"/>
                <w:b/>
                <w:noProof/>
                <w:vertAlign w:val="subscript"/>
                <w:lang w:bidi="hi-IN"/>
              </w:rPr>
              <w:t>α’’</w:t>
            </w:r>
            <w:r w:rsidR="00701082" w:rsidRPr="00F87648">
              <w:rPr>
                <w:rStyle w:val="af5"/>
                <w:b/>
                <w:noProof/>
                <w:lang w:bidi="hi-IN"/>
              </w:rPr>
              <w:t xml:space="preserve"> SA twinning</w:t>
            </w:r>
            <w:r w:rsidR="00701082">
              <w:rPr>
                <w:noProof/>
                <w:webHidden/>
              </w:rPr>
              <w:tab/>
            </w:r>
            <w:r w:rsidR="00701082">
              <w:rPr>
                <w:noProof/>
                <w:webHidden/>
              </w:rPr>
              <w:fldChar w:fldCharType="begin"/>
            </w:r>
            <w:r w:rsidR="00701082">
              <w:rPr>
                <w:noProof/>
                <w:webHidden/>
              </w:rPr>
              <w:instrText xml:space="preserve"> PAGEREF _Toc22052556 \h </w:instrText>
            </w:r>
            <w:r w:rsidR="00701082">
              <w:rPr>
                <w:noProof/>
                <w:webHidden/>
              </w:rPr>
            </w:r>
            <w:r w:rsidR="00701082">
              <w:rPr>
                <w:noProof/>
                <w:webHidden/>
              </w:rPr>
              <w:fldChar w:fldCharType="separate"/>
            </w:r>
            <w:r w:rsidR="00701082">
              <w:rPr>
                <w:noProof/>
                <w:webHidden/>
              </w:rPr>
              <w:t>151</w:t>
            </w:r>
            <w:r w:rsidR="00701082">
              <w:rPr>
                <w:noProof/>
                <w:webHidden/>
              </w:rPr>
              <w:fldChar w:fldCharType="end"/>
            </w:r>
          </w:hyperlink>
        </w:p>
        <w:p w14:paraId="0CD9AD92" w14:textId="289B422A" w:rsidR="00701082" w:rsidRDefault="00077961">
          <w:pPr>
            <w:pStyle w:val="TOC3"/>
            <w:tabs>
              <w:tab w:val="right" w:leader="dot" w:pos="9350"/>
            </w:tabs>
            <w:rPr>
              <w:noProof/>
            </w:rPr>
          </w:pPr>
          <w:hyperlink w:anchor="_Toc22052557" w:history="1">
            <w:r w:rsidR="00701082" w:rsidRPr="00F87648">
              <w:rPr>
                <w:rStyle w:val="af5"/>
                <w:b/>
                <w:noProof/>
                <w:lang w:bidi="hi-IN"/>
              </w:rPr>
              <w:t xml:space="preserve">7.3.3 </w:t>
            </w:r>
            <w:r w:rsidR="00701082" w:rsidRPr="00F87648">
              <w:rPr>
                <w:rStyle w:val="af5"/>
                <w:b/>
                <w:bCs/>
                <w:noProof/>
              </w:rPr>
              <w:t>Atomic configuration of transformed {351}&lt;-211&gt;</w:t>
            </w:r>
            <w:r w:rsidR="00701082" w:rsidRPr="00F87648">
              <w:rPr>
                <w:rStyle w:val="af5"/>
                <w:b/>
                <w:bCs/>
                <w:noProof/>
                <w:vertAlign w:val="subscript"/>
              </w:rPr>
              <w:t xml:space="preserve"> α’’</w:t>
            </w:r>
            <w:r w:rsidR="00701082" w:rsidRPr="00F87648">
              <w:rPr>
                <w:rStyle w:val="af5"/>
                <w:b/>
                <w:bCs/>
                <w:noProof/>
              </w:rPr>
              <w:t xml:space="preserve"> type II twin</w:t>
            </w:r>
            <w:r w:rsidR="00701082">
              <w:rPr>
                <w:noProof/>
                <w:webHidden/>
              </w:rPr>
              <w:tab/>
            </w:r>
            <w:r w:rsidR="00701082">
              <w:rPr>
                <w:noProof/>
                <w:webHidden/>
              </w:rPr>
              <w:fldChar w:fldCharType="begin"/>
            </w:r>
            <w:r w:rsidR="00701082">
              <w:rPr>
                <w:noProof/>
                <w:webHidden/>
              </w:rPr>
              <w:instrText xml:space="preserve"> PAGEREF _Toc22052557 \h </w:instrText>
            </w:r>
            <w:r w:rsidR="00701082">
              <w:rPr>
                <w:noProof/>
                <w:webHidden/>
              </w:rPr>
            </w:r>
            <w:r w:rsidR="00701082">
              <w:rPr>
                <w:noProof/>
                <w:webHidden/>
              </w:rPr>
              <w:fldChar w:fldCharType="separate"/>
            </w:r>
            <w:r w:rsidR="00701082">
              <w:rPr>
                <w:noProof/>
                <w:webHidden/>
              </w:rPr>
              <w:t>157</w:t>
            </w:r>
            <w:r w:rsidR="00701082">
              <w:rPr>
                <w:noProof/>
                <w:webHidden/>
              </w:rPr>
              <w:fldChar w:fldCharType="end"/>
            </w:r>
          </w:hyperlink>
        </w:p>
        <w:p w14:paraId="15E46367" w14:textId="459F52B0" w:rsidR="00701082" w:rsidRDefault="00077961">
          <w:pPr>
            <w:pStyle w:val="TOC2"/>
            <w:rPr>
              <w:noProof/>
            </w:rPr>
          </w:pPr>
          <w:hyperlink w:anchor="_Toc22052558" w:history="1">
            <w:r w:rsidR="00701082" w:rsidRPr="00F87648">
              <w:rPr>
                <w:rStyle w:val="af5"/>
                <w:b/>
                <w:noProof/>
                <w:lang w:bidi="hi-IN"/>
              </w:rPr>
              <w:t>7.4 Discussion</w:t>
            </w:r>
            <w:r w:rsidR="00701082">
              <w:rPr>
                <w:noProof/>
                <w:webHidden/>
              </w:rPr>
              <w:tab/>
            </w:r>
            <w:r w:rsidR="00701082">
              <w:rPr>
                <w:noProof/>
                <w:webHidden/>
              </w:rPr>
              <w:fldChar w:fldCharType="begin"/>
            </w:r>
            <w:r w:rsidR="00701082">
              <w:rPr>
                <w:noProof/>
                <w:webHidden/>
              </w:rPr>
              <w:instrText xml:space="preserve"> PAGEREF _Toc22052558 \h </w:instrText>
            </w:r>
            <w:r w:rsidR="00701082">
              <w:rPr>
                <w:noProof/>
                <w:webHidden/>
              </w:rPr>
            </w:r>
            <w:r w:rsidR="00701082">
              <w:rPr>
                <w:noProof/>
                <w:webHidden/>
              </w:rPr>
              <w:fldChar w:fldCharType="separate"/>
            </w:r>
            <w:r w:rsidR="00701082">
              <w:rPr>
                <w:noProof/>
                <w:webHidden/>
              </w:rPr>
              <w:t>160</w:t>
            </w:r>
            <w:r w:rsidR="00701082">
              <w:rPr>
                <w:noProof/>
                <w:webHidden/>
              </w:rPr>
              <w:fldChar w:fldCharType="end"/>
            </w:r>
          </w:hyperlink>
        </w:p>
        <w:p w14:paraId="75C62415" w14:textId="4119964F" w:rsidR="00701082" w:rsidRDefault="00077961">
          <w:pPr>
            <w:pStyle w:val="TOC3"/>
            <w:tabs>
              <w:tab w:val="right" w:leader="dot" w:pos="9350"/>
            </w:tabs>
            <w:rPr>
              <w:noProof/>
            </w:rPr>
          </w:pPr>
          <w:hyperlink w:anchor="_Toc22052559" w:history="1">
            <w:r w:rsidR="00701082" w:rsidRPr="00F87648">
              <w:rPr>
                <w:rStyle w:val="af5"/>
                <w:b/>
                <w:noProof/>
                <w:lang w:bidi="hi-IN"/>
              </w:rPr>
              <w:t>7.4.</w:t>
            </w:r>
            <w:r w:rsidR="00701082" w:rsidRPr="00F87648">
              <w:rPr>
                <w:rStyle w:val="af5"/>
                <w:rFonts w:cstheme="minorHAnsi"/>
                <w:b/>
                <w:noProof/>
                <w:lang w:bidi="hi-IN"/>
              </w:rPr>
              <w:t>1 Effect of TWIP/TRIP-enabled gradient structure on deformation heterogeneity</w:t>
            </w:r>
            <w:r w:rsidR="00701082">
              <w:rPr>
                <w:noProof/>
                <w:webHidden/>
              </w:rPr>
              <w:tab/>
            </w:r>
            <w:r w:rsidR="00701082">
              <w:rPr>
                <w:noProof/>
                <w:webHidden/>
              </w:rPr>
              <w:fldChar w:fldCharType="begin"/>
            </w:r>
            <w:r w:rsidR="00701082">
              <w:rPr>
                <w:noProof/>
                <w:webHidden/>
              </w:rPr>
              <w:instrText xml:space="preserve"> PAGEREF _Toc22052559 \h </w:instrText>
            </w:r>
            <w:r w:rsidR="00701082">
              <w:rPr>
                <w:noProof/>
                <w:webHidden/>
              </w:rPr>
            </w:r>
            <w:r w:rsidR="00701082">
              <w:rPr>
                <w:noProof/>
                <w:webHidden/>
              </w:rPr>
              <w:fldChar w:fldCharType="separate"/>
            </w:r>
            <w:r w:rsidR="00701082">
              <w:rPr>
                <w:noProof/>
                <w:webHidden/>
              </w:rPr>
              <w:t>160</w:t>
            </w:r>
            <w:r w:rsidR="00701082">
              <w:rPr>
                <w:noProof/>
                <w:webHidden/>
              </w:rPr>
              <w:fldChar w:fldCharType="end"/>
            </w:r>
          </w:hyperlink>
        </w:p>
        <w:p w14:paraId="4D632646" w14:textId="2882867D" w:rsidR="00701082" w:rsidRDefault="00077961">
          <w:pPr>
            <w:pStyle w:val="TOC3"/>
            <w:tabs>
              <w:tab w:val="right" w:leader="dot" w:pos="9350"/>
            </w:tabs>
            <w:rPr>
              <w:noProof/>
            </w:rPr>
          </w:pPr>
          <w:hyperlink w:anchor="_Toc22052560" w:history="1">
            <w:r w:rsidR="00701082" w:rsidRPr="00F87648">
              <w:rPr>
                <w:rStyle w:val="af5"/>
                <w:b/>
                <w:noProof/>
                <w:lang w:bidi="hi-IN"/>
              </w:rPr>
              <w:t>7.4.</w:t>
            </w:r>
            <w:r w:rsidR="00701082" w:rsidRPr="00F87648">
              <w:rPr>
                <w:rStyle w:val="af5"/>
                <w:rFonts w:cstheme="minorHAnsi"/>
                <w:b/>
                <w:noProof/>
                <w:lang w:bidi="hi-IN"/>
              </w:rPr>
              <w:t xml:space="preserve">2 Microstructural evolution of TTIP {351}&lt;-211&gt; </w:t>
            </w:r>
            <w:r w:rsidR="00701082" w:rsidRPr="00F87648">
              <w:rPr>
                <w:rStyle w:val="af5"/>
                <w:rFonts w:cstheme="minorHAnsi"/>
                <w:b/>
                <w:noProof/>
                <w:vertAlign w:val="subscript"/>
                <w:lang w:bidi="hi-IN"/>
              </w:rPr>
              <w:t>α’’</w:t>
            </w:r>
            <w:r w:rsidR="00701082" w:rsidRPr="00F87648">
              <w:rPr>
                <w:rStyle w:val="af5"/>
                <w:rFonts w:cstheme="minorHAnsi"/>
                <w:b/>
                <w:noProof/>
                <w:lang w:bidi="hi-IN"/>
              </w:rPr>
              <w:t xml:space="preserve"> type II SA twinning</w:t>
            </w:r>
            <w:r w:rsidR="00701082">
              <w:rPr>
                <w:noProof/>
                <w:webHidden/>
              </w:rPr>
              <w:tab/>
            </w:r>
            <w:r w:rsidR="00701082">
              <w:rPr>
                <w:noProof/>
                <w:webHidden/>
              </w:rPr>
              <w:fldChar w:fldCharType="begin"/>
            </w:r>
            <w:r w:rsidR="00701082">
              <w:rPr>
                <w:noProof/>
                <w:webHidden/>
              </w:rPr>
              <w:instrText xml:space="preserve"> PAGEREF _Toc22052560 \h </w:instrText>
            </w:r>
            <w:r w:rsidR="00701082">
              <w:rPr>
                <w:noProof/>
                <w:webHidden/>
              </w:rPr>
            </w:r>
            <w:r w:rsidR="00701082">
              <w:rPr>
                <w:noProof/>
                <w:webHidden/>
              </w:rPr>
              <w:fldChar w:fldCharType="separate"/>
            </w:r>
            <w:r w:rsidR="00701082">
              <w:rPr>
                <w:noProof/>
                <w:webHidden/>
              </w:rPr>
              <w:t>162</w:t>
            </w:r>
            <w:r w:rsidR="00701082">
              <w:rPr>
                <w:noProof/>
                <w:webHidden/>
              </w:rPr>
              <w:fldChar w:fldCharType="end"/>
            </w:r>
          </w:hyperlink>
        </w:p>
        <w:p w14:paraId="6FC033F4" w14:textId="589841BD" w:rsidR="00701082" w:rsidRDefault="00077961">
          <w:pPr>
            <w:pStyle w:val="TOC2"/>
            <w:rPr>
              <w:noProof/>
            </w:rPr>
          </w:pPr>
          <w:hyperlink w:anchor="_Toc22052561" w:history="1">
            <w:r w:rsidR="00701082" w:rsidRPr="00F87648">
              <w:rPr>
                <w:rStyle w:val="af5"/>
                <w:b/>
                <w:noProof/>
                <w:lang w:bidi="hi-IN"/>
              </w:rPr>
              <w:t>7.5 Conclusions</w:t>
            </w:r>
            <w:r w:rsidR="00701082">
              <w:rPr>
                <w:noProof/>
                <w:webHidden/>
              </w:rPr>
              <w:tab/>
            </w:r>
            <w:r w:rsidR="00701082">
              <w:rPr>
                <w:noProof/>
                <w:webHidden/>
              </w:rPr>
              <w:fldChar w:fldCharType="begin"/>
            </w:r>
            <w:r w:rsidR="00701082">
              <w:rPr>
                <w:noProof/>
                <w:webHidden/>
              </w:rPr>
              <w:instrText xml:space="preserve"> PAGEREF _Toc22052561 \h </w:instrText>
            </w:r>
            <w:r w:rsidR="00701082">
              <w:rPr>
                <w:noProof/>
                <w:webHidden/>
              </w:rPr>
            </w:r>
            <w:r w:rsidR="00701082">
              <w:rPr>
                <w:noProof/>
                <w:webHidden/>
              </w:rPr>
              <w:fldChar w:fldCharType="separate"/>
            </w:r>
            <w:r w:rsidR="00701082">
              <w:rPr>
                <w:noProof/>
                <w:webHidden/>
              </w:rPr>
              <w:t>164</w:t>
            </w:r>
            <w:r w:rsidR="00701082">
              <w:rPr>
                <w:noProof/>
                <w:webHidden/>
              </w:rPr>
              <w:fldChar w:fldCharType="end"/>
            </w:r>
          </w:hyperlink>
        </w:p>
        <w:p w14:paraId="3B960064" w14:textId="48AFD34D" w:rsidR="00701082" w:rsidRDefault="00077961">
          <w:pPr>
            <w:pStyle w:val="TOC2"/>
            <w:rPr>
              <w:noProof/>
            </w:rPr>
          </w:pPr>
          <w:hyperlink w:anchor="_Toc22052562" w:history="1">
            <w:r w:rsidR="00701082" w:rsidRPr="00F87648">
              <w:rPr>
                <w:rStyle w:val="af5"/>
                <w:b/>
                <w:noProof/>
                <w:lang w:bidi="hi-IN"/>
              </w:rPr>
              <w:t>7.6 References</w:t>
            </w:r>
            <w:r w:rsidR="00701082">
              <w:rPr>
                <w:noProof/>
                <w:webHidden/>
              </w:rPr>
              <w:tab/>
            </w:r>
            <w:r w:rsidR="00701082">
              <w:rPr>
                <w:noProof/>
                <w:webHidden/>
              </w:rPr>
              <w:fldChar w:fldCharType="begin"/>
            </w:r>
            <w:r w:rsidR="00701082">
              <w:rPr>
                <w:noProof/>
                <w:webHidden/>
              </w:rPr>
              <w:instrText xml:space="preserve"> PAGEREF _Toc22052562 \h </w:instrText>
            </w:r>
            <w:r w:rsidR="00701082">
              <w:rPr>
                <w:noProof/>
                <w:webHidden/>
              </w:rPr>
            </w:r>
            <w:r w:rsidR="00701082">
              <w:rPr>
                <w:noProof/>
                <w:webHidden/>
              </w:rPr>
              <w:fldChar w:fldCharType="separate"/>
            </w:r>
            <w:r w:rsidR="00701082">
              <w:rPr>
                <w:noProof/>
                <w:webHidden/>
              </w:rPr>
              <w:t>166</w:t>
            </w:r>
            <w:r w:rsidR="00701082">
              <w:rPr>
                <w:noProof/>
                <w:webHidden/>
              </w:rPr>
              <w:fldChar w:fldCharType="end"/>
            </w:r>
          </w:hyperlink>
        </w:p>
        <w:p w14:paraId="0499D3C6" w14:textId="092C69D0" w:rsidR="00701082" w:rsidRDefault="00077961">
          <w:pPr>
            <w:pStyle w:val="TOC1"/>
            <w:tabs>
              <w:tab w:val="right" w:leader="dot" w:pos="9350"/>
            </w:tabs>
            <w:rPr>
              <w:noProof/>
            </w:rPr>
          </w:pPr>
          <w:hyperlink w:anchor="_Toc22052563" w:history="1">
            <w:r w:rsidR="00701082" w:rsidRPr="00F87648">
              <w:rPr>
                <w:rStyle w:val="af5"/>
                <w:b/>
                <w:noProof/>
              </w:rPr>
              <w:t>Chapter. 8 Conclusions</w:t>
            </w:r>
            <w:r w:rsidR="00701082">
              <w:rPr>
                <w:noProof/>
                <w:webHidden/>
              </w:rPr>
              <w:tab/>
            </w:r>
            <w:r w:rsidR="00701082">
              <w:rPr>
                <w:noProof/>
                <w:webHidden/>
              </w:rPr>
              <w:fldChar w:fldCharType="begin"/>
            </w:r>
            <w:r w:rsidR="00701082">
              <w:rPr>
                <w:noProof/>
                <w:webHidden/>
              </w:rPr>
              <w:instrText xml:space="preserve"> PAGEREF _Toc22052563 \h </w:instrText>
            </w:r>
            <w:r w:rsidR="00701082">
              <w:rPr>
                <w:noProof/>
                <w:webHidden/>
              </w:rPr>
            </w:r>
            <w:r w:rsidR="00701082">
              <w:rPr>
                <w:noProof/>
                <w:webHidden/>
              </w:rPr>
              <w:fldChar w:fldCharType="separate"/>
            </w:r>
            <w:r w:rsidR="00701082">
              <w:rPr>
                <w:noProof/>
                <w:webHidden/>
              </w:rPr>
              <w:t>169</w:t>
            </w:r>
            <w:r w:rsidR="00701082">
              <w:rPr>
                <w:noProof/>
                <w:webHidden/>
              </w:rPr>
              <w:fldChar w:fldCharType="end"/>
            </w:r>
          </w:hyperlink>
        </w:p>
        <w:p w14:paraId="1C5E056F" w14:textId="3D68674A" w:rsidR="00701082" w:rsidRDefault="00077961">
          <w:pPr>
            <w:pStyle w:val="TOC1"/>
            <w:tabs>
              <w:tab w:val="right" w:leader="dot" w:pos="9350"/>
            </w:tabs>
            <w:rPr>
              <w:noProof/>
            </w:rPr>
          </w:pPr>
          <w:hyperlink w:anchor="_Toc22052564" w:history="1">
            <w:r w:rsidR="00701082" w:rsidRPr="00F87648">
              <w:rPr>
                <w:rStyle w:val="af5"/>
                <w:b/>
                <w:noProof/>
              </w:rPr>
              <w:t>Chapter. 9 Future works</w:t>
            </w:r>
            <w:r w:rsidR="00701082">
              <w:rPr>
                <w:noProof/>
                <w:webHidden/>
              </w:rPr>
              <w:tab/>
            </w:r>
            <w:r w:rsidR="00701082">
              <w:rPr>
                <w:noProof/>
                <w:webHidden/>
              </w:rPr>
              <w:fldChar w:fldCharType="begin"/>
            </w:r>
            <w:r w:rsidR="00701082">
              <w:rPr>
                <w:noProof/>
                <w:webHidden/>
              </w:rPr>
              <w:instrText xml:space="preserve"> PAGEREF _Toc22052564 \h </w:instrText>
            </w:r>
            <w:r w:rsidR="00701082">
              <w:rPr>
                <w:noProof/>
                <w:webHidden/>
              </w:rPr>
            </w:r>
            <w:r w:rsidR="00701082">
              <w:rPr>
                <w:noProof/>
                <w:webHidden/>
              </w:rPr>
              <w:fldChar w:fldCharType="separate"/>
            </w:r>
            <w:r w:rsidR="00701082">
              <w:rPr>
                <w:noProof/>
                <w:webHidden/>
              </w:rPr>
              <w:t>172</w:t>
            </w:r>
            <w:r w:rsidR="00701082">
              <w:rPr>
                <w:noProof/>
                <w:webHidden/>
              </w:rPr>
              <w:fldChar w:fldCharType="end"/>
            </w:r>
          </w:hyperlink>
        </w:p>
        <w:p w14:paraId="5E033722" w14:textId="5587765C" w:rsidR="00701082" w:rsidRDefault="00077961">
          <w:pPr>
            <w:pStyle w:val="TOC1"/>
            <w:tabs>
              <w:tab w:val="right" w:leader="dot" w:pos="9350"/>
            </w:tabs>
            <w:rPr>
              <w:noProof/>
            </w:rPr>
          </w:pPr>
          <w:hyperlink w:anchor="_Toc22052565" w:history="1">
            <w:r w:rsidR="00701082" w:rsidRPr="00F87648">
              <w:rPr>
                <w:rStyle w:val="af5"/>
                <w:b/>
                <w:noProof/>
              </w:rPr>
              <w:t>Chapter 10 Appendix</w:t>
            </w:r>
            <w:r w:rsidR="00701082">
              <w:rPr>
                <w:noProof/>
                <w:webHidden/>
              </w:rPr>
              <w:tab/>
            </w:r>
            <w:r w:rsidR="00701082">
              <w:rPr>
                <w:noProof/>
                <w:webHidden/>
              </w:rPr>
              <w:fldChar w:fldCharType="begin"/>
            </w:r>
            <w:r w:rsidR="00701082">
              <w:rPr>
                <w:noProof/>
                <w:webHidden/>
              </w:rPr>
              <w:instrText xml:space="preserve"> PAGEREF _Toc22052565 \h </w:instrText>
            </w:r>
            <w:r w:rsidR="00701082">
              <w:rPr>
                <w:noProof/>
                <w:webHidden/>
              </w:rPr>
            </w:r>
            <w:r w:rsidR="00701082">
              <w:rPr>
                <w:noProof/>
                <w:webHidden/>
              </w:rPr>
              <w:fldChar w:fldCharType="separate"/>
            </w:r>
            <w:r w:rsidR="00701082">
              <w:rPr>
                <w:noProof/>
                <w:webHidden/>
              </w:rPr>
              <w:t>173</w:t>
            </w:r>
            <w:r w:rsidR="00701082">
              <w:rPr>
                <w:noProof/>
                <w:webHidden/>
              </w:rPr>
              <w:fldChar w:fldCharType="end"/>
            </w:r>
          </w:hyperlink>
        </w:p>
        <w:p w14:paraId="3C66FBF4" w14:textId="4F9CCCA1" w:rsidR="00701082" w:rsidRDefault="00077961">
          <w:pPr>
            <w:pStyle w:val="TOC2"/>
            <w:rPr>
              <w:noProof/>
            </w:rPr>
          </w:pPr>
          <w:hyperlink w:anchor="_Toc22052566" w:history="1">
            <w:r w:rsidR="00701082" w:rsidRPr="00F87648">
              <w:rPr>
                <w:rStyle w:val="af5"/>
                <w:b/>
                <w:noProof/>
              </w:rPr>
              <w:t>Determination of Twinning elements for martensite twinning</w:t>
            </w:r>
            <w:r w:rsidR="00701082">
              <w:rPr>
                <w:noProof/>
                <w:webHidden/>
              </w:rPr>
              <w:tab/>
            </w:r>
            <w:r w:rsidR="00701082">
              <w:rPr>
                <w:noProof/>
                <w:webHidden/>
              </w:rPr>
              <w:fldChar w:fldCharType="begin"/>
            </w:r>
            <w:r w:rsidR="00701082">
              <w:rPr>
                <w:noProof/>
                <w:webHidden/>
              </w:rPr>
              <w:instrText xml:space="preserve"> PAGEREF _Toc22052566 \h </w:instrText>
            </w:r>
            <w:r w:rsidR="00701082">
              <w:rPr>
                <w:noProof/>
                <w:webHidden/>
              </w:rPr>
            </w:r>
            <w:r w:rsidR="00701082">
              <w:rPr>
                <w:noProof/>
                <w:webHidden/>
              </w:rPr>
              <w:fldChar w:fldCharType="separate"/>
            </w:r>
            <w:r w:rsidR="00701082">
              <w:rPr>
                <w:noProof/>
                <w:webHidden/>
              </w:rPr>
              <w:t>173</w:t>
            </w:r>
            <w:r w:rsidR="00701082">
              <w:rPr>
                <w:noProof/>
                <w:webHidden/>
              </w:rPr>
              <w:fldChar w:fldCharType="end"/>
            </w:r>
          </w:hyperlink>
        </w:p>
        <w:p w14:paraId="55DC88FF" w14:textId="7539B403" w:rsidR="00701082" w:rsidRDefault="00077961">
          <w:pPr>
            <w:pStyle w:val="TOC2"/>
            <w:rPr>
              <w:noProof/>
            </w:rPr>
          </w:pPr>
          <w:hyperlink w:anchor="_Toc22052567" w:history="1">
            <w:r w:rsidR="00701082" w:rsidRPr="00F87648">
              <w:rPr>
                <w:rStyle w:val="af5"/>
                <w:b/>
                <w:noProof/>
              </w:rPr>
              <w:t>References</w:t>
            </w:r>
            <w:r w:rsidR="00701082">
              <w:rPr>
                <w:noProof/>
                <w:webHidden/>
              </w:rPr>
              <w:tab/>
            </w:r>
            <w:r w:rsidR="00701082">
              <w:rPr>
                <w:noProof/>
                <w:webHidden/>
              </w:rPr>
              <w:fldChar w:fldCharType="begin"/>
            </w:r>
            <w:r w:rsidR="00701082">
              <w:rPr>
                <w:noProof/>
                <w:webHidden/>
              </w:rPr>
              <w:instrText xml:space="preserve"> PAGEREF _Toc22052567 \h </w:instrText>
            </w:r>
            <w:r w:rsidR="00701082">
              <w:rPr>
                <w:noProof/>
                <w:webHidden/>
              </w:rPr>
            </w:r>
            <w:r w:rsidR="00701082">
              <w:rPr>
                <w:noProof/>
                <w:webHidden/>
              </w:rPr>
              <w:fldChar w:fldCharType="separate"/>
            </w:r>
            <w:r w:rsidR="00701082">
              <w:rPr>
                <w:noProof/>
                <w:webHidden/>
              </w:rPr>
              <w:t>178</w:t>
            </w:r>
            <w:r w:rsidR="00701082">
              <w:rPr>
                <w:noProof/>
                <w:webHidden/>
              </w:rPr>
              <w:fldChar w:fldCharType="end"/>
            </w:r>
          </w:hyperlink>
        </w:p>
        <w:p w14:paraId="04A72C7D" w14:textId="10346FED" w:rsidR="00DD756B" w:rsidRPr="00E40B2A" w:rsidRDefault="00DD756B" w:rsidP="00DD756B">
          <w:pPr>
            <w:spacing w:after="120" w:line="360" w:lineRule="auto"/>
          </w:pPr>
          <w:r>
            <w:rPr>
              <w:b/>
              <w:bCs/>
              <w:lang w:val="zh-CN"/>
            </w:rPr>
            <w:fldChar w:fldCharType="end"/>
          </w:r>
        </w:p>
      </w:sdtContent>
    </w:sdt>
    <w:p w14:paraId="1C626784" w14:textId="77777777" w:rsidR="00DD756B" w:rsidRDefault="00DD756B" w:rsidP="00DD756B">
      <w:pPr>
        <w:pStyle w:val="af7"/>
        <w:tabs>
          <w:tab w:val="right" w:leader="dot" w:pos="9350"/>
        </w:tabs>
        <w:spacing w:before="100" w:beforeAutospacing="1" w:after="120" w:line="360" w:lineRule="auto"/>
        <w:jc w:val="both"/>
      </w:pPr>
    </w:p>
    <w:p w14:paraId="0629FDF6" w14:textId="77777777" w:rsidR="00DD756B" w:rsidRDefault="00DD756B" w:rsidP="00DD756B">
      <w:pPr>
        <w:rPr>
          <w:lang w:val="en-US"/>
        </w:rPr>
      </w:pPr>
    </w:p>
    <w:p w14:paraId="14007307" w14:textId="77777777" w:rsidR="00DD756B" w:rsidRDefault="00DD756B" w:rsidP="00DD756B">
      <w:pPr>
        <w:rPr>
          <w:lang w:val="en-US"/>
        </w:rPr>
      </w:pPr>
    </w:p>
    <w:p w14:paraId="704990E8" w14:textId="77777777" w:rsidR="00DD756B" w:rsidRDefault="00DD756B" w:rsidP="00DD756B">
      <w:pPr>
        <w:rPr>
          <w:lang w:val="en-US"/>
        </w:rPr>
      </w:pPr>
    </w:p>
    <w:p w14:paraId="51490B6B" w14:textId="77777777" w:rsidR="00DD756B" w:rsidRDefault="00DD756B" w:rsidP="00DD756B">
      <w:pPr>
        <w:rPr>
          <w:lang w:val="en-US"/>
        </w:rPr>
      </w:pPr>
    </w:p>
    <w:p w14:paraId="7A47DA84" w14:textId="77777777" w:rsidR="00DD756B" w:rsidRDefault="00DD756B" w:rsidP="00DD756B">
      <w:pPr>
        <w:rPr>
          <w:lang w:val="en-US"/>
        </w:rPr>
      </w:pPr>
    </w:p>
    <w:p w14:paraId="3196E135" w14:textId="77777777" w:rsidR="00DD756B" w:rsidRDefault="00DD756B" w:rsidP="00DD756B">
      <w:pPr>
        <w:rPr>
          <w:lang w:val="en-US"/>
        </w:rPr>
      </w:pPr>
    </w:p>
    <w:p w14:paraId="044A6D6C" w14:textId="77777777" w:rsidR="00DD756B" w:rsidRDefault="00DD756B" w:rsidP="00DD756B">
      <w:pPr>
        <w:rPr>
          <w:lang w:val="en-US"/>
        </w:rPr>
      </w:pPr>
    </w:p>
    <w:p w14:paraId="3654806E" w14:textId="77777777" w:rsidR="00DD756B" w:rsidRDefault="00DD756B" w:rsidP="00DD756B">
      <w:pPr>
        <w:rPr>
          <w:lang w:val="en-US"/>
        </w:rPr>
      </w:pPr>
    </w:p>
    <w:p w14:paraId="62CFDEA4" w14:textId="77777777" w:rsidR="00DD756B" w:rsidRPr="005F6FF5" w:rsidRDefault="00DD756B" w:rsidP="00606E92">
      <w:pPr>
        <w:pStyle w:val="1"/>
        <w:spacing w:afterLines="60" w:after="144" w:line="360" w:lineRule="auto"/>
        <w:rPr>
          <w:rFonts w:asciiTheme="minorHAnsi" w:hAnsiTheme="minorHAnsi"/>
          <w:b/>
          <w:color w:val="000000" w:themeColor="text1"/>
        </w:rPr>
      </w:pPr>
      <w:bookmarkStart w:id="10" w:name="_Toc22052501"/>
      <w:r w:rsidRPr="001E3029">
        <w:rPr>
          <w:rFonts w:asciiTheme="minorHAnsi" w:hAnsiTheme="minorHAnsi"/>
          <w:b/>
          <w:color w:val="000000" w:themeColor="text1"/>
        </w:rPr>
        <w:lastRenderedPageBreak/>
        <w:t>List of Figures</w:t>
      </w:r>
      <w:bookmarkEnd w:id="10"/>
    </w:p>
    <w:p w14:paraId="0B12B820" w14:textId="2B9BD062" w:rsidR="0042250B" w:rsidRDefault="00DD756B" w:rsidP="0042250B">
      <w:pPr>
        <w:pStyle w:val="af7"/>
        <w:tabs>
          <w:tab w:val="right" w:leader="dot" w:pos="9350"/>
        </w:tabs>
        <w:spacing w:afterLines="60" w:after="144" w:line="360" w:lineRule="auto"/>
        <w:rPr>
          <w:noProof/>
          <w:kern w:val="2"/>
          <w:sz w:val="21"/>
        </w:rPr>
      </w:pPr>
      <w:r>
        <w:fldChar w:fldCharType="begin"/>
      </w:r>
      <w:r>
        <w:instrText xml:space="preserve"> TOC \h \z \c "Figure" </w:instrText>
      </w:r>
      <w:r>
        <w:fldChar w:fldCharType="separate"/>
      </w:r>
      <w:hyperlink w:anchor="_Toc39312670" w:history="1">
        <w:r w:rsidR="0042250B" w:rsidRPr="00230498">
          <w:rPr>
            <w:rStyle w:val="af5"/>
            <w:b/>
            <w:noProof/>
          </w:rPr>
          <w:t xml:space="preserve">Figure 2-1 Classification of HEAs by component elements </w:t>
        </w:r>
        <w:r w:rsidR="0042250B" w:rsidRPr="00230498">
          <w:rPr>
            <w:rStyle w:val="af5"/>
            <w:noProof/>
          </w:rPr>
          <w:t>(</w:t>
        </w:r>
        <w:r w:rsidR="0042250B" w:rsidRPr="00230498">
          <w:rPr>
            <w:rStyle w:val="af5"/>
            <w:b/>
            <w:noProof/>
          </w:rPr>
          <w:t>a</w:t>
        </w:r>
        <w:r w:rsidR="0042250B" w:rsidRPr="00230498">
          <w:rPr>
            <w:rStyle w:val="af5"/>
            <w:noProof/>
          </w:rPr>
          <w:t>) 3</w:t>
        </w:r>
        <w:r w:rsidR="0042250B" w:rsidRPr="00230498">
          <w:rPr>
            <w:rStyle w:val="af5"/>
            <w:i/>
            <w:noProof/>
          </w:rPr>
          <w:t>d</w:t>
        </w:r>
        <w:r w:rsidR="0042250B" w:rsidRPr="00230498">
          <w:rPr>
            <w:rStyle w:val="af5"/>
            <w:noProof/>
          </w:rPr>
          <w:t xml:space="preserve"> transitional metal composed HEAs, refractory metal composed HEAs and 4</w:t>
        </w:r>
        <w:r w:rsidR="0042250B" w:rsidRPr="00230498">
          <w:rPr>
            <w:rStyle w:val="af5"/>
            <w:i/>
            <w:noProof/>
          </w:rPr>
          <w:t>f</w:t>
        </w:r>
        <w:r w:rsidR="0042250B" w:rsidRPr="00230498">
          <w:rPr>
            <w:rStyle w:val="af5"/>
            <w:noProof/>
          </w:rPr>
          <w:t xml:space="preserve"> group transition metal composed HEAs; and (</w:t>
        </w:r>
        <w:r w:rsidR="0042250B" w:rsidRPr="00230498">
          <w:rPr>
            <w:rStyle w:val="af5"/>
            <w:b/>
            <w:noProof/>
          </w:rPr>
          <w:t>b</w:t>
        </w:r>
        <w:r w:rsidR="0042250B" w:rsidRPr="00230498">
          <w:rPr>
            <w:rStyle w:val="af5"/>
            <w:noProof/>
          </w:rPr>
          <w:t xml:space="preserve">) Light metal complex composed HEAs, precious metal complex composed HEAs and brasses and bronzes complex composed HEAs. The heights of the classification boxes in </w:t>
        </w:r>
        <w:r w:rsidR="0042250B" w:rsidRPr="00230498">
          <w:rPr>
            <w:rStyle w:val="af5"/>
            <w:iCs/>
            <w:noProof/>
          </w:rPr>
          <w:t>(a)</w:t>
        </w:r>
        <w:r w:rsidR="0042250B" w:rsidRPr="00230498">
          <w:rPr>
            <w:rStyle w:val="af5"/>
            <w:noProof/>
          </w:rPr>
          <w:t xml:space="preserve"> are proportional to the number of reported alloys in the two major groups [21].</w:t>
        </w:r>
        <w:r w:rsidR="0042250B">
          <w:rPr>
            <w:noProof/>
            <w:webHidden/>
          </w:rPr>
          <w:tab/>
        </w:r>
        <w:r w:rsidR="0042250B">
          <w:rPr>
            <w:noProof/>
            <w:webHidden/>
          </w:rPr>
          <w:fldChar w:fldCharType="begin"/>
        </w:r>
        <w:r w:rsidR="0042250B">
          <w:rPr>
            <w:noProof/>
            <w:webHidden/>
          </w:rPr>
          <w:instrText xml:space="preserve"> PAGEREF _Toc39312670 \h </w:instrText>
        </w:r>
        <w:r w:rsidR="0042250B">
          <w:rPr>
            <w:noProof/>
            <w:webHidden/>
          </w:rPr>
        </w:r>
        <w:r w:rsidR="0042250B">
          <w:rPr>
            <w:noProof/>
            <w:webHidden/>
          </w:rPr>
          <w:fldChar w:fldCharType="separate"/>
        </w:r>
        <w:r w:rsidR="0042250B">
          <w:rPr>
            <w:noProof/>
            <w:webHidden/>
          </w:rPr>
          <w:t>9</w:t>
        </w:r>
        <w:r w:rsidR="0042250B">
          <w:rPr>
            <w:noProof/>
            <w:webHidden/>
          </w:rPr>
          <w:fldChar w:fldCharType="end"/>
        </w:r>
      </w:hyperlink>
    </w:p>
    <w:p w14:paraId="682E47F7" w14:textId="79F99E6E" w:rsidR="0042250B" w:rsidRDefault="00077961" w:rsidP="0042250B">
      <w:pPr>
        <w:pStyle w:val="af7"/>
        <w:tabs>
          <w:tab w:val="right" w:leader="dot" w:pos="9350"/>
        </w:tabs>
        <w:spacing w:after="60" w:line="360" w:lineRule="auto"/>
        <w:rPr>
          <w:noProof/>
          <w:kern w:val="2"/>
          <w:sz w:val="21"/>
        </w:rPr>
      </w:pPr>
      <w:hyperlink w:anchor="_Toc39312671" w:history="1">
        <w:r w:rsidR="0042250B" w:rsidRPr="00230498">
          <w:rPr>
            <w:rStyle w:val="af5"/>
            <w:b/>
            <w:noProof/>
          </w:rPr>
          <w:t xml:space="preserve">Figure 2-2 Biplot of atomic size difference </w:t>
        </w:r>
        <w:r w:rsidR="0042250B" w:rsidRPr="00230498">
          <w:rPr>
            <w:rStyle w:val="af5"/>
            <w:noProof/>
          </w:rPr>
          <w:t>(</w:t>
        </w:r>
        <m:oMath>
          <m:r>
            <m:rPr>
              <m:sty m:val="p"/>
            </m:rPr>
            <w:rPr>
              <w:rStyle w:val="af5"/>
              <w:rFonts w:ascii="Cambria Math" w:hAnsi="Cambria Math"/>
              <w:noProof/>
            </w:rPr>
            <m:t>δ</m:t>
          </m:r>
        </m:oMath>
        <w:r w:rsidR="0042250B" w:rsidRPr="00230498">
          <w:rPr>
            <w:rStyle w:val="af5"/>
            <w:noProof/>
          </w:rPr>
          <w:t>)</w:t>
        </w:r>
        <w:r w:rsidR="0042250B" w:rsidRPr="00230498">
          <w:rPr>
            <w:rStyle w:val="af5"/>
            <w:b/>
            <w:noProof/>
          </w:rPr>
          <w:t xml:space="preserve"> against Ω. Solid solution, intermetallic, complex and amorphous phases are represented by cubic, circle, triangle and nabla symbols, respectively. </w:t>
        </w:r>
        <w:r w:rsidR="0042250B" w:rsidRPr="00230498">
          <w:rPr>
            <w:rStyle w:val="af5"/>
            <w:noProof/>
          </w:rPr>
          <w:t>[33]</w:t>
        </w:r>
        <w:r w:rsidR="0042250B">
          <w:rPr>
            <w:noProof/>
            <w:webHidden/>
          </w:rPr>
          <w:tab/>
        </w:r>
        <w:r w:rsidR="0042250B">
          <w:rPr>
            <w:noProof/>
            <w:webHidden/>
          </w:rPr>
          <w:fldChar w:fldCharType="begin"/>
        </w:r>
        <w:r w:rsidR="0042250B">
          <w:rPr>
            <w:noProof/>
            <w:webHidden/>
          </w:rPr>
          <w:instrText xml:space="preserve"> PAGEREF _Toc39312671 \h </w:instrText>
        </w:r>
        <w:r w:rsidR="0042250B">
          <w:rPr>
            <w:noProof/>
            <w:webHidden/>
          </w:rPr>
        </w:r>
        <w:r w:rsidR="0042250B">
          <w:rPr>
            <w:noProof/>
            <w:webHidden/>
          </w:rPr>
          <w:fldChar w:fldCharType="separate"/>
        </w:r>
        <w:r w:rsidR="0042250B">
          <w:rPr>
            <w:noProof/>
            <w:webHidden/>
          </w:rPr>
          <w:t>12</w:t>
        </w:r>
        <w:r w:rsidR="0042250B">
          <w:rPr>
            <w:noProof/>
            <w:webHidden/>
          </w:rPr>
          <w:fldChar w:fldCharType="end"/>
        </w:r>
      </w:hyperlink>
    </w:p>
    <w:p w14:paraId="528BAC3D" w14:textId="339CB7B9" w:rsidR="0042250B" w:rsidRDefault="00077961" w:rsidP="0042250B">
      <w:pPr>
        <w:pStyle w:val="af7"/>
        <w:tabs>
          <w:tab w:val="right" w:leader="dot" w:pos="9350"/>
        </w:tabs>
        <w:spacing w:after="60" w:line="360" w:lineRule="auto"/>
        <w:rPr>
          <w:noProof/>
          <w:kern w:val="2"/>
          <w:sz w:val="21"/>
        </w:rPr>
      </w:pPr>
      <w:hyperlink w:anchor="_Toc39312672" w:history="1">
        <w:r w:rsidR="0042250B" w:rsidRPr="00230498">
          <w:rPr>
            <w:rStyle w:val="af5"/>
            <w:b/>
            <w:noProof/>
          </w:rPr>
          <w:t>Figure 2-3 Topological close-packed HEAs phase stability dependence with electronegativity difference value.</w:t>
        </w:r>
        <w:r w:rsidR="0042250B" w:rsidRPr="00230498">
          <w:rPr>
            <w:rStyle w:val="af5"/>
            <w:rFonts w:ascii="Arial" w:hAnsi="Arial" w:cs="Arial"/>
            <w:noProof/>
          </w:rPr>
          <w:t xml:space="preserve"> </w:t>
        </w:r>
        <w:r w:rsidR="0042250B" w:rsidRPr="00230498">
          <w:rPr>
            <w:rStyle w:val="af5"/>
            <w:noProof/>
          </w:rPr>
          <w:t>Closed polygons for TCP solid solution phases; open polygons for simple single solid solution phases; and half closed polygons for dual-phase solid solution phases. [40]</w:t>
        </w:r>
        <w:r w:rsidR="0042250B">
          <w:rPr>
            <w:noProof/>
            <w:webHidden/>
          </w:rPr>
          <w:tab/>
        </w:r>
        <w:r w:rsidR="0042250B">
          <w:rPr>
            <w:noProof/>
            <w:webHidden/>
          </w:rPr>
          <w:fldChar w:fldCharType="begin"/>
        </w:r>
        <w:r w:rsidR="0042250B">
          <w:rPr>
            <w:noProof/>
            <w:webHidden/>
          </w:rPr>
          <w:instrText xml:space="preserve"> PAGEREF _Toc39312672 \h </w:instrText>
        </w:r>
        <w:r w:rsidR="0042250B">
          <w:rPr>
            <w:noProof/>
            <w:webHidden/>
          </w:rPr>
        </w:r>
        <w:r w:rsidR="0042250B">
          <w:rPr>
            <w:noProof/>
            <w:webHidden/>
          </w:rPr>
          <w:fldChar w:fldCharType="separate"/>
        </w:r>
        <w:r w:rsidR="0042250B">
          <w:rPr>
            <w:noProof/>
            <w:webHidden/>
          </w:rPr>
          <w:t>15</w:t>
        </w:r>
        <w:r w:rsidR="0042250B">
          <w:rPr>
            <w:noProof/>
            <w:webHidden/>
          </w:rPr>
          <w:fldChar w:fldCharType="end"/>
        </w:r>
      </w:hyperlink>
    </w:p>
    <w:p w14:paraId="535B9460" w14:textId="6DC7A676" w:rsidR="0042250B" w:rsidRDefault="00077961" w:rsidP="0042250B">
      <w:pPr>
        <w:pStyle w:val="af7"/>
        <w:tabs>
          <w:tab w:val="right" w:leader="dot" w:pos="9350"/>
        </w:tabs>
        <w:spacing w:after="60" w:line="360" w:lineRule="auto"/>
        <w:rPr>
          <w:noProof/>
          <w:kern w:val="2"/>
          <w:sz w:val="21"/>
        </w:rPr>
      </w:pPr>
      <w:hyperlink w:anchor="_Toc39312673" w:history="1">
        <w:r w:rsidR="0042250B" w:rsidRPr="00230498">
          <w:rPr>
            <w:rStyle w:val="af5"/>
            <w:b/>
            <w:noProof/>
          </w:rPr>
          <w:t xml:space="preserve">Figure 2-4 Biplot of temperature against the electron concentration and phase formation tendency of various alloys showing apparent dependence on e/a. </w:t>
        </w:r>
        <w:r w:rsidR="0042250B" w:rsidRPr="00230498">
          <w:rPr>
            <w:rStyle w:val="af5"/>
            <w:noProof/>
          </w:rPr>
          <w:t>[34]</w:t>
        </w:r>
        <w:r w:rsidR="0042250B">
          <w:rPr>
            <w:noProof/>
            <w:webHidden/>
          </w:rPr>
          <w:tab/>
        </w:r>
        <w:r w:rsidR="0042250B">
          <w:rPr>
            <w:noProof/>
            <w:webHidden/>
          </w:rPr>
          <w:fldChar w:fldCharType="begin"/>
        </w:r>
        <w:r w:rsidR="0042250B">
          <w:rPr>
            <w:noProof/>
            <w:webHidden/>
          </w:rPr>
          <w:instrText xml:space="preserve"> PAGEREF _Toc39312673 \h </w:instrText>
        </w:r>
        <w:r w:rsidR="0042250B">
          <w:rPr>
            <w:noProof/>
            <w:webHidden/>
          </w:rPr>
        </w:r>
        <w:r w:rsidR="0042250B">
          <w:rPr>
            <w:noProof/>
            <w:webHidden/>
          </w:rPr>
          <w:fldChar w:fldCharType="separate"/>
        </w:r>
        <w:r w:rsidR="0042250B">
          <w:rPr>
            <w:noProof/>
            <w:webHidden/>
          </w:rPr>
          <w:t>16</w:t>
        </w:r>
        <w:r w:rsidR="0042250B">
          <w:rPr>
            <w:noProof/>
            <w:webHidden/>
          </w:rPr>
          <w:fldChar w:fldCharType="end"/>
        </w:r>
      </w:hyperlink>
    </w:p>
    <w:p w14:paraId="7B57F625" w14:textId="6B1919A3" w:rsidR="0042250B" w:rsidRDefault="00077961" w:rsidP="0042250B">
      <w:pPr>
        <w:pStyle w:val="af7"/>
        <w:tabs>
          <w:tab w:val="right" w:leader="dot" w:pos="9350"/>
        </w:tabs>
        <w:spacing w:after="60" w:line="360" w:lineRule="auto"/>
        <w:rPr>
          <w:noProof/>
          <w:kern w:val="2"/>
          <w:sz w:val="21"/>
        </w:rPr>
      </w:pPr>
      <w:hyperlink w:anchor="_Toc39312674" w:history="1">
        <w:r w:rsidR="0042250B" w:rsidRPr="00230498">
          <w:rPr>
            <w:rStyle w:val="af5"/>
            <w:b/>
            <w:noProof/>
          </w:rPr>
          <w:t xml:space="preserve">Figure 2-5 Phase stability (BCC, FCC) dependence with </w:t>
        </w:r>
        <w:r w:rsidR="0042250B" w:rsidRPr="00230498">
          <w:rPr>
            <w:rStyle w:val="af5"/>
            <w:b/>
            <w:i/>
            <w:noProof/>
          </w:rPr>
          <w:t xml:space="preserve">VEC </w:t>
        </w:r>
        <w:r w:rsidR="0042250B" w:rsidRPr="00230498">
          <w:rPr>
            <w:rStyle w:val="af5"/>
            <w:b/>
            <w:noProof/>
          </w:rPr>
          <w:t xml:space="preserve">value. </w:t>
        </w:r>
        <w:r w:rsidR="0042250B" w:rsidRPr="00230498">
          <w:rPr>
            <w:rStyle w:val="af5"/>
            <w:noProof/>
          </w:rPr>
          <w:t>Closed polygons for single FCC solid solution; open polygons for single BCC solid solution; and half closed polygons for dual-phase simple solid solution phases.</w:t>
        </w:r>
        <w:r w:rsidR="0042250B" w:rsidRPr="00230498">
          <w:rPr>
            <w:rStyle w:val="af5"/>
            <w:b/>
            <w:noProof/>
          </w:rPr>
          <w:t xml:space="preserve"> </w:t>
        </w:r>
        <w:r w:rsidR="0042250B" w:rsidRPr="00230498">
          <w:rPr>
            <w:rStyle w:val="af5"/>
            <w:noProof/>
          </w:rPr>
          <w:t>[50]</w:t>
        </w:r>
        <w:r w:rsidR="0042250B">
          <w:rPr>
            <w:noProof/>
            <w:webHidden/>
          </w:rPr>
          <w:tab/>
        </w:r>
        <w:r w:rsidR="0042250B">
          <w:rPr>
            <w:noProof/>
            <w:webHidden/>
          </w:rPr>
          <w:fldChar w:fldCharType="begin"/>
        </w:r>
        <w:r w:rsidR="0042250B">
          <w:rPr>
            <w:noProof/>
            <w:webHidden/>
          </w:rPr>
          <w:instrText xml:space="preserve"> PAGEREF _Toc39312674 \h </w:instrText>
        </w:r>
        <w:r w:rsidR="0042250B">
          <w:rPr>
            <w:noProof/>
            <w:webHidden/>
          </w:rPr>
        </w:r>
        <w:r w:rsidR="0042250B">
          <w:rPr>
            <w:noProof/>
            <w:webHidden/>
          </w:rPr>
          <w:fldChar w:fldCharType="separate"/>
        </w:r>
        <w:r w:rsidR="0042250B">
          <w:rPr>
            <w:noProof/>
            <w:webHidden/>
          </w:rPr>
          <w:t>17</w:t>
        </w:r>
        <w:r w:rsidR="0042250B">
          <w:rPr>
            <w:noProof/>
            <w:webHidden/>
          </w:rPr>
          <w:fldChar w:fldCharType="end"/>
        </w:r>
      </w:hyperlink>
    </w:p>
    <w:p w14:paraId="788AF062" w14:textId="2C75AEDC" w:rsidR="0042250B" w:rsidRDefault="00077961" w:rsidP="0042250B">
      <w:pPr>
        <w:pStyle w:val="af7"/>
        <w:tabs>
          <w:tab w:val="right" w:leader="dot" w:pos="9350"/>
        </w:tabs>
        <w:spacing w:after="60" w:line="360" w:lineRule="auto"/>
        <w:rPr>
          <w:noProof/>
          <w:kern w:val="2"/>
          <w:sz w:val="21"/>
        </w:rPr>
      </w:pPr>
      <w:hyperlink w:anchor="_Toc39312675" w:history="1">
        <w:r w:rsidR="0042250B" w:rsidRPr="00230498">
          <w:rPr>
            <w:rStyle w:val="af5"/>
            <w:b/>
            <w:noProof/>
          </w:rPr>
          <w:t xml:space="preserve">Figure 2-6 Biplot of mixing enthalpy against the atomic size difference. </w:t>
        </w:r>
        <w:r w:rsidR="0042250B" w:rsidRPr="00230498">
          <w:rPr>
            <w:rStyle w:val="af5"/>
            <w:noProof/>
          </w:rPr>
          <w:t>[54]</w:t>
        </w:r>
        <w:r w:rsidR="0042250B">
          <w:rPr>
            <w:noProof/>
            <w:webHidden/>
          </w:rPr>
          <w:tab/>
        </w:r>
        <w:r w:rsidR="0042250B">
          <w:rPr>
            <w:noProof/>
            <w:webHidden/>
          </w:rPr>
          <w:fldChar w:fldCharType="begin"/>
        </w:r>
        <w:r w:rsidR="0042250B">
          <w:rPr>
            <w:noProof/>
            <w:webHidden/>
          </w:rPr>
          <w:instrText xml:space="preserve"> PAGEREF _Toc39312675 \h </w:instrText>
        </w:r>
        <w:r w:rsidR="0042250B">
          <w:rPr>
            <w:noProof/>
            <w:webHidden/>
          </w:rPr>
        </w:r>
        <w:r w:rsidR="0042250B">
          <w:rPr>
            <w:noProof/>
            <w:webHidden/>
          </w:rPr>
          <w:fldChar w:fldCharType="separate"/>
        </w:r>
        <w:r w:rsidR="0042250B">
          <w:rPr>
            <w:noProof/>
            <w:webHidden/>
          </w:rPr>
          <w:t>20</w:t>
        </w:r>
        <w:r w:rsidR="0042250B">
          <w:rPr>
            <w:noProof/>
            <w:webHidden/>
          </w:rPr>
          <w:fldChar w:fldCharType="end"/>
        </w:r>
      </w:hyperlink>
    </w:p>
    <w:p w14:paraId="0534E50E" w14:textId="0BAD0537" w:rsidR="0042250B" w:rsidRDefault="00077961" w:rsidP="0042250B">
      <w:pPr>
        <w:pStyle w:val="af7"/>
        <w:tabs>
          <w:tab w:val="right" w:leader="dot" w:pos="9350"/>
        </w:tabs>
        <w:spacing w:after="60" w:line="360" w:lineRule="auto"/>
        <w:rPr>
          <w:noProof/>
          <w:kern w:val="2"/>
          <w:sz w:val="21"/>
        </w:rPr>
      </w:pPr>
      <w:hyperlink w:anchor="_Toc39312676" w:history="1">
        <w:r w:rsidR="0042250B" w:rsidRPr="00230498">
          <w:rPr>
            <w:rStyle w:val="af5"/>
            <w:b/>
            <w:noProof/>
          </w:rPr>
          <w:t xml:space="preserve">Figure 2-7 Biplot of </w:t>
        </w:r>
        <w:r w:rsidR="0042250B" w:rsidRPr="00230498">
          <w:rPr>
            <w:rStyle w:val="af5"/>
            <w:rFonts w:ascii="Times New Roman" w:eastAsia="等线" w:hAnsi="Times New Roman" w:cs="Times New Roman"/>
            <w:b/>
            <w:i/>
            <w:noProof/>
          </w:rPr>
          <w:t>μ</w:t>
        </w:r>
        <w:r w:rsidR="0042250B" w:rsidRPr="00230498">
          <w:rPr>
            <w:rStyle w:val="af5"/>
            <w:b/>
            <w:noProof/>
          </w:rPr>
          <w:t xml:space="preserve"> against the atomic size difference. </w:t>
        </w:r>
        <w:r w:rsidR="0042250B" w:rsidRPr="00230498">
          <w:rPr>
            <w:rStyle w:val="af5"/>
            <w:noProof/>
          </w:rPr>
          <w:t>[42]</w:t>
        </w:r>
        <w:r w:rsidR="0042250B">
          <w:rPr>
            <w:noProof/>
            <w:webHidden/>
          </w:rPr>
          <w:tab/>
        </w:r>
        <w:r w:rsidR="0042250B">
          <w:rPr>
            <w:noProof/>
            <w:webHidden/>
          </w:rPr>
          <w:fldChar w:fldCharType="begin"/>
        </w:r>
        <w:r w:rsidR="0042250B">
          <w:rPr>
            <w:noProof/>
            <w:webHidden/>
          </w:rPr>
          <w:instrText xml:space="preserve"> PAGEREF _Toc39312676 \h </w:instrText>
        </w:r>
        <w:r w:rsidR="0042250B">
          <w:rPr>
            <w:noProof/>
            <w:webHidden/>
          </w:rPr>
        </w:r>
        <w:r w:rsidR="0042250B">
          <w:rPr>
            <w:noProof/>
            <w:webHidden/>
          </w:rPr>
          <w:fldChar w:fldCharType="separate"/>
        </w:r>
        <w:r w:rsidR="0042250B">
          <w:rPr>
            <w:noProof/>
            <w:webHidden/>
          </w:rPr>
          <w:t>21</w:t>
        </w:r>
        <w:r w:rsidR="0042250B">
          <w:rPr>
            <w:noProof/>
            <w:webHidden/>
          </w:rPr>
          <w:fldChar w:fldCharType="end"/>
        </w:r>
      </w:hyperlink>
    </w:p>
    <w:p w14:paraId="5943EA87" w14:textId="7E63D233" w:rsidR="0042250B" w:rsidRDefault="00077961" w:rsidP="0042250B">
      <w:pPr>
        <w:pStyle w:val="af7"/>
        <w:tabs>
          <w:tab w:val="right" w:leader="dot" w:pos="9350"/>
        </w:tabs>
        <w:spacing w:after="60" w:line="360" w:lineRule="auto"/>
        <w:rPr>
          <w:noProof/>
          <w:kern w:val="2"/>
          <w:sz w:val="21"/>
        </w:rPr>
      </w:pPr>
      <w:hyperlink w:anchor="_Toc39312677" w:history="1">
        <w:r w:rsidR="0042250B" w:rsidRPr="00230498">
          <w:rPr>
            <w:rStyle w:val="af5"/>
            <w:b/>
            <w:noProof/>
          </w:rPr>
          <w:t xml:space="preserve">Figure 2-8 Biplot of principal component analysis (PCA), showing principal component one against principal component two. Phases appear best fit with the lines representing VEC and mixing enthalpy. </w:t>
        </w:r>
        <w:r w:rsidR="0042250B" w:rsidRPr="00230498">
          <w:rPr>
            <w:rStyle w:val="af5"/>
            <w:noProof/>
          </w:rPr>
          <w:t>[55]</w:t>
        </w:r>
        <w:r w:rsidR="0042250B">
          <w:rPr>
            <w:noProof/>
            <w:webHidden/>
          </w:rPr>
          <w:tab/>
        </w:r>
        <w:r w:rsidR="0042250B">
          <w:rPr>
            <w:noProof/>
            <w:webHidden/>
          </w:rPr>
          <w:fldChar w:fldCharType="begin"/>
        </w:r>
        <w:r w:rsidR="0042250B">
          <w:rPr>
            <w:noProof/>
            <w:webHidden/>
          </w:rPr>
          <w:instrText xml:space="preserve"> PAGEREF _Toc39312677 \h </w:instrText>
        </w:r>
        <w:r w:rsidR="0042250B">
          <w:rPr>
            <w:noProof/>
            <w:webHidden/>
          </w:rPr>
        </w:r>
        <w:r w:rsidR="0042250B">
          <w:rPr>
            <w:noProof/>
            <w:webHidden/>
          </w:rPr>
          <w:fldChar w:fldCharType="separate"/>
        </w:r>
        <w:r w:rsidR="0042250B">
          <w:rPr>
            <w:noProof/>
            <w:webHidden/>
          </w:rPr>
          <w:t>22</w:t>
        </w:r>
        <w:r w:rsidR="0042250B">
          <w:rPr>
            <w:noProof/>
            <w:webHidden/>
          </w:rPr>
          <w:fldChar w:fldCharType="end"/>
        </w:r>
      </w:hyperlink>
    </w:p>
    <w:p w14:paraId="1D892FD6" w14:textId="774DFAE8" w:rsidR="0042250B" w:rsidRDefault="00077961" w:rsidP="0042250B">
      <w:pPr>
        <w:pStyle w:val="af7"/>
        <w:tabs>
          <w:tab w:val="right" w:leader="dot" w:pos="9350"/>
        </w:tabs>
        <w:spacing w:after="60" w:line="360" w:lineRule="auto"/>
        <w:rPr>
          <w:noProof/>
          <w:kern w:val="2"/>
          <w:sz w:val="21"/>
        </w:rPr>
      </w:pPr>
      <w:hyperlink w:anchor="_Toc39312678" w:history="1">
        <w:r w:rsidR="0042250B" w:rsidRPr="00230498">
          <w:rPr>
            <w:rStyle w:val="af5"/>
            <w:b/>
            <w:noProof/>
          </w:rPr>
          <w:t>Figure 2-</w:t>
        </w:r>
        <w:r w:rsidR="0042250B" w:rsidRPr="00230498">
          <w:rPr>
            <w:rStyle w:val="af5"/>
            <w:b/>
            <w:bCs/>
            <w:noProof/>
          </w:rPr>
          <w:t>9</w:t>
        </w:r>
        <w:r w:rsidR="0042250B" w:rsidRPr="00230498">
          <w:rPr>
            <w:rStyle w:val="af5"/>
            <w:b/>
            <w:noProof/>
          </w:rPr>
          <w:t xml:space="preserve"> 2-D plot of VEC against mixing enthalpy</w:t>
        </w:r>
        <w:r w:rsidR="0042250B" w:rsidRPr="00230498">
          <w:rPr>
            <w:rStyle w:val="af5"/>
            <w:b/>
            <w:bCs/>
            <w:noProof/>
          </w:rPr>
          <w:t xml:space="preserve"> with clear </w:t>
        </w:r>
        <w:r w:rsidR="0042250B" w:rsidRPr="00230498">
          <w:rPr>
            <w:rStyle w:val="af5"/>
            <w:b/>
            <w:noProof/>
          </w:rPr>
          <w:t>sep</w:t>
        </w:r>
        <w:r w:rsidR="0042250B" w:rsidRPr="00230498">
          <w:rPr>
            <w:rStyle w:val="af5"/>
            <w:b/>
            <w:bCs/>
            <w:noProof/>
          </w:rPr>
          <w:t>aration</w:t>
        </w:r>
        <w:r w:rsidR="0042250B" w:rsidRPr="00230498">
          <w:rPr>
            <w:rStyle w:val="af5"/>
            <w:b/>
            <w:noProof/>
          </w:rPr>
          <w:t xml:space="preserve"> </w:t>
        </w:r>
        <w:r w:rsidR="0042250B" w:rsidRPr="00230498">
          <w:rPr>
            <w:rStyle w:val="af5"/>
            <w:b/>
            <w:bCs/>
            <w:noProof/>
          </w:rPr>
          <w:t xml:space="preserve">between simple and complex phases. </w:t>
        </w:r>
        <w:r w:rsidR="0042250B" w:rsidRPr="00230498">
          <w:rPr>
            <w:rStyle w:val="af5"/>
            <w:noProof/>
          </w:rPr>
          <w:t>[55]</w:t>
        </w:r>
        <w:r w:rsidR="0042250B">
          <w:rPr>
            <w:noProof/>
            <w:webHidden/>
          </w:rPr>
          <w:tab/>
        </w:r>
        <w:r w:rsidR="0042250B">
          <w:rPr>
            <w:noProof/>
            <w:webHidden/>
          </w:rPr>
          <w:fldChar w:fldCharType="begin"/>
        </w:r>
        <w:r w:rsidR="0042250B">
          <w:rPr>
            <w:noProof/>
            <w:webHidden/>
          </w:rPr>
          <w:instrText xml:space="preserve"> PAGEREF _Toc39312678 \h </w:instrText>
        </w:r>
        <w:r w:rsidR="0042250B">
          <w:rPr>
            <w:noProof/>
            <w:webHidden/>
          </w:rPr>
        </w:r>
        <w:r w:rsidR="0042250B">
          <w:rPr>
            <w:noProof/>
            <w:webHidden/>
          </w:rPr>
          <w:fldChar w:fldCharType="separate"/>
        </w:r>
        <w:r w:rsidR="0042250B">
          <w:rPr>
            <w:noProof/>
            <w:webHidden/>
          </w:rPr>
          <w:t>23</w:t>
        </w:r>
        <w:r w:rsidR="0042250B">
          <w:rPr>
            <w:noProof/>
            <w:webHidden/>
          </w:rPr>
          <w:fldChar w:fldCharType="end"/>
        </w:r>
      </w:hyperlink>
    </w:p>
    <w:p w14:paraId="32FCE2B6" w14:textId="3307516E" w:rsidR="0042250B" w:rsidRDefault="00077961" w:rsidP="0042250B">
      <w:pPr>
        <w:pStyle w:val="af7"/>
        <w:tabs>
          <w:tab w:val="right" w:leader="dot" w:pos="9350"/>
        </w:tabs>
        <w:spacing w:after="60" w:line="360" w:lineRule="auto"/>
        <w:rPr>
          <w:noProof/>
          <w:kern w:val="2"/>
          <w:sz w:val="21"/>
        </w:rPr>
      </w:pPr>
      <w:hyperlink w:anchor="_Toc39312679" w:history="1">
        <w:r w:rsidR="0042250B" w:rsidRPr="00230498">
          <w:rPr>
            <w:rStyle w:val="af5"/>
            <w:b/>
            <w:noProof/>
          </w:rPr>
          <w:t>Figure 2-10 Phase diagram of Ti–X (X=Sc~Hg) binary system. HCP, BCC and omega phase are presented in yellow, red and blue shading, respectively</w:t>
        </w:r>
        <w:r w:rsidR="0042250B" w:rsidRPr="00230498">
          <w:rPr>
            <w:rStyle w:val="af5"/>
            <w:noProof/>
          </w:rPr>
          <w:t xml:space="preserve"> [76]</w:t>
        </w:r>
        <w:r w:rsidR="0042250B" w:rsidRPr="00230498">
          <w:rPr>
            <w:rStyle w:val="af5"/>
            <w:b/>
            <w:noProof/>
          </w:rPr>
          <w:t>.</w:t>
        </w:r>
        <w:r w:rsidR="0042250B">
          <w:rPr>
            <w:noProof/>
            <w:webHidden/>
          </w:rPr>
          <w:tab/>
        </w:r>
        <w:r w:rsidR="0042250B">
          <w:rPr>
            <w:noProof/>
            <w:webHidden/>
          </w:rPr>
          <w:fldChar w:fldCharType="begin"/>
        </w:r>
        <w:r w:rsidR="0042250B">
          <w:rPr>
            <w:noProof/>
            <w:webHidden/>
          </w:rPr>
          <w:instrText xml:space="preserve"> PAGEREF _Toc39312679 \h </w:instrText>
        </w:r>
        <w:r w:rsidR="0042250B">
          <w:rPr>
            <w:noProof/>
            <w:webHidden/>
          </w:rPr>
        </w:r>
        <w:r w:rsidR="0042250B">
          <w:rPr>
            <w:noProof/>
            <w:webHidden/>
          </w:rPr>
          <w:fldChar w:fldCharType="separate"/>
        </w:r>
        <w:r w:rsidR="0042250B">
          <w:rPr>
            <w:noProof/>
            <w:webHidden/>
          </w:rPr>
          <w:t>30</w:t>
        </w:r>
        <w:r w:rsidR="0042250B">
          <w:rPr>
            <w:noProof/>
            <w:webHidden/>
          </w:rPr>
          <w:fldChar w:fldCharType="end"/>
        </w:r>
      </w:hyperlink>
    </w:p>
    <w:p w14:paraId="2A921BE9" w14:textId="39BFE644" w:rsidR="0042250B" w:rsidRDefault="00077961" w:rsidP="0042250B">
      <w:pPr>
        <w:pStyle w:val="af7"/>
        <w:tabs>
          <w:tab w:val="right" w:leader="dot" w:pos="9350"/>
        </w:tabs>
        <w:spacing w:after="60" w:line="360" w:lineRule="auto"/>
        <w:rPr>
          <w:noProof/>
          <w:kern w:val="2"/>
          <w:sz w:val="21"/>
        </w:rPr>
      </w:pPr>
      <w:hyperlink w:anchor="_Toc39312680" w:history="1">
        <w:r w:rsidR="0042250B" w:rsidRPr="00230498">
          <w:rPr>
            <w:rStyle w:val="af5"/>
            <w:b/>
            <w:noProof/>
          </w:rPr>
          <w:t xml:space="preserve">Figure 2-11 Comparison of the simulated result and experimental result for CCFN-X (X=Pd, Al, V,Ti) HEAs. With increasing alloying contents, </w:t>
        </w:r>
        <w:r w:rsidR="0042250B" w:rsidRPr="00230498">
          <w:rPr>
            <w:rStyle w:val="af5"/>
            <w:noProof/>
          </w:rPr>
          <w:t>(</w:t>
        </w:r>
        <w:r w:rsidR="0042250B" w:rsidRPr="00230498">
          <w:rPr>
            <w:rStyle w:val="af5"/>
            <w:b/>
            <w:noProof/>
          </w:rPr>
          <w:t>a</w:t>
        </w:r>
        <w:r w:rsidR="0042250B" w:rsidRPr="00230498">
          <w:rPr>
            <w:rStyle w:val="af5"/>
            <w:noProof/>
          </w:rPr>
          <w:t>) 2-D plot of polarised band energy difference against VEC (</w:t>
        </w:r>
        <w:r w:rsidR="0042250B" w:rsidRPr="00230498">
          <w:rPr>
            <w:rStyle w:val="af5"/>
            <w:b/>
            <w:noProof/>
          </w:rPr>
          <w:t>b</w:t>
        </w:r>
        <w:r w:rsidR="0042250B" w:rsidRPr="00230498">
          <w:rPr>
            <w:rStyle w:val="af5"/>
            <w:noProof/>
          </w:rPr>
          <w:t>) ground state energy difference and (</w:t>
        </w:r>
        <w:r w:rsidR="0042250B" w:rsidRPr="00230498">
          <w:rPr>
            <w:rStyle w:val="af5"/>
            <w:b/>
            <w:noProof/>
          </w:rPr>
          <w:t>c</w:t>
        </w:r>
        <w:r w:rsidR="0042250B" w:rsidRPr="00230498">
          <w:rPr>
            <w:rStyle w:val="af5"/>
            <w:noProof/>
          </w:rPr>
          <w:t xml:space="preserve">) XRD patterns of corresponds compositions. The joint part of </w:t>
        </w:r>
        <w:r w:rsidR="0042250B" w:rsidRPr="00230498">
          <w:rPr>
            <w:rStyle w:val="af5"/>
            <w:noProof/>
          </w:rPr>
          <w:lastRenderedPageBreak/>
          <w:t>transition point between BCC-FCC, BCC-Intermetallic and intermetallic-FCC phases were denoted by x(i-iii) [23].</w:t>
        </w:r>
        <w:r w:rsidR="0042250B">
          <w:rPr>
            <w:noProof/>
            <w:webHidden/>
          </w:rPr>
          <w:tab/>
        </w:r>
        <w:r w:rsidR="0042250B">
          <w:rPr>
            <w:noProof/>
            <w:webHidden/>
          </w:rPr>
          <w:fldChar w:fldCharType="begin"/>
        </w:r>
        <w:r w:rsidR="0042250B">
          <w:rPr>
            <w:noProof/>
            <w:webHidden/>
          </w:rPr>
          <w:instrText xml:space="preserve"> PAGEREF _Toc39312680 \h </w:instrText>
        </w:r>
        <w:r w:rsidR="0042250B">
          <w:rPr>
            <w:noProof/>
            <w:webHidden/>
          </w:rPr>
        </w:r>
        <w:r w:rsidR="0042250B">
          <w:rPr>
            <w:noProof/>
            <w:webHidden/>
          </w:rPr>
          <w:fldChar w:fldCharType="separate"/>
        </w:r>
        <w:r w:rsidR="0042250B">
          <w:rPr>
            <w:noProof/>
            <w:webHidden/>
          </w:rPr>
          <w:t>32</w:t>
        </w:r>
        <w:r w:rsidR="0042250B">
          <w:rPr>
            <w:noProof/>
            <w:webHidden/>
          </w:rPr>
          <w:fldChar w:fldCharType="end"/>
        </w:r>
      </w:hyperlink>
    </w:p>
    <w:p w14:paraId="42459189" w14:textId="34FE53C2" w:rsidR="0042250B" w:rsidRDefault="00077961" w:rsidP="0042250B">
      <w:pPr>
        <w:pStyle w:val="af7"/>
        <w:tabs>
          <w:tab w:val="right" w:leader="dot" w:pos="9350"/>
        </w:tabs>
        <w:spacing w:after="60" w:line="360" w:lineRule="auto"/>
        <w:rPr>
          <w:noProof/>
          <w:kern w:val="2"/>
          <w:sz w:val="21"/>
        </w:rPr>
      </w:pPr>
      <w:hyperlink w:anchor="_Toc39312681" w:history="1">
        <w:r w:rsidR="0042250B" w:rsidRPr="00230498">
          <w:rPr>
            <w:rStyle w:val="af5"/>
            <w:b/>
            <w:noProof/>
          </w:rPr>
          <w:t xml:space="preserve">Figure 2-12 Comparison of simulated result with various experimental results </w:t>
        </w:r>
        <w:r w:rsidR="0042250B" w:rsidRPr="00230498">
          <w:rPr>
            <w:rStyle w:val="af5"/>
            <w:noProof/>
          </w:rPr>
          <w:t>(</w:t>
        </w:r>
        <w:r w:rsidR="0042250B" w:rsidRPr="00230498">
          <w:rPr>
            <w:rStyle w:val="af5"/>
            <w:b/>
            <w:noProof/>
          </w:rPr>
          <w:t>a</w:t>
        </w:r>
        <w:r w:rsidR="0042250B" w:rsidRPr="00230498">
          <w:rPr>
            <w:rStyle w:val="af5"/>
            <w:noProof/>
          </w:rPr>
          <w:t>) biplot of equilibrium volumes against Al contents in CoCrFeNi-Al</w:t>
        </w:r>
        <w:r w:rsidR="0042250B" w:rsidRPr="00230498">
          <w:rPr>
            <w:rStyle w:val="af5"/>
            <w:noProof/>
            <w:vertAlign w:val="subscript"/>
          </w:rPr>
          <w:t>x</w:t>
        </w:r>
        <w:r w:rsidR="0042250B" w:rsidRPr="00230498">
          <w:rPr>
            <w:rStyle w:val="af5"/>
            <w:noProof/>
          </w:rPr>
          <w:t xml:space="preserve"> HEAs. The Biplot of equilibrium volume and ground state energy difference of FCC and BCC against Al contents, respectively. (</w:t>
        </w:r>
        <w:r w:rsidR="0042250B" w:rsidRPr="00230498">
          <w:rPr>
            <w:rStyle w:val="af5"/>
            <w:b/>
            <w:noProof/>
          </w:rPr>
          <w:t>b</w:t>
        </w:r>
        <w:r w:rsidR="0042250B" w:rsidRPr="00230498">
          <w:rPr>
            <w:rStyle w:val="af5"/>
            <w:noProof/>
          </w:rPr>
          <w:t>) The Biplot of simulated FCC and BCC Gibbs free energy against Al content which is represented by y=x/(4+x) with x equal to the atomic fraction of Al [83].</w:t>
        </w:r>
        <w:r w:rsidR="0042250B">
          <w:rPr>
            <w:noProof/>
            <w:webHidden/>
          </w:rPr>
          <w:tab/>
        </w:r>
        <w:r w:rsidR="0042250B">
          <w:rPr>
            <w:noProof/>
            <w:webHidden/>
          </w:rPr>
          <w:fldChar w:fldCharType="begin"/>
        </w:r>
        <w:r w:rsidR="0042250B">
          <w:rPr>
            <w:noProof/>
            <w:webHidden/>
          </w:rPr>
          <w:instrText xml:space="preserve"> PAGEREF _Toc39312681 \h </w:instrText>
        </w:r>
        <w:r w:rsidR="0042250B">
          <w:rPr>
            <w:noProof/>
            <w:webHidden/>
          </w:rPr>
        </w:r>
        <w:r w:rsidR="0042250B">
          <w:rPr>
            <w:noProof/>
            <w:webHidden/>
          </w:rPr>
          <w:fldChar w:fldCharType="separate"/>
        </w:r>
        <w:r w:rsidR="0042250B">
          <w:rPr>
            <w:noProof/>
            <w:webHidden/>
          </w:rPr>
          <w:t>33</w:t>
        </w:r>
        <w:r w:rsidR="0042250B">
          <w:rPr>
            <w:noProof/>
            <w:webHidden/>
          </w:rPr>
          <w:fldChar w:fldCharType="end"/>
        </w:r>
      </w:hyperlink>
    </w:p>
    <w:p w14:paraId="01ED1116" w14:textId="0C05E7AF" w:rsidR="0042250B" w:rsidRDefault="00077961" w:rsidP="0042250B">
      <w:pPr>
        <w:pStyle w:val="af7"/>
        <w:tabs>
          <w:tab w:val="right" w:leader="dot" w:pos="9350"/>
        </w:tabs>
        <w:spacing w:after="60" w:line="360" w:lineRule="auto"/>
        <w:rPr>
          <w:noProof/>
          <w:kern w:val="2"/>
          <w:sz w:val="21"/>
        </w:rPr>
      </w:pPr>
      <w:hyperlink w:anchor="_Toc39312682" w:history="1">
        <w:r w:rsidR="0042250B" w:rsidRPr="00230498">
          <w:rPr>
            <w:rStyle w:val="af5"/>
            <w:b/>
            <w:noProof/>
          </w:rPr>
          <w:t>Figure 2-13</w:t>
        </w:r>
        <w:r w:rsidR="0042250B" w:rsidRPr="00230498">
          <w:rPr>
            <w:rStyle w:val="af5"/>
            <w:noProof/>
          </w:rPr>
          <w:t xml:space="preserve"> (</w:t>
        </w:r>
        <w:r w:rsidR="0042250B" w:rsidRPr="00230498">
          <w:rPr>
            <w:rStyle w:val="af5"/>
            <w:b/>
            <w:noProof/>
          </w:rPr>
          <w:t>a</w:t>
        </w:r>
        <w:r w:rsidR="0042250B" w:rsidRPr="00230498">
          <w:rPr>
            <w:rStyle w:val="af5"/>
            <w:noProof/>
          </w:rPr>
          <w:t>)The formation enthalpy matrix. The energy of binary system formation enthalpy is calculated for the most stable structure of binary compounds with the lowest energy state. Numbers possessing light colours from white and green, represent compounds with the solid solution phase as the most stable structure; and (</w:t>
        </w:r>
        <w:r w:rsidR="0042250B" w:rsidRPr="00230498">
          <w:rPr>
            <w:rStyle w:val="af5"/>
            <w:b/>
            <w:noProof/>
          </w:rPr>
          <w:t>b</w:t>
        </w:r>
        <w:r w:rsidR="0042250B" w:rsidRPr="00230498">
          <w:rPr>
            <w:rStyle w:val="af5"/>
            <w:noProof/>
          </w:rPr>
          <w:t>) a phase prediction table of two ternary alloy FeCoNi-XY and NbMoTaXY HEAs, with the fourth and fifth principal components listed on the X and Y axis. Diagonal entries on these axes indicate the quaternary system and the other compositions are five component HEAs. The green triangles and red circles correspond to the solid solution phase and complex phase with intermetallic phases, respectively. The ticked denote experimentally verified compositions with relative element addition. [84]</w:t>
        </w:r>
        <w:r w:rsidR="0042250B">
          <w:rPr>
            <w:noProof/>
            <w:webHidden/>
          </w:rPr>
          <w:tab/>
        </w:r>
        <w:r w:rsidR="0042250B">
          <w:rPr>
            <w:noProof/>
            <w:webHidden/>
          </w:rPr>
          <w:fldChar w:fldCharType="begin"/>
        </w:r>
        <w:r w:rsidR="0042250B">
          <w:rPr>
            <w:noProof/>
            <w:webHidden/>
          </w:rPr>
          <w:instrText xml:space="preserve"> PAGEREF _Toc39312682 \h </w:instrText>
        </w:r>
        <w:r w:rsidR="0042250B">
          <w:rPr>
            <w:noProof/>
            <w:webHidden/>
          </w:rPr>
        </w:r>
        <w:r w:rsidR="0042250B">
          <w:rPr>
            <w:noProof/>
            <w:webHidden/>
          </w:rPr>
          <w:fldChar w:fldCharType="separate"/>
        </w:r>
        <w:r w:rsidR="0042250B">
          <w:rPr>
            <w:noProof/>
            <w:webHidden/>
          </w:rPr>
          <w:t>34</w:t>
        </w:r>
        <w:r w:rsidR="0042250B">
          <w:rPr>
            <w:noProof/>
            <w:webHidden/>
          </w:rPr>
          <w:fldChar w:fldCharType="end"/>
        </w:r>
      </w:hyperlink>
    </w:p>
    <w:p w14:paraId="7EB52413" w14:textId="14902962" w:rsidR="0042250B" w:rsidRDefault="00077961" w:rsidP="0042250B">
      <w:pPr>
        <w:pStyle w:val="af7"/>
        <w:tabs>
          <w:tab w:val="right" w:leader="dot" w:pos="9350"/>
        </w:tabs>
        <w:spacing w:after="60" w:line="360" w:lineRule="auto"/>
        <w:rPr>
          <w:noProof/>
          <w:kern w:val="2"/>
          <w:sz w:val="21"/>
        </w:rPr>
      </w:pPr>
      <w:hyperlink w:anchor="_Toc39312683" w:history="1">
        <w:r w:rsidR="0042250B" w:rsidRPr="00230498">
          <w:rPr>
            <w:rStyle w:val="af5"/>
            <w:b/>
            <w:noProof/>
          </w:rPr>
          <w:t>Figure 2-14</w:t>
        </w:r>
        <w:r w:rsidR="0042250B" w:rsidRPr="00230498">
          <w:rPr>
            <w:rStyle w:val="af5"/>
            <w:noProof/>
          </w:rPr>
          <w:t xml:space="preserve"> (</w:t>
        </w:r>
        <w:r w:rsidR="0042250B" w:rsidRPr="00230498">
          <w:rPr>
            <w:rStyle w:val="af5"/>
            <w:b/>
            <w:noProof/>
          </w:rPr>
          <w:t>a</w:t>
        </w:r>
        <w:r w:rsidR="0042250B" w:rsidRPr="00230498">
          <w:rPr>
            <w:rStyle w:val="af5"/>
            <w:noProof/>
          </w:rPr>
          <w:t xml:space="preserve">) Separation of RHEA ductile/brittle transition by </w:t>
        </w:r>
        <w:r w:rsidR="0042250B" w:rsidRPr="00230498">
          <w:rPr>
            <w:rStyle w:val="af5"/>
            <w:i/>
            <w:noProof/>
          </w:rPr>
          <w:t>VEC</w:t>
        </w:r>
        <w:r w:rsidR="0042250B" w:rsidRPr="00230498">
          <w:rPr>
            <w:rStyle w:val="af5"/>
            <w:noProof/>
          </w:rPr>
          <w:t>; and (</w:t>
        </w:r>
        <w:r w:rsidR="0042250B" w:rsidRPr="00230498">
          <w:rPr>
            <w:rStyle w:val="af5"/>
            <w:b/>
            <w:noProof/>
          </w:rPr>
          <w:t>b</w:t>
        </w:r>
        <w:r w:rsidR="0042250B" w:rsidRPr="00230498">
          <w:rPr>
            <w:rStyle w:val="af5"/>
            <w:noProof/>
          </w:rPr>
          <w:t xml:space="preserve">) a schematic showing ductile BCC solid solution dependent with three semi-empirical parameters, atomic size difference, mixing enthalpy and </w:t>
        </w:r>
        <w:r w:rsidR="0042250B" w:rsidRPr="00230498">
          <w:rPr>
            <w:rStyle w:val="af5"/>
            <w:i/>
            <w:noProof/>
          </w:rPr>
          <w:t>VEC</w:t>
        </w:r>
        <w:r w:rsidR="0042250B" w:rsidRPr="00230498">
          <w:rPr>
            <w:rStyle w:val="af5"/>
            <w:noProof/>
          </w:rPr>
          <w:t>. [86]</w:t>
        </w:r>
        <w:r w:rsidR="0042250B">
          <w:rPr>
            <w:noProof/>
            <w:webHidden/>
          </w:rPr>
          <w:tab/>
        </w:r>
        <w:r w:rsidR="0042250B">
          <w:rPr>
            <w:noProof/>
            <w:webHidden/>
          </w:rPr>
          <w:fldChar w:fldCharType="begin"/>
        </w:r>
        <w:r w:rsidR="0042250B">
          <w:rPr>
            <w:noProof/>
            <w:webHidden/>
          </w:rPr>
          <w:instrText xml:space="preserve"> PAGEREF _Toc39312683 \h </w:instrText>
        </w:r>
        <w:r w:rsidR="0042250B">
          <w:rPr>
            <w:noProof/>
            <w:webHidden/>
          </w:rPr>
        </w:r>
        <w:r w:rsidR="0042250B">
          <w:rPr>
            <w:noProof/>
            <w:webHidden/>
          </w:rPr>
          <w:fldChar w:fldCharType="separate"/>
        </w:r>
        <w:r w:rsidR="0042250B">
          <w:rPr>
            <w:noProof/>
            <w:webHidden/>
          </w:rPr>
          <w:t>35</w:t>
        </w:r>
        <w:r w:rsidR="0042250B">
          <w:rPr>
            <w:noProof/>
            <w:webHidden/>
          </w:rPr>
          <w:fldChar w:fldCharType="end"/>
        </w:r>
      </w:hyperlink>
    </w:p>
    <w:p w14:paraId="0635D7C2" w14:textId="3DE7EB2D" w:rsidR="0042250B" w:rsidRDefault="00077961" w:rsidP="0042250B">
      <w:pPr>
        <w:pStyle w:val="af7"/>
        <w:tabs>
          <w:tab w:val="right" w:leader="dot" w:pos="9350"/>
        </w:tabs>
        <w:spacing w:after="60" w:line="360" w:lineRule="auto"/>
        <w:rPr>
          <w:noProof/>
          <w:kern w:val="2"/>
          <w:sz w:val="21"/>
        </w:rPr>
      </w:pPr>
      <w:hyperlink w:anchor="_Toc39312684" w:history="1">
        <w:r w:rsidR="0042250B" w:rsidRPr="00230498">
          <w:rPr>
            <w:rStyle w:val="af5"/>
            <w:b/>
            <w:noProof/>
          </w:rPr>
          <w:t>Figure 2-15</w:t>
        </w:r>
        <w:r w:rsidR="0042250B" w:rsidRPr="00230498">
          <w:rPr>
            <w:rStyle w:val="af5"/>
            <w:noProof/>
          </w:rPr>
          <w:t xml:space="preserve"> (</w:t>
        </w:r>
        <w:r w:rsidR="0042250B" w:rsidRPr="00230498">
          <w:rPr>
            <w:rStyle w:val="af5"/>
            <w:b/>
            <w:noProof/>
          </w:rPr>
          <w:t>a</w:t>
        </w:r>
        <w:r w:rsidR="0042250B" w:rsidRPr="00230498">
          <w:rPr>
            <w:rStyle w:val="af5"/>
            <w:noProof/>
          </w:rPr>
          <w:t xml:space="preserve">) HEA solid solution phase formation distribution against the value of </w:t>
        </w:r>
        <w:r w:rsidR="0042250B" w:rsidRPr="00230498">
          <w:rPr>
            <w:rStyle w:val="af5"/>
            <w:i/>
            <w:noProof/>
          </w:rPr>
          <w:t>VEC</w:t>
        </w:r>
        <w:r w:rsidR="0042250B" w:rsidRPr="00230498">
          <w:rPr>
            <w:rStyle w:val="af5"/>
            <w:noProof/>
          </w:rPr>
          <w:t>; (</w:t>
        </w:r>
        <w:r w:rsidR="0042250B" w:rsidRPr="00230498">
          <w:rPr>
            <w:rStyle w:val="af5"/>
            <w:b/>
            <w:noProof/>
          </w:rPr>
          <w:t>b</w:t>
        </w:r>
        <w:r w:rsidR="0042250B" w:rsidRPr="00230498">
          <w:rPr>
            <w:rStyle w:val="af5"/>
            <w:noProof/>
          </w:rPr>
          <w:t xml:space="preserve">) a Biplot of HEAs hardness against weighted </w:t>
        </w:r>
        <w:r w:rsidR="0042250B" w:rsidRPr="00230498">
          <w:rPr>
            <w:rStyle w:val="af5"/>
            <w:i/>
            <w:noProof/>
          </w:rPr>
          <w:t>VEC</w:t>
        </w:r>
        <w:r w:rsidR="0042250B" w:rsidRPr="00230498">
          <w:rPr>
            <w:rStyle w:val="af5"/>
            <w:noProof/>
          </w:rPr>
          <w:t>; and (</w:t>
        </w:r>
        <w:r w:rsidR="0042250B" w:rsidRPr="00230498">
          <w:rPr>
            <w:rStyle w:val="af5"/>
            <w:b/>
            <w:noProof/>
          </w:rPr>
          <w:t>c</w:t>
        </w:r>
        <w:r w:rsidR="0042250B" w:rsidRPr="00230498">
          <w:rPr>
            <w:rStyle w:val="af5"/>
            <w:noProof/>
          </w:rPr>
          <w:t>) the hardness as a function of atomic size difference</w:t>
        </w:r>
        <w:r w:rsidR="0042250B" w:rsidRPr="00230498">
          <w:rPr>
            <w:rStyle w:val="af5"/>
            <w:rFonts w:ascii="Calibri" w:hAnsi="Calibri" w:cs="Calibri"/>
            <w:noProof/>
          </w:rPr>
          <w:t xml:space="preserve"> δ.[87].</w:t>
        </w:r>
        <w:r w:rsidR="0042250B">
          <w:rPr>
            <w:noProof/>
            <w:webHidden/>
          </w:rPr>
          <w:tab/>
        </w:r>
        <w:r w:rsidR="0042250B">
          <w:rPr>
            <w:noProof/>
            <w:webHidden/>
          </w:rPr>
          <w:fldChar w:fldCharType="begin"/>
        </w:r>
        <w:r w:rsidR="0042250B">
          <w:rPr>
            <w:noProof/>
            <w:webHidden/>
          </w:rPr>
          <w:instrText xml:space="preserve"> PAGEREF _Toc39312684 \h </w:instrText>
        </w:r>
        <w:r w:rsidR="0042250B">
          <w:rPr>
            <w:noProof/>
            <w:webHidden/>
          </w:rPr>
        </w:r>
        <w:r w:rsidR="0042250B">
          <w:rPr>
            <w:noProof/>
            <w:webHidden/>
          </w:rPr>
          <w:fldChar w:fldCharType="separate"/>
        </w:r>
        <w:r w:rsidR="0042250B">
          <w:rPr>
            <w:noProof/>
            <w:webHidden/>
          </w:rPr>
          <w:t>36</w:t>
        </w:r>
        <w:r w:rsidR="0042250B">
          <w:rPr>
            <w:noProof/>
            <w:webHidden/>
          </w:rPr>
          <w:fldChar w:fldCharType="end"/>
        </w:r>
      </w:hyperlink>
    </w:p>
    <w:p w14:paraId="5AA2D26A" w14:textId="493F0641" w:rsidR="0042250B" w:rsidRDefault="00077961" w:rsidP="0042250B">
      <w:pPr>
        <w:pStyle w:val="af7"/>
        <w:tabs>
          <w:tab w:val="right" w:leader="dot" w:pos="9350"/>
        </w:tabs>
        <w:spacing w:after="60" w:line="360" w:lineRule="auto"/>
        <w:rPr>
          <w:noProof/>
          <w:kern w:val="2"/>
          <w:sz w:val="21"/>
        </w:rPr>
      </w:pPr>
      <w:hyperlink w:anchor="_Toc39312685" w:history="1">
        <w:r w:rsidR="0042250B" w:rsidRPr="00230498">
          <w:rPr>
            <w:rStyle w:val="af5"/>
            <w:b/>
            <w:noProof/>
          </w:rPr>
          <w:t>Figure 2-16</w:t>
        </w:r>
        <w:r w:rsidR="0042250B" w:rsidRPr="00230498">
          <w:rPr>
            <w:rStyle w:val="af5"/>
            <w:noProof/>
          </w:rPr>
          <w:t xml:space="preserve"> (</w:t>
        </w:r>
        <w:r w:rsidR="0042250B" w:rsidRPr="00230498">
          <w:rPr>
            <w:rStyle w:val="af5"/>
            <w:b/>
            <w:noProof/>
          </w:rPr>
          <w:t>a</w:t>
        </w:r>
        <w:r w:rsidR="0042250B" w:rsidRPr="00230498">
          <w:rPr>
            <w:rStyle w:val="af5"/>
            <w:noProof/>
          </w:rPr>
          <w:t>)</w:t>
        </w:r>
        <w:r w:rsidR="0042250B" w:rsidRPr="00230498">
          <w:rPr>
            <w:rStyle w:val="af5"/>
            <w:rFonts w:cstheme="minorHAnsi"/>
            <w:noProof/>
          </w:rPr>
          <w:t> Ideal BCC structure without loading along [001]</w:t>
        </w:r>
        <w:r w:rsidR="0042250B" w:rsidRPr="00230498">
          <w:rPr>
            <w:rStyle w:val="af5"/>
            <w:rFonts w:cstheme="minorHAnsi"/>
            <w:noProof/>
            <w:vertAlign w:val="subscript"/>
          </w:rPr>
          <w:t>BCC</w:t>
        </w:r>
        <w:r w:rsidR="0042250B" w:rsidRPr="00230498">
          <w:rPr>
            <w:rStyle w:val="af5"/>
            <w:rFonts w:cstheme="minorHAnsi"/>
            <w:noProof/>
          </w:rPr>
          <w:t>; (</w:t>
        </w:r>
        <w:r w:rsidR="0042250B" w:rsidRPr="00230498">
          <w:rPr>
            <w:rStyle w:val="af5"/>
            <w:rFonts w:cstheme="minorHAnsi"/>
            <w:b/>
            <w:noProof/>
          </w:rPr>
          <w:t>b</w:t>
        </w:r>
        <w:r w:rsidR="0042250B" w:rsidRPr="00230498">
          <w:rPr>
            <w:rStyle w:val="af5"/>
            <w:rFonts w:cstheme="minorHAnsi"/>
            <w:noProof/>
          </w:rPr>
          <w:t>) with tensile strain along [001]</w:t>
        </w:r>
        <w:r w:rsidR="0042250B" w:rsidRPr="00230498">
          <w:rPr>
            <w:rStyle w:val="af5"/>
            <w:rFonts w:cstheme="minorHAnsi"/>
            <w:noProof/>
            <w:vertAlign w:val="subscript"/>
          </w:rPr>
          <w:t>BCC</w:t>
        </w:r>
        <w:r w:rsidR="0042250B" w:rsidRPr="00230498">
          <w:rPr>
            <w:rStyle w:val="af5"/>
            <w:rFonts w:cstheme="minorHAnsi"/>
            <w:noProof/>
          </w:rPr>
          <w:t>, where the deformed structure is expressed in the BCT structure; and (</w:t>
        </w:r>
        <w:r w:rsidR="0042250B" w:rsidRPr="00230498">
          <w:rPr>
            <w:rStyle w:val="af5"/>
            <w:rFonts w:cstheme="minorHAnsi"/>
            <w:b/>
            <w:noProof/>
          </w:rPr>
          <w:t>c</w:t>
        </w:r>
        <w:r w:rsidR="0042250B" w:rsidRPr="00230498">
          <w:rPr>
            <w:rStyle w:val="af5"/>
            <w:rFonts w:cstheme="minorHAnsi"/>
            <w:noProof/>
          </w:rPr>
          <w:t>) a Biplot of simulated tensile stress against ideal tensile strain for four RHEAs [89] .</w:t>
        </w:r>
        <w:r w:rsidR="0042250B">
          <w:rPr>
            <w:noProof/>
            <w:webHidden/>
          </w:rPr>
          <w:tab/>
        </w:r>
        <w:r w:rsidR="0042250B">
          <w:rPr>
            <w:noProof/>
            <w:webHidden/>
          </w:rPr>
          <w:fldChar w:fldCharType="begin"/>
        </w:r>
        <w:r w:rsidR="0042250B">
          <w:rPr>
            <w:noProof/>
            <w:webHidden/>
          </w:rPr>
          <w:instrText xml:space="preserve"> PAGEREF _Toc39312685 \h </w:instrText>
        </w:r>
        <w:r w:rsidR="0042250B">
          <w:rPr>
            <w:noProof/>
            <w:webHidden/>
          </w:rPr>
        </w:r>
        <w:r w:rsidR="0042250B">
          <w:rPr>
            <w:noProof/>
            <w:webHidden/>
          </w:rPr>
          <w:fldChar w:fldCharType="separate"/>
        </w:r>
        <w:r w:rsidR="0042250B">
          <w:rPr>
            <w:noProof/>
            <w:webHidden/>
          </w:rPr>
          <w:t>37</w:t>
        </w:r>
        <w:r w:rsidR="0042250B">
          <w:rPr>
            <w:noProof/>
            <w:webHidden/>
          </w:rPr>
          <w:fldChar w:fldCharType="end"/>
        </w:r>
      </w:hyperlink>
    </w:p>
    <w:p w14:paraId="336F1B67" w14:textId="31E9A7CD" w:rsidR="0042250B" w:rsidRDefault="00077961" w:rsidP="0042250B">
      <w:pPr>
        <w:pStyle w:val="af7"/>
        <w:tabs>
          <w:tab w:val="right" w:leader="dot" w:pos="9350"/>
        </w:tabs>
        <w:spacing w:after="60" w:line="360" w:lineRule="auto"/>
        <w:rPr>
          <w:noProof/>
          <w:kern w:val="2"/>
          <w:sz w:val="21"/>
        </w:rPr>
      </w:pPr>
      <w:hyperlink w:anchor="_Toc39312686" w:history="1">
        <w:r w:rsidR="0042250B" w:rsidRPr="00230498">
          <w:rPr>
            <w:rStyle w:val="af5"/>
            <w:b/>
            <w:noProof/>
          </w:rPr>
          <w:t>Figure 2-17</w:t>
        </w:r>
        <w:r w:rsidR="0042250B" w:rsidRPr="00230498">
          <w:rPr>
            <w:rStyle w:val="af5"/>
            <w:noProof/>
          </w:rPr>
          <w:t xml:space="preserve"> (</w:t>
        </w:r>
        <w:r w:rsidR="0042250B" w:rsidRPr="00230498">
          <w:rPr>
            <w:rStyle w:val="af5"/>
            <w:b/>
            <w:noProof/>
          </w:rPr>
          <w:t>a</w:t>
        </w:r>
        <w:r w:rsidR="0042250B" w:rsidRPr="00230498">
          <w:rPr>
            <w:rStyle w:val="af5"/>
            <w:noProof/>
          </w:rPr>
          <w:t>) DOS of pure Ti, Zr, V, Nb, Mo BCC elements; TDOS and PDOS of BCC TiZrVNb, TiZrNbMo and TiZrVNbMo.; and (</w:t>
        </w:r>
        <w:r w:rsidR="0042250B" w:rsidRPr="00230498">
          <w:rPr>
            <w:rStyle w:val="af5"/>
            <w:b/>
            <w:noProof/>
          </w:rPr>
          <w:t>b</w:t>
        </w:r>
        <w:r w:rsidR="0042250B" w:rsidRPr="00230498">
          <w:rPr>
            <w:rStyle w:val="af5"/>
            <w:noProof/>
          </w:rPr>
          <w:t>) Correlation between the bulk (</w:t>
        </w:r>
        <w:r w:rsidR="0042250B" w:rsidRPr="00230498">
          <w:rPr>
            <w:rStyle w:val="af5"/>
            <w:i/>
            <w:iCs/>
            <w:noProof/>
          </w:rPr>
          <w:t>B</w:t>
        </w:r>
        <w:r w:rsidR="0042250B" w:rsidRPr="00230498">
          <w:rPr>
            <w:rStyle w:val="af5"/>
            <w:noProof/>
          </w:rPr>
          <w:t>), shear (</w:t>
        </w:r>
        <w:r w:rsidR="0042250B" w:rsidRPr="00230498">
          <w:rPr>
            <w:rStyle w:val="af5"/>
            <w:i/>
            <w:iCs/>
            <w:noProof/>
          </w:rPr>
          <w:t>G</w:t>
        </w:r>
        <w:r w:rsidR="0042250B" w:rsidRPr="00230498">
          <w:rPr>
            <w:rStyle w:val="af5"/>
            <w:noProof/>
          </w:rPr>
          <w:t>) moduli and Pugh ratio (B/G ratio) of TiZrNbMoV</w:t>
        </w:r>
        <w:r w:rsidR="0042250B" w:rsidRPr="00230498">
          <w:rPr>
            <w:rStyle w:val="af5"/>
            <w:i/>
            <w:iCs/>
            <w:noProof/>
            <w:vertAlign w:val="subscript"/>
          </w:rPr>
          <w:t>x</w:t>
        </w:r>
        <w:r w:rsidR="0042250B" w:rsidRPr="00230498">
          <w:rPr>
            <w:rStyle w:val="af5"/>
            <w:noProof/>
            <w:vertAlign w:val="subscript"/>
          </w:rPr>
          <w:t xml:space="preserve"> (x=0–1.5) </w:t>
        </w:r>
        <w:r w:rsidR="0042250B" w:rsidRPr="00230498">
          <w:rPr>
            <w:rStyle w:val="af5"/>
            <w:noProof/>
          </w:rPr>
          <w:t xml:space="preserve">and </w:t>
        </w:r>
        <w:r w:rsidR="0042250B" w:rsidRPr="00230498">
          <w:rPr>
            <w:rStyle w:val="af5"/>
            <w:i/>
            <w:noProof/>
          </w:rPr>
          <w:t>VEC.</w:t>
        </w:r>
        <w:r w:rsidR="0042250B" w:rsidRPr="00230498">
          <w:rPr>
            <w:rStyle w:val="af5"/>
            <w:noProof/>
          </w:rPr>
          <w:t xml:space="preserve"> [90]</w:t>
        </w:r>
        <w:r w:rsidR="0042250B">
          <w:rPr>
            <w:noProof/>
            <w:webHidden/>
          </w:rPr>
          <w:tab/>
        </w:r>
        <w:r w:rsidR="0042250B">
          <w:rPr>
            <w:noProof/>
            <w:webHidden/>
          </w:rPr>
          <w:fldChar w:fldCharType="begin"/>
        </w:r>
        <w:r w:rsidR="0042250B">
          <w:rPr>
            <w:noProof/>
            <w:webHidden/>
          </w:rPr>
          <w:instrText xml:space="preserve"> PAGEREF _Toc39312686 \h </w:instrText>
        </w:r>
        <w:r w:rsidR="0042250B">
          <w:rPr>
            <w:noProof/>
            <w:webHidden/>
          </w:rPr>
        </w:r>
        <w:r w:rsidR="0042250B">
          <w:rPr>
            <w:noProof/>
            <w:webHidden/>
          </w:rPr>
          <w:fldChar w:fldCharType="separate"/>
        </w:r>
        <w:r w:rsidR="0042250B">
          <w:rPr>
            <w:noProof/>
            <w:webHidden/>
          </w:rPr>
          <w:t>38</w:t>
        </w:r>
        <w:r w:rsidR="0042250B">
          <w:rPr>
            <w:noProof/>
            <w:webHidden/>
          </w:rPr>
          <w:fldChar w:fldCharType="end"/>
        </w:r>
      </w:hyperlink>
    </w:p>
    <w:p w14:paraId="487B11AA" w14:textId="1AD894FE" w:rsidR="0042250B" w:rsidRDefault="00077961" w:rsidP="0042250B">
      <w:pPr>
        <w:pStyle w:val="af7"/>
        <w:tabs>
          <w:tab w:val="right" w:leader="dot" w:pos="9350"/>
        </w:tabs>
        <w:spacing w:after="60" w:line="360" w:lineRule="auto"/>
        <w:rPr>
          <w:noProof/>
          <w:kern w:val="2"/>
          <w:sz w:val="21"/>
        </w:rPr>
      </w:pPr>
      <w:hyperlink w:anchor="_Toc39312687" w:history="1">
        <w:r w:rsidR="0042250B" w:rsidRPr="00230498">
          <w:rPr>
            <w:rStyle w:val="af5"/>
            <w:b/>
            <w:noProof/>
          </w:rPr>
          <w:t>Figure 2-18</w:t>
        </w:r>
        <w:r w:rsidR="0042250B" w:rsidRPr="00230498">
          <w:rPr>
            <w:rStyle w:val="af5"/>
            <w:noProof/>
          </w:rPr>
          <w:t xml:space="preserve"> Compositional dependence of </w:t>
        </w:r>
        <w:r w:rsidR="0042250B" w:rsidRPr="00230498">
          <w:rPr>
            <w:rStyle w:val="af5"/>
            <w:rFonts w:cstheme="minorHAnsi"/>
            <w:noProof/>
          </w:rPr>
          <w:t>three elastic constants (Poisson's ratio, Cauchy pressure and Pugh's ratio) with Al addition in CoCrFeNi. Simulated stabilised structures are shaded in different colors (orange for FCC, cyan for dual-phase and purple for BCC) [83].</w:t>
        </w:r>
        <w:r w:rsidR="0042250B">
          <w:rPr>
            <w:noProof/>
            <w:webHidden/>
          </w:rPr>
          <w:tab/>
        </w:r>
        <w:r w:rsidR="0042250B">
          <w:rPr>
            <w:noProof/>
            <w:webHidden/>
          </w:rPr>
          <w:fldChar w:fldCharType="begin"/>
        </w:r>
        <w:r w:rsidR="0042250B">
          <w:rPr>
            <w:noProof/>
            <w:webHidden/>
          </w:rPr>
          <w:instrText xml:space="preserve"> PAGEREF _Toc39312687 \h </w:instrText>
        </w:r>
        <w:r w:rsidR="0042250B">
          <w:rPr>
            <w:noProof/>
            <w:webHidden/>
          </w:rPr>
        </w:r>
        <w:r w:rsidR="0042250B">
          <w:rPr>
            <w:noProof/>
            <w:webHidden/>
          </w:rPr>
          <w:fldChar w:fldCharType="separate"/>
        </w:r>
        <w:r w:rsidR="0042250B">
          <w:rPr>
            <w:noProof/>
            <w:webHidden/>
          </w:rPr>
          <w:t>39</w:t>
        </w:r>
        <w:r w:rsidR="0042250B">
          <w:rPr>
            <w:noProof/>
            <w:webHidden/>
          </w:rPr>
          <w:fldChar w:fldCharType="end"/>
        </w:r>
      </w:hyperlink>
    </w:p>
    <w:p w14:paraId="34617908" w14:textId="41E3C2EA" w:rsidR="0042250B" w:rsidRDefault="00077961" w:rsidP="0042250B">
      <w:pPr>
        <w:pStyle w:val="af7"/>
        <w:tabs>
          <w:tab w:val="right" w:leader="dot" w:pos="9350"/>
        </w:tabs>
        <w:spacing w:after="60" w:line="360" w:lineRule="auto"/>
        <w:rPr>
          <w:noProof/>
          <w:kern w:val="2"/>
          <w:sz w:val="21"/>
        </w:rPr>
      </w:pPr>
      <w:hyperlink w:anchor="_Toc39312688" w:history="1">
        <w:r w:rsidR="0042250B" w:rsidRPr="00230498">
          <w:rPr>
            <w:rStyle w:val="af5"/>
            <w:b/>
            <w:noProof/>
          </w:rPr>
          <w:t xml:space="preserve">Figure 2-19 </w:t>
        </w:r>
        <w:r w:rsidR="0042250B" w:rsidRPr="00230498">
          <w:rPr>
            <w:rStyle w:val="af5"/>
            <w:noProof/>
          </w:rPr>
          <w:t>(</w:t>
        </w:r>
        <w:r w:rsidR="0042250B" w:rsidRPr="00230498">
          <w:rPr>
            <w:rStyle w:val="af5"/>
            <w:b/>
            <w:noProof/>
          </w:rPr>
          <w:t>a</w:t>
        </w:r>
        <w:r w:rsidR="0042250B" w:rsidRPr="00230498">
          <w:rPr>
            <w:rStyle w:val="af5"/>
            <w:noProof/>
          </w:rPr>
          <w:t>) An illustration of the microstructure evolution during heat-treatment, with precipitates selection showing distinct dependence with ageing temperature; (</w:t>
        </w:r>
        <w:r w:rsidR="0042250B" w:rsidRPr="00230498">
          <w:rPr>
            <w:rStyle w:val="af5"/>
            <w:b/>
            <w:noProof/>
          </w:rPr>
          <w:t>b</w:t>
        </w:r>
        <w:r w:rsidR="0042250B" w:rsidRPr="00230498">
          <w:rPr>
            <w:rStyle w:val="af5"/>
            <w:noProof/>
          </w:rPr>
          <w:t xml:space="preserve">) a 2-D plot of phase fraction against ageing temperature. With different dependence on ageing temperature, the formation of </w:t>
        </w:r>
        <w:r w:rsidR="0042250B" w:rsidRPr="00230498">
          <w:rPr>
            <w:rStyle w:val="af5"/>
            <w:rFonts w:eastAsia="等线"/>
            <w:noProof/>
          </w:rPr>
          <w:t>γ</w:t>
        </w:r>
        <w:r w:rsidR="0042250B" w:rsidRPr="00230498">
          <w:rPr>
            <w:rStyle w:val="af5"/>
            <w:noProof/>
          </w:rPr>
          <w:t>’ phase suppressed the formation of Heusler phase; (</w:t>
        </w:r>
        <w:r w:rsidR="0042250B" w:rsidRPr="00230498">
          <w:rPr>
            <w:rStyle w:val="af5"/>
            <w:b/>
            <w:noProof/>
          </w:rPr>
          <w:t>c</w:t>
        </w:r>
        <w:r w:rsidR="0042250B" w:rsidRPr="00230498">
          <w:rPr>
            <w:rStyle w:val="af5"/>
            <w:noProof/>
          </w:rPr>
          <w:t>) the tensile performance of materials possessing different ageing. Inset reveals the coexistence of both precipitates; and (</w:t>
        </w:r>
        <w:r w:rsidR="0042250B" w:rsidRPr="00230498">
          <w:rPr>
            <w:rStyle w:val="af5"/>
            <w:b/>
            <w:noProof/>
          </w:rPr>
          <w:t>d</w:t>
        </w:r>
        <w:r w:rsidR="0042250B" w:rsidRPr="00230498">
          <w:rPr>
            <w:rStyle w:val="af5"/>
            <w:noProof/>
          </w:rPr>
          <w:t xml:space="preserve">) HRTEM image showing coherent </w:t>
        </w:r>
        <w:r w:rsidR="0042250B" w:rsidRPr="00230498">
          <w:rPr>
            <w:rStyle w:val="af5"/>
            <w:rFonts w:eastAsia="等线"/>
            <w:noProof/>
          </w:rPr>
          <w:t>γ</w:t>
        </w:r>
        <w:r w:rsidR="0042250B" w:rsidRPr="00230498">
          <w:rPr>
            <w:rStyle w:val="af5"/>
            <w:noProof/>
          </w:rPr>
          <w:t>’ precipitates in the FCC matrix [100].</w:t>
        </w:r>
        <w:r w:rsidR="0042250B">
          <w:rPr>
            <w:noProof/>
            <w:webHidden/>
          </w:rPr>
          <w:tab/>
        </w:r>
        <w:r w:rsidR="0042250B">
          <w:rPr>
            <w:noProof/>
            <w:webHidden/>
          </w:rPr>
          <w:fldChar w:fldCharType="begin"/>
        </w:r>
        <w:r w:rsidR="0042250B">
          <w:rPr>
            <w:noProof/>
            <w:webHidden/>
          </w:rPr>
          <w:instrText xml:space="preserve"> PAGEREF _Toc39312688 \h </w:instrText>
        </w:r>
        <w:r w:rsidR="0042250B">
          <w:rPr>
            <w:noProof/>
            <w:webHidden/>
          </w:rPr>
        </w:r>
        <w:r w:rsidR="0042250B">
          <w:rPr>
            <w:noProof/>
            <w:webHidden/>
          </w:rPr>
          <w:fldChar w:fldCharType="separate"/>
        </w:r>
        <w:r w:rsidR="0042250B">
          <w:rPr>
            <w:noProof/>
            <w:webHidden/>
          </w:rPr>
          <w:t>41</w:t>
        </w:r>
        <w:r w:rsidR="0042250B">
          <w:rPr>
            <w:noProof/>
            <w:webHidden/>
          </w:rPr>
          <w:fldChar w:fldCharType="end"/>
        </w:r>
      </w:hyperlink>
    </w:p>
    <w:p w14:paraId="1A6CEC52" w14:textId="688707CA" w:rsidR="0042250B" w:rsidRDefault="00077961" w:rsidP="0042250B">
      <w:pPr>
        <w:pStyle w:val="af7"/>
        <w:tabs>
          <w:tab w:val="right" w:leader="dot" w:pos="9350"/>
        </w:tabs>
        <w:spacing w:after="60" w:line="360" w:lineRule="auto"/>
        <w:rPr>
          <w:noProof/>
          <w:kern w:val="2"/>
          <w:sz w:val="21"/>
        </w:rPr>
      </w:pPr>
      <w:hyperlink w:anchor="_Toc39312689" w:history="1">
        <w:r w:rsidR="0042250B" w:rsidRPr="00230498">
          <w:rPr>
            <w:rStyle w:val="af5"/>
            <w:b/>
            <w:noProof/>
          </w:rPr>
          <w:t>Figure 2-20 Microstructure of Al</w:t>
        </w:r>
        <w:r w:rsidR="0042250B" w:rsidRPr="00230498">
          <w:rPr>
            <w:rStyle w:val="af5"/>
            <w:b/>
            <w:noProof/>
            <w:vertAlign w:val="subscript"/>
          </w:rPr>
          <w:t>0.5</w:t>
        </w:r>
        <w:r w:rsidR="0042250B" w:rsidRPr="00230498">
          <w:rPr>
            <w:rStyle w:val="af5"/>
            <w:b/>
            <w:noProof/>
          </w:rPr>
          <w:t>Cr</w:t>
        </w:r>
        <w:r w:rsidR="0042250B" w:rsidRPr="00230498">
          <w:rPr>
            <w:rStyle w:val="af5"/>
            <w:b/>
            <w:noProof/>
            <w:vertAlign w:val="subscript"/>
          </w:rPr>
          <w:t>0.9</w:t>
        </w:r>
        <w:r w:rsidR="0042250B" w:rsidRPr="00230498">
          <w:rPr>
            <w:rStyle w:val="af5"/>
            <w:b/>
            <w:noProof/>
          </w:rPr>
          <w:t>FeNi</w:t>
        </w:r>
        <w:r w:rsidR="0042250B" w:rsidRPr="00230498">
          <w:rPr>
            <w:rStyle w:val="af5"/>
            <w:b/>
            <w:noProof/>
            <w:vertAlign w:val="subscript"/>
          </w:rPr>
          <w:t>2.5</w:t>
        </w:r>
        <w:r w:rsidR="0042250B" w:rsidRPr="00230498">
          <w:rPr>
            <w:rStyle w:val="af5"/>
            <w:b/>
            <w:noProof/>
          </w:rPr>
          <w:t>V</w:t>
        </w:r>
        <w:r w:rsidR="0042250B" w:rsidRPr="00230498">
          <w:rPr>
            <w:rStyle w:val="af5"/>
            <w:b/>
            <w:noProof/>
            <w:vertAlign w:val="subscript"/>
          </w:rPr>
          <w:t>0.2</w:t>
        </w:r>
        <w:r w:rsidR="0042250B" w:rsidRPr="00230498">
          <w:rPr>
            <w:rStyle w:val="af5"/>
            <w:b/>
            <w:noProof/>
          </w:rPr>
          <w:t xml:space="preserve"> and element distribution. </w:t>
        </w:r>
        <w:r w:rsidR="0042250B" w:rsidRPr="00230498">
          <w:rPr>
            <w:rStyle w:val="af5"/>
            <w:noProof/>
          </w:rPr>
          <w:t>(</w:t>
        </w:r>
        <w:r w:rsidR="0042250B" w:rsidRPr="00230498">
          <w:rPr>
            <w:rStyle w:val="af5"/>
            <w:b/>
            <w:noProof/>
          </w:rPr>
          <w:t>a</w:t>
        </w:r>
        <w:r w:rsidR="0042250B" w:rsidRPr="00230498">
          <w:rPr>
            <w:rStyle w:val="af5"/>
            <w:noProof/>
          </w:rPr>
          <w:t>) a HRTEM image of L1</w:t>
        </w:r>
        <w:r w:rsidR="0042250B" w:rsidRPr="00230498">
          <w:rPr>
            <w:rStyle w:val="af5"/>
            <w:noProof/>
            <w:vertAlign w:val="subscript"/>
          </w:rPr>
          <w:t>2</w:t>
        </w:r>
        <w:r w:rsidR="0042250B" w:rsidRPr="00230498">
          <w:rPr>
            <w:rStyle w:val="af5"/>
            <w:noProof/>
          </w:rPr>
          <w:t xml:space="preserve"> precipitates in the FCC matrix, inset showing IFFT spot, corresponding to L1</w:t>
        </w:r>
        <w:r w:rsidR="0042250B" w:rsidRPr="00230498">
          <w:rPr>
            <w:rStyle w:val="af5"/>
            <w:noProof/>
            <w:vertAlign w:val="subscript"/>
          </w:rPr>
          <w:t>2</w:t>
        </w:r>
        <w:r w:rsidR="0042250B" w:rsidRPr="00230498">
          <w:rPr>
            <w:rStyle w:val="af5"/>
            <w:noProof/>
          </w:rPr>
          <w:t xml:space="preserve"> and the FCC structure; (</w:t>
        </w:r>
        <w:r w:rsidR="0042250B" w:rsidRPr="00230498">
          <w:rPr>
            <w:rStyle w:val="af5"/>
            <w:b/>
            <w:noProof/>
          </w:rPr>
          <w:t>b</w:t>
        </w:r>
        <w:r w:rsidR="0042250B" w:rsidRPr="00230498">
          <w:rPr>
            <w:rStyle w:val="af5"/>
            <w:noProof/>
          </w:rPr>
          <w:t>) the lattice plane spacing; (</w:t>
        </w:r>
        <w:r w:rsidR="0042250B" w:rsidRPr="00230498">
          <w:rPr>
            <w:rStyle w:val="af5"/>
            <w:b/>
            <w:noProof/>
          </w:rPr>
          <w:t>c-d</w:t>
        </w:r>
        <w:r w:rsidR="0042250B" w:rsidRPr="00230498">
          <w:rPr>
            <w:rStyle w:val="af5"/>
            <w:noProof/>
          </w:rPr>
          <w:t>) atom probe tomography revealing elemental distribution for L1</w:t>
        </w:r>
        <w:r w:rsidR="0042250B" w:rsidRPr="00230498">
          <w:rPr>
            <w:rStyle w:val="af5"/>
            <w:noProof/>
            <w:vertAlign w:val="subscript"/>
          </w:rPr>
          <w:t>2</w:t>
        </w:r>
        <w:r w:rsidR="0042250B" w:rsidRPr="00230498">
          <w:rPr>
            <w:rStyle w:val="af5"/>
            <w:noProof/>
          </w:rPr>
          <w:t xml:space="preserve"> and the FCC phase; and (</w:t>
        </w:r>
        <w:r w:rsidR="0042250B" w:rsidRPr="00230498">
          <w:rPr>
            <w:rStyle w:val="af5"/>
            <w:b/>
            <w:noProof/>
          </w:rPr>
          <w:t>e-f</w:t>
        </w:r>
        <w:r w:rsidR="0042250B" w:rsidRPr="00230498">
          <w:rPr>
            <w:rStyle w:val="af5"/>
            <w:noProof/>
          </w:rPr>
          <w:t>) component concentrations varying against distance, indicating a diffuse gradient between precipitates and matrix [13].</w:t>
        </w:r>
        <w:r w:rsidR="0042250B">
          <w:rPr>
            <w:noProof/>
            <w:webHidden/>
          </w:rPr>
          <w:tab/>
        </w:r>
        <w:r w:rsidR="0042250B">
          <w:rPr>
            <w:noProof/>
            <w:webHidden/>
          </w:rPr>
          <w:fldChar w:fldCharType="begin"/>
        </w:r>
        <w:r w:rsidR="0042250B">
          <w:rPr>
            <w:noProof/>
            <w:webHidden/>
          </w:rPr>
          <w:instrText xml:space="preserve"> PAGEREF _Toc39312689 \h </w:instrText>
        </w:r>
        <w:r w:rsidR="0042250B">
          <w:rPr>
            <w:noProof/>
            <w:webHidden/>
          </w:rPr>
        </w:r>
        <w:r w:rsidR="0042250B">
          <w:rPr>
            <w:noProof/>
            <w:webHidden/>
          </w:rPr>
          <w:fldChar w:fldCharType="separate"/>
        </w:r>
        <w:r w:rsidR="0042250B">
          <w:rPr>
            <w:noProof/>
            <w:webHidden/>
          </w:rPr>
          <w:t>42</w:t>
        </w:r>
        <w:r w:rsidR="0042250B">
          <w:rPr>
            <w:noProof/>
            <w:webHidden/>
          </w:rPr>
          <w:fldChar w:fldCharType="end"/>
        </w:r>
      </w:hyperlink>
    </w:p>
    <w:p w14:paraId="5FB2B30B" w14:textId="5864D145" w:rsidR="0042250B" w:rsidRDefault="00077961" w:rsidP="0042250B">
      <w:pPr>
        <w:pStyle w:val="af7"/>
        <w:tabs>
          <w:tab w:val="right" w:leader="dot" w:pos="9350"/>
        </w:tabs>
        <w:spacing w:after="60" w:line="360" w:lineRule="auto"/>
        <w:rPr>
          <w:noProof/>
          <w:kern w:val="2"/>
          <w:sz w:val="21"/>
        </w:rPr>
      </w:pPr>
      <w:hyperlink w:anchor="_Toc39312690" w:history="1">
        <w:r w:rsidR="0042250B" w:rsidRPr="00230498">
          <w:rPr>
            <w:rStyle w:val="af5"/>
            <w:b/>
            <w:noProof/>
          </w:rPr>
          <w:t>Figure 2-21 Illustration of the high-performance L1</w:t>
        </w:r>
        <w:r w:rsidR="0042250B" w:rsidRPr="00230498">
          <w:rPr>
            <w:rStyle w:val="af5"/>
            <w:b/>
            <w:noProof/>
            <w:vertAlign w:val="subscript"/>
          </w:rPr>
          <w:t>2</w:t>
        </w:r>
        <w:r w:rsidR="0042250B" w:rsidRPr="00230498">
          <w:rPr>
            <w:rStyle w:val="af5"/>
            <w:b/>
            <w:noProof/>
          </w:rPr>
          <w:t xml:space="preserve"> precipitates strengthened (FeCoNi)</w:t>
        </w:r>
        <w:r w:rsidR="0042250B" w:rsidRPr="00230498">
          <w:rPr>
            <w:rStyle w:val="af5"/>
            <w:b/>
            <w:noProof/>
            <w:vertAlign w:val="subscript"/>
          </w:rPr>
          <w:t>86</w:t>
        </w:r>
        <w:r w:rsidR="0042250B" w:rsidRPr="00230498">
          <w:rPr>
            <w:rStyle w:val="af5"/>
            <w:b/>
            <w:noProof/>
          </w:rPr>
          <w:t>-Al</w:t>
        </w:r>
        <w:r w:rsidR="0042250B" w:rsidRPr="00230498">
          <w:rPr>
            <w:rStyle w:val="af5"/>
            <w:b/>
            <w:noProof/>
            <w:vertAlign w:val="subscript"/>
          </w:rPr>
          <w:t>7</w:t>
        </w:r>
        <w:r w:rsidR="0042250B" w:rsidRPr="00230498">
          <w:rPr>
            <w:rStyle w:val="af5"/>
            <w:b/>
            <w:noProof/>
          </w:rPr>
          <w:t>Ti</w:t>
        </w:r>
        <w:r w:rsidR="0042250B" w:rsidRPr="00230498">
          <w:rPr>
            <w:rStyle w:val="af5"/>
            <w:b/>
            <w:noProof/>
            <w:vertAlign w:val="subscript"/>
          </w:rPr>
          <w:t>7</w:t>
        </w:r>
        <w:r w:rsidR="0042250B" w:rsidRPr="00230498">
          <w:rPr>
            <w:rStyle w:val="af5"/>
            <w:b/>
            <w:noProof/>
          </w:rPr>
          <w:t xml:space="preserve"> and (FeCoNi)</w:t>
        </w:r>
        <w:r w:rsidR="0042250B" w:rsidRPr="00230498">
          <w:rPr>
            <w:rStyle w:val="af5"/>
            <w:b/>
            <w:noProof/>
            <w:vertAlign w:val="subscript"/>
          </w:rPr>
          <w:t>86</w:t>
        </w:r>
        <w:r w:rsidR="0042250B" w:rsidRPr="00230498">
          <w:rPr>
            <w:rStyle w:val="af5"/>
            <w:b/>
            <w:noProof/>
          </w:rPr>
          <w:t>-Al</w:t>
        </w:r>
        <w:r w:rsidR="0042250B" w:rsidRPr="00230498">
          <w:rPr>
            <w:rStyle w:val="af5"/>
            <w:b/>
            <w:noProof/>
            <w:vertAlign w:val="subscript"/>
          </w:rPr>
          <w:t>8</w:t>
        </w:r>
        <w:r w:rsidR="0042250B" w:rsidRPr="00230498">
          <w:rPr>
            <w:rStyle w:val="af5"/>
            <w:b/>
            <w:noProof/>
          </w:rPr>
          <w:t>Ti</w:t>
        </w:r>
        <w:r w:rsidR="0042250B" w:rsidRPr="00230498">
          <w:rPr>
            <w:rStyle w:val="af5"/>
            <w:b/>
            <w:noProof/>
            <w:vertAlign w:val="subscript"/>
          </w:rPr>
          <w:t>6</w:t>
        </w:r>
        <w:r w:rsidR="0042250B" w:rsidRPr="00230498">
          <w:rPr>
            <w:rStyle w:val="af5"/>
            <w:b/>
            <w:noProof/>
          </w:rPr>
          <w:t xml:space="preserve">. </w:t>
        </w:r>
        <w:r w:rsidR="0042250B" w:rsidRPr="00230498">
          <w:rPr>
            <w:rStyle w:val="af5"/>
            <w:noProof/>
          </w:rPr>
          <w:t>(</w:t>
        </w:r>
        <w:r w:rsidR="0042250B" w:rsidRPr="00230498">
          <w:rPr>
            <w:rStyle w:val="af5"/>
            <w:b/>
            <w:noProof/>
          </w:rPr>
          <w:t>a</w:t>
        </w:r>
        <w:r w:rsidR="0042250B" w:rsidRPr="00230498">
          <w:rPr>
            <w:rStyle w:val="af5"/>
            <w:noProof/>
          </w:rPr>
          <w:t>) The design strategy of L1</w:t>
        </w:r>
        <w:r w:rsidR="0042250B" w:rsidRPr="00230498">
          <w:rPr>
            <w:rStyle w:val="af5"/>
            <w:noProof/>
            <w:vertAlign w:val="subscript"/>
          </w:rPr>
          <w:t>2</w:t>
        </w:r>
        <w:r w:rsidR="0042250B" w:rsidRPr="00230498">
          <w:rPr>
            <w:rStyle w:val="af5"/>
            <w:noProof/>
          </w:rPr>
          <w:t xml:space="preserve"> high entropy intermetallic reinforced HEAs; (</w:t>
        </w:r>
        <w:r w:rsidR="0042250B" w:rsidRPr="00230498">
          <w:rPr>
            <w:rStyle w:val="af5"/>
            <w:b/>
            <w:noProof/>
          </w:rPr>
          <w:t>b-f</w:t>
        </w:r>
        <w:r w:rsidR="0042250B" w:rsidRPr="00230498">
          <w:rPr>
            <w:rStyle w:val="af5"/>
            <w:noProof/>
          </w:rPr>
          <w:t>) microstructure of the synthesized target alloy, consisting of nano L1</w:t>
        </w:r>
        <w:r w:rsidR="0042250B" w:rsidRPr="00230498">
          <w:rPr>
            <w:rStyle w:val="af5"/>
            <w:noProof/>
            <w:vertAlign w:val="subscript"/>
          </w:rPr>
          <w:t>2</w:t>
        </w:r>
        <w:r w:rsidR="0042250B" w:rsidRPr="00230498">
          <w:rPr>
            <w:rStyle w:val="af5"/>
            <w:noProof/>
          </w:rPr>
          <w:t xml:space="preserve"> precipitates in the FCC matrix; and (</w:t>
        </w:r>
        <w:r w:rsidR="0042250B" w:rsidRPr="00230498">
          <w:rPr>
            <w:rStyle w:val="af5"/>
            <w:b/>
            <w:noProof/>
          </w:rPr>
          <w:t>g-h</w:t>
        </w:r>
        <w:r w:rsidR="0042250B" w:rsidRPr="00230498">
          <w:rPr>
            <w:rStyle w:val="af5"/>
            <w:noProof/>
          </w:rPr>
          <w:t>) the tensile properties of (FeCoNi)</w:t>
        </w:r>
        <w:r w:rsidR="0042250B" w:rsidRPr="00230498">
          <w:rPr>
            <w:rStyle w:val="af5"/>
            <w:noProof/>
            <w:vertAlign w:val="subscript"/>
          </w:rPr>
          <w:t>86</w:t>
        </w:r>
        <w:r w:rsidR="0042250B" w:rsidRPr="00230498">
          <w:rPr>
            <w:rStyle w:val="af5"/>
            <w:noProof/>
          </w:rPr>
          <w:t>-Al</w:t>
        </w:r>
        <w:r w:rsidR="0042250B" w:rsidRPr="00230498">
          <w:rPr>
            <w:rStyle w:val="af5"/>
            <w:noProof/>
            <w:vertAlign w:val="subscript"/>
          </w:rPr>
          <w:t>7</w:t>
        </w:r>
        <w:r w:rsidR="0042250B" w:rsidRPr="00230498">
          <w:rPr>
            <w:rStyle w:val="af5"/>
            <w:noProof/>
          </w:rPr>
          <w:t>Ti</w:t>
        </w:r>
        <w:r w:rsidR="0042250B" w:rsidRPr="00230498">
          <w:rPr>
            <w:rStyle w:val="af5"/>
            <w:noProof/>
            <w:vertAlign w:val="subscript"/>
          </w:rPr>
          <w:t>7</w:t>
        </w:r>
        <w:r w:rsidR="0042250B" w:rsidRPr="00230498">
          <w:rPr>
            <w:rStyle w:val="af5"/>
            <w:noProof/>
          </w:rPr>
          <w:t xml:space="preserve"> and (FeCoNi)</w:t>
        </w:r>
        <w:r w:rsidR="0042250B" w:rsidRPr="00230498">
          <w:rPr>
            <w:rStyle w:val="af5"/>
            <w:noProof/>
            <w:vertAlign w:val="subscript"/>
          </w:rPr>
          <w:t>86</w:t>
        </w:r>
        <w:r w:rsidR="0042250B" w:rsidRPr="00230498">
          <w:rPr>
            <w:rStyle w:val="af5"/>
            <w:noProof/>
          </w:rPr>
          <w:t>-Al</w:t>
        </w:r>
        <w:r w:rsidR="0042250B" w:rsidRPr="00230498">
          <w:rPr>
            <w:rStyle w:val="af5"/>
            <w:noProof/>
            <w:vertAlign w:val="subscript"/>
          </w:rPr>
          <w:t>8</w:t>
        </w:r>
        <w:r w:rsidR="0042250B" w:rsidRPr="00230498">
          <w:rPr>
            <w:rStyle w:val="af5"/>
            <w:noProof/>
          </w:rPr>
          <w:t>Ti</w:t>
        </w:r>
        <w:r w:rsidR="0042250B" w:rsidRPr="00230498">
          <w:rPr>
            <w:rStyle w:val="af5"/>
            <w:noProof/>
            <w:vertAlign w:val="subscript"/>
          </w:rPr>
          <w:t>6</w:t>
        </w:r>
        <w:r w:rsidR="0042250B" w:rsidRPr="00230498">
          <w:rPr>
            <w:rStyle w:val="af5"/>
            <w:noProof/>
          </w:rPr>
          <w:t>. The mechanical response outperforms most known advanced alloy systems [92].</w:t>
        </w:r>
        <w:r w:rsidR="0042250B">
          <w:rPr>
            <w:noProof/>
            <w:webHidden/>
          </w:rPr>
          <w:tab/>
        </w:r>
        <w:r w:rsidR="0042250B">
          <w:rPr>
            <w:noProof/>
            <w:webHidden/>
          </w:rPr>
          <w:fldChar w:fldCharType="begin"/>
        </w:r>
        <w:r w:rsidR="0042250B">
          <w:rPr>
            <w:noProof/>
            <w:webHidden/>
          </w:rPr>
          <w:instrText xml:space="preserve"> PAGEREF _Toc39312690 \h </w:instrText>
        </w:r>
        <w:r w:rsidR="0042250B">
          <w:rPr>
            <w:noProof/>
            <w:webHidden/>
          </w:rPr>
        </w:r>
        <w:r w:rsidR="0042250B">
          <w:rPr>
            <w:noProof/>
            <w:webHidden/>
          </w:rPr>
          <w:fldChar w:fldCharType="separate"/>
        </w:r>
        <w:r w:rsidR="0042250B">
          <w:rPr>
            <w:noProof/>
            <w:webHidden/>
          </w:rPr>
          <w:t>43</w:t>
        </w:r>
        <w:r w:rsidR="0042250B">
          <w:rPr>
            <w:noProof/>
            <w:webHidden/>
          </w:rPr>
          <w:fldChar w:fldCharType="end"/>
        </w:r>
      </w:hyperlink>
    </w:p>
    <w:p w14:paraId="658BA21B" w14:textId="1C501693" w:rsidR="0042250B" w:rsidRDefault="00077961" w:rsidP="0042250B">
      <w:pPr>
        <w:pStyle w:val="af7"/>
        <w:tabs>
          <w:tab w:val="right" w:leader="dot" w:pos="9350"/>
        </w:tabs>
        <w:spacing w:after="60" w:line="360" w:lineRule="auto"/>
        <w:rPr>
          <w:noProof/>
          <w:kern w:val="2"/>
          <w:sz w:val="21"/>
        </w:rPr>
      </w:pPr>
      <w:hyperlink w:anchor="_Toc39312691" w:history="1">
        <w:r w:rsidR="0042250B" w:rsidRPr="00230498">
          <w:rPr>
            <w:rStyle w:val="af5"/>
            <w:b/>
            <w:noProof/>
          </w:rPr>
          <w:t>Figure 2-</w:t>
        </w:r>
        <w:r w:rsidR="0042250B" w:rsidRPr="00230498">
          <w:rPr>
            <w:rStyle w:val="af5"/>
            <w:b/>
            <w:bCs/>
            <w:noProof/>
          </w:rPr>
          <w:t>22</w:t>
        </w:r>
        <w:r w:rsidR="0042250B" w:rsidRPr="00230498">
          <w:rPr>
            <w:rStyle w:val="af5"/>
            <w:b/>
            <w:noProof/>
          </w:rPr>
          <w:t xml:space="preserve"> TEM investigation of grain size effect on a deformation mechanism </w:t>
        </w:r>
        <w:r w:rsidR="0042250B" w:rsidRPr="00230498">
          <w:rPr>
            <w:rStyle w:val="af5"/>
            <w:noProof/>
          </w:rPr>
          <w:t>(</w:t>
        </w:r>
        <w:r w:rsidR="0042250B" w:rsidRPr="00230498">
          <w:rPr>
            <w:rStyle w:val="af5"/>
            <w:b/>
            <w:noProof/>
          </w:rPr>
          <w:t>a</w:t>
        </w:r>
        <w:r w:rsidR="0042250B" w:rsidRPr="00230498">
          <w:rPr>
            <w:rStyle w:val="af5"/>
            <w:noProof/>
          </w:rPr>
          <w:t>) a bright field image with a grain size of 503 nm; (</w:t>
        </w:r>
        <w:r w:rsidR="0042250B" w:rsidRPr="00230498">
          <w:rPr>
            <w:rStyle w:val="af5"/>
            <w:b/>
            <w:bCs/>
            <w:noProof/>
          </w:rPr>
          <w:t>a1-a2</w:t>
        </w:r>
        <w:r w:rsidR="0042250B" w:rsidRPr="00230498">
          <w:rPr>
            <w:rStyle w:val="af5"/>
            <w:noProof/>
          </w:rPr>
          <w:t>) the deformation microstructure captured within the grain; (</w:t>
        </w:r>
        <w:r w:rsidR="0042250B" w:rsidRPr="00230498">
          <w:rPr>
            <w:rStyle w:val="af5"/>
            <w:b/>
            <w:noProof/>
          </w:rPr>
          <w:t>b-d</w:t>
        </w:r>
        <w:r w:rsidR="0042250B" w:rsidRPr="00230498">
          <w:rPr>
            <w:rStyle w:val="af5"/>
            <w:noProof/>
          </w:rPr>
          <w:t xml:space="preserve">) the microstructures of samples with different grain size. Deformation products such as twinning were observed within the primary grain </w:t>
        </w:r>
        <w:r w:rsidR="0042250B" w:rsidRPr="00230498">
          <w:rPr>
            <w:rStyle w:val="af5"/>
            <w:b/>
            <w:noProof/>
          </w:rPr>
          <w:t>(d1)</w:t>
        </w:r>
        <w:r w:rsidR="0042250B" w:rsidRPr="00230498">
          <w:rPr>
            <w:rStyle w:val="af5"/>
            <w:noProof/>
          </w:rPr>
          <w:t xml:space="preserve">. Inset is a selected area diffraction pattern showing the corresponding orientation relationship </w:t>
        </w:r>
        <w:r w:rsidR="0042250B" w:rsidRPr="00230498">
          <w:rPr>
            <w:rStyle w:val="af5"/>
            <w:b/>
            <w:noProof/>
          </w:rPr>
          <w:t>(d2)</w:t>
        </w:r>
        <w:r w:rsidR="0042250B" w:rsidRPr="00230498">
          <w:rPr>
            <w:rStyle w:val="af5"/>
            <w:noProof/>
          </w:rPr>
          <w:t>.; (</w:t>
        </w:r>
        <w:r w:rsidR="0042250B" w:rsidRPr="00230498">
          <w:rPr>
            <w:rStyle w:val="af5"/>
            <w:b/>
            <w:bCs/>
            <w:noProof/>
          </w:rPr>
          <w:t>e</w:t>
        </w:r>
        <w:r w:rsidR="0042250B" w:rsidRPr="00230498">
          <w:rPr>
            <w:rStyle w:val="af5"/>
            <w:noProof/>
          </w:rPr>
          <w:t>) the tensile properties of the alloy with different grain size; and (</w:t>
        </w:r>
        <w:r w:rsidR="0042250B" w:rsidRPr="00230498">
          <w:rPr>
            <w:rStyle w:val="af5"/>
            <w:b/>
            <w:bCs/>
            <w:noProof/>
          </w:rPr>
          <w:t>f</w:t>
        </w:r>
        <w:r w:rsidR="0042250B" w:rsidRPr="00230498">
          <w:rPr>
            <w:rStyle w:val="af5"/>
            <w:noProof/>
          </w:rPr>
          <w:t>) an illustration of deformation mechanisms dependence with grain size [118].</w:t>
        </w:r>
        <w:r w:rsidR="0042250B">
          <w:rPr>
            <w:noProof/>
            <w:webHidden/>
          </w:rPr>
          <w:tab/>
        </w:r>
        <w:r w:rsidR="0042250B">
          <w:rPr>
            <w:noProof/>
            <w:webHidden/>
          </w:rPr>
          <w:fldChar w:fldCharType="begin"/>
        </w:r>
        <w:r w:rsidR="0042250B">
          <w:rPr>
            <w:noProof/>
            <w:webHidden/>
          </w:rPr>
          <w:instrText xml:space="preserve"> PAGEREF _Toc39312691 \h </w:instrText>
        </w:r>
        <w:r w:rsidR="0042250B">
          <w:rPr>
            <w:noProof/>
            <w:webHidden/>
          </w:rPr>
        </w:r>
        <w:r w:rsidR="0042250B">
          <w:rPr>
            <w:noProof/>
            <w:webHidden/>
          </w:rPr>
          <w:fldChar w:fldCharType="separate"/>
        </w:r>
        <w:r w:rsidR="0042250B">
          <w:rPr>
            <w:noProof/>
            <w:webHidden/>
          </w:rPr>
          <w:t>45</w:t>
        </w:r>
        <w:r w:rsidR="0042250B">
          <w:rPr>
            <w:noProof/>
            <w:webHidden/>
          </w:rPr>
          <w:fldChar w:fldCharType="end"/>
        </w:r>
      </w:hyperlink>
    </w:p>
    <w:p w14:paraId="38D6E257" w14:textId="726B6DA0" w:rsidR="0042250B" w:rsidRDefault="00077961" w:rsidP="0042250B">
      <w:pPr>
        <w:pStyle w:val="af7"/>
        <w:tabs>
          <w:tab w:val="right" w:leader="dot" w:pos="9350"/>
        </w:tabs>
        <w:spacing w:after="60" w:line="360" w:lineRule="auto"/>
        <w:rPr>
          <w:noProof/>
          <w:kern w:val="2"/>
          <w:sz w:val="21"/>
        </w:rPr>
      </w:pPr>
      <w:hyperlink w:anchor="_Toc39312692" w:history="1">
        <w:r w:rsidR="0042250B" w:rsidRPr="00230498">
          <w:rPr>
            <w:rStyle w:val="af5"/>
            <w:b/>
            <w:noProof/>
          </w:rPr>
          <w:t xml:space="preserve">Figure 2-23 Microstructure evolution of metastable TRIP/TWIP HEAs </w:t>
        </w:r>
        <w:r w:rsidR="0042250B" w:rsidRPr="00230498">
          <w:rPr>
            <w:rStyle w:val="af5"/>
            <w:noProof/>
          </w:rPr>
          <w:t>(</w:t>
        </w:r>
        <w:r w:rsidR="0042250B" w:rsidRPr="00230498">
          <w:rPr>
            <w:rStyle w:val="af5"/>
            <w:b/>
            <w:noProof/>
          </w:rPr>
          <w:t>a</w:t>
        </w:r>
        <w:r w:rsidR="0042250B" w:rsidRPr="00230498">
          <w:rPr>
            <w:rStyle w:val="af5"/>
            <w:noProof/>
          </w:rPr>
          <w:t>) EBSD image showing the phase fraction as a function of increasing tensile strain; (</w:t>
        </w:r>
        <w:r w:rsidR="0042250B" w:rsidRPr="00230498">
          <w:rPr>
            <w:rStyle w:val="af5"/>
            <w:b/>
            <w:noProof/>
          </w:rPr>
          <w:t>b</w:t>
        </w:r>
        <w:r w:rsidR="0042250B" w:rsidRPr="00230498">
          <w:rPr>
            <w:rStyle w:val="af5"/>
            <w:noProof/>
          </w:rPr>
          <w:t>) an ECCL image of deformation products; (</w:t>
        </w:r>
        <w:r w:rsidR="0042250B" w:rsidRPr="00230498">
          <w:rPr>
            <w:rStyle w:val="af5"/>
            <w:b/>
            <w:noProof/>
          </w:rPr>
          <w:t>c</w:t>
        </w:r>
        <w:r w:rsidR="0042250B" w:rsidRPr="00230498">
          <w:rPr>
            <w:rStyle w:val="af5"/>
            <w:noProof/>
          </w:rPr>
          <w:t>) a schematic of the evolution of both microstructure and deformation mechanisms as a function of increasing tensile strain; (</w:t>
        </w:r>
        <w:r w:rsidR="0042250B" w:rsidRPr="00230498">
          <w:rPr>
            <w:rStyle w:val="af5"/>
            <w:b/>
            <w:noProof/>
          </w:rPr>
          <w:t>d</w:t>
        </w:r>
        <w:r w:rsidR="0042250B" w:rsidRPr="00230498">
          <w:rPr>
            <w:rStyle w:val="af5"/>
            <w:noProof/>
          </w:rPr>
          <w:t>) the tensile properties of target alloy possessing different grain sizes; and (</w:t>
        </w:r>
        <w:r w:rsidR="0042250B" w:rsidRPr="00230498">
          <w:rPr>
            <w:rStyle w:val="af5"/>
            <w:b/>
            <w:noProof/>
          </w:rPr>
          <w:t>e</w:t>
        </w:r>
        <w:r w:rsidR="0042250B" w:rsidRPr="00230498">
          <w:rPr>
            <w:rStyle w:val="af5"/>
            <w:noProof/>
          </w:rPr>
          <w:t>) the strain hardening properties of the materials [93].</w:t>
        </w:r>
        <w:r w:rsidR="0042250B">
          <w:rPr>
            <w:noProof/>
            <w:webHidden/>
          </w:rPr>
          <w:tab/>
        </w:r>
        <w:r w:rsidR="0042250B">
          <w:rPr>
            <w:noProof/>
            <w:webHidden/>
          </w:rPr>
          <w:fldChar w:fldCharType="begin"/>
        </w:r>
        <w:r w:rsidR="0042250B">
          <w:rPr>
            <w:noProof/>
            <w:webHidden/>
          </w:rPr>
          <w:instrText xml:space="preserve"> PAGEREF _Toc39312692 \h </w:instrText>
        </w:r>
        <w:r w:rsidR="0042250B">
          <w:rPr>
            <w:noProof/>
            <w:webHidden/>
          </w:rPr>
        </w:r>
        <w:r w:rsidR="0042250B">
          <w:rPr>
            <w:noProof/>
            <w:webHidden/>
          </w:rPr>
          <w:fldChar w:fldCharType="separate"/>
        </w:r>
        <w:r w:rsidR="0042250B">
          <w:rPr>
            <w:noProof/>
            <w:webHidden/>
          </w:rPr>
          <w:t>48</w:t>
        </w:r>
        <w:r w:rsidR="0042250B">
          <w:rPr>
            <w:noProof/>
            <w:webHidden/>
          </w:rPr>
          <w:fldChar w:fldCharType="end"/>
        </w:r>
      </w:hyperlink>
    </w:p>
    <w:p w14:paraId="26B5F91A" w14:textId="1518D101" w:rsidR="0042250B" w:rsidRDefault="00077961" w:rsidP="0042250B">
      <w:pPr>
        <w:pStyle w:val="af7"/>
        <w:tabs>
          <w:tab w:val="right" w:leader="dot" w:pos="9350"/>
        </w:tabs>
        <w:spacing w:after="60" w:line="360" w:lineRule="auto"/>
        <w:rPr>
          <w:noProof/>
          <w:kern w:val="2"/>
          <w:sz w:val="21"/>
        </w:rPr>
      </w:pPr>
      <w:hyperlink w:anchor="_Toc39312693" w:history="1">
        <w:r w:rsidR="0042250B" w:rsidRPr="00230498">
          <w:rPr>
            <w:rStyle w:val="af5"/>
            <w:b/>
            <w:noProof/>
          </w:rPr>
          <w:t>Figure 2-24 Microstructure evolution of metastable Ti-</w:t>
        </w:r>
        <w:r w:rsidR="0042250B" w:rsidRPr="00230498">
          <w:rPr>
            <w:rStyle w:val="af5"/>
            <w:rFonts w:cstheme="minorHAnsi"/>
            <w:b/>
            <w:noProof/>
          </w:rPr>
          <w:t>Nb β</w:t>
        </w:r>
        <w:r w:rsidR="0042250B" w:rsidRPr="00230498">
          <w:rPr>
            <w:rStyle w:val="af5"/>
            <w:b/>
            <w:noProof/>
          </w:rPr>
          <w:t xml:space="preserve"> alloy </w:t>
        </w:r>
        <w:r w:rsidR="0042250B" w:rsidRPr="00230498">
          <w:rPr>
            <w:rStyle w:val="af5"/>
            <w:noProof/>
          </w:rPr>
          <w:t>(</w:t>
        </w:r>
        <w:r w:rsidR="0042250B" w:rsidRPr="00230498">
          <w:rPr>
            <w:rStyle w:val="af5"/>
            <w:b/>
            <w:noProof/>
          </w:rPr>
          <w:t>a</w:t>
        </w:r>
        <w:r w:rsidR="0042250B" w:rsidRPr="00230498">
          <w:rPr>
            <w:rStyle w:val="af5"/>
            <w:noProof/>
          </w:rPr>
          <w:t>) XRD phase analysis of the material at room temperature. (</w:t>
        </w:r>
        <w:r w:rsidR="0042250B" w:rsidRPr="00230498">
          <w:rPr>
            <w:rStyle w:val="af5"/>
            <w:b/>
            <w:noProof/>
          </w:rPr>
          <w:t>b</w:t>
        </w:r>
        <w:r w:rsidR="0042250B" w:rsidRPr="00230498">
          <w:rPr>
            <w:rStyle w:val="af5"/>
            <w:noProof/>
          </w:rPr>
          <w:t>) an ECCI image of deformation products. (</w:t>
        </w:r>
        <w:r w:rsidR="0042250B" w:rsidRPr="00230498">
          <w:rPr>
            <w:rStyle w:val="af5"/>
            <w:b/>
            <w:noProof/>
          </w:rPr>
          <w:t>c</w:t>
        </w:r>
        <w:r w:rsidR="0042250B" w:rsidRPr="00230498">
          <w:rPr>
            <w:rStyle w:val="af5"/>
            <w:noProof/>
          </w:rPr>
          <w:t>) a TEM bright field image of {112}</w:t>
        </w:r>
        <w:r w:rsidR="0042250B" w:rsidRPr="00230498">
          <w:rPr>
            <w:rStyle w:val="af5"/>
            <w:rFonts w:cstheme="minorHAnsi"/>
            <w:noProof/>
            <w:vertAlign w:val="subscript"/>
          </w:rPr>
          <w:t>β</w:t>
        </w:r>
        <w:r w:rsidR="0042250B" w:rsidRPr="00230498">
          <w:rPr>
            <w:rStyle w:val="af5"/>
            <w:rFonts w:cstheme="minorHAnsi"/>
            <w:noProof/>
          </w:rPr>
          <w:t xml:space="preserve"> mechanical twinning laths</w:t>
        </w:r>
        <w:r w:rsidR="0042250B" w:rsidRPr="00230498">
          <w:rPr>
            <w:rStyle w:val="af5"/>
            <w:noProof/>
          </w:rPr>
          <w:t>. (</w:t>
        </w:r>
        <w:r w:rsidR="0042250B" w:rsidRPr="00230498">
          <w:rPr>
            <w:rStyle w:val="af5"/>
            <w:b/>
            <w:noProof/>
          </w:rPr>
          <w:t>d</w:t>
        </w:r>
        <w:r w:rsidR="0042250B" w:rsidRPr="00230498">
          <w:rPr>
            <w:rStyle w:val="af5"/>
            <w:noProof/>
          </w:rPr>
          <w:t xml:space="preserve">) phase analysis by SADP. A special orientation relationship between </w:t>
        </w:r>
        <w:r w:rsidR="0042250B" w:rsidRPr="00230498">
          <w:rPr>
            <w:rStyle w:val="af5"/>
            <w:noProof/>
          </w:rPr>
          <w:lastRenderedPageBreak/>
          <w:t>martensite twinning and matrix were coloured with cyan and red, respectively. (</w:t>
        </w:r>
        <w:r w:rsidR="0042250B" w:rsidRPr="00230498">
          <w:rPr>
            <w:rStyle w:val="af5"/>
            <w:b/>
            <w:noProof/>
          </w:rPr>
          <w:t>e-f</w:t>
        </w:r>
        <w:r w:rsidR="0042250B" w:rsidRPr="00230498">
          <w:rPr>
            <w:rStyle w:val="af5"/>
            <w:noProof/>
          </w:rPr>
          <w:t xml:space="preserve">) dark field images of </w:t>
        </w:r>
        <w:r w:rsidR="0042250B" w:rsidRPr="00230498">
          <w:rPr>
            <w:rStyle w:val="af5"/>
            <w:rFonts w:ascii="Times New Roman" w:eastAsia="等线" w:hAnsi="Times New Roman" w:cs="Times New Roman"/>
            <w:noProof/>
          </w:rPr>
          <w:t>α</w:t>
        </w:r>
        <w:r w:rsidR="0042250B" w:rsidRPr="00230498">
          <w:rPr>
            <w:rStyle w:val="af5"/>
            <w:rFonts w:eastAsia="等线" w:cs="Times New Roman"/>
            <w:noProof/>
          </w:rPr>
          <w:t>’’</w:t>
        </w:r>
        <w:r w:rsidR="0042250B" w:rsidRPr="00230498">
          <w:rPr>
            <w:rStyle w:val="af5"/>
            <w:noProof/>
          </w:rPr>
          <w:t xml:space="preserve"> twinning variant and embedded ω phase laths. [140]</w:t>
        </w:r>
        <w:r w:rsidR="0042250B">
          <w:rPr>
            <w:noProof/>
            <w:webHidden/>
          </w:rPr>
          <w:tab/>
        </w:r>
        <w:r w:rsidR="0042250B">
          <w:rPr>
            <w:noProof/>
            <w:webHidden/>
          </w:rPr>
          <w:fldChar w:fldCharType="begin"/>
        </w:r>
        <w:r w:rsidR="0042250B">
          <w:rPr>
            <w:noProof/>
            <w:webHidden/>
          </w:rPr>
          <w:instrText xml:space="preserve"> PAGEREF _Toc39312693 \h </w:instrText>
        </w:r>
        <w:r w:rsidR="0042250B">
          <w:rPr>
            <w:noProof/>
            <w:webHidden/>
          </w:rPr>
        </w:r>
        <w:r w:rsidR="0042250B">
          <w:rPr>
            <w:noProof/>
            <w:webHidden/>
          </w:rPr>
          <w:fldChar w:fldCharType="separate"/>
        </w:r>
        <w:r w:rsidR="0042250B">
          <w:rPr>
            <w:noProof/>
            <w:webHidden/>
          </w:rPr>
          <w:t>51</w:t>
        </w:r>
        <w:r w:rsidR="0042250B">
          <w:rPr>
            <w:noProof/>
            <w:webHidden/>
          </w:rPr>
          <w:fldChar w:fldCharType="end"/>
        </w:r>
      </w:hyperlink>
    </w:p>
    <w:p w14:paraId="2E221797" w14:textId="47E98FE7" w:rsidR="0042250B" w:rsidRDefault="00077961" w:rsidP="0042250B">
      <w:pPr>
        <w:pStyle w:val="af7"/>
        <w:tabs>
          <w:tab w:val="right" w:leader="dot" w:pos="9350"/>
        </w:tabs>
        <w:spacing w:after="60" w:line="360" w:lineRule="auto"/>
        <w:rPr>
          <w:noProof/>
          <w:kern w:val="2"/>
          <w:sz w:val="21"/>
        </w:rPr>
      </w:pPr>
      <w:hyperlink w:anchor="_Toc39312694" w:history="1">
        <w:r w:rsidR="0042250B" w:rsidRPr="00230498">
          <w:rPr>
            <w:rStyle w:val="af5"/>
            <w:b/>
            <w:noProof/>
          </w:rPr>
          <w:t>Figure 2-25 Illustration of {112}</w:t>
        </w:r>
        <w:r w:rsidR="0042250B" w:rsidRPr="00230498">
          <w:rPr>
            <w:rStyle w:val="af5"/>
            <w:b/>
            <w:noProof/>
            <w:vertAlign w:val="subscript"/>
          </w:rPr>
          <w:t>β</w:t>
        </w:r>
        <w:r w:rsidR="0042250B" w:rsidRPr="00230498">
          <w:rPr>
            <w:rStyle w:val="af5"/>
            <w:b/>
            <w:noProof/>
          </w:rPr>
          <w:t xml:space="preserve"> twinning growth in BCC metallic materials </w:t>
        </w:r>
        <w:r w:rsidR="0042250B" w:rsidRPr="00230498">
          <w:rPr>
            <w:rStyle w:val="af5"/>
            <w:noProof/>
          </w:rPr>
          <w:t>(</w:t>
        </w:r>
        <w:r w:rsidR="0042250B" w:rsidRPr="00230498">
          <w:rPr>
            <w:rStyle w:val="af5"/>
            <w:b/>
            <w:noProof/>
          </w:rPr>
          <w:t>a-b</w:t>
        </w:r>
        <w:r w:rsidR="0042250B" w:rsidRPr="00230498">
          <w:rPr>
            <w:rStyle w:val="af5"/>
            <w:noProof/>
          </w:rPr>
          <w:t>) the activation of 1/6&lt;111&gt; partial dislocation through merging 1/2&lt;111&gt; dislocation into 1/3&lt;111&gt; zonal dislocation; (</w:t>
        </w:r>
        <w:r w:rsidR="0042250B" w:rsidRPr="00230498">
          <w:rPr>
            <w:rStyle w:val="af5"/>
            <w:b/>
            <w:noProof/>
          </w:rPr>
          <w:t>c-f</w:t>
        </w:r>
        <w:r w:rsidR="0042250B" w:rsidRPr="00230498">
          <w:rPr>
            <w:rStyle w:val="af5"/>
            <w:noProof/>
          </w:rPr>
          <w:t>) repetition of the process shown in (a-b) enabled thickening of the twinning boundary; and (</w:t>
        </w:r>
        <w:r w:rsidR="0042250B" w:rsidRPr="00230498">
          <w:rPr>
            <w:rStyle w:val="af5"/>
            <w:b/>
            <w:noProof/>
          </w:rPr>
          <w:t>g-h</w:t>
        </w:r>
        <w:r w:rsidR="0042250B" w:rsidRPr="00230498">
          <w:rPr>
            <w:rStyle w:val="af5"/>
            <w:noProof/>
          </w:rPr>
          <w:t>) remnants of 1/6&lt;111&gt; partial dislocation accumulated at a twinning boundary [142].</w:t>
        </w:r>
        <w:r w:rsidR="0042250B">
          <w:rPr>
            <w:noProof/>
            <w:webHidden/>
          </w:rPr>
          <w:tab/>
        </w:r>
        <w:r w:rsidR="0042250B">
          <w:rPr>
            <w:noProof/>
            <w:webHidden/>
          </w:rPr>
          <w:fldChar w:fldCharType="begin"/>
        </w:r>
        <w:r w:rsidR="0042250B">
          <w:rPr>
            <w:noProof/>
            <w:webHidden/>
          </w:rPr>
          <w:instrText xml:space="preserve"> PAGEREF _Toc39312694 \h </w:instrText>
        </w:r>
        <w:r w:rsidR="0042250B">
          <w:rPr>
            <w:noProof/>
            <w:webHidden/>
          </w:rPr>
        </w:r>
        <w:r w:rsidR="0042250B">
          <w:rPr>
            <w:noProof/>
            <w:webHidden/>
          </w:rPr>
          <w:fldChar w:fldCharType="separate"/>
        </w:r>
        <w:r w:rsidR="0042250B">
          <w:rPr>
            <w:noProof/>
            <w:webHidden/>
          </w:rPr>
          <w:t>52</w:t>
        </w:r>
        <w:r w:rsidR="0042250B">
          <w:rPr>
            <w:noProof/>
            <w:webHidden/>
          </w:rPr>
          <w:fldChar w:fldCharType="end"/>
        </w:r>
      </w:hyperlink>
    </w:p>
    <w:p w14:paraId="6CEFB7B9" w14:textId="21BD5837" w:rsidR="0042250B" w:rsidRDefault="00077961" w:rsidP="0042250B">
      <w:pPr>
        <w:pStyle w:val="af7"/>
        <w:tabs>
          <w:tab w:val="right" w:leader="dot" w:pos="9350"/>
        </w:tabs>
        <w:spacing w:after="60" w:line="360" w:lineRule="auto"/>
        <w:rPr>
          <w:noProof/>
          <w:kern w:val="2"/>
          <w:sz w:val="21"/>
        </w:rPr>
      </w:pPr>
      <w:hyperlink w:anchor="_Toc39312695" w:history="1">
        <w:r w:rsidR="0042250B" w:rsidRPr="00230498">
          <w:rPr>
            <w:rStyle w:val="af5"/>
            <w:b/>
            <w:noProof/>
          </w:rPr>
          <w:t>Fig 2-26 A schematic of {332}&lt;11-3&gt;</w:t>
        </w:r>
        <w:r w:rsidR="0042250B" w:rsidRPr="00230498">
          <w:rPr>
            <w:rStyle w:val="af5"/>
            <w:rFonts w:cs="Times New Roman"/>
            <w:b/>
            <w:noProof/>
            <w:vertAlign w:val="subscript"/>
          </w:rPr>
          <w:t>β</w:t>
        </w:r>
        <w:r w:rsidR="0042250B" w:rsidRPr="00230498">
          <w:rPr>
            <w:rStyle w:val="af5"/>
            <w:b/>
            <w:noProof/>
          </w:rPr>
          <w:t xml:space="preserve"> and {130}&lt;-310&gt;</w:t>
        </w:r>
        <w:r w:rsidR="0042250B" w:rsidRPr="00230498">
          <w:rPr>
            <w:rStyle w:val="af5"/>
            <w:b/>
            <w:noProof/>
            <w:vertAlign w:val="subscript"/>
          </w:rPr>
          <w:t>α’’</w:t>
        </w:r>
        <w:r w:rsidR="0042250B" w:rsidRPr="00230498">
          <w:rPr>
            <w:rStyle w:val="af5"/>
            <w:b/>
            <w:noProof/>
          </w:rPr>
          <w:t xml:space="preserve"> mechanical twinning under single and double lattice structures. </w:t>
        </w:r>
        <w:r w:rsidR="0042250B" w:rsidRPr="00230498">
          <w:rPr>
            <w:rStyle w:val="af5"/>
            <w:noProof/>
          </w:rPr>
          <w:t>(</w:t>
        </w:r>
        <w:r w:rsidR="0042250B" w:rsidRPr="00230498">
          <w:rPr>
            <w:rStyle w:val="af5"/>
            <w:b/>
            <w:noProof/>
          </w:rPr>
          <w:t>a</w:t>
        </w:r>
        <w:r w:rsidR="0042250B" w:rsidRPr="00230498">
          <w:rPr>
            <w:rStyle w:val="af5"/>
            <w:noProof/>
          </w:rPr>
          <w:t>) (1-10)</w:t>
        </w:r>
        <w:r w:rsidR="0042250B" w:rsidRPr="00230498">
          <w:rPr>
            <w:rStyle w:val="af5"/>
            <w:rFonts w:cs="Times New Roman"/>
            <w:noProof/>
            <w:vertAlign w:val="subscript"/>
          </w:rPr>
          <w:t>β</w:t>
        </w:r>
        <w:r w:rsidR="0042250B" w:rsidRPr="00230498">
          <w:rPr>
            <w:rStyle w:val="af5"/>
            <w:noProof/>
          </w:rPr>
          <w:t xml:space="preserve"> projection of {332}&lt;11-3&gt;</w:t>
        </w:r>
        <w:r w:rsidR="0042250B" w:rsidRPr="00230498">
          <w:rPr>
            <w:rStyle w:val="af5"/>
            <w:rFonts w:cs="Times New Roman"/>
            <w:noProof/>
            <w:vertAlign w:val="subscript"/>
          </w:rPr>
          <w:t>β</w:t>
        </w:r>
        <w:r w:rsidR="0042250B" w:rsidRPr="00230498">
          <w:rPr>
            <w:rStyle w:val="af5"/>
            <w:rFonts w:cs="Times New Roman"/>
            <w:noProof/>
          </w:rPr>
          <w:t xml:space="preserve"> mechanical twinning under single lattice BCC structure</w:t>
        </w:r>
        <w:r w:rsidR="0042250B" w:rsidRPr="00230498">
          <w:rPr>
            <w:rStyle w:val="af5"/>
            <w:noProof/>
          </w:rPr>
          <w:t>. Closed and open circles represent atoms below and upon 0.707</w:t>
        </w:r>
        <m:oMath>
          <m:r>
            <w:rPr>
              <w:rStyle w:val="af5"/>
              <w:rFonts w:ascii="Cambria Math" w:hAnsi="Cambria Math"/>
              <w:noProof/>
            </w:rPr>
            <m:t>a</m:t>
          </m:r>
        </m:oMath>
        <w:r w:rsidR="0042250B" w:rsidRPr="00230498">
          <w:rPr>
            <w:rStyle w:val="af5"/>
            <w:noProof/>
          </w:rPr>
          <w:t xml:space="preserve"> (</w:t>
        </w:r>
        <m:oMath>
          <m:r>
            <w:rPr>
              <w:rStyle w:val="af5"/>
              <w:rFonts w:ascii="Cambria Math" w:hAnsi="Cambria Math"/>
              <w:noProof/>
            </w:rPr>
            <m:t>a</m:t>
          </m:r>
        </m:oMath>
        <w:r w:rsidR="0042250B" w:rsidRPr="00230498">
          <w:rPr>
            <w:rStyle w:val="af5"/>
            <w:noProof/>
          </w:rPr>
          <w:t xml:space="preserve"> is lattice parameter of the BCC cell) of the projection plane. Red and green arrows indicate the shear and shuffle needed to move the lattice into the correct position, respectively; and (</w:t>
        </w:r>
        <w:r w:rsidR="0042250B" w:rsidRPr="00230498">
          <w:rPr>
            <w:rStyle w:val="af5"/>
            <w:b/>
            <w:noProof/>
          </w:rPr>
          <w:t>b</w:t>
        </w:r>
        <w:r w:rsidR="0042250B" w:rsidRPr="00230498">
          <w:rPr>
            <w:rStyle w:val="af5"/>
            <w:noProof/>
          </w:rPr>
          <w:t>) (001)</w:t>
        </w:r>
        <w:r w:rsidR="0042250B" w:rsidRPr="00230498">
          <w:rPr>
            <w:rStyle w:val="af5"/>
            <w:noProof/>
            <w:vertAlign w:val="subscript"/>
          </w:rPr>
          <w:t>α’’</w:t>
        </w:r>
        <w:r w:rsidR="0042250B" w:rsidRPr="00230498">
          <w:rPr>
            <w:rStyle w:val="af5"/>
            <w:noProof/>
          </w:rPr>
          <w:t xml:space="preserve"> projection of {130}&lt;-310&gt;</w:t>
        </w:r>
        <w:r w:rsidR="0042250B" w:rsidRPr="00230498">
          <w:rPr>
            <w:rStyle w:val="af5"/>
            <w:noProof/>
            <w:vertAlign w:val="subscript"/>
          </w:rPr>
          <w:t>α’’</w:t>
        </w:r>
        <w:r w:rsidR="0042250B" w:rsidRPr="00230498">
          <w:rPr>
            <w:rStyle w:val="af5"/>
            <w:rFonts w:cs="Times New Roman"/>
            <w:noProof/>
          </w:rPr>
          <w:t xml:space="preserve"> mechanical twinning under double lattice BCT structure (with displacement along&lt;011&gt;</w:t>
        </w:r>
        <w:r w:rsidR="0042250B" w:rsidRPr="00230498">
          <w:rPr>
            <w:rStyle w:val="af5"/>
            <w:rFonts w:cs="Times New Roman"/>
            <w:noProof/>
            <w:vertAlign w:val="subscript"/>
          </w:rPr>
          <w:t>β</w:t>
        </w:r>
        <w:r w:rsidR="0042250B" w:rsidRPr="00230498">
          <w:rPr>
            <w:rStyle w:val="af5"/>
            <w:rFonts w:cs="Times New Roman"/>
            <w:noProof/>
          </w:rPr>
          <w:t xml:space="preserve"> =</w:t>
        </w:r>
        <m:oMath>
          <m:r>
            <w:rPr>
              <w:rStyle w:val="af5"/>
              <w:rFonts w:ascii="Cambria Math" w:hAnsi="Cambria Math"/>
              <w:noProof/>
            </w:rPr>
            <m:t xml:space="preserve"> a</m:t>
          </m:r>
        </m:oMath>
        <w:r w:rsidR="0042250B" w:rsidRPr="00230498">
          <w:rPr>
            <w:rStyle w:val="af5"/>
            <w:rFonts w:cs="Times New Roman"/>
            <w:noProof/>
          </w:rPr>
          <w:t>/</w:t>
        </w:r>
        <m:oMath>
          <m:r>
            <m:rPr>
              <m:sty m:val="p"/>
            </m:rPr>
            <w:rPr>
              <w:rStyle w:val="af5"/>
              <w:rFonts w:ascii="Cambria Math" w:hAnsi="Cambria Math" w:cs="Times New Roman"/>
              <w:noProof/>
            </w:rPr>
            <m:t>12√2</m:t>
          </m:r>
        </m:oMath>
        <w:r w:rsidR="0042250B" w:rsidRPr="00230498">
          <w:rPr>
            <w:rStyle w:val="af5"/>
            <w:rFonts w:cs="Times New Roman"/>
            <w:noProof/>
          </w:rPr>
          <w:t>)</w:t>
        </w:r>
        <w:r w:rsidR="0042250B" w:rsidRPr="00230498">
          <w:rPr>
            <w:rStyle w:val="af5"/>
            <w:noProof/>
          </w:rPr>
          <w:t>. Closed and open circles represent atoms below and upon 0.707</w:t>
        </w:r>
        <m:oMath>
          <m:r>
            <w:rPr>
              <w:rStyle w:val="af5"/>
              <w:rFonts w:ascii="Cambria Math" w:hAnsi="Cambria Math"/>
              <w:noProof/>
            </w:rPr>
            <m:t>a</m:t>
          </m:r>
        </m:oMath>
        <w:r w:rsidR="0042250B" w:rsidRPr="00230498">
          <w:rPr>
            <w:rStyle w:val="af5"/>
            <w:noProof/>
          </w:rPr>
          <w:t xml:space="preserve"> (</w:t>
        </w:r>
        <m:oMath>
          <m:r>
            <w:rPr>
              <w:rStyle w:val="af5"/>
              <w:rFonts w:ascii="Cambria Math" w:hAnsi="Cambria Math"/>
              <w:noProof/>
            </w:rPr>
            <m:t>a</m:t>
          </m:r>
        </m:oMath>
        <w:r w:rsidR="0042250B" w:rsidRPr="00230498">
          <w:rPr>
            <w:rStyle w:val="af5"/>
            <w:noProof/>
          </w:rPr>
          <w:t xml:space="preserve"> is lattice parameter of the BCC cell) of the projection plane. Red and green arrows indicate the shear and shuffle required to move the lattice into the correct position, respectively. Blue lines and arrows represent motif units and shear needed to accommodate the motif units into the correct position [150].</w:t>
        </w:r>
        <w:r w:rsidR="0042250B">
          <w:rPr>
            <w:noProof/>
            <w:webHidden/>
          </w:rPr>
          <w:tab/>
        </w:r>
        <w:r w:rsidR="0042250B">
          <w:rPr>
            <w:noProof/>
            <w:webHidden/>
          </w:rPr>
          <w:fldChar w:fldCharType="begin"/>
        </w:r>
        <w:r w:rsidR="0042250B">
          <w:rPr>
            <w:noProof/>
            <w:webHidden/>
          </w:rPr>
          <w:instrText xml:space="preserve"> PAGEREF _Toc39312695 \h </w:instrText>
        </w:r>
        <w:r w:rsidR="0042250B">
          <w:rPr>
            <w:noProof/>
            <w:webHidden/>
          </w:rPr>
        </w:r>
        <w:r w:rsidR="0042250B">
          <w:rPr>
            <w:noProof/>
            <w:webHidden/>
          </w:rPr>
          <w:fldChar w:fldCharType="separate"/>
        </w:r>
        <w:r w:rsidR="0042250B">
          <w:rPr>
            <w:noProof/>
            <w:webHidden/>
          </w:rPr>
          <w:t>54</w:t>
        </w:r>
        <w:r w:rsidR="0042250B">
          <w:rPr>
            <w:noProof/>
            <w:webHidden/>
          </w:rPr>
          <w:fldChar w:fldCharType="end"/>
        </w:r>
      </w:hyperlink>
    </w:p>
    <w:p w14:paraId="43681311" w14:textId="3C672C3E" w:rsidR="0042250B" w:rsidRDefault="00077961" w:rsidP="0042250B">
      <w:pPr>
        <w:pStyle w:val="af7"/>
        <w:tabs>
          <w:tab w:val="right" w:leader="dot" w:pos="9350"/>
        </w:tabs>
        <w:spacing w:after="60" w:line="360" w:lineRule="auto"/>
        <w:rPr>
          <w:noProof/>
          <w:kern w:val="2"/>
          <w:sz w:val="21"/>
        </w:rPr>
      </w:pPr>
      <w:hyperlink w:anchor="_Toc39312696" w:history="1">
        <w:r w:rsidR="0042250B" w:rsidRPr="00230498">
          <w:rPr>
            <w:rStyle w:val="af5"/>
            <w:b/>
            <w:noProof/>
          </w:rPr>
          <w:t>Figure 2-27 Illustration of self-accommodation twinning modes involved in metastable β-Ti (a-d</w:t>
        </w:r>
        <w:r w:rsidR="0042250B" w:rsidRPr="00230498">
          <w:rPr>
            <w:rStyle w:val="af5"/>
            <w:noProof/>
          </w:rPr>
          <w:t>) bright field images and correspond SADP of type I {111}</w:t>
        </w:r>
        <w:r w:rsidR="0042250B" w:rsidRPr="00230498">
          <w:rPr>
            <w:rStyle w:val="af5"/>
            <w:rFonts w:ascii="Times New Roman" w:hAnsi="Times New Roman" w:cs="Times New Roman"/>
            <w:noProof/>
            <w:vertAlign w:val="subscript"/>
          </w:rPr>
          <w:t>α</w:t>
        </w:r>
        <w:r w:rsidR="0042250B" w:rsidRPr="00230498">
          <w:rPr>
            <w:rStyle w:val="af5"/>
            <w:noProof/>
            <w:vertAlign w:val="subscript"/>
          </w:rPr>
          <w:t>’’</w:t>
        </w:r>
        <w:r w:rsidR="0042250B" w:rsidRPr="00230498">
          <w:rPr>
            <w:rStyle w:val="af5"/>
            <w:noProof/>
          </w:rPr>
          <w:t xml:space="preserve"> twinning; (</w:t>
        </w:r>
        <w:r w:rsidR="0042250B" w:rsidRPr="00230498">
          <w:rPr>
            <w:rStyle w:val="af5"/>
            <w:b/>
            <w:noProof/>
          </w:rPr>
          <w:t>e-f</w:t>
        </w:r>
        <w:r w:rsidR="0042250B" w:rsidRPr="00230498">
          <w:rPr>
            <w:rStyle w:val="af5"/>
            <w:noProof/>
          </w:rPr>
          <w:t>) bright field images and corresponding SADP of compound {011}</w:t>
        </w:r>
        <w:r w:rsidR="0042250B" w:rsidRPr="00230498">
          <w:rPr>
            <w:rStyle w:val="af5"/>
            <w:rFonts w:ascii="Times New Roman" w:hAnsi="Times New Roman" w:cs="Times New Roman"/>
            <w:noProof/>
            <w:vertAlign w:val="subscript"/>
          </w:rPr>
          <w:t>α</w:t>
        </w:r>
        <w:r w:rsidR="0042250B" w:rsidRPr="00230498">
          <w:rPr>
            <w:rStyle w:val="af5"/>
            <w:noProof/>
            <w:vertAlign w:val="subscript"/>
          </w:rPr>
          <w:t>’’</w:t>
        </w:r>
        <w:r w:rsidR="0042250B" w:rsidRPr="00230498">
          <w:rPr>
            <w:rStyle w:val="af5"/>
            <w:noProof/>
          </w:rPr>
          <w:t xml:space="preserve"> twinning; (</w:t>
        </w:r>
        <w:r w:rsidR="0042250B" w:rsidRPr="00230498">
          <w:rPr>
            <w:rStyle w:val="af5"/>
            <w:b/>
            <w:noProof/>
          </w:rPr>
          <w:t>g</w:t>
        </w:r>
        <w:r w:rsidR="0042250B" w:rsidRPr="00230498">
          <w:rPr>
            <w:rStyle w:val="af5"/>
            <w:noProof/>
          </w:rPr>
          <w:t>) SA twinning relationship among different martensite variants; and (</w:t>
        </w:r>
        <w:r w:rsidR="0042250B" w:rsidRPr="00230498">
          <w:rPr>
            <w:rStyle w:val="af5"/>
            <w:b/>
            <w:noProof/>
          </w:rPr>
          <w:t>h-i</w:t>
        </w:r>
        <w:r w:rsidR="0042250B" w:rsidRPr="00230498">
          <w:rPr>
            <w:rStyle w:val="af5"/>
            <w:noProof/>
          </w:rPr>
          <w:t>) SA morphology forming a triangle structure with three martensite variants related by type I twinning</w:t>
        </w:r>
        <w:r w:rsidR="0042250B" w:rsidRPr="00230498">
          <w:rPr>
            <w:rStyle w:val="af5"/>
            <w:rFonts w:cstheme="minorHAnsi"/>
            <w:noProof/>
          </w:rPr>
          <w:t xml:space="preserve"> [151,154,155].</w:t>
        </w:r>
        <w:r w:rsidR="0042250B">
          <w:rPr>
            <w:noProof/>
            <w:webHidden/>
          </w:rPr>
          <w:tab/>
        </w:r>
        <w:r w:rsidR="0042250B">
          <w:rPr>
            <w:noProof/>
            <w:webHidden/>
          </w:rPr>
          <w:fldChar w:fldCharType="begin"/>
        </w:r>
        <w:r w:rsidR="0042250B">
          <w:rPr>
            <w:noProof/>
            <w:webHidden/>
          </w:rPr>
          <w:instrText xml:space="preserve"> PAGEREF _Toc39312696 \h </w:instrText>
        </w:r>
        <w:r w:rsidR="0042250B">
          <w:rPr>
            <w:noProof/>
            <w:webHidden/>
          </w:rPr>
        </w:r>
        <w:r w:rsidR="0042250B">
          <w:rPr>
            <w:noProof/>
            <w:webHidden/>
          </w:rPr>
          <w:fldChar w:fldCharType="separate"/>
        </w:r>
        <w:r w:rsidR="0042250B">
          <w:rPr>
            <w:noProof/>
            <w:webHidden/>
          </w:rPr>
          <w:t>55</w:t>
        </w:r>
        <w:r w:rsidR="0042250B">
          <w:rPr>
            <w:noProof/>
            <w:webHidden/>
          </w:rPr>
          <w:fldChar w:fldCharType="end"/>
        </w:r>
      </w:hyperlink>
    </w:p>
    <w:p w14:paraId="0AB04B85" w14:textId="5A43013A" w:rsidR="0042250B" w:rsidRDefault="00077961" w:rsidP="0042250B">
      <w:pPr>
        <w:pStyle w:val="af7"/>
        <w:tabs>
          <w:tab w:val="right" w:leader="dot" w:pos="9350"/>
        </w:tabs>
        <w:spacing w:after="60" w:line="360" w:lineRule="auto"/>
        <w:rPr>
          <w:noProof/>
          <w:kern w:val="2"/>
          <w:sz w:val="21"/>
        </w:rPr>
      </w:pPr>
      <w:hyperlink w:anchor="_Toc39312697" w:history="1">
        <w:r w:rsidR="0042250B" w:rsidRPr="00230498">
          <w:rPr>
            <w:rStyle w:val="af5"/>
            <w:b/>
            <w:noProof/>
          </w:rPr>
          <w:t>Figure 3-</w:t>
        </w:r>
        <w:r w:rsidR="0042250B" w:rsidRPr="00230498">
          <w:rPr>
            <w:rStyle w:val="af5"/>
            <w:rFonts w:cstheme="minorHAnsi"/>
            <w:b/>
            <w:bCs/>
            <w:noProof/>
          </w:rPr>
          <w:t>1</w:t>
        </w:r>
        <w:r w:rsidR="0042250B" w:rsidRPr="00230498">
          <w:rPr>
            <w:rStyle w:val="af5"/>
            <w:noProof/>
          </w:rPr>
          <w:t xml:space="preserve"> </w:t>
        </w:r>
        <w:r w:rsidR="0042250B" w:rsidRPr="00230498">
          <w:rPr>
            <w:rStyle w:val="af5"/>
            <w:b/>
            <w:noProof/>
          </w:rPr>
          <w:t>Edmund Buhler MAM 1 arc-Melter with the main components presented. The water-cooled copper melting and casting hearths are clearly displayed.</w:t>
        </w:r>
        <w:r w:rsidR="0042250B">
          <w:rPr>
            <w:noProof/>
            <w:webHidden/>
          </w:rPr>
          <w:tab/>
        </w:r>
        <w:r w:rsidR="0042250B">
          <w:rPr>
            <w:noProof/>
            <w:webHidden/>
          </w:rPr>
          <w:fldChar w:fldCharType="begin"/>
        </w:r>
        <w:r w:rsidR="0042250B">
          <w:rPr>
            <w:noProof/>
            <w:webHidden/>
          </w:rPr>
          <w:instrText xml:space="preserve"> PAGEREF _Toc39312697 \h </w:instrText>
        </w:r>
        <w:r w:rsidR="0042250B">
          <w:rPr>
            <w:noProof/>
            <w:webHidden/>
          </w:rPr>
        </w:r>
        <w:r w:rsidR="0042250B">
          <w:rPr>
            <w:noProof/>
            <w:webHidden/>
          </w:rPr>
          <w:fldChar w:fldCharType="separate"/>
        </w:r>
        <w:r w:rsidR="0042250B">
          <w:rPr>
            <w:noProof/>
            <w:webHidden/>
          </w:rPr>
          <w:t>72</w:t>
        </w:r>
        <w:r w:rsidR="0042250B">
          <w:rPr>
            <w:noProof/>
            <w:webHidden/>
          </w:rPr>
          <w:fldChar w:fldCharType="end"/>
        </w:r>
      </w:hyperlink>
    </w:p>
    <w:p w14:paraId="284DE6B7" w14:textId="3AFC4B7B" w:rsidR="0042250B" w:rsidRDefault="00077961" w:rsidP="0042250B">
      <w:pPr>
        <w:pStyle w:val="af7"/>
        <w:tabs>
          <w:tab w:val="right" w:leader="dot" w:pos="9350"/>
        </w:tabs>
        <w:spacing w:after="60" w:line="360" w:lineRule="auto"/>
        <w:rPr>
          <w:noProof/>
          <w:kern w:val="2"/>
          <w:sz w:val="21"/>
        </w:rPr>
      </w:pPr>
      <w:hyperlink w:anchor="_Toc39312698" w:history="1">
        <w:r w:rsidR="0042250B" w:rsidRPr="00230498">
          <w:rPr>
            <w:rStyle w:val="af5"/>
            <w:b/>
            <w:noProof/>
          </w:rPr>
          <w:t>Figure 3</w:t>
        </w:r>
        <w:r w:rsidR="0042250B" w:rsidRPr="00230498">
          <w:rPr>
            <w:rStyle w:val="af5"/>
            <w:rFonts w:cstheme="minorHAnsi"/>
            <w:b/>
            <w:bCs/>
            <w:noProof/>
          </w:rPr>
          <w:t>-2</w:t>
        </w:r>
        <w:r w:rsidR="0042250B" w:rsidRPr="00230498">
          <w:rPr>
            <w:rStyle w:val="af5"/>
            <w:noProof/>
          </w:rPr>
          <w:t xml:space="preserve"> </w:t>
        </w:r>
        <w:r w:rsidR="0042250B" w:rsidRPr="00230498">
          <w:rPr>
            <w:rStyle w:val="af5"/>
            <w:b/>
            <w:noProof/>
          </w:rPr>
          <w:t xml:space="preserve"> Schematic of dog-bone tensile sample for metallic materials following ASTM E8/E8M-13.</w:t>
        </w:r>
        <w:r w:rsidR="0042250B">
          <w:rPr>
            <w:noProof/>
            <w:webHidden/>
          </w:rPr>
          <w:tab/>
        </w:r>
        <w:r w:rsidR="0042250B">
          <w:rPr>
            <w:noProof/>
            <w:webHidden/>
          </w:rPr>
          <w:fldChar w:fldCharType="begin"/>
        </w:r>
        <w:r w:rsidR="0042250B">
          <w:rPr>
            <w:noProof/>
            <w:webHidden/>
          </w:rPr>
          <w:instrText xml:space="preserve"> PAGEREF _Toc39312698 \h </w:instrText>
        </w:r>
        <w:r w:rsidR="0042250B">
          <w:rPr>
            <w:noProof/>
            <w:webHidden/>
          </w:rPr>
        </w:r>
        <w:r w:rsidR="0042250B">
          <w:rPr>
            <w:noProof/>
            <w:webHidden/>
          </w:rPr>
          <w:fldChar w:fldCharType="separate"/>
        </w:r>
        <w:r w:rsidR="0042250B">
          <w:rPr>
            <w:noProof/>
            <w:webHidden/>
          </w:rPr>
          <w:t>74</w:t>
        </w:r>
        <w:r w:rsidR="0042250B">
          <w:rPr>
            <w:noProof/>
            <w:webHidden/>
          </w:rPr>
          <w:fldChar w:fldCharType="end"/>
        </w:r>
      </w:hyperlink>
    </w:p>
    <w:p w14:paraId="4F98B333" w14:textId="0240E1D4" w:rsidR="0042250B" w:rsidRDefault="00077961" w:rsidP="0042250B">
      <w:pPr>
        <w:pStyle w:val="af7"/>
        <w:tabs>
          <w:tab w:val="right" w:leader="dot" w:pos="9350"/>
        </w:tabs>
        <w:spacing w:after="60" w:line="360" w:lineRule="auto"/>
        <w:rPr>
          <w:noProof/>
          <w:kern w:val="2"/>
          <w:sz w:val="21"/>
        </w:rPr>
      </w:pPr>
      <w:hyperlink w:anchor="_Toc39312699" w:history="1">
        <w:r w:rsidR="0042250B" w:rsidRPr="00230498">
          <w:rPr>
            <w:rStyle w:val="af5"/>
            <w:b/>
            <w:noProof/>
          </w:rPr>
          <w:t>Figure 3-3 XRD Rietveld refinement by TOPAS for as-cast TiZrNbTa HEAs</w:t>
        </w:r>
        <w:r w:rsidR="0042250B">
          <w:rPr>
            <w:noProof/>
            <w:webHidden/>
          </w:rPr>
          <w:tab/>
        </w:r>
        <w:r w:rsidR="0042250B">
          <w:rPr>
            <w:noProof/>
            <w:webHidden/>
          </w:rPr>
          <w:fldChar w:fldCharType="begin"/>
        </w:r>
        <w:r w:rsidR="0042250B">
          <w:rPr>
            <w:noProof/>
            <w:webHidden/>
          </w:rPr>
          <w:instrText xml:space="preserve"> PAGEREF _Toc39312699 \h </w:instrText>
        </w:r>
        <w:r w:rsidR="0042250B">
          <w:rPr>
            <w:noProof/>
            <w:webHidden/>
          </w:rPr>
        </w:r>
        <w:r w:rsidR="0042250B">
          <w:rPr>
            <w:noProof/>
            <w:webHidden/>
          </w:rPr>
          <w:fldChar w:fldCharType="separate"/>
        </w:r>
        <w:r w:rsidR="0042250B">
          <w:rPr>
            <w:noProof/>
            <w:webHidden/>
          </w:rPr>
          <w:t>75</w:t>
        </w:r>
        <w:r w:rsidR="0042250B">
          <w:rPr>
            <w:noProof/>
            <w:webHidden/>
          </w:rPr>
          <w:fldChar w:fldCharType="end"/>
        </w:r>
      </w:hyperlink>
    </w:p>
    <w:p w14:paraId="301F98A0" w14:textId="1AC8D65D" w:rsidR="0042250B" w:rsidRDefault="00077961" w:rsidP="0042250B">
      <w:pPr>
        <w:pStyle w:val="af7"/>
        <w:tabs>
          <w:tab w:val="right" w:leader="dot" w:pos="9350"/>
        </w:tabs>
        <w:spacing w:after="60" w:line="360" w:lineRule="auto"/>
        <w:rPr>
          <w:noProof/>
          <w:kern w:val="2"/>
          <w:sz w:val="21"/>
        </w:rPr>
      </w:pPr>
      <w:hyperlink w:anchor="_Toc39312700" w:history="1">
        <w:r w:rsidR="0042250B" w:rsidRPr="00230498">
          <w:rPr>
            <w:rStyle w:val="af5"/>
            <w:b/>
            <w:noProof/>
          </w:rPr>
          <w:t xml:space="preserve">Figure 3-4 HRTEM image before and after processing. </w:t>
        </w:r>
        <w:r w:rsidR="0042250B" w:rsidRPr="00230498">
          <w:rPr>
            <w:rStyle w:val="af5"/>
            <w:bCs/>
            <w:noProof/>
          </w:rPr>
          <w:t>(</w:t>
        </w:r>
        <w:r w:rsidR="0042250B" w:rsidRPr="00230498">
          <w:rPr>
            <w:rStyle w:val="af5"/>
            <w:b/>
            <w:noProof/>
          </w:rPr>
          <w:t>a</w:t>
        </w:r>
        <w:r w:rsidR="0042250B" w:rsidRPr="00230498">
          <w:rPr>
            <w:rStyle w:val="af5"/>
            <w:bCs/>
            <w:noProof/>
          </w:rPr>
          <w:t>) Raw HRTEM image of martensite structure.</w:t>
        </w:r>
        <w:r w:rsidR="0042250B" w:rsidRPr="00230498">
          <w:rPr>
            <w:rStyle w:val="af5"/>
            <w:noProof/>
          </w:rPr>
          <w:t xml:space="preserve"> Orthorhombic structure taken along [112]</w:t>
        </w:r>
        <w:r w:rsidR="0042250B" w:rsidRPr="00230498">
          <w:rPr>
            <w:rStyle w:val="af5"/>
            <w:noProof/>
            <w:vertAlign w:val="subscript"/>
          </w:rPr>
          <w:t>α’’</w:t>
        </w:r>
        <w:r w:rsidR="0042250B" w:rsidRPr="00230498">
          <w:rPr>
            <w:rStyle w:val="af5"/>
            <w:noProof/>
          </w:rPr>
          <w:t xml:space="preserve"> zone axis; and (</w:t>
        </w:r>
        <w:r w:rsidR="0042250B" w:rsidRPr="00230498">
          <w:rPr>
            <w:rStyle w:val="af5"/>
            <w:b/>
            <w:noProof/>
          </w:rPr>
          <w:t>b</w:t>
        </w:r>
        <w:r w:rsidR="0042250B" w:rsidRPr="00230498">
          <w:rPr>
            <w:rStyle w:val="af5"/>
            <w:noProof/>
          </w:rPr>
          <w:t>) Wiener filtered HRTEM of martensite structure. Orthorhombic structure taken along [112]</w:t>
        </w:r>
        <w:r w:rsidR="0042250B" w:rsidRPr="00230498">
          <w:rPr>
            <w:rStyle w:val="af5"/>
            <w:noProof/>
            <w:vertAlign w:val="subscript"/>
          </w:rPr>
          <w:t>α’’</w:t>
        </w:r>
        <w:r w:rsidR="0042250B" w:rsidRPr="00230498">
          <w:rPr>
            <w:rStyle w:val="af5"/>
            <w:noProof/>
          </w:rPr>
          <w:t xml:space="preserve"> zone axis.</w:t>
        </w:r>
        <w:r w:rsidR="0042250B">
          <w:rPr>
            <w:noProof/>
            <w:webHidden/>
          </w:rPr>
          <w:tab/>
        </w:r>
        <w:r w:rsidR="0042250B">
          <w:rPr>
            <w:noProof/>
            <w:webHidden/>
          </w:rPr>
          <w:fldChar w:fldCharType="begin"/>
        </w:r>
        <w:r w:rsidR="0042250B">
          <w:rPr>
            <w:noProof/>
            <w:webHidden/>
          </w:rPr>
          <w:instrText xml:space="preserve"> PAGEREF _Toc39312700 \h </w:instrText>
        </w:r>
        <w:r w:rsidR="0042250B">
          <w:rPr>
            <w:noProof/>
            <w:webHidden/>
          </w:rPr>
        </w:r>
        <w:r w:rsidR="0042250B">
          <w:rPr>
            <w:noProof/>
            <w:webHidden/>
          </w:rPr>
          <w:fldChar w:fldCharType="separate"/>
        </w:r>
        <w:r w:rsidR="0042250B">
          <w:rPr>
            <w:noProof/>
            <w:webHidden/>
          </w:rPr>
          <w:t>77</w:t>
        </w:r>
        <w:r w:rsidR="0042250B">
          <w:rPr>
            <w:noProof/>
            <w:webHidden/>
          </w:rPr>
          <w:fldChar w:fldCharType="end"/>
        </w:r>
      </w:hyperlink>
    </w:p>
    <w:p w14:paraId="472EF795" w14:textId="3E5F9F03" w:rsidR="0042250B" w:rsidRDefault="00077961" w:rsidP="0042250B">
      <w:pPr>
        <w:pStyle w:val="af7"/>
        <w:tabs>
          <w:tab w:val="right" w:leader="dot" w:pos="9350"/>
        </w:tabs>
        <w:spacing w:after="60" w:line="360" w:lineRule="auto"/>
        <w:rPr>
          <w:noProof/>
          <w:kern w:val="2"/>
          <w:sz w:val="21"/>
        </w:rPr>
      </w:pPr>
      <w:hyperlink w:anchor="_Toc39312701" w:history="1">
        <w:r w:rsidR="0042250B" w:rsidRPr="00230498">
          <w:rPr>
            <w:rStyle w:val="af5"/>
            <w:b/>
            <w:noProof/>
            <w:lang w:val="en-GB" w:bidi="hi-IN"/>
          </w:rPr>
          <w:t>Figure 4-</w:t>
        </w:r>
        <w:r w:rsidR="0042250B" w:rsidRPr="00230498">
          <w:rPr>
            <w:rStyle w:val="af5"/>
            <w:b/>
            <w:noProof/>
            <w:lang w:bidi="hi-IN"/>
          </w:rPr>
          <w:t>1</w:t>
        </w:r>
        <w:r w:rsidR="0042250B" w:rsidRPr="00230498">
          <w:rPr>
            <w:rStyle w:val="af5"/>
            <w:noProof/>
            <w:lang w:val="en-GB" w:bidi="hi-IN"/>
          </w:rPr>
          <w:t xml:space="preserve"> (</w:t>
        </w:r>
        <w:r w:rsidR="0042250B" w:rsidRPr="00230498">
          <w:rPr>
            <w:rStyle w:val="af5"/>
            <w:b/>
            <w:noProof/>
            <w:lang w:val="en-GB" w:bidi="hi-IN"/>
          </w:rPr>
          <w:t>a</w:t>
        </w:r>
        <w:r w:rsidR="0042250B" w:rsidRPr="00230498">
          <w:rPr>
            <w:rStyle w:val="af5"/>
            <w:noProof/>
            <w:lang w:val="en-GB" w:bidi="hi-IN"/>
          </w:rPr>
          <w:t xml:space="preserve">) biplot of mixing enthalpy deviation towards </w:t>
        </w:r>
        <w:r w:rsidR="0042250B" w:rsidRPr="00230498">
          <w:rPr>
            <w:rStyle w:val="af5"/>
            <w:i/>
            <w:noProof/>
            <w:lang w:val="en-GB" w:bidi="hi-IN"/>
          </w:rPr>
          <w:t>VEC</w:t>
        </w:r>
        <w:r w:rsidR="0042250B" w:rsidRPr="00230498">
          <w:rPr>
            <w:rStyle w:val="af5"/>
            <w:noProof/>
            <w:lang w:val="en-GB" w:bidi="hi-IN"/>
          </w:rPr>
          <w:t>; bottom panel is PDF of BCC, FCC, intermetallic and Al contained HEAs. (</w:t>
        </w:r>
        <w:r w:rsidR="0042250B" w:rsidRPr="00230498">
          <w:rPr>
            <w:rStyle w:val="af5"/>
            <w:b/>
            <w:noProof/>
            <w:lang w:val="en-GB" w:bidi="hi-IN"/>
          </w:rPr>
          <w:t>b</w:t>
        </w:r>
        <w:r w:rsidR="0042250B" w:rsidRPr="00230498">
          <w:rPr>
            <w:rStyle w:val="af5"/>
            <w:noProof/>
            <w:lang w:val="en-GB" w:bidi="hi-IN"/>
          </w:rPr>
          <w:t xml:space="preserve">) biplot of formation enthalpy deviation towards </w:t>
        </w:r>
        <w:r w:rsidR="0042250B" w:rsidRPr="00230498">
          <w:rPr>
            <w:rStyle w:val="af5"/>
            <w:i/>
            <w:noProof/>
            <w:lang w:val="en-GB" w:bidi="hi-IN"/>
          </w:rPr>
          <w:t>VEC</w:t>
        </w:r>
        <w:r w:rsidR="0042250B" w:rsidRPr="00230498">
          <w:rPr>
            <w:rStyle w:val="af5"/>
            <w:noProof/>
            <w:lang w:val="en-GB" w:bidi="hi-IN"/>
          </w:rPr>
          <w:t>; bottom panel is PDF of BCC, FCC, intermetallic and Al contained HEAs. (</w:t>
        </w:r>
        <w:r w:rsidR="0042250B" w:rsidRPr="00230498">
          <w:rPr>
            <w:rStyle w:val="af5"/>
            <w:b/>
            <w:noProof/>
            <w:lang w:val="en-GB" w:bidi="hi-IN"/>
          </w:rPr>
          <w:t>c</w:t>
        </w:r>
        <w:r w:rsidR="0042250B" w:rsidRPr="00230498">
          <w:rPr>
            <w:rStyle w:val="af5"/>
            <w:noProof/>
            <w:lang w:val="en-GB" w:bidi="hi-IN"/>
          </w:rPr>
          <w:t xml:space="preserve">) biplot of mixing enthalpy deviation </w:t>
        </w:r>
        <w:r w:rsidR="0042250B" w:rsidRPr="00230498">
          <w:rPr>
            <w:rStyle w:val="af5"/>
            <w:noProof/>
            <w:lang w:val="en-GB" w:bidi="hi-IN"/>
          </w:rPr>
          <w:lastRenderedPageBreak/>
          <w:t>against deformation during compression testing (RHEAs</w:t>
        </w:r>
        <w:r w:rsidR="0042250B" w:rsidRPr="00230498">
          <w:rPr>
            <w:rStyle w:val="af5"/>
            <w:rFonts w:cstheme="minorHAnsi"/>
            <w:noProof/>
            <w:lang w:val="en-GB" w:bidi="hi-IN"/>
          </w:rPr>
          <w:t xml:space="preserve"> tested until</w:t>
        </w:r>
        <w:r w:rsidR="0042250B" w:rsidRPr="00230498">
          <w:rPr>
            <w:rStyle w:val="af5"/>
            <w:noProof/>
            <w:lang w:val="en-GB" w:bidi="hi-IN"/>
          </w:rPr>
          <w:t xml:space="preserve"> failure</w:t>
        </w:r>
        <w:r w:rsidR="0042250B" w:rsidRPr="00230498">
          <w:rPr>
            <w:rStyle w:val="af5"/>
            <w:rFonts w:cstheme="minorHAnsi"/>
            <w:noProof/>
            <w:lang w:val="en-GB" w:bidi="hi-IN"/>
          </w:rPr>
          <w:t>)</w:t>
        </w:r>
        <w:r w:rsidR="0042250B" w:rsidRPr="00230498">
          <w:rPr>
            <w:rStyle w:val="af5"/>
            <w:noProof/>
            <w:lang w:val="en-GB" w:bidi="hi-IN"/>
          </w:rPr>
          <w:t xml:space="preserve"> and deformation during tensile testing (3</w:t>
        </w:r>
        <w:r w:rsidR="0042250B" w:rsidRPr="00230498">
          <w:rPr>
            <w:rStyle w:val="af5"/>
            <w:i/>
            <w:noProof/>
            <w:lang w:val="en-GB" w:bidi="hi-IN"/>
          </w:rPr>
          <w:t>d</w:t>
        </w:r>
        <w:r w:rsidR="0042250B" w:rsidRPr="00230498">
          <w:rPr>
            <w:rStyle w:val="af5"/>
            <w:noProof/>
            <w:lang w:val="en-GB" w:bidi="hi-IN"/>
          </w:rPr>
          <w:t xml:space="preserve"> transition HEAs tested until failure); and</w:t>
        </w:r>
        <w:r w:rsidR="0042250B" w:rsidRPr="00230498">
          <w:rPr>
            <w:rStyle w:val="af5"/>
            <w:rFonts w:cstheme="minorHAnsi"/>
            <w:noProof/>
            <w:lang w:val="en-GB" w:bidi="hi-IN"/>
          </w:rPr>
          <w:t xml:space="preserve"> (</w:t>
        </w:r>
        <w:r w:rsidR="0042250B" w:rsidRPr="00230498">
          <w:rPr>
            <w:rStyle w:val="af5"/>
            <w:rFonts w:cstheme="minorHAnsi"/>
            <w:b/>
            <w:noProof/>
            <w:lang w:val="en-GB" w:bidi="hi-IN"/>
          </w:rPr>
          <w:t>d</w:t>
        </w:r>
        <w:r w:rsidR="0042250B" w:rsidRPr="00230498">
          <w:rPr>
            <w:rStyle w:val="af5"/>
            <w:rFonts w:cstheme="minorHAnsi"/>
            <w:noProof/>
            <w:lang w:val="en-GB" w:bidi="hi-IN"/>
          </w:rPr>
          <w:t>)</w:t>
        </w:r>
        <w:r w:rsidR="0042250B" w:rsidRPr="00230498">
          <w:rPr>
            <w:rStyle w:val="af5"/>
            <w:noProof/>
            <w:lang w:val="en-GB" w:bidi="hi-IN"/>
          </w:rPr>
          <w:t xml:space="preserve"> biplot of formation enthalpy deviation against deformation during compression testing (R</w:t>
        </w:r>
        <w:r w:rsidR="0042250B" w:rsidRPr="00230498">
          <w:rPr>
            <w:rStyle w:val="af5"/>
            <w:rFonts w:cstheme="minorHAnsi"/>
            <w:noProof/>
            <w:lang w:val="en-GB" w:bidi="hi-IN"/>
          </w:rPr>
          <w:t>HEAs tested until</w:t>
        </w:r>
        <w:r w:rsidR="0042250B" w:rsidRPr="00230498">
          <w:rPr>
            <w:rStyle w:val="af5"/>
            <w:noProof/>
            <w:lang w:val="en-GB" w:bidi="hi-IN"/>
          </w:rPr>
          <w:t xml:space="preserve"> failure</w:t>
        </w:r>
        <w:r w:rsidR="0042250B" w:rsidRPr="00230498">
          <w:rPr>
            <w:rStyle w:val="af5"/>
            <w:rFonts w:cstheme="minorHAnsi"/>
            <w:noProof/>
            <w:lang w:val="en-GB" w:bidi="hi-IN"/>
          </w:rPr>
          <w:t>)</w:t>
        </w:r>
        <w:r w:rsidR="0042250B" w:rsidRPr="00230498">
          <w:rPr>
            <w:rStyle w:val="af5"/>
            <w:noProof/>
            <w:lang w:val="en-GB" w:bidi="hi-IN"/>
          </w:rPr>
          <w:t xml:space="preserve"> deformation during tensile testing (3</w:t>
        </w:r>
        <w:r w:rsidR="0042250B" w:rsidRPr="00230498">
          <w:rPr>
            <w:rStyle w:val="af5"/>
            <w:i/>
            <w:noProof/>
            <w:lang w:val="en-GB" w:bidi="hi-IN"/>
          </w:rPr>
          <w:t>d</w:t>
        </w:r>
        <w:r w:rsidR="0042250B" w:rsidRPr="00230498">
          <w:rPr>
            <w:rStyle w:val="af5"/>
            <w:noProof/>
            <w:lang w:val="en-GB" w:bidi="hi-IN"/>
          </w:rPr>
          <w:t xml:space="preserve"> transition HEAs tested until failure).</w:t>
        </w:r>
        <w:r w:rsidR="0042250B">
          <w:rPr>
            <w:noProof/>
            <w:webHidden/>
          </w:rPr>
          <w:tab/>
        </w:r>
        <w:r w:rsidR="0042250B">
          <w:rPr>
            <w:noProof/>
            <w:webHidden/>
          </w:rPr>
          <w:fldChar w:fldCharType="begin"/>
        </w:r>
        <w:r w:rsidR="0042250B">
          <w:rPr>
            <w:noProof/>
            <w:webHidden/>
          </w:rPr>
          <w:instrText xml:space="preserve"> PAGEREF _Toc39312701 \h </w:instrText>
        </w:r>
        <w:r w:rsidR="0042250B">
          <w:rPr>
            <w:noProof/>
            <w:webHidden/>
          </w:rPr>
        </w:r>
        <w:r w:rsidR="0042250B">
          <w:rPr>
            <w:noProof/>
            <w:webHidden/>
          </w:rPr>
          <w:fldChar w:fldCharType="separate"/>
        </w:r>
        <w:r w:rsidR="0042250B">
          <w:rPr>
            <w:noProof/>
            <w:webHidden/>
          </w:rPr>
          <w:t>83</w:t>
        </w:r>
        <w:r w:rsidR="0042250B">
          <w:rPr>
            <w:noProof/>
            <w:webHidden/>
          </w:rPr>
          <w:fldChar w:fldCharType="end"/>
        </w:r>
      </w:hyperlink>
    </w:p>
    <w:p w14:paraId="6FDCF794" w14:textId="58212A62" w:rsidR="0042250B" w:rsidRDefault="00077961" w:rsidP="0042250B">
      <w:pPr>
        <w:pStyle w:val="af7"/>
        <w:tabs>
          <w:tab w:val="right" w:leader="dot" w:pos="9350"/>
        </w:tabs>
        <w:spacing w:after="60" w:line="360" w:lineRule="auto"/>
        <w:rPr>
          <w:noProof/>
          <w:kern w:val="2"/>
          <w:sz w:val="21"/>
        </w:rPr>
      </w:pPr>
      <w:hyperlink w:anchor="_Toc39312702" w:history="1">
        <w:r w:rsidR="0042250B" w:rsidRPr="00230498">
          <w:rPr>
            <w:rStyle w:val="af5"/>
            <w:b/>
            <w:noProof/>
            <w:lang w:val="en-GB"/>
          </w:rPr>
          <w:t>Figure 4-</w:t>
        </w:r>
        <w:r w:rsidR="0042250B" w:rsidRPr="00230498">
          <w:rPr>
            <w:rStyle w:val="af5"/>
            <w:b/>
            <w:noProof/>
          </w:rPr>
          <w:t>2</w:t>
        </w:r>
        <w:r w:rsidR="0042250B" w:rsidRPr="00230498">
          <w:rPr>
            <w:rStyle w:val="af5"/>
            <w:rFonts w:cstheme="minorHAnsi"/>
            <w:b/>
            <w:noProof/>
            <w:lang w:val="en-GB"/>
          </w:rPr>
          <w:t xml:space="preserve"> Miedema mixing enthalpy standard deviation </w:t>
        </w:r>
        <m:oMath>
          <m:r>
            <m:rPr>
              <m:sty m:val="bi"/>
            </m:rPr>
            <w:rPr>
              <w:rStyle w:val="af5"/>
              <w:rFonts w:ascii="Cambria Math" w:hAnsi="Cambria Math" w:cstheme="minorHAnsi"/>
              <w:noProof/>
              <w:lang w:val="en-GB"/>
            </w:rPr>
            <m:t>σ</m:t>
          </m:r>
          <m:r>
            <m:rPr>
              <m:sty m:val="b"/>
            </m:rPr>
            <w:rPr>
              <w:rStyle w:val="af5"/>
              <w:rFonts w:ascii="Cambria Math" w:hAnsi="Cambria Math" w:cstheme="minorHAnsi"/>
              <w:noProof/>
              <w:lang w:val="en-GB"/>
            </w:rPr>
            <m:t>∆</m:t>
          </m:r>
          <m:r>
            <m:rPr>
              <m:sty m:val="bi"/>
            </m:rPr>
            <w:rPr>
              <w:rStyle w:val="af5"/>
              <w:rFonts w:ascii="Cambria Math" w:hAnsi="Cambria Math" w:cstheme="minorHAnsi"/>
              <w:noProof/>
              <w:lang w:val="en-GB"/>
            </w:rPr>
            <m:t>Hmixing</m:t>
          </m:r>
        </m:oMath>
        <w:r w:rsidR="0042250B" w:rsidRPr="00230498">
          <w:rPr>
            <w:rStyle w:val="af5"/>
            <w:rFonts w:cstheme="minorHAnsi"/>
            <w:b/>
            <w:bCs/>
            <w:noProof/>
            <w:lang w:val="en-GB"/>
          </w:rPr>
          <w:t xml:space="preserve"> an</w:t>
        </w:r>
        <w:r w:rsidR="0042250B" w:rsidRPr="00230498">
          <w:rPr>
            <w:rStyle w:val="af5"/>
            <w:rFonts w:cstheme="minorHAnsi"/>
            <w:b/>
            <w:noProof/>
            <w:lang w:val="en-GB"/>
          </w:rPr>
          <w:t xml:space="preserve">d formation enthalpy (ab initio) standard deviation </w:t>
        </w:r>
        <m:oMath>
          <m:r>
            <m:rPr>
              <m:sty m:val="bi"/>
            </m:rPr>
            <w:rPr>
              <w:rStyle w:val="af5"/>
              <w:rFonts w:ascii="Cambria Math" w:hAnsi="Cambria Math" w:cstheme="minorHAnsi"/>
              <w:noProof/>
              <w:lang w:val="en-GB"/>
            </w:rPr>
            <m:t>σ</m:t>
          </m:r>
          <m:r>
            <m:rPr>
              <m:sty m:val="b"/>
            </m:rPr>
            <w:rPr>
              <w:rStyle w:val="af5"/>
              <w:rFonts w:ascii="Cambria Math" w:hAnsi="Cambria Math" w:cstheme="minorHAnsi"/>
              <w:noProof/>
              <w:lang w:val="en-GB"/>
            </w:rPr>
            <m:t>∆</m:t>
          </m:r>
          <m:r>
            <m:rPr>
              <m:sty m:val="bi"/>
            </m:rPr>
            <w:rPr>
              <w:rStyle w:val="af5"/>
              <w:rFonts w:ascii="Cambria Math" w:hAnsi="Cambria Math" w:cstheme="minorHAnsi"/>
              <w:noProof/>
              <w:lang w:val="en-GB"/>
            </w:rPr>
            <m:t>Hformation</m:t>
          </m:r>
          <m:r>
            <m:rPr>
              <m:sty m:val="p"/>
            </m:rPr>
            <w:rPr>
              <w:rStyle w:val="af5"/>
              <w:rFonts w:ascii="Cambria Math" w:hAnsi="Cambria Math" w:cstheme="minorHAnsi"/>
              <w:noProof/>
              <w:lang w:val="en-GB" w:bidi="hi-IN"/>
            </w:rPr>
            <m:t xml:space="preserve"> </m:t>
          </m:r>
        </m:oMath>
        <w:r w:rsidR="0042250B" w:rsidRPr="00230498">
          <w:rPr>
            <w:rStyle w:val="af5"/>
            <w:rFonts w:cstheme="minorHAnsi"/>
            <w:b/>
            <w:noProof/>
            <w:lang w:val="en-GB"/>
          </w:rPr>
          <w:t>of 9 selected RHEAs compositions.</w:t>
        </w:r>
        <w:r w:rsidR="0042250B">
          <w:rPr>
            <w:noProof/>
            <w:webHidden/>
          </w:rPr>
          <w:tab/>
        </w:r>
        <w:r w:rsidR="0042250B">
          <w:rPr>
            <w:noProof/>
            <w:webHidden/>
          </w:rPr>
          <w:fldChar w:fldCharType="begin"/>
        </w:r>
        <w:r w:rsidR="0042250B">
          <w:rPr>
            <w:noProof/>
            <w:webHidden/>
          </w:rPr>
          <w:instrText xml:space="preserve"> PAGEREF _Toc39312702 \h </w:instrText>
        </w:r>
        <w:r w:rsidR="0042250B">
          <w:rPr>
            <w:noProof/>
            <w:webHidden/>
          </w:rPr>
        </w:r>
        <w:r w:rsidR="0042250B">
          <w:rPr>
            <w:noProof/>
            <w:webHidden/>
          </w:rPr>
          <w:fldChar w:fldCharType="separate"/>
        </w:r>
        <w:r w:rsidR="0042250B">
          <w:rPr>
            <w:noProof/>
            <w:webHidden/>
          </w:rPr>
          <w:t>85</w:t>
        </w:r>
        <w:r w:rsidR="0042250B">
          <w:rPr>
            <w:noProof/>
            <w:webHidden/>
          </w:rPr>
          <w:fldChar w:fldCharType="end"/>
        </w:r>
      </w:hyperlink>
    </w:p>
    <w:p w14:paraId="0B12CA8D" w14:textId="48D95FCF" w:rsidR="0042250B" w:rsidRDefault="00077961" w:rsidP="0042250B">
      <w:pPr>
        <w:pStyle w:val="af7"/>
        <w:tabs>
          <w:tab w:val="right" w:leader="dot" w:pos="9350"/>
        </w:tabs>
        <w:spacing w:after="60" w:line="360" w:lineRule="auto"/>
        <w:rPr>
          <w:noProof/>
          <w:kern w:val="2"/>
          <w:sz w:val="21"/>
        </w:rPr>
      </w:pPr>
      <w:hyperlink w:anchor="_Toc39312703" w:history="1">
        <w:r w:rsidR="0042250B" w:rsidRPr="00230498">
          <w:rPr>
            <w:rStyle w:val="af5"/>
            <w:b/>
            <w:noProof/>
            <w:lang w:val="en-GB" w:bidi="hi-IN"/>
          </w:rPr>
          <w:t>Figure 4-</w:t>
        </w:r>
        <w:r w:rsidR="0042250B" w:rsidRPr="00230498">
          <w:rPr>
            <w:rStyle w:val="af5"/>
            <w:b/>
            <w:noProof/>
            <w:lang w:bidi="hi-IN"/>
          </w:rPr>
          <w:t>3</w:t>
        </w:r>
        <w:r w:rsidR="0042250B" w:rsidRPr="00230498">
          <w:rPr>
            <w:rStyle w:val="af5"/>
            <w:rFonts w:cstheme="minorHAnsi"/>
            <w:b/>
            <w:noProof/>
            <w:lang w:val="en-GB" w:bidi="hi-IN"/>
          </w:rPr>
          <w:t xml:space="preserve"> Microstructure of as-cast TiZrNbTa and TiZrHfTa.</w:t>
        </w:r>
        <w:r w:rsidR="0042250B" w:rsidRPr="00230498">
          <w:rPr>
            <w:rStyle w:val="af5"/>
            <w:rFonts w:cstheme="minorHAnsi"/>
            <w:noProof/>
            <w:lang w:val="en-GB" w:bidi="hi-IN"/>
          </w:rPr>
          <w:t xml:space="preserve"> (</w:t>
        </w:r>
        <w:r w:rsidR="0042250B" w:rsidRPr="00230498">
          <w:rPr>
            <w:rStyle w:val="af5"/>
            <w:rFonts w:cstheme="minorHAnsi"/>
            <w:b/>
            <w:noProof/>
            <w:lang w:val="en-GB" w:bidi="hi-IN"/>
          </w:rPr>
          <w:t>a-b</w:t>
        </w:r>
        <w:r w:rsidR="0042250B" w:rsidRPr="00230498">
          <w:rPr>
            <w:rStyle w:val="af5"/>
            <w:rFonts w:cstheme="minorHAnsi"/>
            <w:noProof/>
            <w:lang w:val="en-GB" w:bidi="hi-IN"/>
          </w:rPr>
          <w:t>)</w:t>
        </w:r>
        <w:r w:rsidR="0042250B" w:rsidRPr="00230498">
          <w:rPr>
            <w:rStyle w:val="af5"/>
            <w:rFonts w:cstheme="minorHAnsi"/>
            <w:b/>
            <w:noProof/>
            <w:lang w:val="en-GB" w:bidi="hi-IN"/>
          </w:rPr>
          <w:t xml:space="preserve"> </w:t>
        </w:r>
        <w:r w:rsidR="0042250B" w:rsidRPr="00230498">
          <w:rPr>
            <w:rStyle w:val="af5"/>
            <w:rFonts w:cstheme="minorHAnsi"/>
            <w:noProof/>
            <w:lang w:val="en-GB" w:bidi="hi-IN"/>
          </w:rPr>
          <w:t>XRD patterns and Rietveld refinement of as-cast condition equal-molar TiZrNbTa and TiZrHfTa, respectively. Peaks are marked with Miller indices of BCC phase. Inset in (a) shows two BCC phases indexed for TiZrNbTa; (</w:t>
        </w:r>
        <w:r w:rsidR="0042250B" w:rsidRPr="00230498">
          <w:rPr>
            <w:rStyle w:val="af5"/>
            <w:rFonts w:cstheme="minorHAnsi"/>
            <w:b/>
            <w:noProof/>
            <w:lang w:val="en-GB" w:bidi="hi-IN"/>
          </w:rPr>
          <w:t>c</w:t>
        </w:r>
        <w:r w:rsidR="0042250B" w:rsidRPr="00230498">
          <w:rPr>
            <w:rStyle w:val="af5"/>
            <w:rFonts w:cstheme="minorHAnsi"/>
            <w:noProof/>
            <w:lang w:val="en-GB" w:bidi="hi-IN"/>
          </w:rPr>
          <w:t>) backscattered electron image of TiZrNbTa with composition segregation observed; and (</w:t>
        </w:r>
        <w:r w:rsidR="0042250B" w:rsidRPr="00230498">
          <w:rPr>
            <w:rStyle w:val="af5"/>
            <w:rFonts w:cstheme="minorHAnsi"/>
            <w:b/>
            <w:noProof/>
            <w:lang w:val="en-GB" w:bidi="hi-IN"/>
          </w:rPr>
          <w:t>d</w:t>
        </w:r>
        <w:r w:rsidR="0042250B" w:rsidRPr="00230498">
          <w:rPr>
            <w:rStyle w:val="af5"/>
            <w:rFonts w:cstheme="minorHAnsi"/>
            <w:noProof/>
            <w:lang w:val="en-GB" w:bidi="hi-IN"/>
          </w:rPr>
          <w:t>) backscattered electron image of TiZrHfTa with composition segregation also identified. Insets show needle-like structures observed at dark regions of the image.</w:t>
        </w:r>
        <w:r w:rsidR="0042250B">
          <w:rPr>
            <w:noProof/>
            <w:webHidden/>
          </w:rPr>
          <w:tab/>
        </w:r>
        <w:r w:rsidR="0042250B">
          <w:rPr>
            <w:noProof/>
            <w:webHidden/>
          </w:rPr>
          <w:fldChar w:fldCharType="begin"/>
        </w:r>
        <w:r w:rsidR="0042250B">
          <w:rPr>
            <w:noProof/>
            <w:webHidden/>
          </w:rPr>
          <w:instrText xml:space="preserve"> PAGEREF _Toc39312703 \h </w:instrText>
        </w:r>
        <w:r w:rsidR="0042250B">
          <w:rPr>
            <w:noProof/>
            <w:webHidden/>
          </w:rPr>
        </w:r>
        <w:r w:rsidR="0042250B">
          <w:rPr>
            <w:noProof/>
            <w:webHidden/>
          </w:rPr>
          <w:fldChar w:fldCharType="separate"/>
        </w:r>
        <w:r w:rsidR="0042250B">
          <w:rPr>
            <w:noProof/>
            <w:webHidden/>
          </w:rPr>
          <w:t>87</w:t>
        </w:r>
        <w:r w:rsidR="0042250B">
          <w:rPr>
            <w:noProof/>
            <w:webHidden/>
          </w:rPr>
          <w:fldChar w:fldCharType="end"/>
        </w:r>
      </w:hyperlink>
    </w:p>
    <w:p w14:paraId="6AF13858" w14:textId="08684B2B" w:rsidR="0042250B" w:rsidRDefault="00077961" w:rsidP="0042250B">
      <w:pPr>
        <w:pStyle w:val="af7"/>
        <w:tabs>
          <w:tab w:val="right" w:leader="dot" w:pos="9350"/>
        </w:tabs>
        <w:spacing w:after="60" w:line="360" w:lineRule="auto"/>
        <w:rPr>
          <w:noProof/>
          <w:kern w:val="2"/>
          <w:sz w:val="21"/>
        </w:rPr>
      </w:pPr>
      <w:hyperlink w:anchor="_Toc39312704" w:history="1">
        <w:r w:rsidR="0042250B" w:rsidRPr="00230498">
          <w:rPr>
            <w:rStyle w:val="af5"/>
            <w:b/>
            <w:noProof/>
            <w:lang w:val="en-GB"/>
          </w:rPr>
          <w:t>Figure 4-</w:t>
        </w:r>
        <w:r w:rsidR="0042250B" w:rsidRPr="00230498">
          <w:rPr>
            <w:rStyle w:val="af5"/>
            <w:b/>
            <w:noProof/>
          </w:rPr>
          <w:t>4</w:t>
        </w:r>
        <w:r w:rsidR="0042250B" w:rsidRPr="00230498">
          <w:rPr>
            <w:rStyle w:val="af5"/>
            <w:noProof/>
            <w:lang w:val="en-GB"/>
          </w:rPr>
          <w:t xml:space="preserve"> </w:t>
        </w:r>
        <w:r w:rsidR="0042250B" w:rsidRPr="00230498">
          <w:rPr>
            <w:rStyle w:val="af5"/>
            <w:b/>
            <w:noProof/>
            <w:lang w:val="en-GB"/>
          </w:rPr>
          <w:t xml:space="preserve">Microstructure and chemical analysis of as-cast TiZrNbTa and TiZrHfTa </w:t>
        </w:r>
        <w:r w:rsidR="0042250B" w:rsidRPr="00230498">
          <w:rPr>
            <w:rStyle w:val="af5"/>
            <w:noProof/>
            <w:lang w:val="en-GB"/>
          </w:rPr>
          <w:t>(</w:t>
        </w:r>
        <w:r w:rsidR="0042250B" w:rsidRPr="00230498">
          <w:rPr>
            <w:rStyle w:val="af5"/>
            <w:b/>
            <w:noProof/>
            <w:lang w:val="en-GB"/>
          </w:rPr>
          <w:t>a</w:t>
        </w:r>
        <w:r w:rsidR="0042250B" w:rsidRPr="00230498">
          <w:rPr>
            <w:rStyle w:val="af5"/>
            <w:noProof/>
            <w:lang w:val="en-GB"/>
          </w:rPr>
          <w:t>) Backscattered image and EDX composition maps of as-cast TiZrNbTa sample. (</w:t>
        </w:r>
        <w:r w:rsidR="0042250B" w:rsidRPr="00230498">
          <w:rPr>
            <w:rStyle w:val="af5"/>
            <w:b/>
            <w:bCs/>
            <w:noProof/>
            <w:lang w:val="en-GB"/>
          </w:rPr>
          <w:t>b</w:t>
        </w:r>
        <w:r w:rsidR="0042250B" w:rsidRPr="00230498">
          <w:rPr>
            <w:rStyle w:val="af5"/>
            <w:noProof/>
            <w:lang w:val="en-GB"/>
          </w:rPr>
          <w:t>)Brightfield image and corresponding SADP of as-cast TiZrNbTa. (</w:t>
        </w:r>
        <w:r w:rsidR="0042250B" w:rsidRPr="00230498">
          <w:rPr>
            <w:rStyle w:val="af5"/>
            <w:b/>
            <w:noProof/>
            <w:lang w:val="en-GB"/>
          </w:rPr>
          <w:t>c</w:t>
        </w:r>
        <w:r w:rsidR="0042250B" w:rsidRPr="00230498">
          <w:rPr>
            <w:rStyle w:val="af5"/>
            <w:noProof/>
            <w:lang w:val="en-GB"/>
          </w:rPr>
          <w:t>) Backscattered image and EDX composition maps of as-cast TiZrHfTa. (</w:t>
        </w:r>
        <w:r w:rsidR="0042250B" w:rsidRPr="00230498">
          <w:rPr>
            <w:rStyle w:val="af5"/>
            <w:b/>
            <w:noProof/>
            <w:lang w:val="en-GB"/>
          </w:rPr>
          <w:t>d</w:t>
        </w:r>
        <w:r w:rsidR="0042250B" w:rsidRPr="00230498">
          <w:rPr>
            <w:rStyle w:val="af5"/>
            <w:noProof/>
            <w:lang w:val="en-GB"/>
          </w:rPr>
          <w:t>) Brightfield image and corresponding SADP of as-cast TiZrHfTa, two different structures, α’’ and β are marked with cyan and red colour respectively.</w:t>
        </w:r>
        <w:r w:rsidR="0042250B">
          <w:rPr>
            <w:noProof/>
            <w:webHidden/>
          </w:rPr>
          <w:tab/>
        </w:r>
        <w:r w:rsidR="0042250B">
          <w:rPr>
            <w:noProof/>
            <w:webHidden/>
          </w:rPr>
          <w:fldChar w:fldCharType="begin"/>
        </w:r>
        <w:r w:rsidR="0042250B">
          <w:rPr>
            <w:noProof/>
            <w:webHidden/>
          </w:rPr>
          <w:instrText xml:space="preserve"> PAGEREF _Toc39312704 \h </w:instrText>
        </w:r>
        <w:r w:rsidR="0042250B">
          <w:rPr>
            <w:noProof/>
            <w:webHidden/>
          </w:rPr>
        </w:r>
        <w:r w:rsidR="0042250B">
          <w:rPr>
            <w:noProof/>
            <w:webHidden/>
          </w:rPr>
          <w:fldChar w:fldCharType="separate"/>
        </w:r>
        <w:r w:rsidR="0042250B">
          <w:rPr>
            <w:noProof/>
            <w:webHidden/>
          </w:rPr>
          <w:t>88</w:t>
        </w:r>
        <w:r w:rsidR="0042250B">
          <w:rPr>
            <w:noProof/>
            <w:webHidden/>
          </w:rPr>
          <w:fldChar w:fldCharType="end"/>
        </w:r>
      </w:hyperlink>
    </w:p>
    <w:p w14:paraId="430B7FDB" w14:textId="55E356AC" w:rsidR="0042250B" w:rsidRDefault="00077961" w:rsidP="0042250B">
      <w:pPr>
        <w:pStyle w:val="af7"/>
        <w:tabs>
          <w:tab w:val="right" w:leader="dot" w:pos="9350"/>
        </w:tabs>
        <w:spacing w:after="60" w:line="360" w:lineRule="auto"/>
        <w:rPr>
          <w:noProof/>
          <w:kern w:val="2"/>
          <w:sz w:val="21"/>
        </w:rPr>
      </w:pPr>
      <w:hyperlink w:anchor="_Toc39312705" w:history="1">
        <w:r w:rsidR="0042250B" w:rsidRPr="00230498">
          <w:rPr>
            <w:rStyle w:val="af5"/>
            <w:b/>
            <w:noProof/>
            <w:lang w:val="en-GB" w:bidi="hi-IN"/>
          </w:rPr>
          <w:t>Figure 4-</w:t>
        </w:r>
        <w:r w:rsidR="0042250B" w:rsidRPr="00230498">
          <w:rPr>
            <w:rStyle w:val="af5"/>
            <w:b/>
            <w:noProof/>
            <w:lang w:bidi="hi-IN"/>
          </w:rPr>
          <w:t>5</w:t>
        </w:r>
        <w:r w:rsidR="0042250B" w:rsidRPr="00230498">
          <w:rPr>
            <w:rStyle w:val="af5"/>
            <w:b/>
            <w:noProof/>
            <w:lang w:val="en-GB" w:bidi="hi-IN"/>
          </w:rPr>
          <w:t xml:space="preserve"> Compression testing results of TiZrNbTa and TiZrHfTa.</w:t>
        </w:r>
        <w:r w:rsidR="0042250B" w:rsidRPr="00230498">
          <w:rPr>
            <w:rStyle w:val="af5"/>
            <w:noProof/>
            <w:lang w:val="en-GB" w:bidi="hi-IN"/>
          </w:rPr>
          <w:t xml:space="preserve"> The engineering stress and engineering strain curve of TiZrNbTa, showing yield stress and ultimate compressive stress marked with blue solid and dashed lines, respectively; and the engineering stress and engineering strain of TiZrHfTa, showing yield stress and ultimate compressive stress marked with blue solid and dashed lines.</w:t>
        </w:r>
        <w:r w:rsidR="0042250B">
          <w:rPr>
            <w:noProof/>
            <w:webHidden/>
          </w:rPr>
          <w:tab/>
        </w:r>
        <w:r w:rsidR="0042250B">
          <w:rPr>
            <w:noProof/>
            <w:webHidden/>
          </w:rPr>
          <w:fldChar w:fldCharType="begin"/>
        </w:r>
        <w:r w:rsidR="0042250B">
          <w:rPr>
            <w:noProof/>
            <w:webHidden/>
          </w:rPr>
          <w:instrText xml:space="preserve"> PAGEREF _Toc39312705 \h </w:instrText>
        </w:r>
        <w:r w:rsidR="0042250B">
          <w:rPr>
            <w:noProof/>
            <w:webHidden/>
          </w:rPr>
        </w:r>
        <w:r w:rsidR="0042250B">
          <w:rPr>
            <w:noProof/>
            <w:webHidden/>
          </w:rPr>
          <w:fldChar w:fldCharType="separate"/>
        </w:r>
        <w:r w:rsidR="0042250B">
          <w:rPr>
            <w:noProof/>
            <w:webHidden/>
          </w:rPr>
          <w:t>89</w:t>
        </w:r>
        <w:r w:rsidR="0042250B">
          <w:rPr>
            <w:noProof/>
            <w:webHidden/>
          </w:rPr>
          <w:fldChar w:fldCharType="end"/>
        </w:r>
      </w:hyperlink>
    </w:p>
    <w:p w14:paraId="2B34C003" w14:textId="1E8C3237" w:rsidR="0042250B" w:rsidRDefault="00077961" w:rsidP="0042250B">
      <w:pPr>
        <w:pStyle w:val="af7"/>
        <w:tabs>
          <w:tab w:val="right" w:leader="dot" w:pos="9350"/>
        </w:tabs>
        <w:spacing w:after="60" w:line="360" w:lineRule="auto"/>
        <w:rPr>
          <w:noProof/>
          <w:kern w:val="2"/>
          <w:sz w:val="21"/>
        </w:rPr>
      </w:pPr>
      <w:hyperlink w:anchor="_Toc39312706" w:history="1">
        <w:r w:rsidR="0042250B" w:rsidRPr="00230498">
          <w:rPr>
            <w:rStyle w:val="af5"/>
            <w:b/>
            <w:noProof/>
            <w:lang w:val="en-GB" w:bidi="hi-IN"/>
          </w:rPr>
          <w:t>Figure 4-</w:t>
        </w:r>
        <w:r w:rsidR="0042250B" w:rsidRPr="00230498">
          <w:rPr>
            <w:rStyle w:val="af5"/>
            <w:b/>
            <w:noProof/>
            <w:lang w:bidi="hi-IN"/>
          </w:rPr>
          <w:t>6</w:t>
        </w:r>
        <w:r w:rsidR="0042250B" w:rsidRPr="00230498">
          <w:rPr>
            <w:rStyle w:val="af5"/>
            <w:b/>
            <w:noProof/>
            <w:lang w:val="en-GB" w:bidi="hi-IN"/>
          </w:rPr>
          <w:t xml:space="preserve"> The density of states (DOS) of different BCC structure materials</w:t>
        </w:r>
        <w:r w:rsidR="0042250B" w:rsidRPr="00230498">
          <w:rPr>
            <w:rStyle w:val="af5"/>
            <w:noProof/>
            <w:lang w:val="en-GB" w:bidi="hi-IN"/>
          </w:rPr>
          <w:t xml:space="preserve"> (</w:t>
        </w:r>
        <w:r w:rsidR="0042250B" w:rsidRPr="00230498">
          <w:rPr>
            <w:rStyle w:val="af5"/>
            <w:b/>
            <w:noProof/>
            <w:lang w:val="en-GB" w:bidi="hi-IN"/>
          </w:rPr>
          <w:t>a-b</w:t>
        </w:r>
        <w:r w:rsidR="0042250B" w:rsidRPr="00230498">
          <w:rPr>
            <w:rStyle w:val="af5"/>
            <w:noProof/>
            <w:lang w:val="en-GB" w:bidi="hi-IN"/>
          </w:rPr>
          <w:t>) total and partial density of states of pure BCC metallic Ti, Zr, Hf, Nb, Ta; and (</w:t>
        </w:r>
        <w:r w:rsidR="0042250B" w:rsidRPr="00230498">
          <w:rPr>
            <w:rStyle w:val="af5"/>
            <w:b/>
            <w:noProof/>
            <w:lang w:val="en-GB" w:bidi="hi-IN"/>
          </w:rPr>
          <w:t>c-d</w:t>
        </w:r>
        <w:r w:rsidR="0042250B" w:rsidRPr="00230498">
          <w:rPr>
            <w:rStyle w:val="af5"/>
            <w:noProof/>
            <w:lang w:val="en-GB" w:bidi="hi-IN"/>
          </w:rPr>
          <w:t>) total and partial density of states for BCC TiZrNbTa and TiZrHfTa refractory HEAs. Fermi energy level is marked with a vertical pink dash line.</w:t>
        </w:r>
        <w:r w:rsidR="0042250B">
          <w:rPr>
            <w:noProof/>
            <w:webHidden/>
          </w:rPr>
          <w:tab/>
        </w:r>
        <w:r w:rsidR="0042250B">
          <w:rPr>
            <w:noProof/>
            <w:webHidden/>
          </w:rPr>
          <w:fldChar w:fldCharType="begin"/>
        </w:r>
        <w:r w:rsidR="0042250B">
          <w:rPr>
            <w:noProof/>
            <w:webHidden/>
          </w:rPr>
          <w:instrText xml:space="preserve"> PAGEREF _Toc39312706 \h </w:instrText>
        </w:r>
        <w:r w:rsidR="0042250B">
          <w:rPr>
            <w:noProof/>
            <w:webHidden/>
          </w:rPr>
        </w:r>
        <w:r w:rsidR="0042250B">
          <w:rPr>
            <w:noProof/>
            <w:webHidden/>
          </w:rPr>
          <w:fldChar w:fldCharType="separate"/>
        </w:r>
        <w:r w:rsidR="0042250B">
          <w:rPr>
            <w:noProof/>
            <w:webHidden/>
          </w:rPr>
          <w:t>90</w:t>
        </w:r>
        <w:r w:rsidR="0042250B">
          <w:rPr>
            <w:noProof/>
            <w:webHidden/>
          </w:rPr>
          <w:fldChar w:fldCharType="end"/>
        </w:r>
      </w:hyperlink>
    </w:p>
    <w:p w14:paraId="21B7098F" w14:textId="33734E17" w:rsidR="0042250B" w:rsidRDefault="00077961" w:rsidP="0042250B">
      <w:pPr>
        <w:pStyle w:val="af7"/>
        <w:tabs>
          <w:tab w:val="right" w:leader="dot" w:pos="9350"/>
        </w:tabs>
        <w:spacing w:after="60" w:line="360" w:lineRule="auto"/>
        <w:rPr>
          <w:noProof/>
          <w:kern w:val="2"/>
          <w:sz w:val="21"/>
        </w:rPr>
      </w:pPr>
      <w:hyperlink w:anchor="_Toc39312707" w:history="1">
        <w:r w:rsidR="0042250B" w:rsidRPr="00230498">
          <w:rPr>
            <w:rStyle w:val="af5"/>
            <w:rFonts w:ascii="Calibri" w:eastAsia="等线" w:hAnsi="Calibri" w:cs="Times New Roman"/>
            <w:b/>
            <w:noProof/>
          </w:rPr>
          <w:t>Figure 5-</w:t>
        </w:r>
        <w:r w:rsidR="0042250B" w:rsidRPr="00230498">
          <w:rPr>
            <w:rStyle w:val="af5"/>
            <w:rFonts w:ascii="Calibri" w:eastAsia="等线" w:hAnsi="Calibri" w:cs="Calibri"/>
            <w:b/>
            <w:noProof/>
          </w:rPr>
          <w:t xml:space="preserve">1 XRD patterns and corresponding mechanical performance obtained during compression testing of </w:t>
        </w:r>
        <w:r w:rsidR="0042250B" w:rsidRPr="00230498">
          <w:rPr>
            <w:rStyle w:val="af5"/>
            <w:rFonts w:ascii="Calibri" w:eastAsia="Times New Roman" w:hAnsi="Calibri" w:cs="Calibri"/>
            <w:b/>
            <w:noProof/>
            <w:spacing w:val="3"/>
            <w:shd w:val="clear" w:color="auto" w:fill="FFFFFF"/>
          </w:rPr>
          <w:t>TiZrHfTa</w:t>
        </w:r>
        <w:r w:rsidR="0042250B" w:rsidRPr="00230498">
          <w:rPr>
            <w:rStyle w:val="af5"/>
            <w:rFonts w:ascii="Calibri" w:eastAsia="Times New Roman" w:hAnsi="Calibri" w:cs="Calibri"/>
            <w:b/>
            <w:noProof/>
            <w:spacing w:val="3"/>
            <w:shd w:val="clear" w:color="auto" w:fill="FFFFFF"/>
            <w:vertAlign w:val="subscript"/>
          </w:rPr>
          <w:t>x(x=0.5-1)</w:t>
        </w:r>
        <w:r w:rsidR="0042250B" w:rsidRPr="00230498">
          <w:rPr>
            <w:rStyle w:val="af5"/>
            <w:rFonts w:ascii="Calibri" w:eastAsia="Times New Roman" w:hAnsi="Calibri" w:cs="Calibri"/>
            <w:b/>
            <w:noProof/>
            <w:spacing w:val="3"/>
            <w:shd w:val="clear" w:color="auto" w:fill="FFFFFF"/>
          </w:rPr>
          <w:t xml:space="preserve"> series.</w:t>
        </w:r>
        <w:r w:rsidR="0042250B" w:rsidRPr="00230498">
          <w:rPr>
            <w:rStyle w:val="af5"/>
            <w:rFonts w:ascii="Calibri" w:eastAsia="Times New Roman" w:hAnsi="Calibri" w:cs="Calibri"/>
            <w:b/>
            <w:noProof/>
            <w:spacing w:val="3"/>
            <w:shd w:val="clear" w:color="auto" w:fill="FFFFFF"/>
            <w:vertAlign w:val="subscript"/>
          </w:rPr>
          <w:t xml:space="preserve"> </w:t>
        </w:r>
        <w:r w:rsidR="0042250B" w:rsidRPr="00230498">
          <w:rPr>
            <w:rStyle w:val="af5"/>
            <w:rFonts w:ascii="Calibri" w:eastAsia="Times New Roman" w:hAnsi="Calibri" w:cs="Calibri"/>
            <w:noProof/>
            <w:spacing w:val="3"/>
            <w:shd w:val="clear" w:color="auto" w:fill="FFFFFF"/>
          </w:rPr>
          <w:t>(</w:t>
        </w:r>
        <w:r w:rsidR="0042250B" w:rsidRPr="00230498">
          <w:rPr>
            <w:rStyle w:val="af5"/>
            <w:rFonts w:ascii="Calibri" w:eastAsia="Times New Roman" w:hAnsi="Calibri" w:cs="Calibri"/>
            <w:b/>
            <w:bCs/>
            <w:noProof/>
            <w:spacing w:val="3"/>
            <w:shd w:val="clear" w:color="auto" w:fill="FFFFFF"/>
          </w:rPr>
          <w:t>a</w:t>
        </w:r>
        <w:r w:rsidR="0042250B" w:rsidRPr="00230498">
          <w:rPr>
            <w:rStyle w:val="af5"/>
            <w:rFonts w:ascii="Calibri" w:eastAsia="Times New Roman" w:hAnsi="Calibri" w:cs="Calibri"/>
            <w:noProof/>
            <w:spacing w:val="3"/>
            <w:shd w:val="clear" w:color="auto" w:fill="FFFFFF"/>
          </w:rPr>
          <w:t>) the X-ray diffraction patterns of as-cast TiZrHfTa</w:t>
        </w:r>
        <w:r w:rsidR="0042250B" w:rsidRPr="00230498">
          <w:rPr>
            <w:rStyle w:val="af5"/>
            <w:rFonts w:ascii="Calibri" w:eastAsia="Times New Roman" w:hAnsi="Calibri" w:cs="Calibri"/>
            <w:noProof/>
            <w:spacing w:val="3"/>
            <w:shd w:val="clear" w:color="auto" w:fill="FFFFFF"/>
            <w:vertAlign w:val="subscript"/>
          </w:rPr>
          <w:t>x(x=0.5-1)</w:t>
        </w:r>
        <w:r w:rsidR="0042250B" w:rsidRPr="00230498">
          <w:rPr>
            <w:rStyle w:val="af5"/>
            <w:rFonts w:ascii="Calibri" w:eastAsia="Times New Roman" w:hAnsi="Calibri" w:cs="Calibri"/>
            <w:noProof/>
            <w:spacing w:val="3"/>
            <w:shd w:val="clear" w:color="auto" w:fill="FFFFFF"/>
          </w:rPr>
          <w:t>; and (</w:t>
        </w:r>
        <w:r w:rsidR="0042250B" w:rsidRPr="00230498">
          <w:rPr>
            <w:rStyle w:val="af5"/>
            <w:rFonts w:ascii="Calibri" w:eastAsia="Times New Roman" w:hAnsi="Calibri" w:cs="Calibri"/>
            <w:b/>
            <w:bCs/>
            <w:noProof/>
            <w:spacing w:val="3"/>
            <w:shd w:val="clear" w:color="auto" w:fill="FFFFFF"/>
          </w:rPr>
          <w:t>b</w:t>
        </w:r>
        <w:r w:rsidR="0042250B" w:rsidRPr="00230498">
          <w:rPr>
            <w:rStyle w:val="af5"/>
            <w:rFonts w:ascii="Calibri" w:eastAsia="Times New Roman" w:hAnsi="Calibri" w:cs="Calibri"/>
            <w:noProof/>
            <w:spacing w:val="3"/>
            <w:shd w:val="clear" w:color="auto" w:fill="FFFFFF"/>
          </w:rPr>
          <w:t>) the true strength and true strain curves during compressing testing of TiZrHfTa</w:t>
        </w:r>
        <w:r w:rsidR="0042250B" w:rsidRPr="00230498">
          <w:rPr>
            <w:rStyle w:val="af5"/>
            <w:rFonts w:ascii="Calibri" w:eastAsia="Times New Roman" w:hAnsi="Calibri" w:cs="Calibri"/>
            <w:noProof/>
            <w:spacing w:val="3"/>
            <w:shd w:val="clear" w:color="auto" w:fill="FFFFFF"/>
            <w:vertAlign w:val="subscript"/>
          </w:rPr>
          <w:t>x(x=0.5-1</w:t>
        </w:r>
        <w:r w:rsidR="0042250B" w:rsidRPr="00230498">
          <w:rPr>
            <w:rStyle w:val="af5"/>
            <w:rFonts w:ascii="宋体" w:eastAsia="宋体" w:hAnsi="宋体" w:cs="宋体"/>
            <w:noProof/>
            <w:spacing w:val="3"/>
            <w:shd w:val="clear" w:color="auto" w:fill="FFFFFF"/>
            <w:vertAlign w:val="subscript"/>
          </w:rPr>
          <w:t>)</w:t>
        </w:r>
        <w:r w:rsidR="0042250B" w:rsidRPr="00230498">
          <w:rPr>
            <w:rStyle w:val="af5"/>
            <w:rFonts w:ascii="Calibri" w:eastAsia="Times New Roman" w:hAnsi="Calibri" w:cs="Calibri"/>
            <w:noProof/>
            <w:spacing w:val="3"/>
            <w:shd w:val="clear" w:color="auto" w:fill="FFFFFF"/>
          </w:rPr>
          <w:t xml:space="preserve"> series. The error bar was calculated as standard error of strength at different strain. Inset presents curves of the work hardening rate </w:t>
        </w:r>
        <w:r w:rsidR="0042250B" w:rsidRPr="00230498">
          <w:rPr>
            <w:rStyle w:val="af5"/>
            <w:rFonts w:ascii="Calibri" w:eastAsia="Times New Roman" w:hAnsi="Calibri" w:cs="Calibri"/>
            <w:noProof/>
          </w:rPr>
          <w:t>(dσ</w:t>
        </w:r>
        <w:r w:rsidR="0042250B" w:rsidRPr="00230498">
          <w:rPr>
            <w:rStyle w:val="af5"/>
            <w:rFonts w:ascii="Calibri" w:eastAsia="Times New Roman" w:hAnsi="Calibri" w:cs="Calibri"/>
            <w:noProof/>
            <w:vertAlign w:val="subscript"/>
          </w:rPr>
          <w:t>T</w:t>
        </w:r>
        <w:r w:rsidR="0042250B" w:rsidRPr="00230498">
          <w:rPr>
            <w:rStyle w:val="af5"/>
            <w:rFonts w:ascii="Calibri" w:eastAsia="Times New Roman" w:hAnsi="Calibri" w:cs="Calibri"/>
            <w:noProof/>
          </w:rPr>
          <w:t>/dε</w:t>
        </w:r>
        <w:r w:rsidR="0042250B" w:rsidRPr="00230498">
          <w:rPr>
            <w:rStyle w:val="af5"/>
            <w:rFonts w:ascii="Calibri" w:eastAsia="Times New Roman" w:hAnsi="Calibri" w:cs="Calibri"/>
            <w:noProof/>
            <w:vertAlign w:val="subscript"/>
          </w:rPr>
          <w:t>P</w:t>
        </w:r>
        <w:r w:rsidR="0042250B" w:rsidRPr="00230498">
          <w:rPr>
            <w:rStyle w:val="af5"/>
            <w:rFonts w:ascii="Calibri" w:eastAsia="宋体" w:hAnsi="Calibri" w:cs="宋体"/>
            <w:noProof/>
          </w:rPr>
          <w:t>)</w:t>
        </w:r>
        <w:r w:rsidR="0042250B" w:rsidRPr="00230498">
          <w:rPr>
            <w:rStyle w:val="af5"/>
            <w:rFonts w:ascii="Calibri" w:eastAsia="Times New Roman" w:hAnsi="Calibri" w:cs="Calibri"/>
            <w:noProof/>
            <w:spacing w:val="3"/>
            <w:shd w:val="clear" w:color="auto" w:fill="FFFFFF"/>
          </w:rPr>
          <w:t xml:space="preserve"> against true strain for each composition of TiZrHfTa</w:t>
        </w:r>
        <w:r w:rsidR="0042250B" w:rsidRPr="00230498">
          <w:rPr>
            <w:rStyle w:val="af5"/>
            <w:rFonts w:ascii="Calibri" w:eastAsia="Times New Roman" w:hAnsi="Calibri" w:cs="Calibri"/>
            <w:noProof/>
            <w:spacing w:val="3"/>
            <w:shd w:val="clear" w:color="auto" w:fill="FFFFFF"/>
            <w:vertAlign w:val="subscript"/>
          </w:rPr>
          <w:t>x(x=0.5-1</w:t>
        </w:r>
        <w:r w:rsidR="0042250B" w:rsidRPr="00230498">
          <w:rPr>
            <w:rStyle w:val="af5"/>
            <w:rFonts w:ascii="宋体" w:eastAsia="宋体" w:hAnsi="宋体" w:cs="宋体"/>
            <w:noProof/>
            <w:spacing w:val="3"/>
            <w:shd w:val="clear" w:color="auto" w:fill="FFFFFF"/>
            <w:vertAlign w:val="subscript"/>
          </w:rPr>
          <w:t>)</w:t>
        </w:r>
        <w:r w:rsidR="0042250B" w:rsidRPr="00230498">
          <w:rPr>
            <w:rStyle w:val="af5"/>
            <w:rFonts w:ascii="Calibri" w:eastAsia="Times New Roman" w:hAnsi="Calibri" w:cs="Calibri"/>
            <w:noProof/>
            <w:spacing w:val="3"/>
            <w:shd w:val="clear" w:color="auto" w:fill="FFFFFF"/>
          </w:rPr>
          <w:t>.</w:t>
        </w:r>
        <w:r w:rsidR="0042250B">
          <w:rPr>
            <w:noProof/>
            <w:webHidden/>
          </w:rPr>
          <w:tab/>
        </w:r>
        <w:r w:rsidR="0042250B">
          <w:rPr>
            <w:noProof/>
            <w:webHidden/>
          </w:rPr>
          <w:fldChar w:fldCharType="begin"/>
        </w:r>
        <w:r w:rsidR="0042250B">
          <w:rPr>
            <w:noProof/>
            <w:webHidden/>
          </w:rPr>
          <w:instrText xml:space="preserve"> PAGEREF _Toc39312707 \h </w:instrText>
        </w:r>
        <w:r w:rsidR="0042250B">
          <w:rPr>
            <w:noProof/>
            <w:webHidden/>
          </w:rPr>
        </w:r>
        <w:r w:rsidR="0042250B">
          <w:rPr>
            <w:noProof/>
            <w:webHidden/>
          </w:rPr>
          <w:fldChar w:fldCharType="separate"/>
        </w:r>
        <w:r w:rsidR="0042250B">
          <w:rPr>
            <w:noProof/>
            <w:webHidden/>
          </w:rPr>
          <w:t>99</w:t>
        </w:r>
        <w:r w:rsidR="0042250B">
          <w:rPr>
            <w:noProof/>
            <w:webHidden/>
          </w:rPr>
          <w:fldChar w:fldCharType="end"/>
        </w:r>
      </w:hyperlink>
    </w:p>
    <w:p w14:paraId="05F67DF5" w14:textId="683F7550" w:rsidR="0042250B" w:rsidRDefault="00077961" w:rsidP="0042250B">
      <w:pPr>
        <w:pStyle w:val="af7"/>
        <w:tabs>
          <w:tab w:val="right" w:leader="dot" w:pos="9350"/>
        </w:tabs>
        <w:spacing w:after="60" w:line="360" w:lineRule="auto"/>
        <w:rPr>
          <w:noProof/>
          <w:kern w:val="2"/>
          <w:sz w:val="21"/>
        </w:rPr>
      </w:pPr>
      <w:hyperlink w:anchor="_Toc39312708" w:history="1">
        <w:r w:rsidR="0042250B" w:rsidRPr="00230498">
          <w:rPr>
            <w:rStyle w:val="af5"/>
            <w:rFonts w:ascii="Calibri" w:eastAsia="等线" w:hAnsi="Calibri" w:cs="Calibri"/>
            <w:b/>
            <w:noProof/>
          </w:rPr>
          <w:t>Figure 5-2 EBSD images of the 5% deformed TiZrHfTa</w:t>
        </w:r>
        <w:r w:rsidR="0042250B" w:rsidRPr="00230498">
          <w:rPr>
            <w:rStyle w:val="af5"/>
            <w:rFonts w:ascii="Calibri" w:eastAsia="等线" w:hAnsi="Calibri" w:cs="Calibri"/>
            <w:b/>
            <w:noProof/>
            <w:vertAlign w:val="subscript"/>
          </w:rPr>
          <w:t xml:space="preserve">0.8 </w:t>
        </w:r>
        <w:r w:rsidR="0042250B" w:rsidRPr="00230498">
          <w:rPr>
            <w:rStyle w:val="af5"/>
            <w:rFonts w:ascii="Calibri" w:eastAsia="等线" w:hAnsi="Calibri" w:cs="Calibri"/>
            <w:noProof/>
          </w:rPr>
          <w:t>(</w:t>
        </w:r>
        <w:r w:rsidR="0042250B" w:rsidRPr="00230498">
          <w:rPr>
            <w:rStyle w:val="af5"/>
            <w:rFonts w:ascii="Calibri" w:eastAsia="等线" w:hAnsi="Calibri" w:cs="Calibri"/>
            <w:b/>
            <w:noProof/>
          </w:rPr>
          <w:t>a</w:t>
        </w:r>
        <w:r w:rsidR="0042250B" w:rsidRPr="00230498">
          <w:rPr>
            <w:rStyle w:val="af5"/>
            <w:rFonts w:ascii="Calibri" w:eastAsia="等线" w:hAnsi="Calibri" w:cs="Calibri"/>
            <w:noProof/>
          </w:rPr>
          <w:t xml:space="preserve">) Phase constitution map with </w:t>
        </w:r>
        <w:r w:rsidR="0042250B" w:rsidRPr="00230498">
          <w:rPr>
            <w:rStyle w:val="af5"/>
            <w:rFonts w:ascii="Times New Roman" w:eastAsia="等线" w:hAnsi="Times New Roman" w:cs="Times New Roman"/>
            <w:noProof/>
          </w:rPr>
          <w:t>β</w:t>
        </w:r>
        <w:r w:rsidR="0042250B" w:rsidRPr="00230498">
          <w:rPr>
            <w:rStyle w:val="af5"/>
            <w:rFonts w:ascii="Calibri" w:eastAsia="等线" w:hAnsi="Calibri" w:cs="Calibri"/>
            <w:noProof/>
          </w:rPr>
          <w:t xml:space="preserve"> and </w:t>
        </w:r>
        <w:r w:rsidR="0042250B" w:rsidRPr="00230498">
          <w:rPr>
            <w:rStyle w:val="af5"/>
            <w:rFonts w:ascii="Times New Roman" w:eastAsia="等线" w:hAnsi="Times New Roman" w:cs="Times New Roman"/>
            <w:noProof/>
          </w:rPr>
          <w:t>α</w:t>
        </w:r>
        <w:r w:rsidR="0042250B" w:rsidRPr="00230498">
          <w:rPr>
            <w:rStyle w:val="af5"/>
            <w:rFonts w:ascii="Calibri" w:eastAsia="等线" w:hAnsi="Calibri" w:cs="Calibri"/>
            <w:noProof/>
          </w:rPr>
          <w:t>’’ phases marked with red and blue respectively. (</w:t>
        </w:r>
        <w:r w:rsidR="0042250B" w:rsidRPr="00230498">
          <w:rPr>
            <w:rStyle w:val="af5"/>
            <w:rFonts w:ascii="Calibri" w:eastAsia="等线" w:hAnsi="Calibri" w:cs="Calibri"/>
            <w:b/>
            <w:noProof/>
          </w:rPr>
          <w:t>b</w:t>
        </w:r>
        <w:r w:rsidR="0042250B" w:rsidRPr="00230498">
          <w:rPr>
            <w:rStyle w:val="af5"/>
            <w:rFonts w:ascii="Calibri" w:eastAsia="等线" w:hAnsi="Calibri" w:cs="Calibri"/>
            <w:noProof/>
          </w:rPr>
          <w:t>) An Euler angle map showing grain orientation of grains. Inset is a partially indexed twinning boundary where both {332}[11-3]</w:t>
        </w:r>
        <w:r w:rsidR="0042250B" w:rsidRPr="00230498">
          <w:rPr>
            <w:rStyle w:val="af5"/>
            <w:rFonts w:ascii="Times New Roman" w:eastAsia="等线" w:hAnsi="Times New Roman" w:cs="Times New Roman"/>
            <w:noProof/>
            <w:vertAlign w:val="subscript"/>
          </w:rPr>
          <w:t>β</w:t>
        </w:r>
        <w:r w:rsidR="0042250B" w:rsidRPr="00230498">
          <w:rPr>
            <w:rStyle w:val="af5"/>
            <w:rFonts w:ascii="Calibri" w:eastAsia="等线" w:hAnsi="Calibri" w:cs="Calibri"/>
            <w:noProof/>
          </w:rPr>
          <w:t xml:space="preserve"> and {112}&lt;11-1&gt;</w:t>
        </w:r>
        <w:r w:rsidR="0042250B" w:rsidRPr="00230498">
          <w:rPr>
            <w:rStyle w:val="af5"/>
            <w:rFonts w:ascii="Times New Roman" w:eastAsia="等线" w:hAnsi="Times New Roman" w:cs="Times New Roman"/>
            <w:noProof/>
            <w:vertAlign w:val="subscript"/>
          </w:rPr>
          <w:t>β</w:t>
        </w:r>
        <w:r w:rsidR="0042250B" w:rsidRPr="00230498">
          <w:rPr>
            <w:rStyle w:val="af5"/>
            <w:rFonts w:ascii="Calibri" w:eastAsia="等线" w:hAnsi="Calibri" w:cs="Calibri"/>
            <w:noProof/>
          </w:rPr>
          <w:t xml:space="preserve"> twinning boundaries exist marked with yellow and red lines respectively.</w:t>
        </w:r>
        <w:r w:rsidR="0042250B">
          <w:rPr>
            <w:noProof/>
            <w:webHidden/>
          </w:rPr>
          <w:tab/>
        </w:r>
        <w:r w:rsidR="0042250B">
          <w:rPr>
            <w:noProof/>
            <w:webHidden/>
          </w:rPr>
          <w:fldChar w:fldCharType="begin"/>
        </w:r>
        <w:r w:rsidR="0042250B">
          <w:rPr>
            <w:noProof/>
            <w:webHidden/>
          </w:rPr>
          <w:instrText xml:space="preserve"> PAGEREF _Toc39312708 \h </w:instrText>
        </w:r>
        <w:r w:rsidR="0042250B">
          <w:rPr>
            <w:noProof/>
            <w:webHidden/>
          </w:rPr>
        </w:r>
        <w:r w:rsidR="0042250B">
          <w:rPr>
            <w:noProof/>
            <w:webHidden/>
          </w:rPr>
          <w:fldChar w:fldCharType="separate"/>
        </w:r>
        <w:r w:rsidR="0042250B">
          <w:rPr>
            <w:noProof/>
            <w:webHidden/>
          </w:rPr>
          <w:t>102</w:t>
        </w:r>
        <w:r w:rsidR="0042250B">
          <w:rPr>
            <w:noProof/>
            <w:webHidden/>
          </w:rPr>
          <w:fldChar w:fldCharType="end"/>
        </w:r>
      </w:hyperlink>
    </w:p>
    <w:p w14:paraId="5C4ACCA9" w14:textId="1DE73C72" w:rsidR="0042250B" w:rsidRDefault="00077961" w:rsidP="0042250B">
      <w:pPr>
        <w:pStyle w:val="af7"/>
        <w:tabs>
          <w:tab w:val="right" w:leader="dot" w:pos="9350"/>
        </w:tabs>
        <w:spacing w:after="60" w:line="360" w:lineRule="auto"/>
        <w:rPr>
          <w:noProof/>
          <w:kern w:val="2"/>
          <w:sz w:val="21"/>
        </w:rPr>
      </w:pPr>
      <w:hyperlink w:anchor="_Toc39312709" w:history="1">
        <w:r w:rsidR="0042250B" w:rsidRPr="00230498">
          <w:rPr>
            <w:rStyle w:val="af5"/>
            <w:rFonts w:ascii="Calibri" w:eastAsia="等线" w:hAnsi="Calibri" w:cs="Calibri"/>
            <w:b/>
            <w:noProof/>
          </w:rPr>
          <w:t>Figure 5-3 EBSD image of 5% deformed TiZrHfTa</w:t>
        </w:r>
        <w:r w:rsidR="0042250B" w:rsidRPr="00230498">
          <w:rPr>
            <w:rStyle w:val="af5"/>
            <w:rFonts w:ascii="Calibri" w:eastAsia="等线" w:hAnsi="Calibri" w:cs="Calibri"/>
            <w:b/>
            <w:noProof/>
            <w:vertAlign w:val="subscript"/>
          </w:rPr>
          <w:t xml:space="preserve">0.6 </w:t>
        </w:r>
        <w:r w:rsidR="0042250B" w:rsidRPr="00230498">
          <w:rPr>
            <w:rStyle w:val="af5"/>
            <w:rFonts w:ascii="Calibri" w:eastAsia="等线" w:hAnsi="Calibri" w:cs="Calibri"/>
            <w:b/>
            <w:noProof/>
          </w:rPr>
          <w:t>and TiZrHfTa</w:t>
        </w:r>
        <w:r w:rsidR="0042250B" w:rsidRPr="00230498">
          <w:rPr>
            <w:rStyle w:val="af5"/>
            <w:rFonts w:ascii="Calibri" w:eastAsia="等线" w:hAnsi="Calibri" w:cs="Calibri"/>
            <w:b/>
            <w:noProof/>
            <w:vertAlign w:val="subscript"/>
          </w:rPr>
          <w:t xml:space="preserve">0.5 </w:t>
        </w:r>
        <w:r w:rsidR="0042250B" w:rsidRPr="00230498">
          <w:rPr>
            <w:rStyle w:val="af5"/>
            <w:rFonts w:ascii="Calibri" w:eastAsia="等线" w:hAnsi="Calibri" w:cs="Calibri"/>
            <w:noProof/>
          </w:rPr>
          <w:t>(</w:t>
        </w:r>
        <w:r w:rsidR="0042250B" w:rsidRPr="00230498">
          <w:rPr>
            <w:rStyle w:val="af5"/>
            <w:rFonts w:ascii="Calibri" w:eastAsia="等线" w:hAnsi="Calibri" w:cs="Calibri"/>
            <w:b/>
            <w:noProof/>
          </w:rPr>
          <w:t>a</w:t>
        </w:r>
        <w:r w:rsidR="0042250B" w:rsidRPr="00230498">
          <w:rPr>
            <w:rStyle w:val="af5"/>
            <w:rFonts w:ascii="Calibri" w:eastAsia="等线" w:hAnsi="Calibri" w:cs="Calibri"/>
            <w:noProof/>
          </w:rPr>
          <w:t xml:space="preserve">) an Euler angle map showing grain orientation of </w:t>
        </w:r>
        <w:r w:rsidR="0042250B" w:rsidRPr="00230498">
          <w:rPr>
            <w:rStyle w:val="af5"/>
            <w:rFonts w:ascii="Times New Roman" w:eastAsia="等线" w:hAnsi="Times New Roman" w:cs="Times New Roman"/>
            <w:noProof/>
          </w:rPr>
          <w:t>β</w:t>
        </w:r>
        <w:r w:rsidR="0042250B" w:rsidRPr="00230498">
          <w:rPr>
            <w:rStyle w:val="af5"/>
            <w:rFonts w:ascii="Calibri" w:eastAsia="等线" w:hAnsi="Calibri" w:cs="Calibri"/>
            <w:noProof/>
          </w:rPr>
          <w:t xml:space="preserve"> and </w:t>
        </w:r>
        <w:r w:rsidR="0042250B" w:rsidRPr="00230498">
          <w:rPr>
            <w:rStyle w:val="af5"/>
            <w:rFonts w:ascii="Times New Roman" w:eastAsia="等线" w:hAnsi="Times New Roman" w:cs="Times New Roman"/>
            <w:noProof/>
          </w:rPr>
          <w:t>α</w:t>
        </w:r>
        <w:r w:rsidR="0042250B" w:rsidRPr="00230498">
          <w:rPr>
            <w:rStyle w:val="af5"/>
            <w:rFonts w:ascii="Calibri" w:eastAsia="等线" w:hAnsi="Calibri" w:cs="Calibri"/>
            <w:noProof/>
          </w:rPr>
          <w:t>’’ phases in TiZrHfTa</w:t>
        </w:r>
        <w:r w:rsidR="0042250B" w:rsidRPr="00230498">
          <w:rPr>
            <w:rStyle w:val="af5"/>
            <w:rFonts w:ascii="Calibri" w:eastAsia="等线" w:hAnsi="Calibri" w:cs="Calibri"/>
            <w:noProof/>
            <w:vertAlign w:val="subscript"/>
          </w:rPr>
          <w:t>0.6.</w:t>
        </w:r>
        <w:r w:rsidR="0042250B" w:rsidRPr="00230498">
          <w:rPr>
            <w:rStyle w:val="af5"/>
            <w:rFonts w:ascii="Calibri" w:eastAsia="等线" w:hAnsi="Calibri" w:cs="Calibri"/>
            <w:noProof/>
          </w:rPr>
          <w:t>; (</w:t>
        </w:r>
        <w:r w:rsidR="0042250B" w:rsidRPr="00230498">
          <w:rPr>
            <w:rStyle w:val="af5"/>
            <w:rFonts w:ascii="Calibri" w:eastAsia="等线" w:hAnsi="Calibri" w:cs="Calibri"/>
            <w:b/>
            <w:noProof/>
          </w:rPr>
          <w:t>b</w:t>
        </w:r>
        <w:r w:rsidR="0042250B" w:rsidRPr="00230498">
          <w:rPr>
            <w:rStyle w:val="af5"/>
            <w:rFonts w:ascii="Calibri" w:eastAsia="等线" w:hAnsi="Calibri" w:cs="Calibri"/>
            <w:noProof/>
          </w:rPr>
          <w:t>) phase constitution map for TiZrHfTa</w:t>
        </w:r>
        <w:r w:rsidR="0042250B" w:rsidRPr="00230498">
          <w:rPr>
            <w:rStyle w:val="af5"/>
            <w:rFonts w:ascii="Calibri" w:eastAsia="等线" w:hAnsi="Calibri" w:cs="Calibri"/>
            <w:noProof/>
            <w:vertAlign w:val="subscript"/>
          </w:rPr>
          <w:t>0.6.</w:t>
        </w:r>
        <w:r w:rsidR="0042250B" w:rsidRPr="00230498">
          <w:rPr>
            <w:rStyle w:val="af5"/>
            <w:rFonts w:ascii="Calibri" w:eastAsia="等线" w:hAnsi="Calibri" w:cs="Calibri"/>
            <w:noProof/>
          </w:rPr>
          <w:t xml:space="preserve">, </w:t>
        </w:r>
        <w:r w:rsidR="0042250B" w:rsidRPr="00230498">
          <w:rPr>
            <w:rStyle w:val="af5"/>
            <w:rFonts w:ascii="Times New Roman" w:eastAsia="等线" w:hAnsi="Times New Roman" w:cs="Times New Roman"/>
            <w:noProof/>
          </w:rPr>
          <w:t>β</w:t>
        </w:r>
        <w:r w:rsidR="0042250B" w:rsidRPr="00230498">
          <w:rPr>
            <w:rStyle w:val="af5"/>
            <w:rFonts w:ascii="Calibri" w:eastAsia="等线" w:hAnsi="Calibri" w:cs="Calibri"/>
            <w:noProof/>
          </w:rPr>
          <w:t xml:space="preserve"> and </w:t>
        </w:r>
        <w:r w:rsidR="0042250B" w:rsidRPr="00230498">
          <w:rPr>
            <w:rStyle w:val="af5"/>
            <w:rFonts w:ascii="Times New Roman" w:eastAsia="等线" w:hAnsi="Times New Roman" w:cs="Times New Roman"/>
            <w:noProof/>
          </w:rPr>
          <w:t>α</w:t>
        </w:r>
        <w:r w:rsidR="0042250B" w:rsidRPr="00230498">
          <w:rPr>
            <w:rStyle w:val="af5"/>
            <w:rFonts w:ascii="Calibri" w:eastAsia="等线" w:hAnsi="Calibri" w:cs="Calibri"/>
            <w:noProof/>
          </w:rPr>
          <w:t>’’ phases were marked with red and blue, respectively; (</w:t>
        </w:r>
        <w:r w:rsidR="0042250B" w:rsidRPr="00230498">
          <w:rPr>
            <w:rStyle w:val="af5"/>
            <w:rFonts w:ascii="Calibri" w:eastAsia="等线" w:hAnsi="Calibri" w:cs="Calibri"/>
            <w:b/>
            <w:noProof/>
          </w:rPr>
          <w:t>c</w:t>
        </w:r>
        <w:r w:rsidR="0042250B" w:rsidRPr="00230498">
          <w:rPr>
            <w:rStyle w:val="af5"/>
            <w:rFonts w:ascii="Calibri" w:eastAsia="等线" w:hAnsi="Calibri" w:cs="Calibri"/>
            <w:noProof/>
          </w:rPr>
          <w:t xml:space="preserve">) an Euler angle map showing grain orientation of </w:t>
        </w:r>
        <w:r w:rsidR="0042250B" w:rsidRPr="00230498">
          <w:rPr>
            <w:rStyle w:val="af5"/>
            <w:rFonts w:ascii="Times New Roman" w:eastAsia="等线" w:hAnsi="Times New Roman" w:cs="Times New Roman"/>
            <w:noProof/>
          </w:rPr>
          <w:t>β</w:t>
        </w:r>
        <w:r w:rsidR="0042250B" w:rsidRPr="00230498">
          <w:rPr>
            <w:rStyle w:val="af5"/>
            <w:rFonts w:ascii="Calibri" w:eastAsia="等线" w:hAnsi="Calibri" w:cs="Calibri"/>
            <w:noProof/>
          </w:rPr>
          <w:t xml:space="preserve"> and </w:t>
        </w:r>
        <w:r w:rsidR="0042250B" w:rsidRPr="00230498">
          <w:rPr>
            <w:rStyle w:val="af5"/>
            <w:rFonts w:ascii="Times New Roman" w:eastAsia="等线" w:hAnsi="Times New Roman" w:cs="Times New Roman"/>
            <w:noProof/>
          </w:rPr>
          <w:t>α</w:t>
        </w:r>
        <w:r w:rsidR="0042250B" w:rsidRPr="00230498">
          <w:rPr>
            <w:rStyle w:val="af5"/>
            <w:rFonts w:ascii="Calibri" w:eastAsia="等线" w:hAnsi="Calibri" w:cs="Calibri"/>
            <w:noProof/>
          </w:rPr>
          <w:t>’’ phases in TiZrHfTa</w:t>
        </w:r>
        <w:r w:rsidR="0042250B" w:rsidRPr="00230498">
          <w:rPr>
            <w:rStyle w:val="af5"/>
            <w:rFonts w:ascii="Calibri" w:eastAsia="等线" w:hAnsi="Calibri" w:cs="Calibri"/>
            <w:noProof/>
            <w:vertAlign w:val="subscript"/>
          </w:rPr>
          <w:t>0.5</w:t>
        </w:r>
        <w:r w:rsidR="0042250B" w:rsidRPr="00230498">
          <w:rPr>
            <w:rStyle w:val="af5"/>
            <w:rFonts w:ascii="Calibri" w:eastAsia="等线" w:hAnsi="Calibri" w:cs="Calibri"/>
            <w:noProof/>
          </w:rPr>
          <w:t>.</w:t>
        </w:r>
        <w:r w:rsidR="0042250B" w:rsidRPr="00230498">
          <w:rPr>
            <w:rStyle w:val="af5"/>
            <w:rFonts w:ascii="Calibri" w:eastAsia="等线" w:hAnsi="Calibri" w:cs="Calibri"/>
            <w:b/>
            <w:noProof/>
          </w:rPr>
          <w:t xml:space="preserve"> </w:t>
        </w:r>
        <w:r w:rsidR="0042250B" w:rsidRPr="00230498">
          <w:rPr>
            <w:rStyle w:val="af5"/>
            <w:rFonts w:ascii="Calibri" w:eastAsia="等线" w:hAnsi="Calibri" w:cs="Calibri"/>
            <w:bCs/>
            <w:noProof/>
          </w:rPr>
          <w:t>The</w:t>
        </w:r>
        <w:r w:rsidR="0042250B" w:rsidRPr="00230498">
          <w:rPr>
            <w:rStyle w:val="af5"/>
            <w:rFonts w:ascii="Calibri" w:eastAsia="等线" w:hAnsi="Calibri" w:cs="Calibri"/>
            <w:b/>
            <w:noProof/>
          </w:rPr>
          <w:t xml:space="preserve"> </w:t>
        </w:r>
        <w:r w:rsidR="0042250B" w:rsidRPr="00230498">
          <w:rPr>
            <w:rStyle w:val="af5"/>
            <w:rFonts w:ascii="Calibri" w:eastAsia="等线" w:hAnsi="Calibri" w:cs="Calibri"/>
            <w:noProof/>
          </w:rPr>
          <w:t>twinning boundary of {111} type I &lt;211&gt;type II and {011} compound martensitic self-accommodation twinning boundaries are marked with yellow red and green lines, respectively, where the misorientation profiles are listed in (i-iii).</w:t>
        </w:r>
        <w:r w:rsidR="0042250B">
          <w:rPr>
            <w:noProof/>
            <w:webHidden/>
          </w:rPr>
          <w:tab/>
        </w:r>
        <w:r w:rsidR="0042250B">
          <w:rPr>
            <w:noProof/>
            <w:webHidden/>
          </w:rPr>
          <w:fldChar w:fldCharType="begin"/>
        </w:r>
        <w:r w:rsidR="0042250B">
          <w:rPr>
            <w:noProof/>
            <w:webHidden/>
          </w:rPr>
          <w:instrText xml:space="preserve"> PAGEREF _Toc39312709 \h </w:instrText>
        </w:r>
        <w:r w:rsidR="0042250B">
          <w:rPr>
            <w:noProof/>
            <w:webHidden/>
          </w:rPr>
        </w:r>
        <w:r w:rsidR="0042250B">
          <w:rPr>
            <w:noProof/>
            <w:webHidden/>
          </w:rPr>
          <w:fldChar w:fldCharType="separate"/>
        </w:r>
        <w:r w:rsidR="0042250B">
          <w:rPr>
            <w:noProof/>
            <w:webHidden/>
          </w:rPr>
          <w:t>103</w:t>
        </w:r>
        <w:r w:rsidR="0042250B">
          <w:rPr>
            <w:noProof/>
            <w:webHidden/>
          </w:rPr>
          <w:fldChar w:fldCharType="end"/>
        </w:r>
      </w:hyperlink>
    </w:p>
    <w:p w14:paraId="3C9A5320" w14:textId="1C93CEAC" w:rsidR="0042250B" w:rsidRDefault="00077961" w:rsidP="0042250B">
      <w:pPr>
        <w:pStyle w:val="af7"/>
        <w:tabs>
          <w:tab w:val="right" w:leader="dot" w:pos="9350"/>
        </w:tabs>
        <w:spacing w:after="60" w:line="360" w:lineRule="auto"/>
        <w:rPr>
          <w:noProof/>
          <w:kern w:val="2"/>
          <w:sz w:val="21"/>
        </w:rPr>
      </w:pPr>
      <w:hyperlink w:anchor="_Toc39312710" w:history="1">
        <w:r w:rsidR="0042250B" w:rsidRPr="00230498">
          <w:rPr>
            <w:rStyle w:val="af5"/>
            <w:rFonts w:ascii="Calibri" w:eastAsia="等线" w:hAnsi="Calibri" w:cs="Calibri"/>
            <w:b/>
            <w:noProof/>
          </w:rPr>
          <w:t xml:space="preserve">Figure 5-4 TEM image of </w:t>
        </w:r>
        <w:r w:rsidR="0042250B" w:rsidRPr="00230498">
          <w:rPr>
            <w:rStyle w:val="af5"/>
            <w:rFonts w:eastAsia="等线" w:cs="Calibri"/>
            <w:b/>
            <w:noProof/>
          </w:rPr>
          <w:t>mechanical twinning observed in 5% deformed TiZrHfTa</w:t>
        </w:r>
        <w:r w:rsidR="0042250B" w:rsidRPr="00230498">
          <w:rPr>
            <w:rStyle w:val="af5"/>
            <w:rFonts w:eastAsia="等线" w:cs="Calibri"/>
            <w:b/>
            <w:noProof/>
            <w:vertAlign w:val="subscript"/>
          </w:rPr>
          <w:t xml:space="preserve">0.8 </w:t>
        </w:r>
        <w:r w:rsidR="0042250B" w:rsidRPr="00230498">
          <w:rPr>
            <w:rStyle w:val="af5"/>
            <w:rFonts w:eastAsia="等线" w:cs="Calibri"/>
            <w:noProof/>
          </w:rPr>
          <w:t>(</w:t>
        </w:r>
        <w:r w:rsidR="0042250B" w:rsidRPr="00230498">
          <w:rPr>
            <w:rStyle w:val="af5"/>
            <w:rFonts w:eastAsia="等线" w:cs="Calibri"/>
            <w:b/>
            <w:noProof/>
          </w:rPr>
          <w:t>a</w:t>
        </w:r>
        <w:r w:rsidR="0042250B" w:rsidRPr="00230498">
          <w:rPr>
            <w:rStyle w:val="af5"/>
            <w:rFonts w:eastAsia="等线" w:cs="Calibri"/>
            <w:noProof/>
          </w:rPr>
          <w:t xml:space="preserve">) Bright field image of the twinning like feature. Inset is a selected area diffraction pattern (SADP) derived from the twinned feature, </w:t>
        </w:r>
        <w:r w:rsidR="0042250B" w:rsidRPr="00230498">
          <w:rPr>
            <w:rStyle w:val="af5"/>
            <w:rFonts w:eastAsia="等线" w:cs="Times New Roman"/>
            <w:noProof/>
          </w:rPr>
          <w:t xml:space="preserve">β, </w:t>
        </w:r>
        <w:r w:rsidR="0042250B" w:rsidRPr="00230498">
          <w:rPr>
            <w:rStyle w:val="af5"/>
            <w:rFonts w:eastAsia="等线" w:cs="Calibri"/>
            <w:noProof/>
          </w:rPr>
          <w:t xml:space="preserve">twinned β and </w:t>
        </w:r>
        <w:r w:rsidR="0042250B" w:rsidRPr="00230498">
          <w:rPr>
            <w:rStyle w:val="af5"/>
            <w:rFonts w:eastAsia="等线" w:cs="Times New Roman"/>
            <w:noProof/>
          </w:rPr>
          <w:t>α</w:t>
        </w:r>
        <w:r w:rsidR="0042250B" w:rsidRPr="00230498">
          <w:rPr>
            <w:rStyle w:val="af5"/>
            <w:rFonts w:eastAsia="等线" w:cs="Calibri"/>
            <w:noProof/>
          </w:rPr>
          <w:t>’’ phases diffraction patterns are marked with red cyan and orange respectively. The twinning plane is marked with a red circle and indexed as the (-211)</w:t>
        </w:r>
        <w:r w:rsidR="0042250B" w:rsidRPr="00230498">
          <w:rPr>
            <w:rStyle w:val="af5"/>
            <w:rFonts w:eastAsia="等线" w:cs="Calibri"/>
            <w:noProof/>
            <w:vertAlign w:val="subscript"/>
          </w:rPr>
          <w:t>β</w:t>
        </w:r>
        <w:r w:rsidR="0042250B" w:rsidRPr="00230498">
          <w:rPr>
            <w:rStyle w:val="af5"/>
            <w:rFonts w:eastAsia="等线" w:cs="Calibri"/>
            <w:noProof/>
          </w:rPr>
          <w:t xml:space="preserve"> plane. (</w:t>
        </w:r>
        <w:r w:rsidR="0042250B" w:rsidRPr="00230498">
          <w:rPr>
            <w:rStyle w:val="af5"/>
            <w:rFonts w:eastAsia="等线" w:cs="Calibri"/>
            <w:b/>
            <w:noProof/>
          </w:rPr>
          <w:t>c</w:t>
        </w:r>
        <w:r w:rsidR="0042250B" w:rsidRPr="00230498">
          <w:rPr>
            <w:rStyle w:val="af5"/>
            <w:rFonts w:eastAsia="等线" w:cs="Calibri"/>
            <w:noProof/>
          </w:rPr>
          <w:t xml:space="preserve">) Dark field image of a </w:t>
        </w:r>
        <w:r w:rsidR="0042250B" w:rsidRPr="00230498">
          <w:rPr>
            <w:rStyle w:val="af5"/>
            <w:rFonts w:eastAsia="等线" w:cs="Times New Roman"/>
            <w:noProof/>
          </w:rPr>
          <w:t>β</w:t>
        </w:r>
        <w:r w:rsidR="0042250B" w:rsidRPr="00230498">
          <w:rPr>
            <w:rStyle w:val="af5"/>
            <w:rFonts w:eastAsia="等线" w:cs="Calibri"/>
            <w:noProof/>
          </w:rPr>
          <w:t xml:space="preserve"> matrix grain.</w:t>
        </w:r>
        <w:r w:rsidR="0042250B" w:rsidRPr="00230498">
          <w:rPr>
            <w:rStyle w:val="af5"/>
            <w:rFonts w:eastAsia="等线" w:cs="Calibri"/>
            <w:b/>
            <w:noProof/>
          </w:rPr>
          <w:t xml:space="preserve"> </w:t>
        </w:r>
        <w:r w:rsidR="0042250B" w:rsidRPr="00230498">
          <w:rPr>
            <w:rStyle w:val="af5"/>
            <w:rFonts w:eastAsia="等线" w:cs="Calibri"/>
            <w:noProof/>
          </w:rPr>
          <w:t>(</w:t>
        </w:r>
        <w:r w:rsidR="0042250B" w:rsidRPr="00230498">
          <w:rPr>
            <w:rStyle w:val="af5"/>
            <w:rFonts w:eastAsia="等线" w:cs="Calibri"/>
            <w:b/>
            <w:noProof/>
          </w:rPr>
          <w:t>d</w:t>
        </w:r>
        <w:r w:rsidR="0042250B" w:rsidRPr="00230498">
          <w:rPr>
            <w:rStyle w:val="af5"/>
            <w:rFonts w:eastAsia="等线" w:cs="Calibri"/>
            <w:noProof/>
          </w:rPr>
          <w:t xml:space="preserve">) Dark field image of the </w:t>
        </w:r>
        <w:r w:rsidR="0042250B" w:rsidRPr="00230498">
          <w:rPr>
            <w:rStyle w:val="af5"/>
            <w:rFonts w:eastAsia="等线" w:cs="Times New Roman"/>
            <w:noProof/>
          </w:rPr>
          <w:t>β</w:t>
        </w:r>
        <w:r w:rsidR="0042250B" w:rsidRPr="00230498">
          <w:rPr>
            <w:rStyle w:val="af5"/>
            <w:rFonts w:eastAsia="等线" w:cs="Calibri"/>
            <w:noProof/>
          </w:rPr>
          <w:t xml:space="preserve"> twinned structure. (</w:t>
        </w:r>
        <w:r w:rsidR="0042250B" w:rsidRPr="00230498">
          <w:rPr>
            <w:rStyle w:val="af5"/>
            <w:rFonts w:eastAsia="等线" w:cs="Calibri"/>
            <w:b/>
            <w:noProof/>
          </w:rPr>
          <w:t>e</w:t>
        </w:r>
        <w:r w:rsidR="0042250B" w:rsidRPr="00230498">
          <w:rPr>
            <w:rStyle w:val="af5"/>
            <w:rFonts w:eastAsia="等线" w:cs="Calibri"/>
            <w:noProof/>
          </w:rPr>
          <w:t>) Dark field image of martensite phase, the structure is observed to form within the β and twinned β grain boundary</w:t>
        </w:r>
        <w:r w:rsidR="0042250B" w:rsidRPr="00230498">
          <w:rPr>
            <w:rStyle w:val="af5"/>
            <w:rFonts w:eastAsia="等线" w:cs="Times New Roman"/>
            <w:noProof/>
          </w:rPr>
          <w:t>.</w:t>
        </w:r>
        <w:r w:rsidR="0042250B">
          <w:rPr>
            <w:noProof/>
            <w:webHidden/>
          </w:rPr>
          <w:tab/>
        </w:r>
        <w:r w:rsidR="0042250B">
          <w:rPr>
            <w:noProof/>
            <w:webHidden/>
          </w:rPr>
          <w:fldChar w:fldCharType="begin"/>
        </w:r>
        <w:r w:rsidR="0042250B">
          <w:rPr>
            <w:noProof/>
            <w:webHidden/>
          </w:rPr>
          <w:instrText xml:space="preserve"> PAGEREF _Toc39312710 \h </w:instrText>
        </w:r>
        <w:r w:rsidR="0042250B">
          <w:rPr>
            <w:noProof/>
            <w:webHidden/>
          </w:rPr>
        </w:r>
        <w:r w:rsidR="0042250B">
          <w:rPr>
            <w:noProof/>
            <w:webHidden/>
          </w:rPr>
          <w:fldChar w:fldCharType="separate"/>
        </w:r>
        <w:r w:rsidR="0042250B">
          <w:rPr>
            <w:noProof/>
            <w:webHidden/>
          </w:rPr>
          <w:t>105</w:t>
        </w:r>
        <w:r w:rsidR="0042250B">
          <w:rPr>
            <w:noProof/>
            <w:webHidden/>
          </w:rPr>
          <w:fldChar w:fldCharType="end"/>
        </w:r>
      </w:hyperlink>
    </w:p>
    <w:p w14:paraId="0773C367" w14:textId="69C061D6" w:rsidR="0042250B" w:rsidRDefault="00077961" w:rsidP="0042250B">
      <w:pPr>
        <w:pStyle w:val="af7"/>
        <w:tabs>
          <w:tab w:val="right" w:leader="dot" w:pos="9350"/>
        </w:tabs>
        <w:spacing w:after="60" w:line="360" w:lineRule="auto"/>
        <w:rPr>
          <w:noProof/>
          <w:kern w:val="2"/>
          <w:sz w:val="21"/>
        </w:rPr>
      </w:pPr>
      <w:hyperlink w:anchor="_Toc39312711" w:history="1">
        <w:r w:rsidR="0042250B" w:rsidRPr="00230498">
          <w:rPr>
            <w:rStyle w:val="af5"/>
            <w:rFonts w:ascii="Calibri" w:eastAsia="等线" w:hAnsi="Calibri" w:cs="Calibri"/>
            <w:b/>
            <w:noProof/>
          </w:rPr>
          <w:t>Figure 5-5 TEM images of mechanical twinning in 5% deformed TiZrHfTa</w:t>
        </w:r>
        <w:r w:rsidR="0042250B" w:rsidRPr="00230498">
          <w:rPr>
            <w:rStyle w:val="af5"/>
            <w:rFonts w:ascii="Calibri" w:eastAsia="等线" w:hAnsi="Calibri" w:cs="Calibri"/>
            <w:b/>
            <w:noProof/>
            <w:vertAlign w:val="subscript"/>
          </w:rPr>
          <w:t xml:space="preserve">0.8 </w:t>
        </w:r>
        <w:r w:rsidR="0042250B" w:rsidRPr="00230498">
          <w:rPr>
            <w:rStyle w:val="af5"/>
            <w:rFonts w:ascii="Calibri" w:eastAsia="等线" w:hAnsi="Calibri" w:cs="Calibri"/>
            <w:noProof/>
          </w:rPr>
          <w:t>(</w:t>
        </w:r>
        <w:r w:rsidR="0042250B" w:rsidRPr="00230498">
          <w:rPr>
            <w:rStyle w:val="af5"/>
            <w:rFonts w:ascii="Calibri" w:eastAsia="等线" w:hAnsi="Calibri" w:cs="Calibri"/>
            <w:b/>
            <w:noProof/>
          </w:rPr>
          <w:t>a</w:t>
        </w:r>
        <w:r w:rsidR="0042250B" w:rsidRPr="00230498">
          <w:rPr>
            <w:rStyle w:val="af5"/>
            <w:rFonts w:ascii="Calibri" w:eastAsia="等线" w:hAnsi="Calibri" w:cs="Calibri"/>
            <w:noProof/>
          </w:rPr>
          <w:t>) a bright field image of an interesting twinning-like feature; (</w:t>
        </w:r>
        <w:r w:rsidR="0042250B" w:rsidRPr="00230498">
          <w:rPr>
            <w:rStyle w:val="af5"/>
            <w:rFonts w:ascii="Calibri" w:eastAsia="等线" w:hAnsi="Calibri" w:cs="Calibri"/>
            <w:b/>
            <w:noProof/>
          </w:rPr>
          <w:t>b</w:t>
        </w:r>
        <w:r w:rsidR="0042250B" w:rsidRPr="00230498">
          <w:rPr>
            <w:rStyle w:val="af5"/>
            <w:rFonts w:ascii="Calibri" w:eastAsia="等线" w:hAnsi="Calibri" w:cs="Calibri"/>
            <w:noProof/>
          </w:rPr>
          <w:t xml:space="preserve">) a SADP at the twining boundary. </w:t>
        </w:r>
        <w:r w:rsidR="0042250B" w:rsidRPr="00230498">
          <w:rPr>
            <w:rStyle w:val="af5"/>
            <w:rFonts w:ascii="Times New Roman" w:eastAsia="等线" w:hAnsi="Times New Roman" w:cs="Times New Roman"/>
            <w:noProof/>
          </w:rPr>
          <w:t xml:space="preserve">Β </w:t>
        </w:r>
        <w:r w:rsidR="0042250B" w:rsidRPr="00230498">
          <w:rPr>
            <w:rStyle w:val="af5"/>
            <w:rFonts w:ascii="Arial" w:eastAsia="等线" w:hAnsi="Arial" w:cs="Arial"/>
            <w:noProof/>
          </w:rPr>
          <w:t>and</w:t>
        </w:r>
        <w:r w:rsidR="0042250B" w:rsidRPr="00230498">
          <w:rPr>
            <w:rStyle w:val="af5"/>
            <w:rFonts w:ascii="Times New Roman" w:eastAsia="等线" w:hAnsi="Times New Roman" w:cs="Times New Roman"/>
            <w:noProof/>
          </w:rPr>
          <w:t xml:space="preserve"> </w:t>
        </w:r>
        <w:r w:rsidR="0042250B" w:rsidRPr="00230498">
          <w:rPr>
            <w:rStyle w:val="af5"/>
            <w:rFonts w:ascii="Calibri" w:eastAsia="等线" w:hAnsi="Calibri" w:cs="Calibri"/>
            <w:noProof/>
          </w:rPr>
          <w:t>twinned β diffraction patterns are marked with red and green, respectively. The {332}</w:t>
        </w:r>
        <w:r w:rsidR="0042250B" w:rsidRPr="00230498">
          <w:rPr>
            <w:rStyle w:val="af5"/>
            <w:rFonts w:ascii="Calibri" w:eastAsia="等线" w:hAnsi="Calibri" w:cs="Times New Roman"/>
            <w:noProof/>
            <w:vertAlign w:val="subscript"/>
          </w:rPr>
          <w:t>β</w:t>
        </w:r>
        <w:r w:rsidR="0042250B" w:rsidRPr="00230498">
          <w:rPr>
            <w:rStyle w:val="af5"/>
            <w:rFonts w:ascii="Calibri" w:eastAsia="等线" w:hAnsi="Calibri" w:cs="Times New Roman"/>
            <w:noProof/>
          </w:rPr>
          <w:t xml:space="preserve"> </w:t>
        </w:r>
        <w:r w:rsidR="0042250B" w:rsidRPr="00230498">
          <w:rPr>
            <w:rStyle w:val="af5"/>
            <w:rFonts w:ascii="Calibri" w:eastAsia="等线" w:hAnsi="Calibri" w:cs="Calibri"/>
            <w:noProof/>
          </w:rPr>
          <w:t>twinning plane was marked with a red circle; (</w:t>
        </w:r>
        <w:r w:rsidR="0042250B" w:rsidRPr="00230498">
          <w:rPr>
            <w:rStyle w:val="af5"/>
            <w:rFonts w:ascii="Calibri" w:eastAsia="等线" w:hAnsi="Calibri" w:cs="Calibri"/>
            <w:b/>
            <w:noProof/>
          </w:rPr>
          <w:t>c</w:t>
        </w:r>
        <w:r w:rsidR="0042250B" w:rsidRPr="00230498">
          <w:rPr>
            <w:rStyle w:val="af5"/>
            <w:rFonts w:ascii="Calibri" w:eastAsia="等线" w:hAnsi="Calibri" w:cs="Calibri"/>
            <w:noProof/>
          </w:rPr>
          <w:t xml:space="preserve">) a dark field image of a </w:t>
        </w:r>
        <w:r w:rsidR="0042250B" w:rsidRPr="00230498">
          <w:rPr>
            <w:rStyle w:val="af5"/>
            <w:rFonts w:ascii="Calibri" w:eastAsia="等线" w:hAnsi="Calibri" w:cs="Times New Roman"/>
            <w:noProof/>
          </w:rPr>
          <w:t>β</w:t>
        </w:r>
        <w:r w:rsidR="0042250B" w:rsidRPr="00230498">
          <w:rPr>
            <w:rStyle w:val="af5"/>
            <w:rFonts w:ascii="Calibri" w:eastAsia="等线" w:hAnsi="Calibri" w:cs="Calibri"/>
            <w:noProof/>
          </w:rPr>
          <w:t xml:space="preserve"> matrix grain; and (</w:t>
        </w:r>
        <w:r w:rsidR="0042250B" w:rsidRPr="00230498">
          <w:rPr>
            <w:rStyle w:val="af5"/>
            <w:rFonts w:ascii="Calibri" w:eastAsia="等线" w:hAnsi="Calibri" w:cs="Calibri"/>
            <w:b/>
            <w:noProof/>
          </w:rPr>
          <w:t>d</w:t>
        </w:r>
        <w:r w:rsidR="0042250B" w:rsidRPr="00230498">
          <w:rPr>
            <w:rStyle w:val="af5"/>
            <w:rFonts w:ascii="Calibri" w:eastAsia="等线" w:hAnsi="Calibri" w:cs="Calibri"/>
            <w:noProof/>
          </w:rPr>
          <w:t xml:space="preserve">) a dark field image of </w:t>
        </w:r>
        <w:r w:rsidR="0042250B" w:rsidRPr="00230498">
          <w:rPr>
            <w:rStyle w:val="af5"/>
            <w:rFonts w:ascii="Calibri" w:eastAsia="等线" w:hAnsi="Calibri" w:cs="Times New Roman"/>
            <w:noProof/>
          </w:rPr>
          <w:t>β</w:t>
        </w:r>
        <w:r w:rsidR="0042250B" w:rsidRPr="00230498">
          <w:rPr>
            <w:rStyle w:val="af5"/>
            <w:rFonts w:ascii="Calibri" w:eastAsia="等线" w:hAnsi="Calibri" w:cs="Calibri"/>
            <w:noProof/>
          </w:rPr>
          <w:t xml:space="preserve"> twinned variant.</w:t>
        </w:r>
        <w:r w:rsidR="0042250B">
          <w:rPr>
            <w:noProof/>
            <w:webHidden/>
          </w:rPr>
          <w:tab/>
        </w:r>
        <w:r w:rsidR="0042250B">
          <w:rPr>
            <w:noProof/>
            <w:webHidden/>
          </w:rPr>
          <w:fldChar w:fldCharType="begin"/>
        </w:r>
        <w:r w:rsidR="0042250B">
          <w:rPr>
            <w:noProof/>
            <w:webHidden/>
          </w:rPr>
          <w:instrText xml:space="preserve"> PAGEREF _Toc39312711 \h </w:instrText>
        </w:r>
        <w:r w:rsidR="0042250B">
          <w:rPr>
            <w:noProof/>
            <w:webHidden/>
          </w:rPr>
        </w:r>
        <w:r w:rsidR="0042250B">
          <w:rPr>
            <w:noProof/>
            <w:webHidden/>
          </w:rPr>
          <w:fldChar w:fldCharType="separate"/>
        </w:r>
        <w:r w:rsidR="0042250B">
          <w:rPr>
            <w:noProof/>
            <w:webHidden/>
          </w:rPr>
          <w:t>106</w:t>
        </w:r>
        <w:r w:rsidR="0042250B">
          <w:rPr>
            <w:noProof/>
            <w:webHidden/>
          </w:rPr>
          <w:fldChar w:fldCharType="end"/>
        </w:r>
      </w:hyperlink>
    </w:p>
    <w:p w14:paraId="7F1BF28C" w14:textId="5C753AF5" w:rsidR="0042250B" w:rsidRDefault="00077961" w:rsidP="0042250B">
      <w:pPr>
        <w:pStyle w:val="af7"/>
        <w:tabs>
          <w:tab w:val="right" w:leader="dot" w:pos="9350"/>
        </w:tabs>
        <w:spacing w:after="60" w:line="360" w:lineRule="auto"/>
        <w:rPr>
          <w:noProof/>
          <w:kern w:val="2"/>
          <w:sz w:val="21"/>
        </w:rPr>
      </w:pPr>
      <w:hyperlink w:anchor="_Toc39312712" w:history="1">
        <w:r w:rsidR="0042250B" w:rsidRPr="00230498">
          <w:rPr>
            <w:rStyle w:val="af5"/>
            <w:rFonts w:ascii="Calibri" w:eastAsia="等线" w:hAnsi="Calibri" w:cs="Calibri"/>
            <w:b/>
            <w:noProof/>
          </w:rPr>
          <w:t>Figure 5-6 TEM images of mechanical twinning in 5% deformed TiZrHfTa</w:t>
        </w:r>
        <w:r w:rsidR="0042250B" w:rsidRPr="00230498">
          <w:rPr>
            <w:rStyle w:val="af5"/>
            <w:rFonts w:ascii="Calibri" w:eastAsia="等线" w:hAnsi="Calibri" w:cs="Calibri"/>
            <w:b/>
            <w:noProof/>
            <w:vertAlign w:val="subscript"/>
          </w:rPr>
          <w:t xml:space="preserve">0.6. </w:t>
        </w:r>
        <w:r w:rsidR="0042250B" w:rsidRPr="00230498">
          <w:rPr>
            <w:rStyle w:val="af5"/>
            <w:rFonts w:ascii="Calibri" w:eastAsia="等线" w:hAnsi="Calibri" w:cs="Calibri"/>
            <w:noProof/>
          </w:rPr>
          <w:t>(</w:t>
        </w:r>
        <w:r w:rsidR="0042250B" w:rsidRPr="00230498">
          <w:rPr>
            <w:rStyle w:val="af5"/>
            <w:rFonts w:ascii="Calibri" w:eastAsia="等线" w:hAnsi="Calibri" w:cs="Calibri"/>
            <w:b/>
            <w:noProof/>
          </w:rPr>
          <w:t>a</w:t>
        </w:r>
        <w:r w:rsidR="0042250B" w:rsidRPr="00230498">
          <w:rPr>
            <w:rStyle w:val="af5"/>
            <w:rFonts w:ascii="Calibri" w:eastAsia="等线" w:hAnsi="Calibri" w:cs="Calibri"/>
            <w:noProof/>
          </w:rPr>
          <w:t>) a bright field image of entangled {332}</w:t>
        </w:r>
        <w:r w:rsidR="0042250B" w:rsidRPr="00230498">
          <w:rPr>
            <w:rStyle w:val="af5"/>
            <w:rFonts w:ascii="Calibri" w:eastAsia="等线" w:hAnsi="Calibri" w:cs="Calibri"/>
            <w:noProof/>
            <w:vertAlign w:val="subscript"/>
          </w:rPr>
          <w:t>β</w:t>
        </w:r>
        <w:r w:rsidR="0042250B" w:rsidRPr="00230498">
          <w:rPr>
            <w:rStyle w:val="af5"/>
            <w:rFonts w:ascii="Calibri" w:eastAsia="等线" w:hAnsi="Calibri" w:cs="Calibri"/>
            <w:noProof/>
          </w:rPr>
          <w:t xml:space="preserve"> and {112}</w:t>
        </w:r>
        <w:r w:rsidR="0042250B" w:rsidRPr="00230498">
          <w:rPr>
            <w:rStyle w:val="af5"/>
            <w:rFonts w:ascii="Calibri" w:eastAsia="等线" w:hAnsi="Calibri" w:cs="Calibri"/>
            <w:noProof/>
            <w:vertAlign w:val="subscript"/>
          </w:rPr>
          <w:t>β</w:t>
        </w:r>
        <w:r w:rsidR="0042250B" w:rsidRPr="00230498">
          <w:rPr>
            <w:rStyle w:val="af5"/>
            <w:rFonts w:ascii="Calibri" w:eastAsia="等线" w:hAnsi="Calibri" w:cs="Calibri"/>
            <w:noProof/>
          </w:rPr>
          <w:t xml:space="preserve"> twinning; (</w:t>
        </w:r>
        <w:r w:rsidR="0042250B" w:rsidRPr="00230498">
          <w:rPr>
            <w:rStyle w:val="af5"/>
            <w:rFonts w:ascii="Calibri" w:eastAsia="等线" w:hAnsi="Calibri" w:cs="Calibri"/>
            <w:b/>
            <w:noProof/>
          </w:rPr>
          <w:t>b</w:t>
        </w:r>
        <w:r w:rsidR="0042250B" w:rsidRPr="00230498">
          <w:rPr>
            <w:rStyle w:val="af5"/>
            <w:rFonts w:ascii="Calibri" w:eastAsia="等线" w:hAnsi="Calibri" w:cs="Calibri"/>
            <w:noProof/>
          </w:rPr>
          <w:t>) a SADP derived from a {332}</w:t>
        </w:r>
        <w:r w:rsidR="0042250B" w:rsidRPr="00230498">
          <w:rPr>
            <w:rStyle w:val="af5"/>
            <w:rFonts w:ascii="Calibri" w:eastAsia="等线" w:hAnsi="Calibri" w:cs="Calibri"/>
            <w:noProof/>
            <w:vertAlign w:val="subscript"/>
          </w:rPr>
          <w:t xml:space="preserve">β </w:t>
        </w:r>
        <w:r w:rsidR="0042250B" w:rsidRPr="00230498">
          <w:rPr>
            <w:rStyle w:val="af5"/>
            <w:rFonts w:ascii="Calibri" w:eastAsia="等线" w:hAnsi="Calibri" w:cs="Calibri"/>
            <w:noProof/>
          </w:rPr>
          <w:t xml:space="preserve">twining boundary. </w:t>
        </w:r>
        <w:r w:rsidR="0042250B" w:rsidRPr="00230498">
          <w:rPr>
            <w:rStyle w:val="af5"/>
            <w:rFonts w:ascii="Times New Roman" w:eastAsia="等线" w:hAnsi="Times New Roman" w:cs="Times New Roman"/>
            <w:noProof/>
          </w:rPr>
          <w:t xml:space="preserve">β, </w:t>
        </w:r>
        <w:r w:rsidR="0042250B" w:rsidRPr="00230498">
          <w:rPr>
            <w:rStyle w:val="af5"/>
            <w:rFonts w:ascii="Calibri" w:eastAsia="等线" w:hAnsi="Calibri" w:cs="Calibri"/>
            <w:noProof/>
          </w:rPr>
          <w:t>twinned β diffraction patterns are marked with green and red, respectively. The {332}</w:t>
        </w:r>
        <w:r w:rsidR="0042250B" w:rsidRPr="00230498">
          <w:rPr>
            <w:rStyle w:val="af5"/>
            <w:rFonts w:ascii="Times New Roman" w:eastAsia="等线" w:hAnsi="Times New Roman" w:cs="Times New Roman"/>
            <w:noProof/>
            <w:vertAlign w:val="subscript"/>
          </w:rPr>
          <w:t>β</w:t>
        </w:r>
        <w:r w:rsidR="0042250B" w:rsidRPr="00230498">
          <w:rPr>
            <w:rStyle w:val="af5"/>
            <w:rFonts w:ascii="Times New Roman" w:eastAsia="等线" w:hAnsi="Times New Roman" w:cs="Times New Roman"/>
            <w:noProof/>
          </w:rPr>
          <w:t xml:space="preserve"> </w:t>
        </w:r>
        <w:r w:rsidR="0042250B" w:rsidRPr="00230498">
          <w:rPr>
            <w:rStyle w:val="af5"/>
            <w:rFonts w:ascii="Calibri" w:eastAsia="等线" w:hAnsi="Calibri" w:cs="Calibri"/>
            <w:noProof/>
          </w:rPr>
          <w:t>twinning plane is marked with a red circle; (</w:t>
        </w:r>
        <w:r w:rsidR="0042250B" w:rsidRPr="00230498">
          <w:rPr>
            <w:rStyle w:val="af5"/>
            <w:rFonts w:ascii="Calibri" w:eastAsia="等线" w:hAnsi="Calibri" w:cs="Calibri"/>
            <w:b/>
            <w:noProof/>
          </w:rPr>
          <w:t>c</w:t>
        </w:r>
        <w:r w:rsidR="0042250B" w:rsidRPr="00230498">
          <w:rPr>
            <w:rStyle w:val="af5"/>
            <w:rFonts w:ascii="Calibri" w:eastAsia="等线" w:hAnsi="Calibri" w:cs="Calibri"/>
            <w:noProof/>
          </w:rPr>
          <w:t>) a SADP derived from a {112}</w:t>
        </w:r>
        <w:r w:rsidR="0042250B" w:rsidRPr="00230498">
          <w:rPr>
            <w:rStyle w:val="af5"/>
            <w:rFonts w:ascii="Calibri" w:eastAsia="等线" w:hAnsi="Calibri" w:cs="Calibri"/>
            <w:noProof/>
            <w:vertAlign w:val="subscript"/>
          </w:rPr>
          <w:t xml:space="preserve">β </w:t>
        </w:r>
        <w:r w:rsidR="0042250B" w:rsidRPr="00230498">
          <w:rPr>
            <w:rStyle w:val="af5"/>
            <w:rFonts w:ascii="Calibri" w:eastAsia="等线" w:hAnsi="Calibri" w:cs="Calibri"/>
            <w:noProof/>
          </w:rPr>
          <w:t>twining bounda</w:t>
        </w:r>
        <w:r w:rsidR="0042250B" w:rsidRPr="00230498">
          <w:rPr>
            <w:rStyle w:val="af5"/>
            <w:rFonts w:eastAsia="等线" w:cstheme="minorHAnsi"/>
            <w:noProof/>
          </w:rPr>
          <w:t>ry. β matrix and</w:t>
        </w:r>
        <w:r w:rsidR="0042250B" w:rsidRPr="00230498">
          <w:rPr>
            <w:rStyle w:val="af5"/>
            <w:rFonts w:ascii="Times New Roman" w:eastAsia="等线" w:hAnsi="Times New Roman" w:cs="Times New Roman"/>
            <w:noProof/>
          </w:rPr>
          <w:t xml:space="preserve"> </w:t>
        </w:r>
        <w:r w:rsidR="0042250B" w:rsidRPr="00230498">
          <w:rPr>
            <w:rStyle w:val="af5"/>
            <w:rFonts w:ascii="Calibri" w:eastAsia="等线" w:hAnsi="Calibri" w:cs="Calibri"/>
            <w:noProof/>
          </w:rPr>
          <w:t>twinned β grain’s diffraction patterns are marked with green and blue lines, respectively. The {112}</w:t>
        </w:r>
        <w:r w:rsidR="0042250B" w:rsidRPr="00230498">
          <w:rPr>
            <w:rStyle w:val="af5"/>
            <w:rFonts w:ascii="Times New Roman" w:eastAsia="等线" w:hAnsi="Times New Roman" w:cs="Times New Roman"/>
            <w:noProof/>
            <w:vertAlign w:val="subscript"/>
          </w:rPr>
          <w:t>β</w:t>
        </w:r>
        <w:r w:rsidR="0042250B" w:rsidRPr="00230498">
          <w:rPr>
            <w:rStyle w:val="af5"/>
            <w:rFonts w:ascii="Times New Roman" w:eastAsia="等线" w:hAnsi="Times New Roman" w:cs="Times New Roman"/>
            <w:noProof/>
          </w:rPr>
          <w:t xml:space="preserve"> </w:t>
        </w:r>
        <w:r w:rsidR="0042250B" w:rsidRPr="00230498">
          <w:rPr>
            <w:rStyle w:val="af5"/>
            <w:rFonts w:ascii="Calibri" w:eastAsia="等线" w:hAnsi="Calibri" w:cs="Calibri"/>
            <w:noProof/>
          </w:rPr>
          <w:t>twinning plane is marked with a red circle; (</w:t>
        </w:r>
        <w:r w:rsidR="0042250B" w:rsidRPr="00230498">
          <w:rPr>
            <w:rStyle w:val="af5"/>
            <w:rFonts w:ascii="Calibri" w:eastAsia="等线" w:hAnsi="Calibri" w:cs="Calibri"/>
            <w:b/>
            <w:noProof/>
          </w:rPr>
          <w:t>d-f</w:t>
        </w:r>
        <w:r w:rsidR="0042250B" w:rsidRPr="00230498">
          <w:rPr>
            <w:rStyle w:val="af5"/>
            <w:rFonts w:ascii="Calibri" w:eastAsia="等线" w:hAnsi="Calibri" w:cs="Calibri"/>
            <w:noProof/>
          </w:rPr>
          <w:t xml:space="preserve">) dark field images of </w:t>
        </w:r>
        <w:r w:rsidR="0042250B" w:rsidRPr="00230498">
          <w:rPr>
            <w:rStyle w:val="af5"/>
            <w:rFonts w:ascii="Times New Roman" w:eastAsia="等线" w:hAnsi="Times New Roman" w:cs="Times New Roman"/>
            <w:noProof/>
          </w:rPr>
          <w:t>β</w:t>
        </w:r>
        <w:r w:rsidR="0042250B" w:rsidRPr="00230498">
          <w:rPr>
            <w:rStyle w:val="af5"/>
            <w:rFonts w:ascii="Calibri" w:eastAsia="等线" w:hAnsi="Calibri" w:cs="Calibri"/>
            <w:noProof/>
          </w:rPr>
          <w:t xml:space="preserve"> matrix grain, {332}</w:t>
        </w:r>
        <w:r w:rsidR="0042250B" w:rsidRPr="00230498">
          <w:rPr>
            <w:rStyle w:val="af5"/>
            <w:rFonts w:ascii="Times New Roman" w:eastAsia="等线" w:hAnsi="Times New Roman" w:cs="Times New Roman"/>
            <w:noProof/>
            <w:vertAlign w:val="subscript"/>
          </w:rPr>
          <w:t>β</w:t>
        </w:r>
        <w:r w:rsidR="0042250B" w:rsidRPr="00230498">
          <w:rPr>
            <w:rStyle w:val="af5"/>
            <w:rFonts w:ascii="Times New Roman" w:eastAsia="等线" w:hAnsi="Times New Roman" w:cs="Times New Roman"/>
            <w:noProof/>
          </w:rPr>
          <w:t xml:space="preserve"> </w:t>
        </w:r>
        <w:r w:rsidR="0042250B" w:rsidRPr="00230498">
          <w:rPr>
            <w:rStyle w:val="af5"/>
            <w:rFonts w:ascii="Calibri" w:eastAsia="等线" w:hAnsi="Calibri" w:cs="Calibri"/>
            <w:noProof/>
          </w:rPr>
          <w:t>twinned variant and {112}</w:t>
        </w:r>
        <w:r w:rsidR="0042250B" w:rsidRPr="00230498">
          <w:rPr>
            <w:rStyle w:val="af5"/>
            <w:rFonts w:ascii="Calibri" w:eastAsia="等线" w:hAnsi="Calibri" w:cs="Calibri"/>
            <w:noProof/>
            <w:vertAlign w:val="subscript"/>
          </w:rPr>
          <w:t>β</w:t>
        </w:r>
        <w:r w:rsidR="0042250B" w:rsidRPr="00230498">
          <w:rPr>
            <w:rStyle w:val="af5"/>
            <w:rFonts w:ascii="Calibri" w:eastAsia="等线" w:hAnsi="Calibri" w:cs="Calibri"/>
            <w:noProof/>
          </w:rPr>
          <w:t xml:space="preserve"> twinned variant, respectively.</w:t>
        </w:r>
        <w:r w:rsidR="0042250B">
          <w:rPr>
            <w:noProof/>
            <w:webHidden/>
          </w:rPr>
          <w:tab/>
        </w:r>
        <w:r w:rsidR="0042250B">
          <w:rPr>
            <w:noProof/>
            <w:webHidden/>
          </w:rPr>
          <w:fldChar w:fldCharType="begin"/>
        </w:r>
        <w:r w:rsidR="0042250B">
          <w:rPr>
            <w:noProof/>
            <w:webHidden/>
          </w:rPr>
          <w:instrText xml:space="preserve"> PAGEREF _Toc39312712 \h </w:instrText>
        </w:r>
        <w:r w:rsidR="0042250B">
          <w:rPr>
            <w:noProof/>
            <w:webHidden/>
          </w:rPr>
        </w:r>
        <w:r w:rsidR="0042250B">
          <w:rPr>
            <w:noProof/>
            <w:webHidden/>
          </w:rPr>
          <w:fldChar w:fldCharType="separate"/>
        </w:r>
        <w:r w:rsidR="0042250B">
          <w:rPr>
            <w:noProof/>
            <w:webHidden/>
          </w:rPr>
          <w:t>108</w:t>
        </w:r>
        <w:r w:rsidR="0042250B">
          <w:rPr>
            <w:noProof/>
            <w:webHidden/>
          </w:rPr>
          <w:fldChar w:fldCharType="end"/>
        </w:r>
      </w:hyperlink>
    </w:p>
    <w:p w14:paraId="6E34E489" w14:textId="2602BBDC" w:rsidR="0042250B" w:rsidRDefault="00077961" w:rsidP="0042250B">
      <w:pPr>
        <w:pStyle w:val="af7"/>
        <w:tabs>
          <w:tab w:val="right" w:leader="dot" w:pos="9350"/>
        </w:tabs>
        <w:spacing w:after="60" w:line="360" w:lineRule="auto"/>
        <w:rPr>
          <w:noProof/>
          <w:kern w:val="2"/>
          <w:sz w:val="21"/>
        </w:rPr>
      </w:pPr>
      <w:hyperlink w:anchor="_Toc39312713" w:history="1">
        <w:r w:rsidR="0042250B" w:rsidRPr="00230498">
          <w:rPr>
            <w:rStyle w:val="af5"/>
            <w:rFonts w:ascii="Calibri" w:eastAsia="等线" w:hAnsi="Calibri" w:cs="Calibri"/>
            <w:b/>
            <w:noProof/>
          </w:rPr>
          <w:t>Figure 5-7 TEM images of type I {111}</w:t>
        </w:r>
        <w:r w:rsidR="0042250B" w:rsidRPr="00230498">
          <w:rPr>
            <w:rStyle w:val="af5"/>
            <w:rFonts w:ascii="Calibri" w:eastAsia="等线" w:hAnsi="Calibri" w:cs="Times New Roman"/>
            <w:b/>
            <w:noProof/>
            <w:vertAlign w:val="subscript"/>
          </w:rPr>
          <w:t>α</w:t>
        </w:r>
        <w:r w:rsidR="0042250B" w:rsidRPr="00230498">
          <w:rPr>
            <w:rStyle w:val="af5"/>
            <w:rFonts w:ascii="Calibri" w:eastAsia="等线" w:hAnsi="Calibri" w:cs="Calibri"/>
            <w:b/>
            <w:noProof/>
            <w:vertAlign w:val="subscript"/>
          </w:rPr>
          <w:t>’’</w:t>
        </w:r>
        <w:r w:rsidR="0042250B" w:rsidRPr="00230498">
          <w:rPr>
            <w:rStyle w:val="af5"/>
            <w:rFonts w:ascii="Calibri" w:eastAsia="等线" w:hAnsi="Calibri" w:cs="Calibri"/>
            <w:b/>
            <w:noProof/>
          </w:rPr>
          <w:t xml:space="preserve"> SA twinning in 5% deformed TiZrHfTa</w:t>
        </w:r>
        <w:r w:rsidR="0042250B" w:rsidRPr="00230498">
          <w:rPr>
            <w:rStyle w:val="af5"/>
            <w:rFonts w:ascii="Calibri" w:eastAsia="等线" w:hAnsi="Calibri" w:cs="Calibri"/>
            <w:b/>
            <w:noProof/>
            <w:vertAlign w:val="subscript"/>
          </w:rPr>
          <w:t>0.6</w:t>
        </w:r>
        <w:r w:rsidR="0042250B" w:rsidRPr="00230498">
          <w:rPr>
            <w:rStyle w:val="af5"/>
            <w:rFonts w:ascii="Calibri" w:eastAsia="等线" w:hAnsi="Calibri" w:cs="Calibri"/>
            <w:noProof/>
          </w:rPr>
          <w:t>. (</w:t>
        </w:r>
        <w:r w:rsidR="0042250B" w:rsidRPr="00230498">
          <w:rPr>
            <w:rStyle w:val="af5"/>
            <w:rFonts w:ascii="Calibri" w:eastAsia="等线" w:hAnsi="Calibri" w:cs="Calibri"/>
            <w:b/>
            <w:noProof/>
          </w:rPr>
          <w:t>a</w:t>
        </w:r>
        <w:r w:rsidR="0042250B" w:rsidRPr="00230498">
          <w:rPr>
            <w:rStyle w:val="af5"/>
            <w:rFonts w:ascii="Calibri" w:eastAsia="等线" w:hAnsi="Calibri" w:cs="Calibri"/>
            <w:noProof/>
          </w:rPr>
          <w:t>) a bright field image of the feature; (</w:t>
        </w:r>
        <w:r w:rsidR="0042250B" w:rsidRPr="00230498">
          <w:rPr>
            <w:rStyle w:val="af5"/>
            <w:rFonts w:ascii="Calibri" w:eastAsia="等线" w:hAnsi="Calibri" w:cs="Calibri"/>
            <w:b/>
            <w:noProof/>
          </w:rPr>
          <w:t>b</w:t>
        </w:r>
        <w:r w:rsidR="0042250B" w:rsidRPr="00230498">
          <w:rPr>
            <w:rStyle w:val="af5"/>
            <w:rFonts w:ascii="Calibri" w:eastAsia="等线" w:hAnsi="Calibri" w:cs="Calibri"/>
            <w:noProof/>
          </w:rPr>
          <w:t xml:space="preserve">) a SADP derived from a twinned feature, where </w:t>
        </w:r>
        <w:r w:rsidR="0042250B" w:rsidRPr="00230498">
          <w:rPr>
            <w:rStyle w:val="af5"/>
            <w:rFonts w:ascii="Calibri" w:eastAsia="等线" w:hAnsi="Calibri" w:cs="Times New Roman"/>
            <w:noProof/>
          </w:rPr>
          <w:t>α</w:t>
        </w:r>
        <w:r w:rsidR="0042250B" w:rsidRPr="00230498">
          <w:rPr>
            <w:rStyle w:val="af5"/>
            <w:rFonts w:ascii="Calibri" w:eastAsia="等线" w:hAnsi="Calibri" w:cs="Calibri"/>
            <w:noProof/>
          </w:rPr>
          <w:t xml:space="preserve">’’ and twinned </w:t>
        </w:r>
        <w:r w:rsidR="0042250B" w:rsidRPr="00230498">
          <w:rPr>
            <w:rStyle w:val="af5"/>
            <w:rFonts w:ascii="Calibri" w:eastAsia="等线" w:hAnsi="Calibri" w:cs="Times New Roman"/>
            <w:noProof/>
          </w:rPr>
          <w:t>α</w:t>
        </w:r>
        <w:r w:rsidR="0042250B" w:rsidRPr="00230498">
          <w:rPr>
            <w:rStyle w:val="af5"/>
            <w:rFonts w:ascii="Calibri" w:eastAsia="等线" w:hAnsi="Calibri" w:cs="Calibri"/>
            <w:noProof/>
          </w:rPr>
          <w:t>’’ diffraction patterns are marked with red and yellow, respectively. The {111}</w:t>
        </w:r>
        <w:r w:rsidR="0042250B" w:rsidRPr="00230498">
          <w:rPr>
            <w:rStyle w:val="af5"/>
            <w:rFonts w:ascii="Calibri" w:eastAsia="等线" w:hAnsi="Calibri" w:cs="Times New Roman"/>
            <w:noProof/>
            <w:vertAlign w:val="subscript"/>
          </w:rPr>
          <w:t>α</w:t>
        </w:r>
        <w:r w:rsidR="0042250B" w:rsidRPr="00230498">
          <w:rPr>
            <w:rStyle w:val="af5"/>
            <w:rFonts w:ascii="Calibri" w:eastAsia="等线" w:hAnsi="Calibri" w:cs="Calibri"/>
            <w:noProof/>
            <w:vertAlign w:val="subscript"/>
          </w:rPr>
          <w:t>’’</w:t>
        </w:r>
        <w:r w:rsidR="0042250B" w:rsidRPr="00230498">
          <w:rPr>
            <w:rStyle w:val="af5"/>
            <w:rFonts w:ascii="Calibri" w:eastAsia="等线" w:hAnsi="Calibri" w:cs="Times New Roman"/>
            <w:noProof/>
          </w:rPr>
          <w:t xml:space="preserve"> </w:t>
        </w:r>
        <w:r w:rsidR="0042250B" w:rsidRPr="00230498">
          <w:rPr>
            <w:rStyle w:val="af5"/>
            <w:rFonts w:ascii="Calibri" w:eastAsia="等线" w:hAnsi="Calibri" w:cs="Calibri"/>
            <w:noProof/>
          </w:rPr>
          <w:t>twinning plane is highlighted; (</w:t>
        </w:r>
        <w:r w:rsidR="0042250B" w:rsidRPr="00230498">
          <w:rPr>
            <w:rStyle w:val="af5"/>
            <w:rFonts w:ascii="Calibri" w:eastAsia="等线" w:hAnsi="Calibri" w:cs="Calibri"/>
            <w:b/>
            <w:noProof/>
          </w:rPr>
          <w:t>c</w:t>
        </w:r>
        <w:r w:rsidR="0042250B" w:rsidRPr="00230498">
          <w:rPr>
            <w:rStyle w:val="af5"/>
            <w:rFonts w:ascii="Calibri" w:eastAsia="等线" w:hAnsi="Calibri" w:cs="Calibri"/>
            <w:noProof/>
          </w:rPr>
          <w:t>) a dark field image of a twinned α’’ grain. A corrugated APB like stacking fault feature is marked with red arrow;</w:t>
        </w:r>
        <w:r w:rsidR="0042250B" w:rsidRPr="00230498">
          <w:rPr>
            <w:rStyle w:val="af5"/>
            <w:rFonts w:ascii="Calibri" w:eastAsia="等线" w:hAnsi="Calibri" w:cs="Calibri"/>
            <w:b/>
            <w:noProof/>
          </w:rPr>
          <w:t xml:space="preserve"> </w:t>
        </w:r>
        <w:r w:rsidR="0042250B" w:rsidRPr="00230498">
          <w:rPr>
            <w:rStyle w:val="af5"/>
            <w:rFonts w:ascii="Calibri" w:eastAsia="等线" w:hAnsi="Calibri" w:cs="Calibri"/>
            <w:noProof/>
          </w:rPr>
          <w:t>(</w:t>
        </w:r>
        <w:r w:rsidR="0042250B" w:rsidRPr="00230498">
          <w:rPr>
            <w:rStyle w:val="af5"/>
            <w:rFonts w:ascii="Calibri" w:eastAsia="等线" w:hAnsi="Calibri" w:cs="Calibri"/>
            <w:b/>
            <w:noProof/>
          </w:rPr>
          <w:t>d</w:t>
        </w:r>
        <w:r w:rsidR="0042250B" w:rsidRPr="00230498">
          <w:rPr>
            <w:rStyle w:val="af5"/>
            <w:rFonts w:ascii="Calibri" w:eastAsia="等线" w:hAnsi="Calibri" w:cs="Calibri"/>
            <w:noProof/>
          </w:rPr>
          <w:t xml:space="preserve">) a </w:t>
        </w:r>
        <w:r w:rsidR="0042250B" w:rsidRPr="00230498">
          <w:rPr>
            <w:rStyle w:val="af5"/>
            <w:rFonts w:ascii="Calibri" w:eastAsia="等线" w:hAnsi="Calibri" w:cs="Calibri"/>
            <w:noProof/>
          </w:rPr>
          <w:lastRenderedPageBreak/>
          <w:t>dark field image of a α’’ matrix grain, with the same corrugated APB-like stacking fault feature also observed and marked with a red arrow.</w:t>
        </w:r>
        <w:r w:rsidR="0042250B">
          <w:rPr>
            <w:noProof/>
            <w:webHidden/>
          </w:rPr>
          <w:tab/>
        </w:r>
        <w:r w:rsidR="0042250B">
          <w:rPr>
            <w:noProof/>
            <w:webHidden/>
          </w:rPr>
          <w:fldChar w:fldCharType="begin"/>
        </w:r>
        <w:r w:rsidR="0042250B">
          <w:rPr>
            <w:noProof/>
            <w:webHidden/>
          </w:rPr>
          <w:instrText xml:space="preserve"> PAGEREF _Toc39312713 \h </w:instrText>
        </w:r>
        <w:r w:rsidR="0042250B">
          <w:rPr>
            <w:noProof/>
            <w:webHidden/>
          </w:rPr>
        </w:r>
        <w:r w:rsidR="0042250B">
          <w:rPr>
            <w:noProof/>
            <w:webHidden/>
          </w:rPr>
          <w:fldChar w:fldCharType="separate"/>
        </w:r>
        <w:r w:rsidR="0042250B">
          <w:rPr>
            <w:noProof/>
            <w:webHidden/>
          </w:rPr>
          <w:t>109</w:t>
        </w:r>
        <w:r w:rsidR="0042250B">
          <w:rPr>
            <w:noProof/>
            <w:webHidden/>
          </w:rPr>
          <w:fldChar w:fldCharType="end"/>
        </w:r>
      </w:hyperlink>
    </w:p>
    <w:p w14:paraId="7E304963" w14:textId="61A5EC53" w:rsidR="0042250B" w:rsidRDefault="00077961" w:rsidP="0042250B">
      <w:pPr>
        <w:pStyle w:val="af7"/>
        <w:tabs>
          <w:tab w:val="right" w:leader="dot" w:pos="9350"/>
        </w:tabs>
        <w:spacing w:after="60" w:line="360" w:lineRule="auto"/>
        <w:rPr>
          <w:noProof/>
          <w:kern w:val="2"/>
          <w:sz w:val="21"/>
        </w:rPr>
      </w:pPr>
      <w:hyperlink w:anchor="_Toc39312714" w:history="1">
        <w:r w:rsidR="0042250B" w:rsidRPr="00230498">
          <w:rPr>
            <w:rStyle w:val="af5"/>
            <w:rFonts w:ascii="Calibri" w:eastAsia="等线" w:hAnsi="Calibri" w:cs="Calibri"/>
            <w:b/>
            <w:noProof/>
          </w:rPr>
          <w:t>Figure 5-8 TEM images of APB like stacking fault feature in 5% deformed TiZrHfTa</w:t>
        </w:r>
        <w:r w:rsidR="0042250B" w:rsidRPr="00230498">
          <w:rPr>
            <w:rStyle w:val="af5"/>
            <w:rFonts w:ascii="Calibri" w:eastAsia="等线" w:hAnsi="Calibri" w:cs="Calibri"/>
            <w:b/>
            <w:noProof/>
            <w:vertAlign w:val="subscript"/>
          </w:rPr>
          <w:t>0.6</w:t>
        </w:r>
        <w:r w:rsidR="0042250B" w:rsidRPr="00230498">
          <w:rPr>
            <w:rStyle w:val="af5"/>
            <w:rFonts w:ascii="Calibri" w:eastAsia="等线" w:hAnsi="Calibri" w:cs="Calibri"/>
            <w:b/>
            <w:noProof/>
          </w:rPr>
          <w:t>.</w:t>
        </w:r>
        <w:r w:rsidR="0042250B" w:rsidRPr="00230498">
          <w:rPr>
            <w:rStyle w:val="af5"/>
            <w:rFonts w:ascii="Calibri" w:eastAsia="等线" w:hAnsi="Calibri" w:cs="Calibri"/>
            <w:noProof/>
          </w:rPr>
          <w:t xml:space="preserve"> (</w:t>
        </w:r>
        <w:r w:rsidR="0042250B" w:rsidRPr="00230498">
          <w:rPr>
            <w:rStyle w:val="af5"/>
            <w:rFonts w:ascii="Calibri" w:eastAsia="等线" w:hAnsi="Calibri" w:cs="Calibri"/>
            <w:b/>
            <w:noProof/>
          </w:rPr>
          <w:t>a</w:t>
        </w:r>
        <w:r w:rsidR="0042250B" w:rsidRPr="00230498">
          <w:rPr>
            <w:rStyle w:val="af5"/>
            <w:rFonts w:ascii="Calibri" w:eastAsia="等线" w:hAnsi="Calibri" w:cs="Calibri"/>
            <w:noProof/>
          </w:rPr>
          <w:t>) a bright field image of the feature, inset shows the SADP derived from the martensite feature; (</w:t>
        </w:r>
        <w:r w:rsidR="0042250B" w:rsidRPr="00230498">
          <w:rPr>
            <w:rStyle w:val="af5"/>
            <w:rFonts w:ascii="Calibri" w:eastAsia="等线" w:hAnsi="Calibri" w:cs="Calibri"/>
            <w:b/>
            <w:noProof/>
          </w:rPr>
          <w:t>b</w:t>
        </w:r>
        <w:r w:rsidR="0042250B" w:rsidRPr="00230498">
          <w:rPr>
            <w:rStyle w:val="af5"/>
            <w:rFonts w:ascii="Calibri" w:eastAsia="等线" w:hAnsi="Calibri" w:cs="Calibri"/>
            <w:noProof/>
          </w:rPr>
          <w:t>) a dark field image of the APB like stacking fault structure observed in the two beam condition; (</w:t>
        </w:r>
        <w:r w:rsidR="0042250B" w:rsidRPr="00230498">
          <w:rPr>
            <w:rStyle w:val="af5"/>
            <w:rFonts w:ascii="Calibri" w:eastAsia="等线" w:hAnsi="Calibri" w:cs="Calibri"/>
            <w:b/>
            <w:noProof/>
          </w:rPr>
          <w:t>c</w:t>
        </w:r>
        <w:r w:rsidR="0042250B" w:rsidRPr="00230498">
          <w:rPr>
            <w:rStyle w:val="af5"/>
            <w:rFonts w:ascii="Calibri" w:eastAsia="等线" w:hAnsi="Calibri" w:cs="Calibri"/>
            <w:noProof/>
          </w:rPr>
          <w:t>) a bright field image of a band-like α’’ grain. Corrugated APB like stacking fault feature discovered in previous feature shows a leopard print-like pattern; and (</w:t>
        </w:r>
        <w:r w:rsidR="0042250B" w:rsidRPr="00230498">
          <w:rPr>
            <w:rStyle w:val="af5"/>
            <w:rFonts w:ascii="Calibri" w:eastAsia="等线" w:hAnsi="Calibri" w:cs="Calibri"/>
            <w:b/>
            <w:noProof/>
          </w:rPr>
          <w:t>d</w:t>
        </w:r>
        <w:r w:rsidR="0042250B" w:rsidRPr="00230498">
          <w:rPr>
            <w:rStyle w:val="af5"/>
            <w:rFonts w:ascii="Calibri" w:eastAsia="等线" w:hAnsi="Calibri" w:cs="Calibri"/>
            <w:noProof/>
          </w:rPr>
          <w:t>) higher magnification dark field image APB-like stacking feature within the martensite grain.</w:t>
        </w:r>
        <w:r w:rsidR="0042250B">
          <w:rPr>
            <w:noProof/>
            <w:webHidden/>
          </w:rPr>
          <w:tab/>
        </w:r>
        <w:r w:rsidR="0042250B">
          <w:rPr>
            <w:noProof/>
            <w:webHidden/>
          </w:rPr>
          <w:fldChar w:fldCharType="begin"/>
        </w:r>
        <w:r w:rsidR="0042250B">
          <w:rPr>
            <w:noProof/>
            <w:webHidden/>
          </w:rPr>
          <w:instrText xml:space="preserve"> PAGEREF _Toc39312714 \h </w:instrText>
        </w:r>
        <w:r w:rsidR="0042250B">
          <w:rPr>
            <w:noProof/>
            <w:webHidden/>
          </w:rPr>
        </w:r>
        <w:r w:rsidR="0042250B">
          <w:rPr>
            <w:noProof/>
            <w:webHidden/>
          </w:rPr>
          <w:fldChar w:fldCharType="separate"/>
        </w:r>
        <w:r w:rsidR="0042250B">
          <w:rPr>
            <w:noProof/>
            <w:webHidden/>
          </w:rPr>
          <w:t>110</w:t>
        </w:r>
        <w:r w:rsidR="0042250B">
          <w:rPr>
            <w:noProof/>
            <w:webHidden/>
          </w:rPr>
          <w:fldChar w:fldCharType="end"/>
        </w:r>
      </w:hyperlink>
    </w:p>
    <w:p w14:paraId="1D7C5147" w14:textId="2CFFB719" w:rsidR="0042250B" w:rsidRDefault="00077961" w:rsidP="0042250B">
      <w:pPr>
        <w:pStyle w:val="af7"/>
        <w:tabs>
          <w:tab w:val="right" w:leader="dot" w:pos="9350"/>
        </w:tabs>
        <w:spacing w:after="60" w:line="360" w:lineRule="auto"/>
        <w:rPr>
          <w:noProof/>
          <w:kern w:val="2"/>
          <w:sz w:val="21"/>
        </w:rPr>
      </w:pPr>
      <w:hyperlink w:anchor="_Toc39312715" w:history="1">
        <w:r w:rsidR="0042250B" w:rsidRPr="00230498">
          <w:rPr>
            <w:rStyle w:val="af5"/>
            <w:rFonts w:ascii="Calibri" w:eastAsia="等线" w:hAnsi="Calibri" w:cs="Calibri"/>
            <w:b/>
            <w:noProof/>
          </w:rPr>
          <w:t>Figure 5-9 TEM images of SA twinning feature in 5% deformed TiZrHfTa</w:t>
        </w:r>
        <w:r w:rsidR="0042250B" w:rsidRPr="00230498">
          <w:rPr>
            <w:rStyle w:val="af5"/>
            <w:rFonts w:ascii="Calibri" w:eastAsia="等线" w:hAnsi="Calibri" w:cs="Calibri"/>
            <w:b/>
            <w:noProof/>
            <w:vertAlign w:val="subscript"/>
          </w:rPr>
          <w:t>0.6</w:t>
        </w:r>
        <w:r w:rsidR="0042250B" w:rsidRPr="00230498">
          <w:rPr>
            <w:rStyle w:val="af5"/>
            <w:rFonts w:ascii="Calibri" w:eastAsia="等线" w:hAnsi="Calibri" w:cs="Calibri"/>
            <w:b/>
            <w:noProof/>
          </w:rPr>
          <w:t>.</w:t>
        </w:r>
        <w:r w:rsidR="0042250B" w:rsidRPr="00230498">
          <w:rPr>
            <w:rStyle w:val="af5"/>
            <w:rFonts w:ascii="Calibri" w:eastAsia="等线" w:hAnsi="Calibri" w:cs="Calibri"/>
            <w:b/>
            <w:noProof/>
            <w:vertAlign w:val="subscript"/>
          </w:rPr>
          <w:t xml:space="preserve"> </w:t>
        </w:r>
        <w:r w:rsidR="0042250B" w:rsidRPr="00230498">
          <w:rPr>
            <w:rStyle w:val="af5"/>
            <w:rFonts w:ascii="Calibri" w:eastAsia="等线" w:hAnsi="Calibri" w:cs="Calibri"/>
            <w:noProof/>
          </w:rPr>
          <w:t>(</w:t>
        </w:r>
        <w:r w:rsidR="0042250B" w:rsidRPr="00230498">
          <w:rPr>
            <w:rStyle w:val="af5"/>
            <w:rFonts w:ascii="Calibri" w:eastAsia="等线" w:hAnsi="Calibri" w:cs="Calibri"/>
            <w:b/>
            <w:noProof/>
          </w:rPr>
          <w:t>a</w:t>
        </w:r>
        <w:r w:rsidR="0042250B" w:rsidRPr="00230498">
          <w:rPr>
            <w:rStyle w:val="af5"/>
            <w:rFonts w:ascii="Calibri" w:eastAsia="等线" w:hAnsi="Calibri" w:cs="Calibri"/>
            <w:noProof/>
          </w:rPr>
          <w:t>) a bright field image of the feature, with a special triangle of SA martensite laths observed to form a complex polygon structure; (</w:t>
        </w:r>
        <w:r w:rsidR="0042250B" w:rsidRPr="00230498">
          <w:rPr>
            <w:rStyle w:val="af5"/>
            <w:rFonts w:ascii="Calibri" w:eastAsia="等线" w:hAnsi="Calibri" w:cs="Calibri"/>
            <w:b/>
            <w:noProof/>
          </w:rPr>
          <w:t>b</w:t>
        </w:r>
        <w:r w:rsidR="0042250B" w:rsidRPr="00230498">
          <w:rPr>
            <w:rStyle w:val="af5"/>
            <w:rFonts w:ascii="Calibri" w:eastAsia="等线" w:hAnsi="Calibri" w:cs="Calibri"/>
            <w:noProof/>
          </w:rPr>
          <w:t>) a SADP along the [110]</w:t>
        </w:r>
        <w:r w:rsidR="0042250B" w:rsidRPr="00230498">
          <w:rPr>
            <w:rStyle w:val="af5"/>
            <w:rFonts w:ascii="Calibri" w:eastAsia="等线" w:hAnsi="Calibri" w:cs="Calibri"/>
            <w:noProof/>
            <w:vertAlign w:val="subscript"/>
          </w:rPr>
          <w:t>α’’</w:t>
        </w:r>
        <w:r w:rsidR="0042250B" w:rsidRPr="00230498">
          <w:rPr>
            <w:rStyle w:val="af5"/>
            <w:rFonts w:ascii="Calibri" w:eastAsia="等线" w:hAnsi="Calibri" w:cs="Calibri"/>
            <w:noProof/>
          </w:rPr>
          <w:t xml:space="preserve"> zone axis, with three martensite variants coloured with red, yellow and blue, respectively; (</w:t>
        </w:r>
        <w:r w:rsidR="0042250B" w:rsidRPr="00230498">
          <w:rPr>
            <w:rStyle w:val="af5"/>
            <w:rFonts w:ascii="Calibri" w:eastAsia="等线" w:hAnsi="Calibri" w:cs="Calibri"/>
            <w:b/>
            <w:noProof/>
          </w:rPr>
          <w:t>c-e</w:t>
        </w:r>
        <w:r w:rsidR="0042250B" w:rsidRPr="00230498">
          <w:rPr>
            <w:rStyle w:val="af5"/>
            <w:rFonts w:ascii="Calibri" w:eastAsia="等线" w:hAnsi="Calibri" w:cs="Calibri"/>
            <w:noProof/>
          </w:rPr>
          <w:t>) dark field images of {111}</w:t>
        </w:r>
        <w:r w:rsidR="0042250B" w:rsidRPr="00230498">
          <w:rPr>
            <w:rStyle w:val="af5"/>
            <w:rFonts w:ascii="Calibri" w:eastAsia="等线" w:hAnsi="Calibri" w:cs="Calibri"/>
            <w:noProof/>
            <w:vertAlign w:val="subscript"/>
          </w:rPr>
          <w:t>α’’</w:t>
        </w:r>
        <w:r w:rsidR="0042250B" w:rsidRPr="00230498">
          <w:rPr>
            <w:rStyle w:val="af5"/>
            <w:rFonts w:ascii="Calibri" w:eastAsia="等线" w:hAnsi="Calibri" w:cs="Calibri"/>
            <w:noProof/>
          </w:rPr>
          <w:t xml:space="preserve"> related martensite variants V1-V3; and (</w:t>
        </w:r>
        <w:r w:rsidR="0042250B" w:rsidRPr="00230498">
          <w:rPr>
            <w:rStyle w:val="af5"/>
            <w:rFonts w:ascii="Calibri" w:eastAsia="等线" w:hAnsi="Calibri" w:cs="Calibri"/>
            <w:b/>
            <w:noProof/>
          </w:rPr>
          <w:t>f</w:t>
        </w:r>
        <w:r w:rsidR="0042250B" w:rsidRPr="00230498">
          <w:rPr>
            <w:rStyle w:val="af5"/>
            <w:rFonts w:ascii="Calibri" w:eastAsia="等线" w:hAnsi="Calibri" w:cs="Calibri"/>
            <w:noProof/>
          </w:rPr>
          <w:t>) a schematic of the triangle SA morphology formation, where the habit plane was identified as {775}</w:t>
        </w:r>
        <w:r w:rsidR="0042250B" w:rsidRPr="00230498">
          <w:rPr>
            <w:rStyle w:val="af5"/>
            <w:rFonts w:ascii="Calibri" w:eastAsia="等线" w:hAnsi="Calibri" w:cs="Calibri"/>
            <w:noProof/>
            <w:vertAlign w:val="subscript"/>
          </w:rPr>
          <w:t>α’’</w:t>
        </w:r>
        <w:r w:rsidR="0042250B" w:rsidRPr="00230498">
          <w:rPr>
            <w:rStyle w:val="af5"/>
            <w:rFonts w:ascii="Calibri" w:eastAsia="等线" w:hAnsi="Calibri" w:cs="Calibri"/>
            <w:noProof/>
          </w:rPr>
          <w:t xml:space="preserve"> and the three twinning planes were identified as {111}</w:t>
        </w:r>
        <w:r w:rsidR="0042250B" w:rsidRPr="00230498">
          <w:rPr>
            <w:rStyle w:val="af5"/>
            <w:rFonts w:ascii="Calibri" w:eastAsia="等线" w:hAnsi="Calibri" w:cs="Calibri"/>
            <w:noProof/>
            <w:vertAlign w:val="subscript"/>
          </w:rPr>
          <w:t>α’’</w:t>
        </w:r>
        <w:r w:rsidR="0042250B" w:rsidRPr="00230498">
          <w:rPr>
            <w:rStyle w:val="af5"/>
            <w:rFonts w:ascii="Calibri" w:eastAsia="等线" w:hAnsi="Calibri" w:cs="Calibri"/>
            <w:noProof/>
          </w:rPr>
          <w:t>.</w:t>
        </w:r>
        <w:r w:rsidR="0042250B">
          <w:rPr>
            <w:noProof/>
            <w:webHidden/>
          </w:rPr>
          <w:tab/>
        </w:r>
        <w:r w:rsidR="0042250B">
          <w:rPr>
            <w:noProof/>
            <w:webHidden/>
          </w:rPr>
          <w:fldChar w:fldCharType="begin"/>
        </w:r>
        <w:r w:rsidR="0042250B">
          <w:rPr>
            <w:noProof/>
            <w:webHidden/>
          </w:rPr>
          <w:instrText xml:space="preserve"> PAGEREF _Toc39312715 \h </w:instrText>
        </w:r>
        <w:r w:rsidR="0042250B">
          <w:rPr>
            <w:noProof/>
            <w:webHidden/>
          </w:rPr>
        </w:r>
        <w:r w:rsidR="0042250B">
          <w:rPr>
            <w:noProof/>
            <w:webHidden/>
          </w:rPr>
          <w:fldChar w:fldCharType="separate"/>
        </w:r>
        <w:r w:rsidR="0042250B">
          <w:rPr>
            <w:noProof/>
            <w:webHidden/>
          </w:rPr>
          <w:t>111</w:t>
        </w:r>
        <w:r w:rsidR="0042250B">
          <w:rPr>
            <w:noProof/>
            <w:webHidden/>
          </w:rPr>
          <w:fldChar w:fldCharType="end"/>
        </w:r>
      </w:hyperlink>
    </w:p>
    <w:p w14:paraId="4546E370" w14:textId="091B1873" w:rsidR="0042250B" w:rsidRDefault="00077961" w:rsidP="0042250B">
      <w:pPr>
        <w:pStyle w:val="af7"/>
        <w:tabs>
          <w:tab w:val="right" w:leader="dot" w:pos="9350"/>
        </w:tabs>
        <w:spacing w:after="60" w:line="360" w:lineRule="auto"/>
        <w:rPr>
          <w:noProof/>
          <w:kern w:val="2"/>
          <w:sz w:val="21"/>
        </w:rPr>
      </w:pPr>
      <w:hyperlink w:anchor="_Toc39312716" w:history="1">
        <w:r w:rsidR="0042250B" w:rsidRPr="00230498">
          <w:rPr>
            <w:rStyle w:val="af5"/>
            <w:rFonts w:ascii="Calibri" w:eastAsia="等线" w:hAnsi="Calibri" w:cs="Calibri"/>
            <w:b/>
            <w:noProof/>
          </w:rPr>
          <w:t>Figure 5-10 TEM images of SA twinning feature in 5% deformed TiZrHfTa</w:t>
        </w:r>
        <w:r w:rsidR="0042250B" w:rsidRPr="00230498">
          <w:rPr>
            <w:rStyle w:val="af5"/>
            <w:rFonts w:ascii="Calibri" w:eastAsia="等线" w:hAnsi="Calibri" w:cs="Calibri"/>
            <w:b/>
            <w:noProof/>
            <w:vertAlign w:val="subscript"/>
          </w:rPr>
          <w:t>0.6</w:t>
        </w:r>
        <w:r w:rsidR="0042250B" w:rsidRPr="00230498">
          <w:rPr>
            <w:rStyle w:val="af5"/>
            <w:rFonts w:ascii="Calibri" w:eastAsia="等线" w:hAnsi="Calibri" w:cs="Calibri"/>
            <w:b/>
            <w:noProof/>
          </w:rPr>
          <w:t>.</w:t>
        </w:r>
        <w:r w:rsidR="0042250B" w:rsidRPr="00230498">
          <w:rPr>
            <w:rStyle w:val="af5"/>
            <w:rFonts w:ascii="Calibri" w:eastAsia="等线" w:hAnsi="Calibri" w:cs="Calibri"/>
            <w:b/>
            <w:noProof/>
            <w:vertAlign w:val="subscript"/>
          </w:rPr>
          <w:t xml:space="preserve"> </w:t>
        </w:r>
        <w:r w:rsidR="0042250B" w:rsidRPr="00230498">
          <w:rPr>
            <w:rStyle w:val="af5"/>
            <w:rFonts w:ascii="Calibri" w:eastAsia="等线" w:hAnsi="Calibri" w:cs="Calibri"/>
            <w:noProof/>
          </w:rPr>
          <w:t>(</w:t>
        </w:r>
        <w:r w:rsidR="0042250B" w:rsidRPr="00230498">
          <w:rPr>
            <w:rStyle w:val="af5"/>
            <w:rFonts w:ascii="Calibri" w:eastAsia="等线" w:hAnsi="Calibri" w:cs="Calibri"/>
            <w:b/>
            <w:noProof/>
          </w:rPr>
          <w:t>a</w:t>
        </w:r>
        <w:r w:rsidR="0042250B" w:rsidRPr="00230498">
          <w:rPr>
            <w:rStyle w:val="af5"/>
            <w:rFonts w:ascii="Calibri" w:eastAsia="等线" w:hAnsi="Calibri" w:cs="Calibri"/>
            <w:noProof/>
          </w:rPr>
          <w:t>) a bright field image of thefeature, with highly entangled martensite laths forming complex polygon structure; (</w:t>
        </w:r>
        <w:r w:rsidR="0042250B" w:rsidRPr="00230498">
          <w:rPr>
            <w:rStyle w:val="af5"/>
            <w:rFonts w:ascii="Calibri" w:eastAsia="等线" w:hAnsi="Calibri" w:cs="Calibri"/>
            <w:b/>
            <w:noProof/>
          </w:rPr>
          <w:t>b</w:t>
        </w:r>
        <w:r w:rsidR="0042250B" w:rsidRPr="00230498">
          <w:rPr>
            <w:rStyle w:val="af5"/>
            <w:rFonts w:ascii="Calibri" w:eastAsia="等线" w:hAnsi="Calibri" w:cs="Calibri"/>
            <w:noProof/>
          </w:rPr>
          <w:t>) a dark field image of {111}</w:t>
        </w:r>
        <w:r w:rsidR="0042250B" w:rsidRPr="00230498">
          <w:rPr>
            <w:rStyle w:val="af5"/>
            <w:rFonts w:ascii="Calibri" w:eastAsia="等线" w:hAnsi="Calibri" w:cs="Calibri"/>
            <w:noProof/>
            <w:vertAlign w:val="subscript"/>
          </w:rPr>
          <w:t>α’’</w:t>
        </w:r>
        <w:r w:rsidR="0042250B" w:rsidRPr="00230498">
          <w:rPr>
            <w:rStyle w:val="af5"/>
            <w:rFonts w:ascii="Calibri" w:eastAsia="等线" w:hAnsi="Calibri" w:cs="Calibri"/>
            <w:noProof/>
          </w:rPr>
          <w:t xml:space="preserve"> related to martensite variant one; (</w:t>
        </w:r>
        <w:r w:rsidR="0042250B" w:rsidRPr="00230498">
          <w:rPr>
            <w:rStyle w:val="af5"/>
            <w:rFonts w:ascii="Calibri" w:eastAsia="等线" w:hAnsi="Calibri" w:cs="Calibri"/>
            <w:b/>
            <w:noProof/>
          </w:rPr>
          <w:t>c</w:t>
        </w:r>
        <w:r w:rsidR="0042250B" w:rsidRPr="00230498">
          <w:rPr>
            <w:rStyle w:val="af5"/>
            <w:rFonts w:ascii="Calibri" w:eastAsia="等线" w:hAnsi="Calibri" w:cs="Calibri"/>
            <w:noProof/>
          </w:rPr>
          <w:t>) a dark field image of {111}</w:t>
        </w:r>
        <w:r w:rsidR="0042250B" w:rsidRPr="00230498">
          <w:rPr>
            <w:rStyle w:val="af5"/>
            <w:rFonts w:ascii="Calibri" w:eastAsia="等线" w:hAnsi="Calibri" w:cs="Calibri"/>
            <w:noProof/>
            <w:vertAlign w:val="subscript"/>
          </w:rPr>
          <w:t>α’’</w:t>
        </w:r>
        <w:r w:rsidR="0042250B" w:rsidRPr="00230498">
          <w:rPr>
            <w:rStyle w:val="af5"/>
            <w:rFonts w:ascii="Calibri" w:eastAsia="等线" w:hAnsi="Calibri" w:cs="Calibri"/>
            <w:noProof/>
          </w:rPr>
          <w:t xml:space="preserve"> related martensite variant two; (</w:t>
        </w:r>
        <w:r w:rsidR="0042250B" w:rsidRPr="00230498">
          <w:rPr>
            <w:rStyle w:val="af5"/>
            <w:rFonts w:ascii="Calibri" w:eastAsia="等线" w:hAnsi="Calibri" w:cs="Calibri"/>
            <w:b/>
            <w:noProof/>
          </w:rPr>
          <w:t>d</w:t>
        </w:r>
        <w:r w:rsidR="0042250B" w:rsidRPr="00230498">
          <w:rPr>
            <w:rStyle w:val="af5"/>
            <w:rFonts w:ascii="Calibri" w:eastAsia="等线" w:hAnsi="Calibri" w:cs="Calibri"/>
            <w:noProof/>
          </w:rPr>
          <w:t>) a dark field image of {111}</w:t>
        </w:r>
        <w:r w:rsidR="0042250B" w:rsidRPr="00230498">
          <w:rPr>
            <w:rStyle w:val="af5"/>
            <w:rFonts w:ascii="Calibri" w:eastAsia="等线" w:hAnsi="Calibri" w:cs="Calibri"/>
            <w:noProof/>
            <w:vertAlign w:val="subscript"/>
          </w:rPr>
          <w:t>α’’</w:t>
        </w:r>
        <w:r w:rsidR="0042250B" w:rsidRPr="00230498">
          <w:rPr>
            <w:rStyle w:val="af5"/>
            <w:rFonts w:ascii="Calibri" w:eastAsia="等线" w:hAnsi="Calibri" w:cs="Calibri"/>
            <w:noProof/>
          </w:rPr>
          <w:t xml:space="preserve"> related martensite variant three; (</w:t>
        </w:r>
        <w:r w:rsidR="0042250B" w:rsidRPr="00230498">
          <w:rPr>
            <w:rStyle w:val="af5"/>
            <w:rFonts w:ascii="Calibri" w:eastAsia="等线" w:hAnsi="Calibri" w:cs="Calibri"/>
            <w:b/>
            <w:noProof/>
          </w:rPr>
          <w:t>e</w:t>
        </w:r>
        <w:r w:rsidR="0042250B" w:rsidRPr="00230498">
          <w:rPr>
            <w:rStyle w:val="af5"/>
            <w:rFonts w:ascii="Calibri" w:eastAsia="等线" w:hAnsi="Calibri" w:cs="Calibri"/>
            <w:noProof/>
          </w:rPr>
          <w:t>) a HRTEM image of the feature involving all three martensite variants. The grain relationship is marked in the FFT image shown inset. The three martensite variants are marked with red, cyan and yellow, while the {111}</w:t>
        </w:r>
        <w:r w:rsidR="0042250B" w:rsidRPr="00230498">
          <w:rPr>
            <w:rStyle w:val="af5"/>
            <w:rFonts w:ascii="Calibri" w:eastAsia="等线" w:hAnsi="Calibri" w:cs="Calibri"/>
            <w:noProof/>
            <w:vertAlign w:val="subscript"/>
          </w:rPr>
          <w:t>α’’</w:t>
        </w:r>
        <w:r w:rsidR="0042250B" w:rsidRPr="00230498">
          <w:rPr>
            <w:rStyle w:val="af5"/>
            <w:rFonts w:ascii="Calibri" w:eastAsia="等线" w:hAnsi="Calibri" w:cs="Calibri"/>
            <w:noProof/>
          </w:rPr>
          <w:t xml:space="preserve"> twinning plane formed a classical triangle self-accommodation morphology, as highlighted by red, cyan and yellow lines.</w:t>
        </w:r>
        <w:r w:rsidR="0042250B">
          <w:rPr>
            <w:noProof/>
            <w:webHidden/>
          </w:rPr>
          <w:tab/>
        </w:r>
        <w:r w:rsidR="0042250B">
          <w:rPr>
            <w:noProof/>
            <w:webHidden/>
          </w:rPr>
          <w:fldChar w:fldCharType="begin"/>
        </w:r>
        <w:r w:rsidR="0042250B">
          <w:rPr>
            <w:noProof/>
            <w:webHidden/>
          </w:rPr>
          <w:instrText xml:space="preserve"> PAGEREF _Toc39312716 \h </w:instrText>
        </w:r>
        <w:r w:rsidR="0042250B">
          <w:rPr>
            <w:noProof/>
            <w:webHidden/>
          </w:rPr>
        </w:r>
        <w:r w:rsidR="0042250B">
          <w:rPr>
            <w:noProof/>
            <w:webHidden/>
          </w:rPr>
          <w:fldChar w:fldCharType="separate"/>
        </w:r>
        <w:r w:rsidR="0042250B">
          <w:rPr>
            <w:noProof/>
            <w:webHidden/>
          </w:rPr>
          <w:t>112</w:t>
        </w:r>
        <w:r w:rsidR="0042250B">
          <w:rPr>
            <w:noProof/>
            <w:webHidden/>
          </w:rPr>
          <w:fldChar w:fldCharType="end"/>
        </w:r>
      </w:hyperlink>
    </w:p>
    <w:p w14:paraId="4B9026F0" w14:textId="44AC5700" w:rsidR="0042250B" w:rsidRDefault="00077961" w:rsidP="0042250B">
      <w:pPr>
        <w:pStyle w:val="af7"/>
        <w:tabs>
          <w:tab w:val="right" w:leader="dot" w:pos="9350"/>
        </w:tabs>
        <w:spacing w:after="60" w:line="360" w:lineRule="auto"/>
        <w:rPr>
          <w:noProof/>
          <w:kern w:val="2"/>
          <w:sz w:val="21"/>
        </w:rPr>
      </w:pPr>
      <w:hyperlink w:anchor="_Toc39312717" w:history="1">
        <w:r w:rsidR="0042250B" w:rsidRPr="00230498">
          <w:rPr>
            <w:rStyle w:val="af5"/>
            <w:rFonts w:ascii="Calibri" w:eastAsia="等线" w:hAnsi="Calibri" w:cs="Calibri"/>
            <w:b/>
            <w:noProof/>
          </w:rPr>
          <w:t>Figure 5-11 TEM images of {011}</w:t>
        </w:r>
        <w:r w:rsidR="0042250B" w:rsidRPr="00230498">
          <w:rPr>
            <w:rStyle w:val="af5"/>
            <w:rFonts w:ascii="Calibri" w:eastAsia="等线" w:hAnsi="Calibri" w:cs="Calibri"/>
            <w:b/>
            <w:noProof/>
            <w:vertAlign w:val="subscript"/>
          </w:rPr>
          <w:t>α’’</w:t>
        </w:r>
        <w:r w:rsidR="0042250B" w:rsidRPr="00230498">
          <w:rPr>
            <w:rStyle w:val="af5"/>
            <w:rFonts w:ascii="Calibri" w:eastAsia="等线" w:hAnsi="Calibri" w:cs="Calibri"/>
            <w:b/>
            <w:noProof/>
          </w:rPr>
          <w:t xml:space="preserve"> compound SA twinning feature in 5% deformed TiZrHfTa</w:t>
        </w:r>
        <w:r w:rsidR="0042250B" w:rsidRPr="00230498">
          <w:rPr>
            <w:rStyle w:val="af5"/>
            <w:rFonts w:ascii="Calibri" w:eastAsia="等线" w:hAnsi="Calibri" w:cs="Calibri"/>
            <w:b/>
            <w:noProof/>
            <w:vertAlign w:val="subscript"/>
          </w:rPr>
          <w:t>0.6</w:t>
        </w:r>
        <w:r w:rsidR="0042250B" w:rsidRPr="00230498">
          <w:rPr>
            <w:rStyle w:val="af5"/>
            <w:rFonts w:ascii="Calibri" w:eastAsia="等线" w:hAnsi="Calibri" w:cs="Calibri"/>
            <w:b/>
            <w:noProof/>
          </w:rPr>
          <w:t>.</w:t>
        </w:r>
        <w:r w:rsidR="0042250B" w:rsidRPr="00230498">
          <w:rPr>
            <w:rStyle w:val="af5"/>
            <w:rFonts w:ascii="Calibri" w:eastAsia="等线" w:hAnsi="Calibri" w:cs="Calibri"/>
            <w:b/>
            <w:noProof/>
            <w:vertAlign w:val="subscript"/>
          </w:rPr>
          <w:t xml:space="preserve"> </w:t>
        </w:r>
        <w:r w:rsidR="0042250B" w:rsidRPr="00230498">
          <w:rPr>
            <w:rStyle w:val="af5"/>
            <w:rFonts w:ascii="Calibri" w:eastAsia="等线" w:hAnsi="Calibri" w:cs="Calibri"/>
            <w:noProof/>
          </w:rPr>
          <w:t>(</w:t>
        </w:r>
        <w:r w:rsidR="0042250B" w:rsidRPr="00230498">
          <w:rPr>
            <w:rStyle w:val="af5"/>
            <w:rFonts w:ascii="Calibri" w:eastAsia="等线" w:hAnsi="Calibri" w:cs="Calibri"/>
            <w:b/>
            <w:noProof/>
          </w:rPr>
          <w:t>a</w:t>
        </w:r>
        <w:r w:rsidR="0042250B" w:rsidRPr="00230498">
          <w:rPr>
            <w:rStyle w:val="af5"/>
            <w:rFonts w:ascii="Calibri" w:eastAsia="等线" w:hAnsi="Calibri" w:cs="Calibri"/>
            <w:noProof/>
          </w:rPr>
          <w:t>) a bright field image of the feature; (</w:t>
        </w:r>
        <w:r w:rsidR="0042250B" w:rsidRPr="00230498">
          <w:rPr>
            <w:rStyle w:val="af5"/>
            <w:rFonts w:ascii="Calibri" w:eastAsia="等线" w:hAnsi="Calibri" w:cs="Calibri"/>
            <w:b/>
            <w:noProof/>
          </w:rPr>
          <w:t>b</w:t>
        </w:r>
        <w:r w:rsidR="0042250B" w:rsidRPr="00230498">
          <w:rPr>
            <w:rStyle w:val="af5"/>
            <w:rFonts w:ascii="Calibri" w:eastAsia="等线" w:hAnsi="Calibri" w:cs="Calibri"/>
            <w:noProof/>
          </w:rPr>
          <w:t xml:space="preserve">) a SADP derived from the twinned feature. </w:t>
        </w:r>
        <w:r w:rsidR="0042250B" w:rsidRPr="00230498">
          <w:rPr>
            <w:rStyle w:val="af5"/>
            <w:rFonts w:ascii="Calibri" w:eastAsia="等线" w:hAnsi="Calibri" w:cs="Times New Roman"/>
            <w:noProof/>
          </w:rPr>
          <w:t>α</w:t>
        </w:r>
        <w:r w:rsidR="0042250B" w:rsidRPr="00230498">
          <w:rPr>
            <w:rStyle w:val="af5"/>
            <w:rFonts w:ascii="Calibri" w:eastAsia="等线" w:hAnsi="Calibri" w:cs="Calibri"/>
            <w:noProof/>
          </w:rPr>
          <w:t xml:space="preserve">’’ and twinned </w:t>
        </w:r>
        <w:r w:rsidR="0042250B" w:rsidRPr="00230498">
          <w:rPr>
            <w:rStyle w:val="af5"/>
            <w:rFonts w:ascii="Calibri" w:eastAsia="等线" w:hAnsi="Calibri" w:cs="Times New Roman"/>
            <w:noProof/>
          </w:rPr>
          <w:t>α</w:t>
        </w:r>
        <w:r w:rsidR="0042250B" w:rsidRPr="00230498">
          <w:rPr>
            <w:rStyle w:val="af5"/>
            <w:rFonts w:ascii="Calibri" w:eastAsia="等线" w:hAnsi="Calibri" w:cs="Calibri"/>
            <w:noProof/>
          </w:rPr>
          <w:t>’’ diffraction patterns are marked with green and red, respectively. The {011}</w:t>
        </w:r>
        <w:r w:rsidR="0042250B" w:rsidRPr="00230498">
          <w:rPr>
            <w:rStyle w:val="af5"/>
            <w:rFonts w:ascii="Calibri" w:eastAsia="等线" w:hAnsi="Calibri" w:cs="Times New Roman"/>
            <w:noProof/>
            <w:vertAlign w:val="subscript"/>
          </w:rPr>
          <w:t>α</w:t>
        </w:r>
        <w:r w:rsidR="0042250B" w:rsidRPr="00230498">
          <w:rPr>
            <w:rStyle w:val="af5"/>
            <w:rFonts w:ascii="Calibri" w:eastAsia="等线" w:hAnsi="Calibri" w:cs="Calibri"/>
            <w:noProof/>
            <w:vertAlign w:val="subscript"/>
          </w:rPr>
          <w:t>’’</w:t>
        </w:r>
        <w:r w:rsidR="0042250B" w:rsidRPr="00230498">
          <w:rPr>
            <w:rStyle w:val="af5"/>
            <w:rFonts w:ascii="Calibri" w:eastAsia="等线" w:hAnsi="Calibri" w:cs="Times New Roman"/>
            <w:noProof/>
          </w:rPr>
          <w:t xml:space="preserve"> </w:t>
        </w:r>
        <w:r w:rsidR="0042250B" w:rsidRPr="00230498">
          <w:rPr>
            <w:rStyle w:val="af5"/>
            <w:rFonts w:ascii="Calibri" w:eastAsia="等线" w:hAnsi="Calibri" w:cs="Calibri"/>
            <w:noProof/>
          </w:rPr>
          <w:t>twinning plane is highlighted; (</w:t>
        </w:r>
        <w:r w:rsidR="0042250B" w:rsidRPr="00230498">
          <w:rPr>
            <w:rStyle w:val="af5"/>
            <w:rFonts w:ascii="Calibri" w:eastAsia="等线" w:hAnsi="Calibri" w:cs="Calibri"/>
            <w:b/>
            <w:noProof/>
          </w:rPr>
          <w:t>c</w:t>
        </w:r>
        <w:r w:rsidR="0042250B" w:rsidRPr="00230498">
          <w:rPr>
            <w:rStyle w:val="af5"/>
            <w:rFonts w:ascii="Calibri" w:eastAsia="等线" w:hAnsi="Calibri" w:cs="Calibri"/>
            <w:noProof/>
          </w:rPr>
          <w:t xml:space="preserve">) a dark field image of a α’’ matrix grain; and </w:t>
        </w:r>
        <w:r w:rsidR="0042250B" w:rsidRPr="00230498">
          <w:rPr>
            <w:rStyle w:val="af5"/>
            <w:rFonts w:ascii="Calibri" w:eastAsia="等线" w:hAnsi="Calibri" w:cs="Calibri"/>
            <w:b/>
            <w:noProof/>
          </w:rPr>
          <w:t>(d)</w:t>
        </w:r>
        <w:r w:rsidR="0042250B" w:rsidRPr="00230498">
          <w:rPr>
            <w:rStyle w:val="af5"/>
            <w:rFonts w:ascii="Calibri" w:eastAsia="等线" w:hAnsi="Calibri" w:cs="Calibri"/>
            <w:noProof/>
          </w:rPr>
          <w:t xml:space="preserve"> a dark field image of the α’’ twinned grain observed within a primary martensite grain.</w:t>
        </w:r>
        <w:r w:rsidR="0042250B">
          <w:rPr>
            <w:noProof/>
            <w:webHidden/>
          </w:rPr>
          <w:tab/>
        </w:r>
        <w:r w:rsidR="0042250B">
          <w:rPr>
            <w:noProof/>
            <w:webHidden/>
          </w:rPr>
          <w:fldChar w:fldCharType="begin"/>
        </w:r>
        <w:r w:rsidR="0042250B">
          <w:rPr>
            <w:noProof/>
            <w:webHidden/>
          </w:rPr>
          <w:instrText xml:space="preserve"> PAGEREF _Toc39312717 \h </w:instrText>
        </w:r>
        <w:r w:rsidR="0042250B">
          <w:rPr>
            <w:noProof/>
            <w:webHidden/>
          </w:rPr>
        </w:r>
        <w:r w:rsidR="0042250B">
          <w:rPr>
            <w:noProof/>
            <w:webHidden/>
          </w:rPr>
          <w:fldChar w:fldCharType="separate"/>
        </w:r>
        <w:r w:rsidR="0042250B">
          <w:rPr>
            <w:noProof/>
            <w:webHidden/>
          </w:rPr>
          <w:t>113</w:t>
        </w:r>
        <w:r w:rsidR="0042250B">
          <w:rPr>
            <w:noProof/>
            <w:webHidden/>
          </w:rPr>
          <w:fldChar w:fldCharType="end"/>
        </w:r>
      </w:hyperlink>
    </w:p>
    <w:p w14:paraId="7432AA90" w14:textId="4881883B" w:rsidR="0042250B" w:rsidRDefault="00077961" w:rsidP="0042250B">
      <w:pPr>
        <w:pStyle w:val="af7"/>
        <w:tabs>
          <w:tab w:val="right" w:leader="dot" w:pos="9350"/>
        </w:tabs>
        <w:spacing w:after="60" w:line="360" w:lineRule="auto"/>
        <w:rPr>
          <w:noProof/>
          <w:kern w:val="2"/>
          <w:sz w:val="21"/>
        </w:rPr>
      </w:pPr>
      <w:hyperlink w:anchor="_Toc39312718" w:history="1">
        <w:r w:rsidR="0042250B" w:rsidRPr="00230498">
          <w:rPr>
            <w:rStyle w:val="af5"/>
            <w:rFonts w:ascii="Calibri" w:eastAsia="等线" w:hAnsi="Calibri" w:cs="Calibri"/>
            <w:b/>
            <w:noProof/>
          </w:rPr>
          <w:t>Figure 5-12 TEM images of [-211]</w:t>
        </w:r>
        <w:r w:rsidR="0042250B" w:rsidRPr="00230498">
          <w:rPr>
            <w:rStyle w:val="af5"/>
            <w:rFonts w:ascii="Calibri" w:eastAsia="等线" w:hAnsi="Calibri" w:cs="Calibri"/>
            <w:b/>
            <w:noProof/>
            <w:vertAlign w:val="subscript"/>
          </w:rPr>
          <w:t>α’’</w:t>
        </w:r>
        <w:r w:rsidR="0042250B" w:rsidRPr="00230498">
          <w:rPr>
            <w:rStyle w:val="af5"/>
            <w:rFonts w:ascii="Calibri" w:eastAsia="等线" w:hAnsi="Calibri" w:cs="Calibri"/>
            <w:b/>
            <w:noProof/>
          </w:rPr>
          <w:t xml:space="preserve"> compound SA twinning feature in 5% deformed TiZrHfTa</w:t>
        </w:r>
        <w:r w:rsidR="0042250B" w:rsidRPr="00230498">
          <w:rPr>
            <w:rStyle w:val="af5"/>
            <w:rFonts w:ascii="Calibri" w:eastAsia="等线" w:hAnsi="Calibri" w:cs="Calibri"/>
            <w:b/>
            <w:noProof/>
            <w:vertAlign w:val="subscript"/>
          </w:rPr>
          <w:t>0.5</w:t>
        </w:r>
        <w:r w:rsidR="0042250B" w:rsidRPr="00230498">
          <w:rPr>
            <w:rStyle w:val="af5"/>
            <w:rFonts w:ascii="Calibri" w:eastAsia="等线" w:hAnsi="Calibri" w:cs="Calibri"/>
            <w:b/>
            <w:noProof/>
          </w:rPr>
          <w:t>.</w:t>
        </w:r>
        <w:r w:rsidR="0042250B" w:rsidRPr="00230498">
          <w:rPr>
            <w:rStyle w:val="af5"/>
            <w:rFonts w:ascii="Calibri" w:eastAsia="等线" w:hAnsi="Calibri" w:cs="Calibri"/>
            <w:b/>
            <w:noProof/>
            <w:vertAlign w:val="subscript"/>
          </w:rPr>
          <w:t xml:space="preserve"> </w:t>
        </w:r>
        <w:r w:rsidR="0042250B" w:rsidRPr="00230498">
          <w:rPr>
            <w:rStyle w:val="af5"/>
            <w:rFonts w:ascii="Calibri" w:eastAsia="等线" w:hAnsi="Calibri" w:cs="Calibri"/>
            <w:noProof/>
          </w:rPr>
          <w:t>(</w:t>
        </w:r>
        <w:r w:rsidR="0042250B" w:rsidRPr="00230498">
          <w:rPr>
            <w:rStyle w:val="af5"/>
            <w:rFonts w:ascii="Calibri" w:eastAsia="等线" w:hAnsi="Calibri" w:cs="Calibri"/>
            <w:b/>
            <w:noProof/>
          </w:rPr>
          <w:t>a</w:t>
        </w:r>
        <w:r w:rsidR="0042250B" w:rsidRPr="00230498">
          <w:rPr>
            <w:rStyle w:val="af5"/>
            <w:rFonts w:ascii="Calibri" w:eastAsia="等线" w:hAnsi="Calibri" w:cs="Calibri"/>
            <w:noProof/>
          </w:rPr>
          <w:t>) a bright field image of the feature; (</w:t>
        </w:r>
        <w:r w:rsidR="0042250B" w:rsidRPr="00230498">
          <w:rPr>
            <w:rStyle w:val="af5"/>
            <w:rFonts w:ascii="Calibri" w:eastAsia="等线" w:hAnsi="Calibri" w:cs="Calibri"/>
            <w:b/>
            <w:noProof/>
          </w:rPr>
          <w:t>b</w:t>
        </w:r>
        <w:r w:rsidR="0042250B" w:rsidRPr="00230498">
          <w:rPr>
            <w:rStyle w:val="af5"/>
            <w:rFonts w:ascii="Calibri" w:eastAsia="等线" w:hAnsi="Calibri" w:cs="Calibri"/>
            <w:noProof/>
          </w:rPr>
          <w:t xml:space="preserve">) a SADP derived for a twinned feature. </w:t>
        </w:r>
        <w:r w:rsidR="0042250B" w:rsidRPr="00230498">
          <w:rPr>
            <w:rStyle w:val="af5"/>
            <w:rFonts w:ascii="Calibri" w:eastAsia="等线" w:hAnsi="Calibri" w:cs="Times New Roman"/>
            <w:noProof/>
          </w:rPr>
          <w:t>α</w:t>
        </w:r>
        <w:r w:rsidR="0042250B" w:rsidRPr="00230498">
          <w:rPr>
            <w:rStyle w:val="af5"/>
            <w:rFonts w:ascii="Calibri" w:eastAsia="等线" w:hAnsi="Calibri" w:cs="Calibri"/>
            <w:noProof/>
          </w:rPr>
          <w:t xml:space="preserve">’’ and twinned </w:t>
        </w:r>
        <w:r w:rsidR="0042250B" w:rsidRPr="00230498">
          <w:rPr>
            <w:rStyle w:val="af5"/>
            <w:rFonts w:ascii="Calibri" w:eastAsia="等线" w:hAnsi="Calibri" w:cs="Times New Roman"/>
            <w:noProof/>
          </w:rPr>
          <w:t>α</w:t>
        </w:r>
        <w:r w:rsidR="0042250B" w:rsidRPr="00230498">
          <w:rPr>
            <w:rStyle w:val="af5"/>
            <w:rFonts w:ascii="Calibri" w:eastAsia="等线" w:hAnsi="Calibri" w:cs="Calibri"/>
            <w:noProof/>
          </w:rPr>
          <w:t>’’ diffraction patterns are marked with blue and red, respectively. The {351}</w:t>
        </w:r>
        <w:r w:rsidR="0042250B" w:rsidRPr="00230498">
          <w:rPr>
            <w:rStyle w:val="af5"/>
            <w:rFonts w:ascii="Calibri" w:eastAsia="等线" w:hAnsi="Calibri" w:cs="Times New Roman"/>
            <w:noProof/>
            <w:vertAlign w:val="subscript"/>
          </w:rPr>
          <w:t>α</w:t>
        </w:r>
        <w:r w:rsidR="0042250B" w:rsidRPr="00230498">
          <w:rPr>
            <w:rStyle w:val="af5"/>
            <w:rFonts w:ascii="Calibri" w:eastAsia="等线" w:hAnsi="Calibri" w:cs="Calibri"/>
            <w:noProof/>
            <w:vertAlign w:val="subscript"/>
          </w:rPr>
          <w:t>’’</w:t>
        </w:r>
        <w:r w:rsidR="0042250B" w:rsidRPr="00230498">
          <w:rPr>
            <w:rStyle w:val="af5"/>
            <w:rFonts w:ascii="Calibri" w:eastAsia="等线" w:hAnsi="Calibri" w:cs="Times New Roman"/>
            <w:noProof/>
          </w:rPr>
          <w:t xml:space="preserve"> </w:t>
        </w:r>
        <w:r w:rsidR="0042250B" w:rsidRPr="00230498">
          <w:rPr>
            <w:rStyle w:val="af5"/>
            <w:rFonts w:ascii="Calibri" w:eastAsia="等线" w:hAnsi="Calibri" w:cs="Calibri"/>
            <w:noProof/>
          </w:rPr>
          <w:t>twinning plane is highlighted with a red circle; (</w:t>
        </w:r>
        <w:r w:rsidR="0042250B" w:rsidRPr="00230498">
          <w:rPr>
            <w:rStyle w:val="af5"/>
            <w:rFonts w:ascii="Calibri" w:eastAsia="等线" w:hAnsi="Calibri" w:cs="Calibri"/>
            <w:b/>
            <w:noProof/>
          </w:rPr>
          <w:t>c</w:t>
        </w:r>
        <w:r w:rsidR="0042250B" w:rsidRPr="00230498">
          <w:rPr>
            <w:rStyle w:val="af5"/>
            <w:rFonts w:ascii="Calibri" w:eastAsia="等线" w:hAnsi="Calibri" w:cs="Calibri"/>
            <w:noProof/>
          </w:rPr>
          <w:t>) a dark field image of a α’’ matrix grain; (</w:t>
        </w:r>
        <w:r w:rsidR="0042250B" w:rsidRPr="00230498">
          <w:rPr>
            <w:rStyle w:val="af5"/>
            <w:rFonts w:ascii="Calibri" w:eastAsia="等线" w:hAnsi="Calibri" w:cs="Calibri"/>
            <w:b/>
            <w:noProof/>
          </w:rPr>
          <w:t>d</w:t>
        </w:r>
        <w:r w:rsidR="0042250B" w:rsidRPr="00230498">
          <w:rPr>
            <w:rStyle w:val="af5"/>
            <w:rFonts w:ascii="Calibri" w:eastAsia="等线" w:hAnsi="Calibri" w:cs="Calibri"/>
            <w:noProof/>
          </w:rPr>
          <w:t xml:space="preserve">) a dark field image of α’’ twinned grain; </w:t>
        </w:r>
        <w:r w:rsidR="0042250B" w:rsidRPr="00230498">
          <w:rPr>
            <w:rStyle w:val="af5"/>
            <w:rFonts w:ascii="Calibri" w:eastAsia="等线" w:hAnsi="Calibri" w:cs="Calibri"/>
            <w:noProof/>
          </w:rPr>
          <w:lastRenderedPageBreak/>
          <w:t>and (</w:t>
        </w:r>
        <w:r w:rsidR="0042250B" w:rsidRPr="00230498">
          <w:rPr>
            <w:rStyle w:val="af5"/>
            <w:rFonts w:ascii="Calibri" w:eastAsia="等线" w:hAnsi="Calibri" w:cs="Calibri"/>
            <w:b/>
            <w:noProof/>
          </w:rPr>
          <w:t>e</w:t>
        </w:r>
        <w:r w:rsidR="0042250B" w:rsidRPr="00230498">
          <w:rPr>
            <w:rStyle w:val="af5"/>
            <w:rFonts w:ascii="Calibri" w:eastAsia="等线" w:hAnsi="Calibri" w:cs="Calibri"/>
            <w:noProof/>
          </w:rPr>
          <w:t>) an IFFT HRTEM conducted on the twinned feature. Inset shows the FFT of the twin structure. Twinning boundary shift and a high density of dislocations were found next to the twinning boundary.</w:t>
        </w:r>
        <w:r w:rsidR="0042250B">
          <w:rPr>
            <w:noProof/>
            <w:webHidden/>
          </w:rPr>
          <w:tab/>
        </w:r>
        <w:r w:rsidR="0042250B">
          <w:rPr>
            <w:noProof/>
            <w:webHidden/>
          </w:rPr>
          <w:fldChar w:fldCharType="begin"/>
        </w:r>
        <w:r w:rsidR="0042250B">
          <w:rPr>
            <w:noProof/>
            <w:webHidden/>
          </w:rPr>
          <w:instrText xml:space="preserve"> PAGEREF _Toc39312718 \h </w:instrText>
        </w:r>
        <w:r w:rsidR="0042250B">
          <w:rPr>
            <w:noProof/>
            <w:webHidden/>
          </w:rPr>
        </w:r>
        <w:r w:rsidR="0042250B">
          <w:rPr>
            <w:noProof/>
            <w:webHidden/>
          </w:rPr>
          <w:fldChar w:fldCharType="separate"/>
        </w:r>
        <w:r w:rsidR="0042250B">
          <w:rPr>
            <w:noProof/>
            <w:webHidden/>
          </w:rPr>
          <w:t>114</w:t>
        </w:r>
        <w:r w:rsidR="0042250B">
          <w:rPr>
            <w:noProof/>
            <w:webHidden/>
          </w:rPr>
          <w:fldChar w:fldCharType="end"/>
        </w:r>
      </w:hyperlink>
    </w:p>
    <w:p w14:paraId="56C64D4C" w14:textId="465EF1B9" w:rsidR="0042250B" w:rsidRDefault="00077961" w:rsidP="0042250B">
      <w:pPr>
        <w:pStyle w:val="af7"/>
        <w:tabs>
          <w:tab w:val="right" w:leader="dot" w:pos="9350"/>
        </w:tabs>
        <w:spacing w:after="60" w:line="360" w:lineRule="auto"/>
        <w:rPr>
          <w:noProof/>
          <w:kern w:val="2"/>
          <w:sz w:val="21"/>
        </w:rPr>
      </w:pPr>
      <w:hyperlink w:anchor="_Toc39312719" w:history="1">
        <w:r w:rsidR="0042250B" w:rsidRPr="00230498">
          <w:rPr>
            <w:rStyle w:val="af5"/>
            <w:rFonts w:ascii="Calibri" w:eastAsia="等线" w:hAnsi="Calibri" w:cs="Calibri"/>
            <w:b/>
            <w:noProof/>
          </w:rPr>
          <w:t>Figure 5-13 TEM images of SA twinning feature in 5% deformed TiZrHfTa</w:t>
        </w:r>
        <w:r w:rsidR="0042250B" w:rsidRPr="00230498">
          <w:rPr>
            <w:rStyle w:val="af5"/>
            <w:rFonts w:ascii="Calibri" w:eastAsia="等线" w:hAnsi="Calibri" w:cs="Calibri"/>
            <w:b/>
            <w:noProof/>
            <w:vertAlign w:val="subscript"/>
          </w:rPr>
          <w:t>0.5</w:t>
        </w:r>
        <w:r w:rsidR="0042250B" w:rsidRPr="00230498">
          <w:rPr>
            <w:rStyle w:val="af5"/>
            <w:rFonts w:ascii="Calibri" w:eastAsia="等线" w:hAnsi="Calibri" w:cs="Calibri"/>
            <w:b/>
            <w:noProof/>
          </w:rPr>
          <w:t xml:space="preserve">. </w:t>
        </w:r>
        <w:r w:rsidR="0042250B" w:rsidRPr="00230498">
          <w:rPr>
            <w:rStyle w:val="af5"/>
            <w:rFonts w:ascii="Calibri" w:eastAsia="等线" w:hAnsi="Calibri" w:cs="Calibri"/>
            <w:noProof/>
          </w:rPr>
          <w:t>(</w:t>
        </w:r>
        <w:r w:rsidR="0042250B" w:rsidRPr="00230498">
          <w:rPr>
            <w:rStyle w:val="af5"/>
            <w:rFonts w:ascii="Calibri" w:eastAsia="等线" w:hAnsi="Calibri" w:cs="Calibri"/>
            <w:b/>
            <w:noProof/>
          </w:rPr>
          <w:t>a</w:t>
        </w:r>
        <w:r w:rsidR="0042250B" w:rsidRPr="00230498">
          <w:rPr>
            <w:rStyle w:val="af5"/>
            <w:rFonts w:ascii="Calibri" w:eastAsia="等线" w:hAnsi="Calibri" w:cs="Calibri"/>
            <w:noProof/>
          </w:rPr>
          <w:t>) a bright field image of the feature; (</w:t>
        </w:r>
        <w:r w:rsidR="0042250B" w:rsidRPr="00230498">
          <w:rPr>
            <w:rStyle w:val="af5"/>
            <w:rFonts w:ascii="Calibri" w:eastAsia="等线" w:hAnsi="Calibri" w:cs="Calibri"/>
            <w:b/>
            <w:noProof/>
          </w:rPr>
          <w:t>b</w:t>
        </w:r>
        <w:r w:rsidR="0042250B" w:rsidRPr="00230498">
          <w:rPr>
            <w:rStyle w:val="af5"/>
            <w:rFonts w:ascii="Calibri" w:eastAsia="等线" w:hAnsi="Calibri" w:cs="Calibri"/>
            <w:noProof/>
          </w:rPr>
          <w:t>) a SADP derived from the twinning entanglement feature. Four martensite variants are marked with green, yellow, red and blue, respectively; (</w:t>
        </w:r>
        <w:r w:rsidR="0042250B" w:rsidRPr="00230498">
          <w:rPr>
            <w:rStyle w:val="af5"/>
            <w:rFonts w:ascii="Calibri" w:eastAsia="等线" w:hAnsi="Calibri" w:cs="Calibri"/>
            <w:b/>
            <w:noProof/>
          </w:rPr>
          <w:t>c-e</w:t>
        </w:r>
        <w:r w:rsidR="0042250B" w:rsidRPr="00230498">
          <w:rPr>
            <w:rStyle w:val="af5"/>
            <w:rFonts w:ascii="Calibri" w:eastAsia="等线" w:hAnsi="Calibri" w:cs="Calibri"/>
            <w:noProof/>
          </w:rPr>
          <w:t>) show dark field images of {111}</w:t>
        </w:r>
        <w:r w:rsidR="0042250B" w:rsidRPr="00230498">
          <w:rPr>
            <w:rStyle w:val="af5"/>
            <w:rFonts w:ascii="Calibri" w:eastAsia="等线" w:hAnsi="Calibri" w:cs="Calibri"/>
            <w:noProof/>
            <w:vertAlign w:val="subscript"/>
          </w:rPr>
          <w:t>α’’</w:t>
        </w:r>
        <w:r w:rsidR="0042250B" w:rsidRPr="00230498">
          <w:rPr>
            <w:rStyle w:val="af5"/>
            <w:rFonts w:ascii="Calibri" w:eastAsia="等线" w:hAnsi="Calibri" w:cs="Calibri"/>
            <w:noProof/>
          </w:rPr>
          <w:t xml:space="preserve"> related to martensite variants M1-M3,; and (</w:t>
        </w:r>
        <w:r w:rsidR="0042250B" w:rsidRPr="00230498">
          <w:rPr>
            <w:rStyle w:val="af5"/>
            <w:rFonts w:ascii="Calibri" w:eastAsia="等线" w:hAnsi="Calibri" w:cs="Calibri"/>
            <w:b/>
            <w:noProof/>
          </w:rPr>
          <w:t>f</w:t>
        </w:r>
        <w:r w:rsidR="0042250B" w:rsidRPr="00230498">
          <w:rPr>
            <w:rStyle w:val="af5"/>
            <w:rFonts w:ascii="Calibri" w:eastAsia="等线" w:hAnsi="Calibri" w:cs="Calibri"/>
            <w:noProof/>
          </w:rPr>
          <w:t>) a dark field image of {111}</w:t>
        </w:r>
        <w:r w:rsidR="0042250B" w:rsidRPr="00230498">
          <w:rPr>
            <w:rStyle w:val="af5"/>
            <w:rFonts w:ascii="Calibri" w:eastAsia="等线" w:hAnsi="Calibri" w:cs="Calibri"/>
            <w:noProof/>
            <w:vertAlign w:val="subscript"/>
          </w:rPr>
          <w:t>α’’</w:t>
        </w:r>
        <w:r w:rsidR="0042250B" w:rsidRPr="00230498">
          <w:rPr>
            <w:rStyle w:val="af5"/>
            <w:rFonts w:ascii="Calibri" w:eastAsia="等线" w:hAnsi="Calibri" w:cs="Calibri"/>
            <w:noProof/>
          </w:rPr>
          <w:t xml:space="preserve"> related to martensite variant M4, which is not related to {111}</w:t>
        </w:r>
        <w:r w:rsidR="0042250B" w:rsidRPr="00230498">
          <w:rPr>
            <w:rStyle w:val="af5"/>
            <w:rFonts w:ascii="Calibri" w:eastAsia="等线" w:hAnsi="Calibri" w:cs="Calibri"/>
            <w:noProof/>
            <w:vertAlign w:val="subscript"/>
          </w:rPr>
          <w:t>α’’</w:t>
        </w:r>
        <w:r w:rsidR="0042250B" w:rsidRPr="00230498">
          <w:rPr>
            <w:rStyle w:val="af5"/>
            <w:rFonts w:ascii="Calibri" w:eastAsia="等线" w:hAnsi="Calibri" w:cs="Calibri"/>
            <w:noProof/>
          </w:rPr>
          <w:t xml:space="preserve"> type I twinning with the other variants.</w:t>
        </w:r>
        <w:r w:rsidR="0042250B">
          <w:rPr>
            <w:noProof/>
            <w:webHidden/>
          </w:rPr>
          <w:tab/>
        </w:r>
        <w:r w:rsidR="0042250B">
          <w:rPr>
            <w:noProof/>
            <w:webHidden/>
          </w:rPr>
          <w:fldChar w:fldCharType="begin"/>
        </w:r>
        <w:r w:rsidR="0042250B">
          <w:rPr>
            <w:noProof/>
            <w:webHidden/>
          </w:rPr>
          <w:instrText xml:space="preserve"> PAGEREF _Toc39312719 \h </w:instrText>
        </w:r>
        <w:r w:rsidR="0042250B">
          <w:rPr>
            <w:noProof/>
            <w:webHidden/>
          </w:rPr>
        </w:r>
        <w:r w:rsidR="0042250B">
          <w:rPr>
            <w:noProof/>
            <w:webHidden/>
          </w:rPr>
          <w:fldChar w:fldCharType="separate"/>
        </w:r>
        <w:r w:rsidR="0042250B">
          <w:rPr>
            <w:noProof/>
            <w:webHidden/>
          </w:rPr>
          <w:t>115</w:t>
        </w:r>
        <w:r w:rsidR="0042250B">
          <w:rPr>
            <w:noProof/>
            <w:webHidden/>
          </w:rPr>
          <w:fldChar w:fldCharType="end"/>
        </w:r>
      </w:hyperlink>
    </w:p>
    <w:p w14:paraId="10904789" w14:textId="605F646D" w:rsidR="0042250B" w:rsidRDefault="00077961" w:rsidP="0042250B">
      <w:pPr>
        <w:pStyle w:val="af7"/>
        <w:tabs>
          <w:tab w:val="right" w:leader="dot" w:pos="9350"/>
        </w:tabs>
        <w:spacing w:after="60" w:line="360" w:lineRule="auto"/>
        <w:rPr>
          <w:noProof/>
          <w:kern w:val="2"/>
          <w:sz w:val="21"/>
        </w:rPr>
      </w:pPr>
      <w:hyperlink w:anchor="_Toc39312720" w:history="1">
        <w:r w:rsidR="0042250B" w:rsidRPr="00230498">
          <w:rPr>
            <w:rStyle w:val="af5"/>
            <w:rFonts w:ascii="Calibri" w:eastAsia="等线" w:hAnsi="Calibri" w:cs="Calibri"/>
            <w:b/>
            <w:noProof/>
          </w:rPr>
          <w:t>Figure 5-14 TEM images of {011}</w:t>
        </w:r>
        <w:r w:rsidR="0042250B" w:rsidRPr="00230498">
          <w:rPr>
            <w:rStyle w:val="af5"/>
            <w:rFonts w:ascii="Calibri" w:eastAsia="等线" w:hAnsi="Calibri" w:cs="Calibri"/>
            <w:b/>
            <w:noProof/>
            <w:vertAlign w:val="subscript"/>
          </w:rPr>
          <w:t>α’’</w:t>
        </w:r>
        <w:r w:rsidR="0042250B" w:rsidRPr="00230498">
          <w:rPr>
            <w:rStyle w:val="af5"/>
            <w:rFonts w:ascii="Calibri" w:eastAsia="等线" w:hAnsi="Calibri" w:cs="Calibri"/>
            <w:b/>
            <w:noProof/>
          </w:rPr>
          <w:t xml:space="preserve"> and {111}</w:t>
        </w:r>
        <w:r w:rsidR="0042250B" w:rsidRPr="00230498">
          <w:rPr>
            <w:rStyle w:val="af5"/>
            <w:rFonts w:ascii="Calibri" w:eastAsia="等线" w:hAnsi="Calibri" w:cs="Calibri"/>
            <w:b/>
            <w:noProof/>
            <w:vertAlign w:val="subscript"/>
          </w:rPr>
          <w:t>α’’</w:t>
        </w:r>
        <w:r w:rsidR="0042250B" w:rsidRPr="00230498">
          <w:rPr>
            <w:rStyle w:val="af5"/>
            <w:rFonts w:ascii="Calibri" w:eastAsia="等线" w:hAnsi="Calibri" w:cs="Calibri"/>
            <w:b/>
            <w:noProof/>
          </w:rPr>
          <w:t xml:space="preserve"> SA twinning cooperation feature of 5% deformed TiZrHfTa</w:t>
        </w:r>
        <w:r w:rsidR="0042250B" w:rsidRPr="00230498">
          <w:rPr>
            <w:rStyle w:val="af5"/>
            <w:rFonts w:ascii="Calibri" w:eastAsia="等线" w:hAnsi="Calibri" w:cs="Calibri"/>
            <w:b/>
            <w:noProof/>
            <w:vertAlign w:val="subscript"/>
          </w:rPr>
          <w:t>0.5</w:t>
        </w:r>
        <w:r w:rsidR="0042250B" w:rsidRPr="00230498">
          <w:rPr>
            <w:rStyle w:val="af5"/>
            <w:rFonts w:ascii="Calibri" w:eastAsia="等线" w:hAnsi="Calibri" w:cs="Calibri"/>
            <w:b/>
            <w:noProof/>
          </w:rPr>
          <w:t>.</w:t>
        </w:r>
        <w:r w:rsidR="0042250B" w:rsidRPr="00230498">
          <w:rPr>
            <w:rStyle w:val="af5"/>
            <w:rFonts w:ascii="Calibri" w:eastAsia="等线" w:hAnsi="Calibri" w:cs="Calibri"/>
            <w:b/>
            <w:noProof/>
            <w:vertAlign w:val="subscript"/>
          </w:rPr>
          <w:t xml:space="preserve"> </w:t>
        </w:r>
        <w:r w:rsidR="0042250B" w:rsidRPr="00230498">
          <w:rPr>
            <w:rStyle w:val="af5"/>
            <w:rFonts w:ascii="Calibri" w:eastAsia="等线" w:hAnsi="Calibri" w:cs="Calibri"/>
            <w:noProof/>
          </w:rPr>
          <w:t>(</w:t>
        </w:r>
        <w:r w:rsidR="0042250B" w:rsidRPr="00230498">
          <w:rPr>
            <w:rStyle w:val="af5"/>
            <w:rFonts w:ascii="Calibri" w:eastAsia="等线" w:hAnsi="Calibri" w:cs="Calibri"/>
            <w:b/>
            <w:noProof/>
          </w:rPr>
          <w:t>a</w:t>
        </w:r>
        <w:r w:rsidR="0042250B" w:rsidRPr="00230498">
          <w:rPr>
            <w:rStyle w:val="af5"/>
            <w:rFonts w:ascii="Calibri" w:eastAsia="等线" w:hAnsi="Calibri" w:cs="Calibri"/>
            <w:noProof/>
          </w:rPr>
          <w:t>) a dark field image of {011}</w:t>
        </w:r>
        <w:r w:rsidR="0042250B" w:rsidRPr="00230498">
          <w:rPr>
            <w:rStyle w:val="af5"/>
            <w:rFonts w:ascii="Calibri" w:eastAsia="等线" w:hAnsi="Calibri" w:cs="Calibri"/>
            <w:noProof/>
            <w:vertAlign w:val="subscript"/>
          </w:rPr>
          <w:t>α’’</w:t>
        </w:r>
        <w:r w:rsidR="0042250B" w:rsidRPr="00230498">
          <w:rPr>
            <w:rStyle w:val="af5"/>
            <w:rFonts w:ascii="Calibri" w:eastAsia="等线" w:hAnsi="Calibri" w:cs="Calibri"/>
            <w:noProof/>
          </w:rPr>
          <w:t xml:space="preserve"> related to martensite variant one (M1); (</w:t>
        </w:r>
        <w:r w:rsidR="0042250B" w:rsidRPr="00230498">
          <w:rPr>
            <w:rStyle w:val="af5"/>
            <w:rFonts w:ascii="Calibri" w:eastAsia="等线" w:hAnsi="Calibri" w:cs="Calibri"/>
            <w:b/>
            <w:noProof/>
          </w:rPr>
          <w:t>b</w:t>
        </w:r>
        <w:r w:rsidR="0042250B" w:rsidRPr="00230498">
          <w:rPr>
            <w:rStyle w:val="af5"/>
            <w:rFonts w:ascii="Calibri" w:eastAsia="等线" w:hAnsi="Calibri" w:cs="Calibri"/>
            <w:noProof/>
          </w:rPr>
          <w:t>) a dark field image of {011}</w:t>
        </w:r>
        <w:r w:rsidR="0042250B" w:rsidRPr="00230498">
          <w:rPr>
            <w:rStyle w:val="af5"/>
            <w:rFonts w:ascii="Calibri" w:eastAsia="等线" w:hAnsi="Calibri" w:cs="Calibri"/>
            <w:noProof/>
            <w:vertAlign w:val="subscript"/>
          </w:rPr>
          <w:t>α’’</w:t>
        </w:r>
        <w:r w:rsidR="0042250B" w:rsidRPr="00230498">
          <w:rPr>
            <w:rStyle w:val="af5"/>
            <w:rFonts w:ascii="Calibri" w:eastAsia="等线" w:hAnsi="Calibri" w:cs="Calibri"/>
            <w:noProof/>
          </w:rPr>
          <w:t xml:space="preserve"> related to martensite variant two (M2); (</w:t>
        </w:r>
        <w:r w:rsidR="0042250B" w:rsidRPr="00230498">
          <w:rPr>
            <w:rStyle w:val="af5"/>
            <w:rFonts w:ascii="Calibri" w:eastAsia="等线" w:hAnsi="Calibri" w:cs="Calibri"/>
            <w:b/>
            <w:noProof/>
          </w:rPr>
          <w:t>c</w:t>
        </w:r>
        <w:r w:rsidR="0042250B" w:rsidRPr="00230498">
          <w:rPr>
            <w:rStyle w:val="af5"/>
            <w:rFonts w:ascii="Calibri" w:eastAsia="等线" w:hAnsi="Calibri" w:cs="Calibri"/>
            <w:noProof/>
          </w:rPr>
          <w:t>) a SADP derived from the twinning entanglement feature. Four martensite variants (M1-M4) are marked with cyan, red, green and yellow, respectively. (</w:t>
        </w:r>
        <w:r w:rsidR="0042250B" w:rsidRPr="00230498">
          <w:rPr>
            <w:rStyle w:val="af5"/>
            <w:rFonts w:ascii="Calibri" w:eastAsia="等线" w:hAnsi="Calibri" w:cs="Calibri"/>
            <w:b/>
            <w:noProof/>
          </w:rPr>
          <w:t>d</w:t>
        </w:r>
        <w:r w:rsidR="0042250B" w:rsidRPr="00230498">
          <w:rPr>
            <w:rStyle w:val="af5"/>
            <w:rFonts w:ascii="Calibri" w:eastAsia="等线" w:hAnsi="Calibri" w:cs="Calibri"/>
            <w:noProof/>
          </w:rPr>
          <w:t>) a dark field image of {111}</w:t>
        </w:r>
        <w:r w:rsidR="0042250B" w:rsidRPr="00230498">
          <w:rPr>
            <w:rStyle w:val="af5"/>
            <w:rFonts w:ascii="Calibri" w:eastAsia="等线" w:hAnsi="Calibri" w:cs="Calibri"/>
            <w:noProof/>
            <w:vertAlign w:val="subscript"/>
          </w:rPr>
          <w:t>α’’</w:t>
        </w:r>
        <w:r w:rsidR="0042250B" w:rsidRPr="00230498">
          <w:rPr>
            <w:rStyle w:val="af5"/>
            <w:rFonts w:ascii="Calibri" w:eastAsia="等线" w:hAnsi="Calibri" w:cs="Calibri"/>
            <w:noProof/>
          </w:rPr>
          <w:t xml:space="preserve"> related to martensite variant three (M3); (</w:t>
        </w:r>
        <w:r w:rsidR="0042250B" w:rsidRPr="00230498">
          <w:rPr>
            <w:rStyle w:val="af5"/>
            <w:rFonts w:ascii="Calibri" w:eastAsia="等线" w:hAnsi="Calibri" w:cs="Calibri"/>
            <w:b/>
            <w:noProof/>
          </w:rPr>
          <w:t>e</w:t>
        </w:r>
        <w:r w:rsidR="0042250B" w:rsidRPr="00230498">
          <w:rPr>
            <w:rStyle w:val="af5"/>
            <w:rFonts w:ascii="Calibri" w:eastAsia="等线" w:hAnsi="Calibri" w:cs="Calibri"/>
            <w:noProof/>
          </w:rPr>
          <w:t>) a dark field image of {111}</w:t>
        </w:r>
        <w:r w:rsidR="0042250B" w:rsidRPr="00230498">
          <w:rPr>
            <w:rStyle w:val="af5"/>
            <w:rFonts w:ascii="Calibri" w:eastAsia="等线" w:hAnsi="Calibri" w:cs="Calibri"/>
            <w:noProof/>
            <w:vertAlign w:val="subscript"/>
          </w:rPr>
          <w:t>α’’</w:t>
        </w:r>
        <w:r w:rsidR="0042250B" w:rsidRPr="00230498">
          <w:rPr>
            <w:rStyle w:val="af5"/>
            <w:rFonts w:ascii="Calibri" w:eastAsia="等线" w:hAnsi="Calibri" w:cs="Calibri"/>
            <w:noProof/>
          </w:rPr>
          <w:t xml:space="preserve"> related to martensite variant four (M4); and (</w:t>
        </w:r>
        <w:r w:rsidR="0042250B" w:rsidRPr="00230498">
          <w:rPr>
            <w:rStyle w:val="af5"/>
            <w:rFonts w:ascii="Calibri" w:eastAsia="等线" w:hAnsi="Calibri" w:cs="Calibri"/>
            <w:b/>
            <w:noProof/>
          </w:rPr>
          <w:t>f</w:t>
        </w:r>
        <w:r w:rsidR="0042250B" w:rsidRPr="00230498">
          <w:rPr>
            <w:rStyle w:val="af5"/>
            <w:rFonts w:ascii="Calibri" w:eastAsia="等线" w:hAnsi="Calibri" w:cs="Calibri"/>
            <w:noProof/>
          </w:rPr>
          <w:t>) a stereo projection figure of the lattice correspondance of the untransformed β phase for M1 to M4. The orientation relationship was identified as {2-3-3}</w:t>
        </w:r>
        <w:r w:rsidR="0042250B" w:rsidRPr="00230498">
          <w:rPr>
            <w:rStyle w:val="af5"/>
            <w:rFonts w:ascii="Calibri" w:eastAsia="等线" w:hAnsi="Calibri" w:cs="Calibri"/>
            <w:noProof/>
            <w:vertAlign w:val="subscript"/>
          </w:rPr>
          <w:t>β1</w:t>
        </w:r>
        <w:r w:rsidR="0042250B" w:rsidRPr="00230498">
          <w:rPr>
            <w:rStyle w:val="af5"/>
            <w:rFonts w:ascii="Calibri" w:eastAsia="等线" w:hAnsi="Calibri" w:cs="Calibri"/>
            <w:noProof/>
          </w:rPr>
          <w:t>//{-233}</w:t>
        </w:r>
        <w:r w:rsidR="0042250B" w:rsidRPr="00230498">
          <w:rPr>
            <w:rStyle w:val="af5"/>
            <w:rFonts w:ascii="Calibri" w:eastAsia="等线" w:hAnsi="Calibri" w:cs="Calibri"/>
            <w:noProof/>
            <w:vertAlign w:val="subscript"/>
          </w:rPr>
          <w:t>β2</w:t>
        </w:r>
        <w:r w:rsidR="0042250B" w:rsidRPr="00230498">
          <w:rPr>
            <w:rStyle w:val="af5"/>
            <w:rFonts w:ascii="Calibri" w:eastAsia="等线" w:hAnsi="Calibri" w:cs="Calibri"/>
            <w:noProof/>
          </w:rPr>
          <w:t>, [311]</w:t>
        </w:r>
        <w:r w:rsidR="0042250B" w:rsidRPr="00230498">
          <w:rPr>
            <w:rStyle w:val="af5"/>
            <w:rFonts w:ascii="Calibri" w:eastAsia="等线" w:hAnsi="Calibri" w:cs="Calibri"/>
            <w:noProof/>
            <w:vertAlign w:val="subscript"/>
          </w:rPr>
          <w:t>β1</w:t>
        </w:r>
        <w:r w:rsidR="0042250B" w:rsidRPr="00230498">
          <w:rPr>
            <w:rStyle w:val="af5"/>
            <w:rFonts w:ascii="Calibri" w:eastAsia="等线" w:hAnsi="Calibri" w:cs="Calibri"/>
            <w:noProof/>
          </w:rPr>
          <w:t>//[311]</w:t>
        </w:r>
        <w:r w:rsidR="0042250B" w:rsidRPr="00230498">
          <w:rPr>
            <w:rStyle w:val="af5"/>
            <w:rFonts w:ascii="Calibri" w:eastAsia="等线" w:hAnsi="Calibri" w:cs="Calibri"/>
            <w:noProof/>
            <w:vertAlign w:val="subscript"/>
          </w:rPr>
          <w:t>β2</w:t>
        </w:r>
        <w:r w:rsidR="0042250B" w:rsidRPr="00230498">
          <w:rPr>
            <w:rStyle w:val="af5"/>
            <w:rFonts w:ascii="Calibri" w:eastAsia="等线" w:hAnsi="Calibri" w:cs="Calibri"/>
            <w:noProof/>
          </w:rPr>
          <w:t xml:space="preserve"> and [111]</w:t>
        </w:r>
        <w:r w:rsidR="0042250B" w:rsidRPr="00230498">
          <w:rPr>
            <w:rStyle w:val="af5"/>
            <w:rFonts w:ascii="Calibri" w:eastAsia="等线" w:hAnsi="Calibri" w:cs="Calibri"/>
            <w:noProof/>
            <w:vertAlign w:val="subscript"/>
          </w:rPr>
          <w:t>β1</w:t>
        </w:r>
        <w:r w:rsidR="0042250B" w:rsidRPr="00230498">
          <w:rPr>
            <w:rStyle w:val="af5"/>
            <w:rFonts w:ascii="Calibri" w:eastAsia="等线" w:hAnsi="Calibri" w:cs="Calibri"/>
            <w:noProof/>
          </w:rPr>
          <w:t>//[100]</w:t>
        </w:r>
        <w:r w:rsidR="0042250B" w:rsidRPr="00230498">
          <w:rPr>
            <w:rStyle w:val="af5"/>
            <w:rFonts w:ascii="Calibri" w:eastAsia="等线" w:hAnsi="Calibri" w:cs="Calibri"/>
            <w:noProof/>
            <w:vertAlign w:val="subscript"/>
          </w:rPr>
          <w:t>β2</w:t>
        </w:r>
        <w:r w:rsidR="0042250B" w:rsidRPr="00230498">
          <w:rPr>
            <w:rStyle w:val="af5"/>
            <w:rFonts w:ascii="Calibri" w:eastAsia="等线" w:hAnsi="Calibri" w:cs="Calibri"/>
            <w:noProof/>
          </w:rPr>
          <w:t>.</w:t>
        </w:r>
        <w:r w:rsidR="0042250B">
          <w:rPr>
            <w:noProof/>
            <w:webHidden/>
          </w:rPr>
          <w:tab/>
        </w:r>
        <w:r w:rsidR="0042250B">
          <w:rPr>
            <w:noProof/>
            <w:webHidden/>
          </w:rPr>
          <w:fldChar w:fldCharType="begin"/>
        </w:r>
        <w:r w:rsidR="0042250B">
          <w:rPr>
            <w:noProof/>
            <w:webHidden/>
          </w:rPr>
          <w:instrText xml:space="preserve"> PAGEREF _Toc39312720 \h </w:instrText>
        </w:r>
        <w:r w:rsidR="0042250B">
          <w:rPr>
            <w:noProof/>
            <w:webHidden/>
          </w:rPr>
        </w:r>
        <w:r w:rsidR="0042250B">
          <w:rPr>
            <w:noProof/>
            <w:webHidden/>
          </w:rPr>
          <w:fldChar w:fldCharType="separate"/>
        </w:r>
        <w:r w:rsidR="0042250B">
          <w:rPr>
            <w:noProof/>
            <w:webHidden/>
          </w:rPr>
          <w:t>116</w:t>
        </w:r>
        <w:r w:rsidR="0042250B">
          <w:rPr>
            <w:noProof/>
            <w:webHidden/>
          </w:rPr>
          <w:fldChar w:fldCharType="end"/>
        </w:r>
      </w:hyperlink>
    </w:p>
    <w:p w14:paraId="0A150DF7" w14:textId="6A942357" w:rsidR="0042250B" w:rsidRDefault="00077961" w:rsidP="0042250B">
      <w:pPr>
        <w:pStyle w:val="af7"/>
        <w:tabs>
          <w:tab w:val="right" w:leader="dot" w:pos="9350"/>
        </w:tabs>
        <w:spacing w:after="60" w:line="360" w:lineRule="auto"/>
        <w:rPr>
          <w:noProof/>
          <w:kern w:val="2"/>
          <w:sz w:val="21"/>
        </w:rPr>
      </w:pPr>
      <w:hyperlink w:anchor="_Toc39312721" w:history="1">
        <w:r w:rsidR="0042250B" w:rsidRPr="00230498">
          <w:rPr>
            <w:rStyle w:val="af5"/>
            <w:rFonts w:cstheme="minorHAnsi"/>
            <w:b/>
            <w:noProof/>
          </w:rPr>
          <w:t>Figure 6-</w:t>
        </w:r>
        <w:r w:rsidR="0042250B" w:rsidRPr="00230498">
          <w:rPr>
            <w:rStyle w:val="af5"/>
            <w:b/>
            <w:noProof/>
          </w:rPr>
          <w:t>1</w:t>
        </w:r>
        <w:r w:rsidR="0042250B" w:rsidRPr="00230498">
          <w:rPr>
            <w:rStyle w:val="af5"/>
            <w:rFonts w:cstheme="minorHAnsi"/>
            <w:noProof/>
          </w:rPr>
          <w:t xml:space="preserve"> Lattice correspondence of six martensite variants in BCC matrix.</w:t>
        </w:r>
        <w:r w:rsidR="0042250B">
          <w:rPr>
            <w:noProof/>
            <w:webHidden/>
          </w:rPr>
          <w:tab/>
        </w:r>
        <w:r w:rsidR="0042250B">
          <w:rPr>
            <w:noProof/>
            <w:webHidden/>
          </w:rPr>
          <w:fldChar w:fldCharType="begin"/>
        </w:r>
        <w:r w:rsidR="0042250B">
          <w:rPr>
            <w:noProof/>
            <w:webHidden/>
          </w:rPr>
          <w:instrText xml:space="preserve"> PAGEREF _Toc39312721 \h </w:instrText>
        </w:r>
        <w:r w:rsidR="0042250B">
          <w:rPr>
            <w:noProof/>
            <w:webHidden/>
          </w:rPr>
        </w:r>
        <w:r w:rsidR="0042250B">
          <w:rPr>
            <w:noProof/>
            <w:webHidden/>
          </w:rPr>
          <w:fldChar w:fldCharType="separate"/>
        </w:r>
        <w:r w:rsidR="0042250B">
          <w:rPr>
            <w:noProof/>
            <w:webHidden/>
          </w:rPr>
          <w:t>126</w:t>
        </w:r>
        <w:r w:rsidR="0042250B">
          <w:rPr>
            <w:noProof/>
            <w:webHidden/>
          </w:rPr>
          <w:fldChar w:fldCharType="end"/>
        </w:r>
      </w:hyperlink>
    </w:p>
    <w:p w14:paraId="64C5833C" w14:textId="6819AE32" w:rsidR="0042250B" w:rsidRDefault="00077961" w:rsidP="0042250B">
      <w:pPr>
        <w:pStyle w:val="af7"/>
        <w:tabs>
          <w:tab w:val="right" w:leader="dot" w:pos="9350"/>
        </w:tabs>
        <w:spacing w:after="60" w:line="360" w:lineRule="auto"/>
        <w:rPr>
          <w:noProof/>
          <w:kern w:val="2"/>
          <w:sz w:val="21"/>
        </w:rPr>
      </w:pPr>
      <w:hyperlink w:anchor="_Toc39312722" w:history="1">
        <w:r w:rsidR="0042250B" w:rsidRPr="00230498">
          <w:rPr>
            <w:rStyle w:val="af5"/>
            <w:rFonts w:cstheme="minorHAnsi"/>
            <w:b/>
            <w:noProof/>
          </w:rPr>
          <w:t>Figure 6-</w:t>
        </w:r>
        <w:r w:rsidR="0042250B" w:rsidRPr="00230498">
          <w:rPr>
            <w:rStyle w:val="af5"/>
            <w:b/>
            <w:noProof/>
          </w:rPr>
          <w:t>2</w:t>
        </w:r>
        <w:r w:rsidR="0042250B" w:rsidRPr="00230498">
          <w:rPr>
            <w:rStyle w:val="af5"/>
            <w:rFonts w:cstheme="minorHAnsi"/>
            <w:noProof/>
          </w:rPr>
          <w:t xml:space="preserve"> </w:t>
        </w:r>
        <w:r w:rsidR="0042250B" w:rsidRPr="00230498">
          <w:rPr>
            <w:rStyle w:val="af5"/>
            <w:rFonts w:cstheme="minorHAnsi"/>
            <w:b/>
            <w:noProof/>
          </w:rPr>
          <w:t xml:space="preserve">A schematic of the atomic shuffle mechanism with q=1 and 4 in the double lattice structure </w:t>
        </w:r>
        <w:r w:rsidR="0042250B" w:rsidRPr="00230498">
          <w:rPr>
            <w:rStyle w:val="af5"/>
            <w:rFonts w:cstheme="minorHAnsi"/>
            <w:noProof/>
          </w:rPr>
          <w:t>[11,16]. (</w:t>
        </w:r>
        <w:r w:rsidR="0042250B" w:rsidRPr="00230498">
          <w:rPr>
            <w:rStyle w:val="af5"/>
            <w:rFonts w:cstheme="minorHAnsi"/>
            <w:b/>
            <w:noProof/>
          </w:rPr>
          <w:t>a</w:t>
        </w:r>
        <w:r w:rsidR="0042250B" w:rsidRPr="00230498">
          <w:rPr>
            <w:rStyle w:val="af5"/>
            <w:rFonts w:cstheme="minorHAnsi"/>
            <w:noProof/>
          </w:rPr>
          <w:t>) the possible mechanism for rearrangement of motif unit with q=1 is shown in (i) and (ii) for type I twinning and type II twinning, respectively; (</w:t>
        </w:r>
        <w:r w:rsidR="0042250B" w:rsidRPr="00230498">
          <w:rPr>
            <w:rStyle w:val="af5"/>
            <w:rFonts w:cstheme="minorHAnsi"/>
            <w:b/>
            <w:noProof/>
          </w:rPr>
          <w:t>b</w:t>
        </w:r>
        <w:r w:rsidR="0042250B" w:rsidRPr="00230498">
          <w:rPr>
            <w:rStyle w:val="af5"/>
            <w:rFonts w:cstheme="minorHAnsi"/>
            <w:noProof/>
          </w:rPr>
          <w:t>) rearrangement and disruption of motif unit with q=4 are shown in (iii)-(iv) and (v)-(vi) for type I and type II twinning, respectively. Atoms represented by open and closed circles lie above and below; (</w:t>
        </w:r>
        <w:r w:rsidR="0042250B" w:rsidRPr="00230498">
          <w:rPr>
            <w:rStyle w:val="af5"/>
            <w:rFonts w:cstheme="minorHAnsi"/>
            <w:b/>
            <w:noProof/>
          </w:rPr>
          <w:t>c</w:t>
        </w:r>
        <w:r w:rsidR="0042250B" w:rsidRPr="00230498">
          <w:rPr>
            <w:rStyle w:val="af5"/>
            <w:rFonts w:cstheme="minorHAnsi"/>
            <w:noProof/>
          </w:rPr>
          <w:t>) the modulated structure for the orthorhombic lattice, with the red arrow indicating the displacement of atoms in the (0-11)</w:t>
        </w:r>
        <w:r w:rsidR="0042250B" w:rsidRPr="00230498">
          <w:rPr>
            <w:rStyle w:val="af5"/>
            <w:rFonts w:cstheme="minorHAnsi"/>
            <w:noProof/>
            <w:vertAlign w:val="subscript"/>
          </w:rPr>
          <w:t>β</w:t>
        </w:r>
        <w:r w:rsidR="0042250B" w:rsidRPr="00230498">
          <w:rPr>
            <w:rStyle w:val="af5"/>
            <w:rFonts w:cstheme="minorHAnsi"/>
            <w:noProof/>
          </w:rPr>
          <w:t xml:space="preserve"> plane along the [011]</w:t>
        </w:r>
        <w:r w:rsidR="0042250B" w:rsidRPr="00230498">
          <w:rPr>
            <w:rStyle w:val="af5"/>
            <w:rFonts w:cstheme="minorHAnsi"/>
            <w:noProof/>
            <w:vertAlign w:val="subscript"/>
          </w:rPr>
          <w:t>β</w:t>
        </w:r>
        <w:r w:rsidR="0042250B" w:rsidRPr="00230498">
          <w:rPr>
            <w:rStyle w:val="af5"/>
            <w:rFonts w:cstheme="minorHAnsi"/>
            <w:noProof/>
          </w:rPr>
          <w:t xml:space="preserve"> direction. The green dashed line represents the motif units for the double lattice structure.</w:t>
        </w:r>
        <w:r w:rsidR="0042250B">
          <w:rPr>
            <w:noProof/>
            <w:webHidden/>
          </w:rPr>
          <w:tab/>
        </w:r>
        <w:r w:rsidR="0042250B">
          <w:rPr>
            <w:noProof/>
            <w:webHidden/>
          </w:rPr>
          <w:fldChar w:fldCharType="begin"/>
        </w:r>
        <w:r w:rsidR="0042250B">
          <w:rPr>
            <w:noProof/>
            <w:webHidden/>
          </w:rPr>
          <w:instrText xml:space="preserve"> PAGEREF _Toc39312722 \h </w:instrText>
        </w:r>
        <w:r w:rsidR="0042250B">
          <w:rPr>
            <w:noProof/>
            <w:webHidden/>
          </w:rPr>
        </w:r>
        <w:r w:rsidR="0042250B">
          <w:rPr>
            <w:noProof/>
            <w:webHidden/>
          </w:rPr>
          <w:fldChar w:fldCharType="separate"/>
        </w:r>
        <w:r w:rsidR="0042250B">
          <w:rPr>
            <w:noProof/>
            <w:webHidden/>
          </w:rPr>
          <w:t>134</w:t>
        </w:r>
        <w:r w:rsidR="0042250B">
          <w:rPr>
            <w:noProof/>
            <w:webHidden/>
          </w:rPr>
          <w:fldChar w:fldCharType="end"/>
        </w:r>
      </w:hyperlink>
    </w:p>
    <w:p w14:paraId="08489215" w14:textId="0F4FEFA2" w:rsidR="0042250B" w:rsidRDefault="00077961" w:rsidP="0042250B">
      <w:pPr>
        <w:pStyle w:val="af7"/>
        <w:tabs>
          <w:tab w:val="right" w:leader="dot" w:pos="9350"/>
        </w:tabs>
        <w:spacing w:after="60" w:line="360" w:lineRule="auto"/>
        <w:rPr>
          <w:noProof/>
          <w:kern w:val="2"/>
          <w:sz w:val="21"/>
        </w:rPr>
      </w:pPr>
      <w:hyperlink w:anchor="_Toc39312723" w:history="1">
        <w:r w:rsidR="0042250B" w:rsidRPr="00230498">
          <w:rPr>
            <w:rStyle w:val="af5"/>
            <w:rFonts w:cstheme="minorHAnsi"/>
            <w:b/>
            <w:noProof/>
          </w:rPr>
          <w:t>Figure 6-</w:t>
        </w:r>
        <w:r w:rsidR="0042250B" w:rsidRPr="00230498">
          <w:rPr>
            <w:rStyle w:val="af5"/>
            <w:b/>
            <w:noProof/>
          </w:rPr>
          <w:t>3</w:t>
        </w:r>
        <w:r w:rsidR="0042250B" w:rsidRPr="00230498">
          <w:rPr>
            <w:rStyle w:val="af5"/>
            <w:rFonts w:cstheme="minorHAnsi"/>
            <w:b/>
            <w:noProof/>
          </w:rPr>
          <w:t xml:space="preserve"> Motif unit selections for modes 1,2,4.</w:t>
        </w:r>
        <w:r w:rsidR="0042250B" w:rsidRPr="00230498">
          <w:rPr>
            <w:rStyle w:val="af5"/>
            <w:rFonts w:cstheme="minorHAnsi"/>
            <w:noProof/>
          </w:rPr>
          <w:t xml:space="preserve"> (</w:t>
        </w:r>
        <w:r w:rsidR="0042250B" w:rsidRPr="00230498">
          <w:rPr>
            <w:rStyle w:val="af5"/>
            <w:rFonts w:cstheme="minorHAnsi"/>
            <w:b/>
            <w:noProof/>
          </w:rPr>
          <w:t>a</w:t>
        </w:r>
        <w:r w:rsidR="0042250B" w:rsidRPr="00230498">
          <w:rPr>
            <w:rStyle w:val="af5"/>
            <w:rFonts w:cstheme="minorHAnsi"/>
            <w:noProof/>
          </w:rPr>
          <w:t xml:space="preserve">) motif unit </w:t>
        </w:r>
        <w:r w:rsidR="0042250B" w:rsidRPr="00230498">
          <w:rPr>
            <w:rStyle w:val="af5"/>
            <w:rFonts w:cstheme="minorHAnsi"/>
            <w:i/>
            <w:noProof/>
          </w:rPr>
          <w:t xml:space="preserve">λ </w:t>
        </w:r>
        <w:r w:rsidR="0042250B" w:rsidRPr="00230498">
          <w:rPr>
            <w:rStyle w:val="af5"/>
            <w:rFonts w:cstheme="minorHAnsi"/>
            <w:noProof/>
          </w:rPr>
          <w:t>selected for mode I mechanical twinning. (</w:t>
        </w:r>
        <w:r w:rsidR="0042250B" w:rsidRPr="00230498">
          <w:rPr>
            <w:rStyle w:val="af5"/>
            <w:rFonts w:cstheme="minorHAnsi"/>
            <w:b/>
            <w:noProof/>
          </w:rPr>
          <w:t>b</w:t>
        </w:r>
        <w:r w:rsidR="0042250B" w:rsidRPr="00230498">
          <w:rPr>
            <w:rStyle w:val="af5"/>
            <w:rFonts w:cstheme="minorHAnsi"/>
            <w:noProof/>
          </w:rPr>
          <w:t xml:space="preserve">) motif unit </w:t>
        </w:r>
        <w:r w:rsidR="0042250B" w:rsidRPr="00230498">
          <w:rPr>
            <w:rStyle w:val="af5"/>
            <w:rFonts w:cstheme="minorHAnsi"/>
            <w:i/>
            <w:noProof/>
          </w:rPr>
          <w:t>λ</w:t>
        </w:r>
        <w:r w:rsidR="0042250B" w:rsidRPr="00230498">
          <w:rPr>
            <w:rStyle w:val="af5"/>
            <w:rFonts w:cstheme="minorHAnsi"/>
            <w:noProof/>
          </w:rPr>
          <w:t xml:space="preserve"> selected for mode II mechanical twinning; (</w:t>
        </w:r>
        <w:r w:rsidR="0042250B" w:rsidRPr="00230498">
          <w:rPr>
            <w:rStyle w:val="af5"/>
            <w:rFonts w:cstheme="minorHAnsi"/>
            <w:b/>
            <w:noProof/>
          </w:rPr>
          <w:t>c</w:t>
        </w:r>
        <w:r w:rsidR="0042250B" w:rsidRPr="00230498">
          <w:rPr>
            <w:rStyle w:val="af5"/>
            <w:rFonts w:cstheme="minorHAnsi"/>
            <w:noProof/>
          </w:rPr>
          <w:t xml:space="preserve">) motif unit </w:t>
        </w:r>
        <w:r w:rsidR="0042250B" w:rsidRPr="00230498">
          <w:rPr>
            <w:rStyle w:val="af5"/>
            <w:rFonts w:cstheme="minorHAnsi"/>
            <w:i/>
            <w:noProof/>
          </w:rPr>
          <w:t>κ</w:t>
        </w:r>
        <w:r w:rsidR="0042250B" w:rsidRPr="00230498">
          <w:rPr>
            <w:rStyle w:val="af5"/>
            <w:rFonts w:cstheme="minorHAnsi"/>
            <w:noProof/>
          </w:rPr>
          <w:t xml:space="preserve"> selected for mode IV mechanical twinning; (</w:t>
        </w:r>
        <w:r w:rsidR="0042250B" w:rsidRPr="00230498">
          <w:rPr>
            <w:rStyle w:val="af5"/>
            <w:rFonts w:cstheme="minorHAnsi"/>
            <w:b/>
            <w:noProof/>
          </w:rPr>
          <w:t>d</w:t>
        </w:r>
        <w:r w:rsidR="0042250B" w:rsidRPr="00230498">
          <w:rPr>
            <w:rStyle w:val="af5"/>
            <w:rFonts w:cstheme="minorHAnsi"/>
            <w:noProof/>
          </w:rPr>
          <w:t>) motif unit</w:t>
        </w:r>
        <w:r w:rsidR="0042250B" w:rsidRPr="00230498">
          <w:rPr>
            <w:rStyle w:val="af5"/>
            <w:rFonts w:cstheme="minorHAnsi"/>
            <w:i/>
            <w:noProof/>
          </w:rPr>
          <w:t xml:space="preserve"> λ</w:t>
        </w:r>
        <w:r w:rsidR="0042250B" w:rsidRPr="00230498">
          <w:rPr>
            <w:rStyle w:val="af5"/>
            <w:rFonts w:cstheme="minorHAnsi"/>
            <w:noProof/>
          </w:rPr>
          <w:t xml:space="preserve"> selected for mode I SA twinning; (</w:t>
        </w:r>
        <w:r w:rsidR="0042250B" w:rsidRPr="00230498">
          <w:rPr>
            <w:rStyle w:val="af5"/>
            <w:rFonts w:cstheme="minorHAnsi"/>
            <w:b/>
            <w:noProof/>
          </w:rPr>
          <w:t>e</w:t>
        </w:r>
        <w:r w:rsidR="0042250B" w:rsidRPr="00230498">
          <w:rPr>
            <w:rStyle w:val="af5"/>
            <w:rFonts w:cstheme="minorHAnsi"/>
            <w:noProof/>
          </w:rPr>
          <w:t xml:space="preserve">) motif unit </w:t>
        </w:r>
        <w:r w:rsidR="0042250B" w:rsidRPr="00230498">
          <w:rPr>
            <w:rStyle w:val="af5"/>
            <w:rFonts w:cstheme="minorHAnsi"/>
            <w:i/>
            <w:noProof/>
          </w:rPr>
          <w:t>λ</w:t>
        </w:r>
        <w:r w:rsidR="0042250B" w:rsidRPr="00230498">
          <w:rPr>
            <w:rStyle w:val="af5"/>
            <w:rFonts w:cstheme="minorHAnsi"/>
            <w:noProof/>
          </w:rPr>
          <w:t xml:space="preserve"> selected for mode II SA twinning; and. (</w:t>
        </w:r>
        <w:r w:rsidR="0042250B" w:rsidRPr="00230498">
          <w:rPr>
            <w:rStyle w:val="af5"/>
            <w:rFonts w:cstheme="minorHAnsi"/>
            <w:b/>
            <w:noProof/>
          </w:rPr>
          <w:t>f</w:t>
        </w:r>
        <w:r w:rsidR="0042250B" w:rsidRPr="00230498">
          <w:rPr>
            <w:rStyle w:val="af5"/>
            <w:rFonts w:cstheme="minorHAnsi"/>
            <w:noProof/>
          </w:rPr>
          <w:t xml:space="preserve">) motif unit </w:t>
        </w:r>
        <w:r w:rsidR="0042250B" w:rsidRPr="00230498">
          <w:rPr>
            <w:rStyle w:val="af5"/>
            <w:rFonts w:cstheme="minorHAnsi"/>
            <w:i/>
            <w:noProof/>
          </w:rPr>
          <w:t>κ</w:t>
        </w:r>
        <w:r w:rsidR="0042250B" w:rsidRPr="00230498">
          <w:rPr>
            <w:rStyle w:val="af5"/>
            <w:rFonts w:cstheme="minorHAnsi"/>
            <w:noProof/>
          </w:rPr>
          <w:t xml:space="preserve"> selected for mode IV SA twinning. All motif unit vectors are coloured with black, while brown atoms are the modulated structure along the {0-11}</w:t>
        </w:r>
        <w:r w:rsidR="0042250B" w:rsidRPr="00230498">
          <w:rPr>
            <w:rStyle w:val="af5"/>
            <w:rFonts w:cstheme="minorHAnsi"/>
            <w:noProof/>
            <w:vertAlign w:val="subscript"/>
          </w:rPr>
          <w:t>β</w:t>
        </w:r>
        <w:r w:rsidR="0042250B" w:rsidRPr="00230498">
          <w:rPr>
            <w:rStyle w:val="af5"/>
            <w:rFonts w:cstheme="minorHAnsi"/>
            <w:noProof/>
          </w:rPr>
          <w:t xml:space="preserve"> plane.</w:t>
        </w:r>
        <w:r w:rsidR="0042250B">
          <w:rPr>
            <w:noProof/>
            <w:webHidden/>
          </w:rPr>
          <w:tab/>
        </w:r>
        <w:r w:rsidR="0042250B">
          <w:rPr>
            <w:noProof/>
            <w:webHidden/>
          </w:rPr>
          <w:fldChar w:fldCharType="begin"/>
        </w:r>
        <w:r w:rsidR="0042250B">
          <w:rPr>
            <w:noProof/>
            <w:webHidden/>
          </w:rPr>
          <w:instrText xml:space="preserve"> PAGEREF _Toc39312723 \h </w:instrText>
        </w:r>
        <w:r w:rsidR="0042250B">
          <w:rPr>
            <w:noProof/>
            <w:webHidden/>
          </w:rPr>
        </w:r>
        <w:r w:rsidR="0042250B">
          <w:rPr>
            <w:noProof/>
            <w:webHidden/>
          </w:rPr>
          <w:fldChar w:fldCharType="separate"/>
        </w:r>
        <w:r w:rsidR="0042250B">
          <w:rPr>
            <w:noProof/>
            <w:webHidden/>
          </w:rPr>
          <w:t>135</w:t>
        </w:r>
        <w:r w:rsidR="0042250B">
          <w:rPr>
            <w:noProof/>
            <w:webHidden/>
          </w:rPr>
          <w:fldChar w:fldCharType="end"/>
        </w:r>
      </w:hyperlink>
    </w:p>
    <w:p w14:paraId="6318D7B7" w14:textId="7C682EC1" w:rsidR="0042250B" w:rsidRDefault="00077961" w:rsidP="0042250B">
      <w:pPr>
        <w:pStyle w:val="af7"/>
        <w:tabs>
          <w:tab w:val="right" w:leader="dot" w:pos="9350"/>
        </w:tabs>
        <w:spacing w:after="60" w:line="360" w:lineRule="auto"/>
        <w:rPr>
          <w:noProof/>
          <w:kern w:val="2"/>
          <w:sz w:val="21"/>
        </w:rPr>
      </w:pPr>
      <w:hyperlink w:anchor="_Toc39312724" w:history="1">
        <w:r w:rsidR="0042250B" w:rsidRPr="00230498">
          <w:rPr>
            <w:rStyle w:val="af5"/>
            <w:rFonts w:cstheme="minorHAnsi"/>
            <w:b/>
            <w:noProof/>
            <w:lang w:val="en-GB"/>
          </w:rPr>
          <w:t>Figure 7-</w:t>
        </w:r>
        <w:r w:rsidR="0042250B" w:rsidRPr="00230498">
          <w:rPr>
            <w:rStyle w:val="af5"/>
            <w:rFonts w:cstheme="minorHAnsi"/>
            <w:b/>
            <w:noProof/>
          </w:rPr>
          <w:t>1</w:t>
        </w:r>
        <w:r w:rsidR="0042250B" w:rsidRPr="00230498">
          <w:rPr>
            <w:rStyle w:val="af5"/>
            <w:rFonts w:cstheme="minorHAnsi"/>
            <w:b/>
            <w:noProof/>
            <w:lang w:val="en-GB"/>
          </w:rPr>
          <w:t xml:space="preserve"> mechanical properties of </w:t>
        </w:r>
        <w:r w:rsidR="0042250B" w:rsidRPr="00230498">
          <w:rPr>
            <w:rStyle w:val="af5"/>
            <w:rFonts w:cstheme="minorHAnsi"/>
            <w:b/>
            <w:noProof/>
            <w:spacing w:val="3"/>
            <w:shd w:val="clear" w:color="auto" w:fill="FFFFFF"/>
          </w:rPr>
          <w:t>(TiZrHf)</w:t>
        </w:r>
        <w:r w:rsidR="0042250B" w:rsidRPr="00230498">
          <w:rPr>
            <w:rStyle w:val="af5"/>
            <w:rFonts w:cstheme="minorHAnsi"/>
            <w:b/>
            <w:noProof/>
            <w:spacing w:val="3"/>
            <w:shd w:val="clear" w:color="auto" w:fill="FFFFFF"/>
            <w:vertAlign w:val="subscript"/>
          </w:rPr>
          <w:t>85</w:t>
        </w:r>
        <w:r w:rsidR="0042250B" w:rsidRPr="00230498">
          <w:rPr>
            <w:rStyle w:val="af5"/>
            <w:rFonts w:cstheme="minorHAnsi"/>
            <w:b/>
            <w:noProof/>
            <w:spacing w:val="3"/>
            <w:shd w:val="clear" w:color="auto" w:fill="FFFFFF"/>
          </w:rPr>
          <w:t>Ta</w:t>
        </w:r>
        <w:r w:rsidR="0042250B" w:rsidRPr="00230498">
          <w:rPr>
            <w:rStyle w:val="af5"/>
            <w:rFonts w:cstheme="minorHAnsi"/>
            <w:b/>
            <w:noProof/>
            <w:spacing w:val="3"/>
            <w:shd w:val="clear" w:color="auto" w:fill="FFFFFF"/>
            <w:vertAlign w:val="subscript"/>
          </w:rPr>
          <w:t>15</w:t>
        </w:r>
        <w:r w:rsidR="0042250B" w:rsidRPr="00230498">
          <w:rPr>
            <w:rStyle w:val="af5"/>
            <w:rFonts w:cstheme="minorHAnsi"/>
            <w:b/>
            <w:noProof/>
            <w:lang w:val="en-GB"/>
          </w:rPr>
          <w:t xml:space="preserve"> </w:t>
        </w:r>
        <w:r w:rsidR="0042250B" w:rsidRPr="00230498">
          <w:rPr>
            <w:rStyle w:val="af5"/>
            <w:rFonts w:cstheme="minorHAnsi"/>
            <w:b/>
            <w:noProof/>
            <w:spacing w:val="3"/>
            <w:shd w:val="clear" w:color="auto" w:fill="FFFFFF"/>
          </w:rPr>
          <w:t>a</w:t>
        </w:r>
        <w:r w:rsidR="0042250B" w:rsidRPr="00230498">
          <w:rPr>
            <w:rStyle w:val="af5"/>
            <w:rFonts w:cstheme="minorHAnsi"/>
            <w:b/>
            <w:noProof/>
            <w:lang w:val="en-GB"/>
          </w:rPr>
          <w:t xml:space="preserve">nd </w:t>
        </w:r>
        <w:r w:rsidR="0042250B" w:rsidRPr="00230498">
          <w:rPr>
            <w:rStyle w:val="af5"/>
            <w:rFonts w:cstheme="minorHAnsi"/>
            <w:b/>
            <w:noProof/>
            <w:spacing w:val="3"/>
            <w:shd w:val="clear" w:color="auto" w:fill="FFFFFF"/>
          </w:rPr>
          <w:t>(TiZrHf)</w:t>
        </w:r>
        <w:r w:rsidR="0042250B" w:rsidRPr="00230498">
          <w:rPr>
            <w:rStyle w:val="af5"/>
            <w:rFonts w:cstheme="minorHAnsi"/>
            <w:b/>
            <w:noProof/>
            <w:spacing w:val="3"/>
            <w:shd w:val="clear" w:color="auto" w:fill="FFFFFF"/>
            <w:vertAlign w:val="subscript"/>
          </w:rPr>
          <w:t>87</w:t>
        </w:r>
        <w:r w:rsidR="0042250B" w:rsidRPr="00230498">
          <w:rPr>
            <w:rStyle w:val="af5"/>
            <w:rFonts w:cstheme="minorHAnsi"/>
            <w:b/>
            <w:noProof/>
            <w:spacing w:val="3"/>
            <w:shd w:val="clear" w:color="auto" w:fill="FFFFFF"/>
          </w:rPr>
          <w:t>Ta</w:t>
        </w:r>
        <w:r w:rsidR="0042250B" w:rsidRPr="00230498">
          <w:rPr>
            <w:rStyle w:val="af5"/>
            <w:rFonts w:cstheme="minorHAnsi"/>
            <w:b/>
            <w:noProof/>
            <w:spacing w:val="3"/>
            <w:shd w:val="clear" w:color="auto" w:fill="FFFFFF"/>
            <w:vertAlign w:val="subscript"/>
          </w:rPr>
          <w:t>13</w:t>
        </w:r>
        <w:r w:rsidR="0042250B" w:rsidRPr="00230498">
          <w:rPr>
            <w:rStyle w:val="af5"/>
            <w:rFonts w:cstheme="minorHAnsi"/>
            <w:b/>
            <w:noProof/>
            <w:spacing w:val="3"/>
            <w:shd w:val="clear" w:color="auto" w:fill="FFFFFF"/>
          </w:rPr>
          <w:t xml:space="preserve">. </w:t>
        </w:r>
        <w:r w:rsidR="0042250B" w:rsidRPr="00230498">
          <w:rPr>
            <w:rStyle w:val="af5"/>
            <w:rFonts w:cstheme="minorHAnsi"/>
            <w:bCs/>
            <w:noProof/>
            <w:spacing w:val="3"/>
            <w:shd w:val="clear" w:color="auto" w:fill="FFFFFF"/>
          </w:rPr>
          <w:t>(a) tensile</w:t>
        </w:r>
        <w:r w:rsidR="0042250B" w:rsidRPr="00230498">
          <w:rPr>
            <w:rStyle w:val="af5"/>
            <w:rFonts w:cstheme="minorHAnsi"/>
            <w:noProof/>
            <w:spacing w:val="3"/>
            <w:shd w:val="clear" w:color="auto" w:fill="FFFFFF"/>
          </w:rPr>
          <w:t xml:space="preserve"> properties. The true stress and true strain curves of (TiZrHf)</w:t>
        </w:r>
        <w:r w:rsidR="0042250B" w:rsidRPr="00230498">
          <w:rPr>
            <w:rStyle w:val="af5"/>
            <w:rFonts w:cstheme="minorHAnsi"/>
            <w:noProof/>
            <w:spacing w:val="3"/>
            <w:shd w:val="clear" w:color="auto" w:fill="FFFFFF"/>
            <w:vertAlign w:val="subscript"/>
          </w:rPr>
          <w:t>85</w:t>
        </w:r>
        <w:r w:rsidR="0042250B" w:rsidRPr="00230498">
          <w:rPr>
            <w:rStyle w:val="af5"/>
            <w:rFonts w:cstheme="minorHAnsi"/>
            <w:noProof/>
            <w:spacing w:val="3"/>
            <w:shd w:val="clear" w:color="auto" w:fill="FFFFFF"/>
          </w:rPr>
          <w:t>Ta</w:t>
        </w:r>
        <w:r w:rsidR="0042250B" w:rsidRPr="00230498">
          <w:rPr>
            <w:rStyle w:val="af5"/>
            <w:rFonts w:cstheme="minorHAnsi"/>
            <w:noProof/>
            <w:spacing w:val="3"/>
            <w:shd w:val="clear" w:color="auto" w:fill="FFFFFF"/>
            <w:vertAlign w:val="subscript"/>
          </w:rPr>
          <w:t>15</w:t>
        </w:r>
        <w:r w:rsidR="0042250B" w:rsidRPr="00230498">
          <w:rPr>
            <w:rStyle w:val="af5"/>
            <w:rFonts w:cstheme="minorHAnsi"/>
            <w:noProof/>
            <w:spacing w:val="3"/>
            <w:shd w:val="clear" w:color="auto" w:fill="FFFFFF"/>
          </w:rPr>
          <w:t xml:space="preserve"> (blue) and (TiZrHf)</w:t>
        </w:r>
        <w:r w:rsidR="0042250B" w:rsidRPr="00230498">
          <w:rPr>
            <w:rStyle w:val="af5"/>
            <w:rFonts w:cstheme="minorHAnsi"/>
            <w:noProof/>
            <w:spacing w:val="3"/>
            <w:shd w:val="clear" w:color="auto" w:fill="FFFFFF"/>
            <w:vertAlign w:val="subscript"/>
          </w:rPr>
          <w:t>87</w:t>
        </w:r>
        <w:r w:rsidR="0042250B" w:rsidRPr="00230498">
          <w:rPr>
            <w:rStyle w:val="af5"/>
            <w:rFonts w:cstheme="minorHAnsi"/>
            <w:noProof/>
            <w:spacing w:val="3"/>
            <w:shd w:val="clear" w:color="auto" w:fill="FFFFFF"/>
          </w:rPr>
          <w:t>Ta</w:t>
        </w:r>
        <w:r w:rsidR="0042250B" w:rsidRPr="00230498">
          <w:rPr>
            <w:rStyle w:val="af5"/>
            <w:rFonts w:cstheme="minorHAnsi"/>
            <w:noProof/>
            <w:spacing w:val="3"/>
            <w:shd w:val="clear" w:color="auto" w:fill="FFFFFF"/>
            <w:vertAlign w:val="subscript"/>
          </w:rPr>
          <w:t>13</w:t>
        </w:r>
        <w:r w:rsidR="0042250B" w:rsidRPr="00230498">
          <w:rPr>
            <w:rStyle w:val="af5"/>
            <w:rFonts w:cstheme="minorHAnsi"/>
            <w:noProof/>
            <w:spacing w:val="3"/>
            <w:shd w:val="clear" w:color="auto" w:fill="FFFFFF"/>
          </w:rPr>
          <w:t xml:space="preserve"> (red) are shown in the top </w:t>
        </w:r>
        <w:r w:rsidR="0042250B" w:rsidRPr="00230498">
          <w:rPr>
            <w:rStyle w:val="af5"/>
            <w:rFonts w:cstheme="minorHAnsi"/>
            <w:noProof/>
            <w:spacing w:val="3"/>
            <w:shd w:val="clear" w:color="auto" w:fill="FFFFFF"/>
          </w:rPr>
          <w:lastRenderedPageBreak/>
          <w:t>panel. The inset shows the comparisons of normalised work hardening rate (</w:t>
        </w:r>
        <w:r w:rsidR="0042250B" w:rsidRPr="00230498">
          <w:rPr>
            <w:rStyle w:val="af5"/>
            <w:rFonts w:cstheme="minorHAnsi"/>
            <w:noProof/>
          </w:rPr>
          <w:t>(dσ</w:t>
        </w:r>
        <w:r w:rsidR="0042250B" w:rsidRPr="00230498">
          <w:rPr>
            <w:rStyle w:val="af5"/>
            <w:rFonts w:cstheme="minorHAnsi"/>
            <w:noProof/>
            <w:vertAlign w:val="subscript"/>
          </w:rPr>
          <w:t>T</w:t>
        </w:r>
        <w:r w:rsidR="0042250B" w:rsidRPr="00230498">
          <w:rPr>
            <w:rStyle w:val="af5"/>
            <w:rFonts w:cstheme="minorHAnsi"/>
            <w:noProof/>
          </w:rPr>
          <w:t>/dε</w:t>
        </w:r>
        <w:r w:rsidR="0042250B" w:rsidRPr="00230498">
          <w:rPr>
            <w:rStyle w:val="af5"/>
            <w:rFonts w:cstheme="minorHAnsi"/>
            <w:noProof/>
            <w:vertAlign w:val="subscript"/>
          </w:rPr>
          <w:t>P</w:t>
        </w:r>
        <w:r w:rsidR="0042250B" w:rsidRPr="00230498">
          <w:rPr>
            <w:rStyle w:val="af5"/>
            <w:rFonts w:cstheme="minorHAnsi"/>
            <w:noProof/>
          </w:rPr>
          <w:t>)/G</w:t>
        </w:r>
        <w:r w:rsidR="0042250B" w:rsidRPr="00230498">
          <w:rPr>
            <w:rStyle w:val="af5"/>
            <w:rFonts w:cstheme="minorHAnsi"/>
            <w:noProof/>
            <w:spacing w:val="3"/>
            <w:shd w:val="clear" w:color="auto" w:fill="FFFFFF"/>
          </w:rPr>
          <w:t>) as a function of fractured strain between our alloys and other high-performance titanium alloys and TWIP steels. The blue and green groups represent high strength Ti alloys, TWIP steels [9–11] and TRIP-DP-HEA [12–14], respectively. Work hardening rate (WHR) curves of (TiZrHf)</w:t>
        </w:r>
        <w:r w:rsidR="0042250B" w:rsidRPr="00230498">
          <w:rPr>
            <w:rStyle w:val="af5"/>
            <w:rFonts w:cstheme="minorHAnsi"/>
            <w:noProof/>
            <w:spacing w:val="3"/>
            <w:shd w:val="clear" w:color="auto" w:fill="FFFFFF"/>
            <w:vertAlign w:val="subscript"/>
          </w:rPr>
          <w:t>85</w:t>
        </w:r>
        <w:r w:rsidR="0042250B" w:rsidRPr="00230498">
          <w:rPr>
            <w:rStyle w:val="af5"/>
            <w:rFonts w:cstheme="minorHAnsi"/>
            <w:noProof/>
            <w:spacing w:val="3"/>
            <w:shd w:val="clear" w:color="auto" w:fill="FFFFFF"/>
          </w:rPr>
          <w:t>Ta</w:t>
        </w:r>
        <w:r w:rsidR="0042250B" w:rsidRPr="00230498">
          <w:rPr>
            <w:rStyle w:val="af5"/>
            <w:rFonts w:cstheme="minorHAnsi"/>
            <w:noProof/>
            <w:spacing w:val="3"/>
            <w:shd w:val="clear" w:color="auto" w:fill="FFFFFF"/>
            <w:vertAlign w:val="subscript"/>
          </w:rPr>
          <w:t>15</w:t>
        </w:r>
        <w:r w:rsidR="0042250B" w:rsidRPr="00230498">
          <w:rPr>
            <w:rStyle w:val="af5"/>
            <w:rFonts w:cstheme="minorHAnsi"/>
            <w:noProof/>
            <w:spacing w:val="3"/>
            <w:shd w:val="clear" w:color="auto" w:fill="FFFFFF"/>
          </w:rPr>
          <w:t xml:space="preserve"> (blue) and (TiZrHf)</w:t>
        </w:r>
        <w:r w:rsidR="0042250B" w:rsidRPr="00230498">
          <w:rPr>
            <w:rStyle w:val="af5"/>
            <w:rFonts w:cstheme="minorHAnsi"/>
            <w:noProof/>
            <w:spacing w:val="3"/>
            <w:shd w:val="clear" w:color="auto" w:fill="FFFFFF"/>
            <w:vertAlign w:val="subscript"/>
          </w:rPr>
          <w:t>87</w:t>
        </w:r>
        <w:r w:rsidR="0042250B" w:rsidRPr="00230498">
          <w:rPr>
            <w:rStyle w:val="af5"/>
            <w:rFonts w:cstheme="minorHAnsi"/>
            <w:noProof/>
            <w:spacing w:val="3"/>
            <w:shd w:val="clear" w:color="auto" w:fill="FFFFFF"/>
          </w:rPr>
          <w:t>Ta</w:t>
        </w:r>
        <w:r w:rsidR="0042250B" w:rsidRPr="00230498">
          <w:rPr>
            <w:rStyle w:val="af5"/>
            <w:rFonts w:cstheme="minorHAnsi"/>
            <w:noProof/>
            <w:spacing w:val="3"/>
            <w:shd w:val="clear" w:color="auto" w:fill="FFFFFF"/>
            <w:vertAlign w:val="subscript"/>
          </w:rPr>
          <w:t>13</w:t>
        </w:r>
        <w:r w:rsidR="0042250B" w:rsidRPr="00230498">
          <w:rPr>
            <w:rStyle w:val="af5"/>
            <w:rFonts w:cstheme="minorHAnsi"/>
            <w:noProof/>
            <w:spacing w:val="3"/>
            <w:shd w:val="clear" w:color="auto" w:fill="FFFFFF"/>
          </w:rPr>
          <w:t xml:space="preserve"> (red) are shown in the middle panel. Four deformation stages are divided by the green dash line. In the bottom panel, the dynamic change of the work hardening exponents (WHE) indicates three main deformation stages attribute to the effect of TRIP, TTIP and TWIP, respectively; and  (</w:t>
        </w:r>
        <w:r w:rsidR="0042250B" w:rsidRPr="00230498">
          <w:rPr>
            <w:rStyle w:val="af5"/>
            <w:rFonts w:cstheme="minorHAnsi"/>
            <w:b/>
            <w:noProof/>
            <w:spacing w:val="3"/>
            <w:shd w:val="clear" w:color="auto" w:fill="FFFFFF"/>
          </w:rPr>
          <w:t>b</w:t>
        </w:r>
        <w:r w:rsidR="0042250B" w:rsidRPr="00230498">
          <w:rPr>
            <w:rStyle w:val="af5"/>
            <w:rFonts w:cstheme="minorHAnsi"/>
            <w:noProof/>
            <w:spacing w:val="3"/>
            <w:shd w:val="clear" w:color="auto" w:fill="FFFFFF"/>
          </w:rPr>
          <w:t xml:space="preserve">) </w:t>
        </w:r>
        <w:r w:rsidR="0042250B" w:rsidRPr="00230498">
          <w:rPr>
            <w:rStyle w:val="af5"/>
            <w:rFonts w:cstheme="minorHAnsi"/>
            <w:bCs/>
            <w:noProof/>
            <w:spacing w:val="3"/>
            <w:shd w:val="clear" w:color="auto" w:fill="FFFFFF"/>
          </w:rPr>
          <w:t>XRD patterns and EBSD maps of (TiZrHf)</w:t>
        </w:r>
        <w:r w:rsidR="0042250B" w:rsidRPr="00230498">
          <w:rPr>
            <w:rStyle w:val="af5"/>
            <w:rFonts w:cstheme="minorHAnsi"/>
            <w:bCs/>
            <w:noProof/>
            <w:spacing w:val="3"/>
            <w:shd w:val="clear" w:color="auto" w:fill="FFFFFF"/>
            <w:vertAlign w:val="subscript"/>
          </w:rPr>
          <w:t>87</w:t>
        </w:r>
        <w:r w:rsidR="0042250B" w:rsidRPr="00230498">
          <w:rPr>
            <w:rStyle w:val="af5"/>
            <w:rFonts w:cstheme="minorHAnsi"/>
            <w:bCs/>
            <w:noProof/>
            <w:spacing w:val="3"/>
            <w:shd w:val="clear" w:color="auto" w:fill="FFFFFF"/>
          </w:rPr>
          <w:t>Ta</w:t>
        </w:r>
        <w:r w:rsidR="0042250B" w:rsidRPr="00230498">
          <w:rPr>
            <w:rStyle w:val="af5"/>
            <w:rFonts w:cstheme="minorHAnsi"/>
            <w:bCs/>
            <w:noProof/>
            <w:spacing w:val="3"/>
            <w:shd w:val="clear" w:color="auto" w:fill="FFFFFF"/>
            <w:vertAlign w:val="subscript"/>
          </w:rPr>
          <w:t>13</w:t>
        </w:r>
        <w:r w:rsidR="0042250B" w:rsidRPr="00230498">
          <w:rPr>
            <w:rStyle w:val="af5"/>
            <w:rFonts w:cstheme="minorHAnsi"/>
            <w:bCs/>
            <w:noProof/>
            <w:spacing w:val="3"/>
            <w:shd w:val="clear" w:color="auto" w:fill="FFFFFF"/>
          </w:rPr>
          <w:t xml:space="preserve"> subjected to x% deformation (where x=0, 3, 6, 9% true strain).</w:t>
        </w:r>
        <w:r w:rsidR="0042250B" w:rsidRPr="00230498">
          <w:rPr>
            <w:rStyle w:val="af5"/>
            <w:rFonts w:cstheme="minorHAnsi"/>
            <w:noProof/>
            <w:spacing w:val="3"/>
            <w:shd w:val="clear" w:color="auto" w:fill="FFFFFF"/>
          </w:rPr>
          <w:t xml:space="preserve"> θ is the Bragg angle. The effect of TRIP is directly related to the extent of strain. Indexed martensite phase’s euler angle maps for 3%, 6% and 9% strain are presented while the β phase is characterized with red. (scale bars = 20μm).</w:t>
        </w:r>
        <w:r w:rsidR="0042250B">
          <w:rPr>
            <w:noProof/>
            <w:webHidden/>
          </w:rPr>
          <w:tab/>
        </w:r>
        <w:r w:rsidR="0042250B">
          <w:rPr>
            <w:noProof/>
            <w:webHidden/>
          </w:rPr>
          <w:fldChar w:fldCharType="begin"/>
        </w:r>
        <w:r w:rsidR="0042250B">
          <w:rPr>
            <w:noProof/>
            <w:webHidden/>
          </w:rPr>
          <w:instrText xml:space="preserve"> PAGEREF _Toc39312724 \h </w:instrText>
        </w:r>
        <w:r w:rsidR="0042250B">
          <w:rPr>
            <w:noProof/>
            <w:webHidden/>
          </w:rPr>
        </w:r>
        <w:r w:rsidR="0042250B">
          <w:rPr>
            <w:noProof/>
            <w:webHidden/>
          </w:rPr>
          <w:fldChar w:fldCharType="separate"/>
        </w:r>
        <w:r w:rsidR="0042250B">
          <w:rPr>
            <w:noProof/>
            <w:webHidden/>
          </w:rPr>
          <w:t>143</w:t>
        </w:r>
        <w:r w:rsidR="0042250B">
          <w:rPr>
            <w:noProof/>
            <w:webHidden/>
          </w:rPr>
          <w:fldChar w:fldCharType="end"/>
        </w:r>
      </w:hyperlink>
    </w:p>
    <w:p w14:paraId="4B186823" w14:textId="427D2728" w:rsidR="0042250B" w:rsidRDefault="00077961" w:rsidP="0042250B">
      <w:pPr>
        <w:pStyle w:val="af7"/>
        <w:tabs>
          <w:tab w:val="right" w:leader="dot" w:pos="9350"/>
        </w:tabs>
        <w:spacing w:after="60" w:line="360" w:lineRule="auto"/>
        <w:rPr>
          <w:noProof/>
          <w:kern w:val="2"/>
          <w:sz w:val="21"/>
        </w:rPr>
      </w:pPr>
      <w:hyperlink w:anchor="_Toc39312725" w:history="1">
        <w:r w:rsidR="0042250B" w:rsidRPr="00230498">
          <w:rPr>
            <w:rStyle w:val="af5"/>
            <w:b/>
            <w:noProof/>
          </w:rPr>
          <w:t xml:space="preserve"> Figure 7-2 Noise-reduced EBSD maps of (TiZrHf)</w:t>
        </w:r>
        <w:r w:rsidR="0042250B" w:rsidRPr="00230498">
          <w:rPr>
            <w:rStyle w:val="af5"/>
            <w:b/>
            <w:noProof/>
            <w:vertAlign w:val="subscript"/>
          </w:rPr>
          <w:t>87</w:t>
        </w:r>
        <w:r w:rsidR="0042250B" w:rsidRPr="00230498">
          <w:rPr>
            <w:rStyle w:val="af5"/>
            <w:b/>
            <w:noProof/>
          </w:rPr>
          <w:t>Ta</w:t>
        </w:r>
        <w:r w:rsidR="0042250B" w:rsidRPr="00230498">
          <w:rPr>
            <w:rStyle w:val="af5"/>
            <w:b/>
            <w:noProof/>
            <w:vertAlign w:val="subscript"/>
          </w:rPr>
          <w:t>13</w:t>
        </w:r>
        <w:r w:rsidR="0042250B" w:rsidRPr="00230498">
          <w:rPr>
            <w:rStyle w:val="af5"/>
            <w:b/>
            <w:noProof/>
          </w:rPr>
          <w:t xml:space="preserve"> subjected to 3% deformation. </w:t>
        </w:r>
        <w:r w:rsidR="0042250B" w:rsidRPr="00230498">
          <w:rPr>
            <w:rStyle w:val="af5"/>
            <w:noProof/>
          </w:rPr>
          <w:t>(</w:t>
        </w:r>
        <w:r w:rsidR="0042250B" w:rsidRPr="00230498">
          <w:rPr>
            <w:rStyle w:val="af5"/>
            <w:b/>
            <w:noProof/>
          </w:rPr>
          <w:t>a</w:t>
        </w:r>
        <w:r w:rsidR="0042250B" w:rsidRPr="00230498">
          <w:rPr>
            <w:rStyle w:val="af5"/>
            <w:noProof/>
          </w:rPr>
          <w:t>) Euler map of the deformed sample, the indexed martensite phase constitution was confirmed to be 11.2%; (</w:t>
        </w:r>
        <w:r w:rsidR="0042250B" w:rsidRPr="00230498">
          <w:rPr>
            <w:rStyle w:val="af5"/>
            <w:b/>
            <w:noProof/>
          </w:rPr>
          <w:t>b</w:t>
        </w:r>
        <w:r w:rsidR="0042250B" w:rsidRPr="00230498">
          <w:rPr>
            <w:rStyle w:val="af5"/>
            <w:noProof/>
          </w:rPr>
          <w:t>) Euler map of the martensite phase. Inset shows an interesting feature which involves SA twinning within a primary martensite grain; (</w:t>
        </w:r>
        <w:r w:rsidR="0042250B" w:rsidRPr="00230498">
          <w:rPr>
            <w:rStyle w:val="af5"/>
            <w:b/>
            <w:noProof/>
          </w:rPr>
          <w:t>c</w:t>
        </w:r>
        <w:r w:rsidR="0042250B" w:rsidRPr="00230498">
          <w:rPr>
            <w:rStyle w:val="af5"/>
            <w:noProof/>
          </w:rPr>
          <w:t>) OR of martensite variants. The crystal orientation data was acquired at the red spot. The stereo-projection figure was generated following the pole acquired from orientation data. The normal axis was [31-1]</w:t>
        </w:r>
        <w:r w:rsidR="0042250B" w:rsidRPr="00230498">
          <w:rPr>
            <w:rStyle w:val="af5"/>
            <w:rFonts w:cs="Times New Roman"/>
            <w:noProof/>
            <w:vertAlign w:val="subscript"/>
          </w:rPr>
          <w:t>α</w:t>
        </w:r>
        <w:r w:rsidR="0042250B" w:rsidRPr="00230498">
          <w:rPr>
            <w:rStyle w:val="af5"/>
            <w:noProof/>
            <w:vertAlign w:val="subscript"/>
          </w:rPr>
          <w:t>’’</w:t>
        </w:r>
        <w:r w:rsidR="0042250B" w:rsidRPr="00230498">
          <w:rPr>
            <w:rStyle w:val="af5"/>
            <w:noProof/>
          </w:rPr>
          <w:t xml:space="preserve"> and [132]</w:t>
        </w:r>
        <w:r w:rsidR="0042250B" w:rsidRPr="00230498">
          <w:rPr>
            <w:rStyle w:val="af5"/>
            <w:rFonts w:cs="Times New Roman"/>
            <w:noProof/>
            <w:vertAlign w:val="subscript"/>
          </w:rPr>
          <w:t>α</w:t>
        </w:r>
        <w:r w:rsidR="0042250B" w:rsidRPr="00230498">
          <w:rPr>
            <w:rStyle w:val="af5"/>
            <w:noProof/>
            <w:vertAlign w:val="subscript"/>
          </w:rPr>
          <w:t>’’</w:t>
        </w:r>
        <w:r w:rsidR="0042250B" w:rsidRPr="00230498">
          <w:rPr>
            <w:rStyle w:val="af5"/>
            <w:noProof/>
          </w:rPr>
          <w:t xml:space="preserve"> for primary and secondary martensite, respectively; and (</w:t>
        </w:r>
        <w:r w:rsidR="0042250B" w:rsidRPr="00230498">
          <w:rPr>
            <w:rStyle w:val="af5"/>
            <w:b/>
            <w:noProof/>
          </w:rPr>
          <w:t>d</w:t>
        </w:r>
        <w:r w:rsidR="0042250B" w:rsidRPr="00230498">
          <w:rPr>
            <w:rStyle w:val="af5"/>
            <w:noProof/>
          </w:rPr>
          <w:t>) OR of martensite variants. The crystal orientation data was measured at the red spot. The stereo-projection figure was formed following the pole acquired from the orientation data. The normal axis was [621]</w:t>
        </w:r>
        <w:r w:rsidR="0042250B" w:rsidRPr="00230498">
          <w:rPr>
            <w:rStyle w:val="af5"/>
            <w:rFonts w:cs="Times New Roman"/>
            <w:noProof/>
            <w:vertAlign w:val="subscript"/>
          </w:rPr>
          <w:t>α</w:t>
        </w:r>
        <w:r w:rsidR="0042250B" w:rsidRPr="00230498">
          <w:rPr>
            <w:rStyle w:val="af5"/>
            <w:noProof/>
            <w:vertAlign w:val="subscript"/>
          </w:rPr>
          <w:t>’’</w:t>
        </w:r>
        <w:r w:rsidR="0042250B" w:rsidRPr="00230498">
          <w:rPr>
            <w:rStyle w:val="af5"/>
            <w:noProof/>
          </w:rPr>
          <w:t xml:space="preserve"> and [253]</w:t>
        </w:r>
        <w:r w:rsidR="0042250B" w:rsidRPr="00230498">
          <w:rPr>
            <w:rStyle w:val="af5"/>
            <w:rFonts w:cs="Times New Roman"/>
            <w:noProof/>
            <w:vertAlign w:val="subscript"/>
          </w:rPr>
          <w:t>α</w:t>
        </w:r>
        <w:r w:rsidR="0042250B" w:rsidRPr="00230498">
          <w:rPr>
            <w:rStyle w:val="af5"/>
            <w:noProof/>
            <w:vertAlign w:val="subscript"/>
          </w:rPr>
          <w:t>’’</w:t>
        </w:r>
        <w:r w:rsidR="0042250B" w:rsidRPr="00230498">
          <w:rPr>
            <w:rStyle w:val="af5"/>
            <w:noProof/>
          </w:rPr>
          <w:t xml:space="preserve"> for primary and secondary martensite, respectively.</w:t>
        </w:r>
        <w:r w:rsidR="0042250B">
          <w:rPr>
            <w:noProof/>
            <w:webHidden/>
          </w:rPr>
          <w:tab/>
        </w:r>
        <w:r w:rsidR="0042250B">
          <w:rPr>
            <w:noProof/>
            <w:webHidden/>
          </w:rPr>
          <w:fldChar w:fldCharType="begin"/>
        </w:r>
        <w:r w:rsidR="0042250B">
          <w:rPr>
            <w:noProof/>
            <w:webHidden/>
          </w:rPr>
          <w:instrText xml:space="preserve"> PAGEREF _Toc39312725 \h </w:instrText>
        </w:r>
        <w:r w:rsidR="0042250B">
          <w:rPr>
            <w:noProof/>
            <w:webHidden/>
          </w:rPr>
        </w:r>
        <w:r w:rsidR="0042250B">
          <w:rPr>
            <w:noProof/>
            <w:webHidden/>
          </w:rPr>
          <w:fldChar w:fldCharType="separate"/>
        </w:r>
        <w:r w:rsidR="0042250B">
          <w:rPr>
            <w:noProof/>
            <w:webHidden/>
          </w:rPr>
          <w:t>145</w:t>
        </w:r>
        <w:r w:rsidR="0042250B">
          <w:rPr>
            <w:noProof/>
            <w:webHidden/>
          </w:rPr>
          <w:fldChar w:fldCharType="end"/>
        </w:r>
      </w:hyperlink>
    </w:p>
    <w:p w14:paraId="025FECB2" w14:textId="10E55149" w:rsidR="0042250B" w:rsidRDefault="00077961" w:rsidP="0042250B">
      <w:pPr>
        <w:pStyle w:val="af7"/>
        <w:tabs>
          <w:tab w:val="right" w:leader="dot" w:pos="9350"/>
        </w:tabs>
        <w:spacing w:after="60" w:line="360" w:lineRule="auto"/>
        <w:rPr>
          <w:noProof/>
          <w:kern w:val="2"/>
          <w:sz w:val="21"/>
        </w:rPr>
      </w:pPr>
      <w:hyperlink w:anchor="_Toc39312726" w:history="1">
        <w:r w:rsidR="0042250B" w:rsidRPr="00230498">
          <w:rPr>
            <w:rStyle w:val="af5"/>
            <w:rFonts w:cstheme="minorHAnsi"/>
            <w:b/>
            <w:noProof/>
          </w:rPr>
          <w:t>Figure 7-3: Noise-filtered EBSD maps of (TiZrHf)</w:t>
        </w:r>
        <w:r w:rsidR="0042250B" w:rsidRPr="00230498">
          <w:rPr>
            <w:rStyle w:val="af5"/>
            <w:rFonts w:cstheme="minorHAnsi"/>
            <w:b/>
            <w:noProof/>
            <w:vertAlign w:val="subscript"/>
          </w:rPr>
          <w:t>87</w:t>
        </w:r>
        <w:r w:rsidR="0042250B" w:rsidRPr="00230498">
          <w:rPr>
            <w:rStyle w:val="af5"/>
            <w:rFonts w:cstheme="minorHAnsi"/>
            <w:b/>
            <w:noProof/>
          </w:rPr>
          <w:t>Ta</w:t>
        </w:r>
        <w:r w:rsidR="0042250B" w:rsidRPr="00230498">
          <w:rPr>
            <w:rStyle w:val="af5"/>
            <w:rFonts w:cstheme="minorHAnsi"/>
            <w:b/>
            <w:noProof/>
            <w:vertAlign w:val="subscript"/>
          </w:rPr>
          <w:t>13</w:t>
        </w:r>
        <w:r w:rsidR="0042250B" w:rsidRPr="00230498">
          <w:rPr>
            <w:rStyle w:val="af5"/>
            <w:rFonts w:cstheme="minorHAnsi"/>
            <w:b/>
            <w:noProof/>
          </w:rPr>
          <w:t xml:space="preserve"> and (TiZrHf)</w:t>
        </w:r>
        <w:r w:rsidR="0042250B" w:rsidRPr="00230498">
          <w:rPr>
            <w:rStyle w:val="af5"/>
            <w:rFonts w:cstheme="minorHAnsi"/>
            <w:b/>
            <w:noProof/>
            <w:vertAlign w:val="subscript"/>
          </w:rPr>
          <w:t>85</w:t>
        </w:r>
        <w:r w:rsidR="0042250B" w:rsidRPr="00230498">
          <w:rPr>
            <w:rStyle w:val="af5"/>
            <w:rFonts w:cstheme="minorHAnsi"/>
            <w:b/>
            <w:noProof/>
          </w:rPr>
          <w:t>Ta</w:t>
        </w:r>
        <w:r w:rsidR="0042250B" w:rsidRPr="00230498">
          <w:rPr>
            <w:rStyle w:val="af5"/>
            <w:rFonts w:cstheme="minorHAnsi"/>
            <w:b/>
            <w:noProof/>
            <w:vertAlign w:val="subscript"/>
          </w:rPr>
          <w:t xml:space="preserve">15 </w:t>
        </w:r>
        <w:r w:rsidR="0042250B" w:rsidRPr="00230498">
          <w:rPr>
            <w:rStyle w:val="af5"/>
            <w:rFonts w:cstheme="minorHAnsi"/>
            <w:b/>
            <w:noProof/>
          </w:rPr>
          <w:t xml:space="preserve">subjected to 6% deformation. </w:t>
        </w:r>
        <w:r w:rsidR="0042250B" w:rsidRPr="00230498">
          <w:rPr>
            <w:rStyle w:val="af5"/>
            <w:rFonts w:cstheme="minorHAnsi"/>
            <w:noProof/>
          </w:rPr>
          <w:t>(</w:t>
        </w:r>
        <w:r w:rsidR="0042250B" w:rsidRPr="00230498">
          <w:rPr>
            <w:rStyle w:val="af5"/>
            <w:rFonts w:cstheme="minorHAnsi"/>
            <w:b/>
            <w:noProof/>
          </w:rPr>
          <w:t>a</w:t>
        </w:r>
        <w:r w:rsidR="0042250B" w:rsidRPr="00230498">
          <w:rPr>
            <w:rStyle w:val="af5"/>
            <w:rFonts w:cstheme="minorHAnsi"/>
            <w:noProof/>
          </w:rPr>
          <w:t>) Euler angle map of the deformed sample. The inset highlights martensitic misorientation profile used for twinning indexation.  (</w:t>
        </w:r>
        <w:r w:rsidR="0042250B" w:rsidRPr="00230498">
          <w:rPr>
            <w:rStyle w:val="af5"/>
            <w:rFonts w:cstheme="minorHAnsi"/>
            <w:b/>
            <w:noProof/>
          </w:rPr>
          <w:t>b</w:t>
        </w:r>
        <w:r w:rsidR="0042250B" w:rsidRPr="00230498">
          <w:rPr>
            <w:rStyle w:val="af5"/>
            <w:rFonts w:cstheme="minorHAnsi"/>
            <w:noProof/>
          </w:rPr>
          <w:t>) Euler angle map of martensite phase. (</w:t>
        </w:r>
        <w:r w:rsidR="0042250B" w:rsidRPr="00230498">
          <w:rPr>
            <w:rStyle w:val="af5"/>
            <w:rFonts w:cstheme="minorHAnsi"/>
            <w:b/>
            <w:noProof/>
          </w:rPr>
          <w:t>c</w:t>
        </w:r>
        <w:r w:rsidR="0042250B" w:rsidRPr="00230498">
          <w:rPr>
            <w:rStyle w:val="af5"/>
            <w:rFonts w:cstheme="minorHAnsi"/>
            <w:noProof/>
          </w:rPr>
          <w:t>) Orientation relationship of martensite variants from the red box in (a). The crystal orientation data is acquired at the red spots. Stereographic projections are generated from the orientation data. The normal axes are (i) [3-1-5]</w:t>
        </w:r>
        <w:r w:rsidR="0042250B" w:rsidRPr="00230498">
          <w:rPr>
            <w:rStyle w:val="af5"/>
            <w:rFonts w:cstheme="minorHAnsi"/>
            <w:noProof/>
            <w:vertAlign w:val="subscript"/>
          </w:rPr>
          <w:t>α’’</w:t>
        </w:r>
        <w:r w:rsidR="0042250B" w:rsidRPr="00230498">
          <w:rPr>
            <w:rStyle w:val="af5"/>
            <w:rFonts w:cstheme="minorHAnsi"/>
            <w:noProof/>
          </w:rPr>
          <w:t xml:space="preserve"> for α’’ matrix,  (ii) [503]</w:t>
        </w:r>
        <w:r w:rsidR="0042250B" w:rsidRPr="00230498">
          <w:rPr>
            <w:rStyle w:val="af5"/>
            <w:rFonts w:cstheme="minorHAnsi"/>
            <w:noProof/>
            <w:vertAlign w:val="subscript"/>
          </w:rPr>
          <w:t>α’’</w:t>
        </w:r>
        <w:r w:rsidR="0042250B" w:rsidRPr="00230498">
          <w:rPr>
            <w:rStyle w:val="af5"/>
            <w:rFonts w:cstheme="minorHAnsi"/>
            <w:noProof/>
          </w:rPr>
          <w:t xml:space="preserve"> for {111}</w:t>
        </w:r>
        <w:r w:rsidR="0042250B" w:rsidRPr="00230498">
          <w:rPr>
            <w:rStyle w:val="af5"/>
            <w:rFonts w:cstheme="minorHAnsi"/>
            <w:noProof/>
            <w:vertAlign w:val="subscript"/>
          </w:rPr>
          <w:t>α’’</w:t>
        </w:r>
        <w:r w:rsidR="0042250B" w:rsidRPr="00230498">
          <w:rPr>
            <w:rStyle w:val="af5"/>
            <w:rFonts w:cstheme="minorHAnsi"/>
            <w:noProof/>
          </w:rPr>
          <w:t xml:space="preserve"> type I twinned variant  (iii) [315]</w:t>
        </w:r>
        <w:r w:rsidR="0042250B" w:rsidRPr="00230498">
          <w:rPr>
            <w:rStyle w:val="af5"/>
            <w:rFonts w:cstheme="minorHAnsi"/>
            <w:noProof/>
            <w:vertAlign w:val="subscript"/>
          </w:rPr>
          <w:t>α’’</w:t>
        </w:r>
        <w:r w:rsidR="0042250B" w:rsidRPr="00230498">
          <w:rPr>
            <w:rStyle w:val="af5"/>
            <w:rFonts w:cstheme="minorHAnsi"/>
            <w:noProof/>
          </w:rPr>
          <w:t xml:space="preserve"> for α’’ {351}&lt;1-12&gt;</w:t>
        </w:r>
        <w:r w:rsidR="0042250B" w:rsidRPr="00230498">
          <w:rPr>
            <w:rStyle w:val="af5"/>
            <w:rFonts w:cstheme="minorHAnsi"/>
            <w:noProof/>
            <w:vertAlign w:val="subscript"/>
          </w:rPr>
          <w:t>α’’</w:t>
        </w:r>
        <w:r w:rsidR="0042250B" w:rsidRPr="00230498">
          <w:rPr>
            <w:rStyle w:val="af5"/>
            <w:rFonts w:cstheme="minorHAnsi"/>
            <w:noProof/>
          </w:rPr>
          <w:t xml:space="preserve"> compound twinned variant. (</w:t>
        </w:r>
        <w:r w:rsidR="0042250B" w:rsidRPr="00230498">
          <w:rPr>
            <w:rStyle w:val="af5"/>
            <w:rFonts w:cstheme="minorHAnsi"/>
            <w:b/>
            <w:noProof/>
          </w:rPr>
          <w:t>d</w:t>
        </w:r>
        <w:r w:rsidR="0042250B" w:rsidRPr="00230498">
          <w:rPr>
            <w:rStyle w:val="af5"/>
            <w:rFonts w:cstheme="minorHAnsi"/>
            <w:noProof/>
          </w:rPr>
          <w:t>) Euler angle map of the deformed sample. The inset highlights martensitic twinning misorientation profile used for twinning indexation. (</w:t>
        </w:r>
        <w:r w:rsidR="0042250B" w:rsidRPr="00230498">
          <w:rPr>
            <w:rStyle w:val="af5"/>
            <w:rFonts w:cstheme="minorHAnsi"/>
            <w:b/>
            <w:noProof/>
          </w:rPr>
          <w:t>e</w:t>
        </w:r>
        <w:r w:rsidR="0042250B" w:rsidRPr="00230498">
          <w:rPr>
            <w:rStyle w:val="af5"/>
            <w:rFonts w:cstheme="minorHAnsi"/>
            <w:noProof/>
          </w:rPr>
          <w:t>) Euler angle map of martensite phase. Scale bars, 10μm.</w:t>
        </w:r>
        <w:r w:rsidR="0042250B">
          <w:rPr>
            <w:noProof/>
            <w:webHidden/>
          </w:rPr>
          <w:tab/>
        </w:r>
        <w:r w:rsidR="0042250B">
          <w:rPr>
            <w:noProof/>
            <w:webHidden/>
          </w:rPr>
          <w:fldChar w:fldCharType="begin"/>
        </w:r>
        <w:r w:rsidR="0042250B">
          <w:rPr>
            <w:noProof/>
            <w:webHidden/>
          </w:rPr>
          <w:instrText xml:space="preserve"> PAGEREF _Toc39312726 \h </w:instrText>
        </w:r>
        <w:r w:rsidR="0042250B">
          <w:rPr>
            <w:noProof/>
            <w:webHidden/>
          </w:rPr>
        </w:r>
        <w:r w:rsidR="0042250B">
          <w:rPr>
            <w:noProof/>
            <w:webHidden/>
          </w:rPr>
          <w:fldChar w:fldCharType="separate"/>
        </w:r>
        <w:r w:rsidR="0042250B">
          <w:rPr>
            <w:noProof/>
            <w:webHidden/>
          </w:rPr>
          <w:t>146</w:t>
        </w:r>
        <w:r w:rsidR="0042250B">
          <w:rPr>
            <w:noProof/>
            <w:webHidden/>
          </w:rPr>
          <w:fldChar w:fldCharType="end"/>
        </w:r>
      </w:hyperlink>
    </w:p>
    <w:p w14:paraId="3508244F" w14:textId="4B07B7B5" w:rsidR="0042250B" w:rsidRDefault="00077961" w:rsidP="0042250B">
      <w:pPr>
        <w:pStyle w:val="af7"/>
        <w:tabs>
          <w:tab w:val="right" w:leader="dot" w:pos="9350"/>
        </w:tabs>
        <w:spacing w:after="60" w:line="360" w:lineRule="auto"/>
        <w:rPr>
          <w:noProof/>
          <w:kern w:val="2"/>
          <w:sz w:val="21"/>
        </w:rPr>
      </w:pPr>
      <w:hyperlink w:anchor="_Toc39312727" w:history="1">
        <w:r w:rsidR="0042250B" w:rsidRPr="00230498">
          <w:rPr>
            <w:rStyle w:val="af5"/>
            <w:b/>
            <w:noProof/>
          </w:rPr>
          <w:t>Figure 7-4 Noise-reduced EBSD maps of (TiZrHf)</w:t>
        </w:r>
        <w:r w:rsidR="0042250B" w:rsidRPr="00230498">
          <w:rPr>
            <w:rStyle w:val="af5"/>
            <w:b/>
            <w:noProof/>
            <w:vertAlign w:val="subscript"/>
          </w:rPr>
          <w:t>87</w:t>
        </w:r>
        <w:r w:rsidR="0042250B" w:rsidRPr="00230498">
          <w:rPr>
            <w:rStyle w:val="af5"/>
            <w:b/>
            <w:noProof/>
          </w:rPr>
          <w:t>Ta</w:t>
        </w:r>
        <w:r w:rsidR="0042250B" w:rsidRPr="00230498">
          <w:rPr>
            <w:rStyle w:val="af5"/>
            <w:b/>
            <w:noProof/>
            <w:vertAlign w:val="subscript"/>
          </w:rPr>
          <w:t>13</w:t>
        </w:r>
        <w:r w:rsidR="0042250B" w:rsidRPr="00230498">
          <w:rPr>
            <w:rStyle w:val="af5"/>
            <w:b/>
            <w:noProof/>
          </w:rPr>
          <w:t xml:space="preserve"> subjected to 20% deformation</w:t>
        </w:r>
        <w:r w:rsidR="0042250B" w:rsidRPr="00230498">
          <w:rPr>
            <w:rStyle w:val="af5"/>
            <w:noProof/>
          </w:rPr>
          <w:t>. (</w:t>
        </w:r>
        <w:r w:rsidR="0042250B" w:rsidRPr="00230498">
          <w:rPr>
            <w:rStyle w:val="af5"/>
            <w:b/>
            <w:noProof/>
          </w:rPr>
          <w:t>a</w:t>
        </w:r>
        <w:r w:rsidR="0042250B" w:rsidRPr="00230498">
          <w:rPr>
            <w:rStyle w:val="af5"/>
            <w:noProof/>
          </w:rPr>
          <w:t xml:space="preserve">) Euler map of the martensite phase, with the four martensite variants annotated with black, green, purple and pink. In addition to the previous misorientation profile which represents type I and type II SA twinning, the </w:t>
        </w:r>
        <w:r w:rsidR="0042250B" w:rsidRPr="00230498">
          <w:rPr>
            <w:rStyle w:val="af5"/>
            <w:noProof/>
          </w:rPr>
          <w:lastRenderedPageBreak/>
          <w:t>misorientation angle &lt;011&gt;</w:t>
        </w:r>
        <w:r w:rsidR="0042250B" w:rsidRPr="00230498">
          <w:rPr>
            <w:rStyle w:val="af5"/>
            <w:rFonts w:cs="Times New Roman"/>
            <w:noProof/>
            <w:vertAlign w:val="subscript"/>
          </w:rPr>
          <w:t xml:space="preserve"> α</w:t>
        </w:r>
        <w:r w:rsidR="0042250B" w:rsidRPr="00230498">
          <w:rPr>
            <w:rStyle w:val="af5"/>
            <w:noProof/>
            <w:vertAlign w:val="subscript"/>
          </w:rPr>
          <w:t>’’</w:t>
        </w:r>
        <w:r w:rsidR="0042250B" w:rsidRPr="00230498">
          <w:rPr>
            <w:rStyle w:val="af5"/>
            <w:noProof/>
          </w:rPr>
          <w:t>~85° was applied to index the {011}</w:t>
        </w:r>
        <w:r w:rsidR="0042250B" w:rsidRPr="00230498">
          <w:rPr>
            <w:rStyle w:val="af5"/>
            <w:rFonts w:cs="Times New Roman"/>
            <w:noProof/>
            <w:vertAlign w:val="subscript"/>
          </w:rPr>
          <w:t>α</w:t>
        </w:r>
        <w:r w:rsidR="0042250B" w:rsidRPr="00230498">
          <w:rPr>
            <w:rStyle w:val="af5"/>
            <w:noProof/>
            <w:vertAlign w:val="subscript"/>
          </w:rPr>
          <w:t>’’</w:t>
        </w:r>
        <w:r w:rsidR="0042250B" w:rsidRPr="00230498">
          <w:rPr>
            <w:rStyle w:val="af5"/>
            <w:noProof/>
          </w:rPr>
          <w:t xml:space="preserve"> compound twins; and (</w:t>
        </w:r>
        <w:r w:rsidR="0042250B" w:rsidRPr="00230498">
          <w:rPr>
            <w:rStyle w:val="af5"/>
            <w:b/>
            <w:noProof/>
          </w:rPr>
          <w:t>b</w:t>
        </w:r>
        <w:r w:rsidR="0042250B" w:rsidRPr="00230498">
          <w:rPr>
            <w:rStyle w:val="af5"/>
            <w:noProof/>
          </w:rPr>
          <w:t>) OR of the martensite variants. The crystal orientation data were acquired at the red spots. A stereo-projection figure was formed following the pole acquired from orientation data. The normal axes was determined as [436]</w:t>
        </w:r>
        <w:r w:rsidR="0042250B" w:rsidRPr="00230498">
          <w:rPr>
            <w:rStyle w:val="af5"/>
            <w:rFonts w:cs="Times New Roman"/>
            <w:noProof/>
            <w:vertAlign w:val="subscript"/>
          </w:rPr>
          <w:t>α</w:t>
        </w:r>
        <w:r w:rsidR="0042250B" w:rsidRPr="00230498">
          <w:rPr>
            <w:rStyle w:val="af5"/>
            <w:noProof/>
            <w:vertAlign w:val="subscript"/>
          </w:rPr>
          <w:t>’’</w:t>
        </w:r>
        <w:r w:rsidR="0042250B" w:rsidRPr="00230498">
          <w:rPr>
            <w:rStyle w:val="af5"/>
            <w:noProof/>
          </w:rPr>
          <w:t>, [401]</w:t>
        </w:r>
        <w:r w:rsidR="0042250B" w:rsidRPr="00230498">
          <w:rPr>
            <w:rStyle w:val="af5"/>
            <w:rFonts w:cs="Times New Roman"/>
            <w:noProof/>
            <w:vertAlign w:val="subscript"/>
          </w:rPr>
          <w:t>α</w:t>
        </w:r>
        <w:r w:rsidR="0042250B" w:rsidRPr="00230498">
          <w:rPr>
            <w:rStyle w:val="af5"/>
            <w:noProof/>
            <w:vertAlign w:val="subscript"/>
          </w:rPr>
          <w:t>’’</w:t>
        </w:r>
        <w:r w:rsidR="0042250B" w:rsidRPr="00230498">
          <w:rPr>
            <w:rStyle w:val="af5"/>
            <w:noProof/>
          </w:rPr>
          <w:t xml:space="preserve">  and [513]</w:t>
        </w:r>
        <w:r w:rsidR="0042250B" w:rsidRPr="00230498">
          <w:rPr>
            <w:rStyle w:val="af5"/>
            <w:rFonts w:cs="Times New Roman"/>
            <w:noProof/>
            <w:vertAlign w:val="subscript"/>
          </w:rPr>
          <w:t>α</w:t>
        </w:r>
        <w:r w:rsidR="0042250B" w:rsidRPr="00230498">
          <w:rPr>
            <w:rStyle w:val="af5"/>
            <w:noProof/>
            <w:vertAlign w:val="subscript"/>
          </w:rPr>
          <w:t>’’</w:t>
        </w:r>
        <w:r w:rsidR="0042250B" w:rsidRPr="00230498">
          <w:rPr>
            <w:rStyle w:val="af5"/>
            <w:noProof/>
          </w:rPr>
          <w:t xml:space="preserve"> for V1, V2, and V3, respectively.</w:t>
        </w:r>
        <w:r w:rsidR="0042250B">
          <w:rPr>
            <w:noProof/>
            <w:webHidden/>
          </w:rPr>
          <w:tab/>
        </w:r>
        <w:r w:rsidR="0042250B">
          <w:rPr>
            <w:noProof/>
            <w:webHidden/>
          </w:rPr>
          <w:fldChar w:fldCharType="begin"/>
        </w:r>
        <w:r w:rsidR="0042250B">
          <w:rPr>
            <w:noProof/>
            <w:webHidden/>
          </w:rPr>
          <w:instrText xml:space="preserve"> PAGEREF _Toc39312727 \h </w:instrText>
        </w:r>
        <w:r w:rsidR="0042250B">
          <w:rPr>
            <w:noProof/>
            <w:webHidden/>
          </w:rPr>
        </w:r>
        <w:r w:rsidR="0042250B">
          <w:rPr>
            <w:noProof/>
            <w:webHidden/>
          </w:rPr>
          <w:fldChar w:fldCharType="separate"/>
        </w:r>
        <w:r w:rsidR="0042250B">
          <w:rPr>
            <w:noProof/>
            <w:webHidden/>
          </w:rPr>
          <w:t>148</w:t>
        </w:r>
        <w:r w:rsidR="0042250B">
          <w:rPr>
            <w:noProof/>
            <w:webHidden/>
          </w:rPr>
          <w:fldChar w:fldCharType="end"/>
        </w:r>
      </w:hyperlink>
    </w:p>
    <w:p w14:paraId="1465B4A9" w14:textId="4F758D82" w:rsidR="0042250B" w:rsidRDefault="00077961" w:rsidP="0042250B">
      <w:pPr>
        <w:pStyle w:val="af7"/>
        <w:tabs>
          <w:tab w:val="right" w:leader="dot" w:pos="9350"/>
        </w:tabs>
        <w:spacing w:after="60" w:line="360" w:lineRule="auto"/>
        <w:rPr>
          <w:noProof/>
          <w:kern w:val="2"/>
          <w:sz w:val="21"/>
        </w:rPr>
      </w:pPr>
      <w:hyperlink w:anchor="_Toc39312728" w:history="1">
        <w:r w:rsidR="0042250B" w:rsidRPr="00230498">
          <w:rPr>
            <w:rStyle w:val="af5"/>
            <w:b/>
            <w:noProof/>
          </w:rPr>
          <w:t>Figure 7-5 TEM images of {351}</w:t>
        </w:r>
        <w:r w:rsidR="0042250B" w:rsidRPr="00230498">
          <w:rPr>
            <w:rStyle w:val="af5"/>
            <w:rFonts w:ascii="Times New Roman" w:hAnsi="Times New Roman" w:cs="Times New Roman"/>
            <w:b/>
            <w:noProof/>
            <w:vertAlign w:val="subscript"/>
          </w:rPr>
          <w:t>α</w:t>
        </w:r>
        <w:r w:rsidR="0042250B" w:rsidRPr="00230498">
          <w:rPr>
            <w:rStyle w:val="af5"/>
            <w:b/>
            <w:noProof/>
            <w:vertAlign w:val="subscript"/>
          </w:rPr>
          <w:t>’’</w:t>
        </w:r>
        <w:r w:rsidR="0042250B" w:rsidRPr="00230498">
          <w:rPr>
            <w:rStyle w:val="af5"/>
            <w:b/>
            <w:noProof/>
          </w:rPr>
          <w:t xml:space="preserve"> twinning in the specimen deformed to 6% strain. </w:t>
        </w:r>
        <w:r w:rsidR="0042250B" w:rsidRPr="00230498">
          <w:rPr>
            <w:rStyle w:val="af5"/>
            <w:noProof/>
          </w:rPr>
          <w:t>(</w:t>
        </w:r>
        <w:r w:rsidR="0042250B" w:rsidRPr="00230498">
          <w:rPr>
            <w:rStyle w:val="af5"/>
            <w:b/>
            <w:noProof/>
          </w:rPr>
          <w:t>a</w:t>
        </w:r>
        <w:r w:rsidR="0042250B" w:rsidRPr="00230498">
          <w:rPr>
            <w:rStyle w:val="af5"/>
            <w:noProof/>
          </w:rPr>
          <w:t>) a bright field image of the target area; (</w:t>
        </w:r>
        <w:r w:rsidR="0042250B" w:rsidRPr="00230498">
          <w:rPr>
            <w:rStyle w:val="af5"/>
            <w:b/>
            <w:noProof/>
          </w:rPr>
          <w:t>b</w:t>
        </w:r>
        <w:r w:rsidR="0042250B" w:rsidRPr="00230498">
          <w:rPr>
            <w:rStyle w:val="af5"/>
            <w:noProof/>
          </w:rPr>
          <w:t xml:space="preserve">) SADP taken along the [1-12] zone axis of the twinning boundary, matrix and twinning set DP are marked with green and red circles, respectively; </w:t>
        </w:r>
        <w:r w:rsidR="0042250B" w:rsidRPr="00230498">
          <w:rPr>
            <w:rStyle w:val="af5"/>
            <w:b/>
            <w:noProof/>
          </w:rPr>
          <w:t>i.</w:t>
        </w:r>
        <w:r w:rsidR="0042250B" w:rsidRPr="00230498">
          <w:rPr>
            <w:rStyle w:val="af5"/>
            <w:noProof/>
          </w:rPr>
          <w:t xml:space="preserve"> DFI of the matrix and </w:t>
        </w:r>
        <w:r w:rsidR="0042250B" w:rsidRPr="00230498">
          <w:rPr>
            <w:rStyle w:val="af5"/>
            <w:b/>
            <w:noProof/>
          </w:rPr>
          <w:t>ii.</w:t>
        </w:r>
        <w:r w:rsidR="0042250B" w:rsidRPr="00230498">
          <w:rPr>
            <w:rStyle w:val="af5"/>
            <w:noProof/>
          </w:rPr>
          <w:t xml:space="preserve"> of the twin; </w:t>
        </w:r>
        <w:r w:rsidR="0042250B" w:rsidRPr="00230498">
          <w:rPr>
            <w:rStyle w:val="af5"/>
            <w:b/>
            <w:noProof/>
          </w:rPr>
          <w:t>iii</w:t>
        </w:r>
        <w:r w:rsidR="0042250B" w:rsidRPr="00230498">
          <w:rPr>
            <w:rStyle w:val="af5"/>
            <w:noProof/>
          </w:rPr>
          <w:t xml:space="preserve">. antiphase boundary appearing similar to stacking faults observed in two-beam condition. </w:t>
        </w:r>
        <w:r w:rsidR="0042250B" w:rsidRPr="00230498">
          <w:rPr>
            <w:rStyle w:val="af5"/>
            <w:b/>
            <w:noProof/>
          </w:rPr>
          <w:t>iv</w:t>
        </w:r>
        <w:r w:rsidR="0042250B" w:rsidRPr="00230498">
          <w:rPr>
            <w:rStyle w:val="af5"/>
            <w:noProof/>
          </w:rPr>
          <w:t>. an enlarged feature within twin boundary. HRTEM images of the {351}</w:t>
        </w:r>
        <w:r w:rsidR="0042250B" w:rsidRPr="00230498">
          <w:rPr>
            <w:rStyle w:val="af5"/>
            <w:rFonts w:ascii="Times New Roman" w:hAnsi="Times New Roman" w:cs="Times New Roman"/>
            <w:noProof/>
            <w:vertAlign w:val="subscript"/>
          </w:rPr>
          <w:t>α</w:t>
        </w:r>
        <w:r w:rsidR="0042250B" w:rsidRPr="00230498">
          <w:rPr>
            <w:rStyle w:val="af5"/>
            <w:noProof/>
            <w:vertAlign w:val="subscript"/>
          </w:rPr>
          <w:t>’’</w:t>
        </w:r>
        <w:r w:rsidR="0042250B" w:rsidRPr="00230498">
          <w:rPr>
            <w:rStyle w:val="af5"/>
            <w:noProof/>
          </w:rPr>
          <w:t xml:space="preserve"> twinning boundary;</w:t>
        </w:r>
        <w:r w:rsidR="0042250B" w:rsidRPr="00230498">
          <w:rPr>
            <w:rStyle w:val="af5"/>
            <w:b/>
            <w:noProof/>
          </w:rPr>
          <w:t xml:space="preserve"> </w:t>
        </w:r>
        <w:r w:rsidR="0042250B" w:rsidRPr="00230498">
          <w:rPr>
            <w:rStyle w:val="af5"/>
            <w:noProof/>
          </w:rPr>
          <w:t>(</w:t>
        </w:r>
        <w:r w:rsidR="0042250B" w:rsidRPr="00230498">
          <w:rPr>
            <w:rStyle w:val="af5"/>
            <w:b/>
            <w:noProof/>
          </w:rPr>
          <w:t>c</w:t>
        </w:r>
        <w:r w:rsidR="0042250B" w:rsidRPr="00230498">
          <w:rPr>
            <w:rStyle w:val="af5"/>
            <w:noProof/>
          </w:rPr>
          <w:t>) SADP taken along the [100]//[011] zone axis of the twinning boundary, matrix and twinning set DP are marked with green and red circles, respectively; (</w:t>
        </w:r>
        <w:r w:rsidR="0042250B" w:rsidRPr="00230498">
          <w:rPr>
            <w:rStyle w:val="af5"/>
            <w:b/>
            <w:noProof/>
          </w:rPr>
          <w:t>d</w:t>
        </w:r>
        <w:r w:rsidR="0042250B" w:rsidRPr="00230498">
          <w:rPr>
            <w:rStyle w:val="af5"/>
            <w:noProof/>
          </w:rPr>
          <w:t>) DFI of the primary type II twin. (</w:t>
        </w:r>
        <w:r w:rsidR="0042250B" w:rsidRPr="00230498">
          <w:rPr>
            <w:rStyle w:val="af5"/>
            <w:b/>
            <w:noProof/>
          </w:rPr>
          <w:t>e</w:t>
        </w:r>
        <w:r w:rsidR="0042250B" w:rsidRPr="00230498">
          <w:rPr>
            <w:rStyle w:val="af5"/>
            <w:bCs/>
            <w:noProof/>
          </w:rPr>
          <w:t>)</w:t>
        </w:r>
        <w:r w:rsidR="0042250B" w:rsidRPr="00230498">
          <w:rPr>
            <w:rStyle w:val="af5"/>
            <w:noProof/>
          </w:rPr>
          <w:t xml:space="preserve"> DFI of the secondary type I twin.  Scale bars are 200nm.</w:t>
        </w:r>
        <w:r w:rsidR="0042250B">
          <w:rPr>
            <w:noProof/>
            <w:webHidden/>
          </w:rPr>
          <w:tab/>
        </w:r>
        <w:r w:rsidR="0042250B">
          <w:rPr>
            <w:noProof/>
            <w:webHidden/>
          </w:rPr>
          <w:fldChar w:fldCharType="begin"/>
        </w:r>
        <w:r w:rsidR="0042250B">
          <w:rPr>
            <w:noProof/>
            <w:webHidden/>
          </w:rPr>
          <w:instrText xml:space="preserve"> PAGEREF _Toc39312728 \h </w:instrText>
        </w:r>
        <w:r w:rsidR="0042250B">
          <w:rPr>
            <w:noProof/>
            <w:webHidden/>
          </w:rPr>
        </w:r>
        <w:r w:rsidR="0042250B">
          <w:rPr>
            <w:noProof/>
            <w:webHidden/>
          </w:rPr>
          <w:fldChar w:fldCharType="separate"/>
        </w:r>
        <w:r w:rsidR="0042250B">
          <w:rPr>
            <w:noProof/>
            <w:webHidden/>
          </w:rPr>
          <w:t>149</w:t>
        </w:r>
        <w:r w:rsidR="0042250B">
          <w:rPr>
            <w:noProof/>
            <w:webHidden/>
          </w:rPr>
          <w:fldChar w:fldCharType="end"/>
        </w:r>
      </w:hyperlink>
    </w:p>
    <w:p w14:paraId="1CD0663A" w14:textId="6B793A8E" w:rsidR="0042250B" w:rsidRDefault="00077961" w:rsidP="0042250B">
      <w:pPr>
        <w:pStyle w:val="af7"/>
        <w:tabs>
          <w:tab w:val="right" w:leader="dot" w:pos="9350"/>
        </w:tabs>
        <w:spacing w:after="60" w:line="360" w:lineRule="auto"/>
        <w:rPr>
          <w:noProof/>
          <w:kern w:val="2"/>
          <w:sz w:val="21"/>
        </w:rPr>
      </w:pPr>
      <w:hyperlink w:anchor="_Toc39312729" w:history="1">
        <w:r w:rsidR="0042250B" w:rsidRPr="00230498">
          <w:rPr>
            <w:rStyle w:val="af5"/>
            <w:rFonts w:cstheme="minorHAnsi"/>
            <w:b/>
            <w:bCs/>
            <w:noProof/>
          </w:rPr>
          <w:t>Figure 7-</w:t>
        </w:r>
        <w:r w:rsidR="0042250B" w:rsidRPr="00230498">
          <w:rPr>
            <w:rStyle w:val="af5"/>
            <w:b/>
            <w:noProof/>
          </w:rPr>
          <w:t>6</w:t>
        </w:r>
        <w:r w:rsidR="0042250B" w:rsidRPr="00230498">
          <w:rPr>
            <w:rStyle w:val="af5"/>
            <w:rFonts w:cstheme="minorHAnsi"/>
            <w:b/>
            <w:bCs/>
            <w:noProof/>
          </w:rPr>
          <w:t xml:space="preserve"> </w:t>
        </w:r>
        <w:r w:rsidR="0042250B" w:rsidRPr="00230498">
          <w:rPr>
            <w:rStyle w:val="af5"/>
            <w:rFonts w:cstheme="minorHAnsi"/>
            <w:b/>
            <w:noProof/>
          </w:rPr>
          <w:t>TEM image of {351}</w:t>
        </w:r>
        <w:r w:rsidR="0042250B" w:rsidRPr="00230498">
          <w:rPr>
            <w:rStyle w:val="af5"/>
            <w:b/>
            <w:noProof/>
            <w:vertAlign w:val="subscript"/>
          </w:rPr>
          <w:t>α’’</w:t>
        </w:r>
        <w:r w:rsidR="0042250B" w:rsidRPr="00230498">
          <w:rPr>
            <w:rStyle w:val="af5"/>
            <w:rFonts w:cstheme="minorHAnsi"/>
            <w:b/>
            <w:noProof/>
          </w:rPr>
          <w:t xml:space="preserve"> martensite twin.</w:t>
        </w:r>
        <w:r w:rsidR="0042250B" w:rsidRPr="00230498">
          <w:rPr>
            <w:rStyle w:val="af5"/>
            <w:rFonts w:cstheme="minorHAnsi"/>
            <w:noProof/>
          </w:rPr>
          <w:t xml:space="preserve"> </w:t>
        </w:r>
        <w:r w:rsidR="0042250B" w:rsidRPr="00230498">
          <w:rPr>
            <w:rStyle w:val="af5"/>
            <w:rFonts w:cstheme="minorHAnsi"/>
            <w:bCs/>
            <w:noProof/>
          </w:rPr>
          <w:t>(</w:t>
        </w:r>
        <w:r w:rsidR="0042250B" w:rsidRPr="00230498">
          <w:rPr>
            <w:rStyle w:val="af5"/>
            <w:rFonts w:cstheme="minorHAnsi"/>
            <w:b/>
            <w:bCs/>
            <w:noProof/>
          </w:rPr>
          <w:t>a</w:t>
        </w:r>
        <w:r w:rsidR="0042250B" w:rsidRPr="00230498">
          <w:rPr>
            <w:rStyle w:val="af5"/>
            <w:rFonts w:cstheme="minorHAnsi"/>
            <w:bCs/>
            <w:noProof/>
          </w:rPr>
          <w:t xml:space="preserve">) a </w:t>
        </w:r>
        <w:r w:rsidR="0042250B" w:rsidRPr="00230498">
          <w:rPr>
            <w:rStyle w:val="af5"/>
            <w:rFonts w:cstheme="minorHAnsi"/>
            <w:noProof/>
          </w:rPr>
          <w:t>SADP of {351} twinning and BCC matrix acquired from [001]</w:t>
        </w:r>
        <w:r w:rsidR="0042250B" w:rsidRPr="00230498">
          <w:rPr>
            <w:rStyle w:val="af5"/>
            <w:noProof/>
            <w:vertAlign w:val="subscript"/>
          </w:rPr>
          <w:t>α’’</w:t>
        </w:r>
        <w:r w:rsidR="0042250B" w:rsidRPr="00230498">
          <w:rPr>
            <w:rStyle w:val="af5"/>
            <w:rFonts w:cstheme="minorHAnsi"/>
            <w:noProof/>
          </w:rPr>
          <w:t xml:space="preserve"> //[2-11]</w:t>
        </w:r>
        <w:r w:rsidR="0042250B" w:rsidRPr="00230498">
          <w:rPr>
            <w:rStyle w:val="af5"/>
            <w:noProof/>
            <w:vertAlign w:val="subscript"/>
          </w:rPr>
          <w:t>α’’</w:t>
        </w:r>
        <w:r w:rsidR="0042250B" w:rsidRPr="00230498">
          <w:rPr>
            <w:rStyle w:val="af5"/>
            <w:rFonts w:cstheme="minorHAnsi"/>
            <w:noProof/>
          </w:rPr>
          <w:t>//[1-10]</w:t>
        </w:r>
        <w:r w:rsidR="0042250B" w:rsidRPr="00230498">
          <w:rPr>
            <w:rStyle w:val="af5"/>
            <w:rFonts w:eastAsia="宋体" w:cstheme="minorHAnsi"/>
            <w:noProof/>
            <w:vertAlign w:val="subscript"/>
          </w:rPr>
          <w:t>β</w:t>
        </w:r>
        <w:r w:rsidR="0042250B" w:rsidRPr="00230498">
          <w:rPr>
            <w:rStyle w:val="af5"/>
            <w:rFonts w:cstheme="minorHAnsi"/>
            <w:noProof/>
          </w:rPr>
          <w:t xml:space="preserve"> zone axis with BCC matrix; </w:t>
        </w:r>
        <w:r w:rsidR="0042250B" w:rsidRPr="00230498">
          <w:rPr>
            <w:rStyle w:val="af5"/>
            <w:rFonts w:cstheme="minorHAnsi"/>
            <w:bCs/>
            <w:noProof/>
          </w:rPr>
          <w:t>(</w:t>
        </w:r>
        <w:r w:rsidR="0042250B" w:rsidRPr="00230498">
          <w:rPr>
            <w:rStyle w:val="af5"/>
            <w:rFonts w:cstheme="minorHAnsi"/>
            <w:b/>
            <w:bCs/>
            <w:noProof/>
          </w:rPr>
          <w:t>b</w:t>
        </w:r>
        <w:r w:rsidR="0042250B" w:rsidRPr="00230498">
          <w:rPr>
            <w:rStyle w:val="af5"/>
            <w:rFonts w:cstheme="minorHAnsi"/>
            <w:bCs/>
            <w:noProof/>
          </w:rPr>
          <w:t xml:space="preserve">) bright filed image of the </w:t>
        </w:r>
        <w:r w:rsidR="0042250B" w:rsidRPr="00230498">
          <w:rPr>
            <w:rStyle w:val="af5"/>
            <w:rFonts w:cstheme="minorHAnsi"/>
            <w:noProof/>
          </w:rPr>
          <w:t>selected area;  (</w:t>
        </w:r>
        <w:r w:rsidR="0042250B" w:rsidRPr="00230498">
          <w:rPr>
            <w:rStyle w:val="af5"/>
            <w:rFonts w:cstheme="minorHAnsi"/>
            <w:b/>
            <w:bCs/>
            <w:noProof/>
          </w:rPr>
          <w:t>c</w:t>
        </w:r>
        <w:r w:rsidR="0042250B" w:rsidRPr="00230498">
          <w:rPr>
            <w:rStyle w:val="af5"/>
            <w:rFonts w:cstheme="minorHAnsi"/>
            <w:noProof/>
          </w:rPr>
          <w:t>)</w:t>
        </w:r>
        <w:r w:rsidR="0042250B" w:rsidRPr="00230498">
          <w:rPr>
            <w:rStyle w:val="af5"/>
            <w:rFonts w:cstheme="minorHAnsi"/>
            <w:bCs/>
            <w:noProof/>
          </w:rPr>
          <w:t xml:space="preserve"> a </w:t>
        </w:r>
        <w:r w:rsidR="0042250B" w:rsidRPr="00230498">
          <w:rPr>
            <w:rStyle w:val="af5"/>
            <w:rFonts w:cstheme="minorHAnsi"/>
            <w:noProof/>
          </w:rPr>
          <w:t xml:space="preserve">simulated DP of the denoted zone axis; </w:t>
        </w:r>
        <w:r w:rsidR="0042250B" w:rsidRPr="00230498">
          <w:rPr>
            <w:rStyle w:val="af5"/>
            <w:rFonts w:cstheme="minorHAnsi"/>
            <w:bCs/>
            <w:noProof/>
          </w:rPr>
          <w:t>(</w:t>
        </w:r>
        <w:r w:rsidR="0042250B" w:rsidRPr="00230498">
          <w:rPr>
            <w:rStyle w:val="af5"/>
            <w:rFonts w:cstheme="minorHAnsi"/>
            <w:b/>
            <w:bCs/>
            <w:noProof/>
          </w:rPr>
          <w:t>d</w:t>
        </w:r>
        <w:r w:rsidR="0042250B" w:rsidRPr="00230498">
          <w:rPr>
            <w:rStyle w:val="af5"/>
            <w:rFonts w:cstheme="minorHAnsi"/>
            <w:bCs/>
            <w:noProof/>
          </w:rPr>
          <w:t xml:space="preserve">) </w:t>
        </w:r>
        <w:r w:rsidR="0042250B" w:rsidRPr="00230498">
          <w:rPr>
            <w:rStyle w:val="af5"/>
            <w:rFonts w:cstheme="minorHAnsi"/>
            <w:noProof/>
          </w:rPr>
          <w:t>overlapped DP of [001]</w:t>
        </w:r>
        <w:r w:rsidR="0042250B" w:rsidRPr="00230498">
          <w:rPr>
            <w:rStyle w:val="af5"/>
            <w:noProof/>
            <w:vertAlign w:val="subscript"/>
          </w:rPr>
          <w:t>α’’</w:t>
        </w:r>
        <w:r w:rsidR="0042250B" w:rsidRPr="00230498">
          <w:rPr>
            <w:rStyle w:val="af5"/>
            <w:rFonts w:cstheme="minorHAnsi"/>
            <w:noProof/>
          </w:rPr>
          <w:t xml:space="preserve"> //[2-11]</w:t>
        </w:r>
        <w:r w:rsidR="0042250B" w:rsidRPr="00230498">
          <w:rPr>
            <w:rStyle w:val="af5"/>
            <w:noProof/>
            <w:vertAlign w:val="subscript"/>
          </w:rPr>
          <w:t>α’’</w:t>
        </w:r>
        <w:r w:rsidR="0042250B" w:rsidRPr="00230498">
          <w:rPr>
            <w:rStyle w:val="af5"/>
            <w:rFonts w:cstheme="minorHAnsi"/>
            <w:noProof/>
          </w:rPr>
          <w:t>//[1-10]</w:t>
        </w:r>
        <w:r w:rsidR="0042250B" w:rsidRPr="00230498">
          <w:rPr>
            <w:rStyle w:val="af5"/>
            <w:rFonts w:eastAsia="宋体" w:cstheme="minorHAnsi"/>
            <w:noProof/>
            <w:vertAlign w:val="subscript"/>
          </w:rPr>
          <w:t>β</w:t>
        </w:r>
        <w:r w:rsidR="0042250B" w:rsidRPr="00230498">
          <w:rPr>
            <w:rStyle w:val="af5"/>
            <w:rFonts w:cstheme="minorHAnsi"/>
            <w:noProof/>
          </w:rPr>
          <w:t xml:space="preserve"> and can be compared with (a); and</w:t>
        </w:r>
        <w:r w:rsidR="0042250B" w:rsidRPr="00230498">
          <w:rPr>
            <w:rStyle w:val="af5"/>
            <w:rFonts w:cstheme="minorHAnsi"/>
            <w:bCs/>
            <w:noProof/>
          </w:rPr>
          <w:t xml:space="preserve"> a </w:t>
        </w:r>
        <w:r w:rsidR="0042250B" w:rsidRPr="00230498">
          <w:rPr>
            <w:rStyle w:val="af5"/>
            <w:rFonts w:cstheme="minorHAnsi"/>
            <w:noProof/>
          </w:rPr>
          <w:t>schematic stereo projection figure is acquired from the [001]</w:t>
        </w:r>
        <w:r w:rsidR="0042250B" w:rsidRPr="00230498">
          <w:rPr>
            <w:rStyle w:val="af5"/>
            <w:noProof/>
            <w:vertAlign w:val="subscript"/>
          </w:rPr>
          <w:t xml:space="preserve"> α’’</w:t>
        </w:r>
        <w:r w:rsidR="0042250B" w:rsidRPr="00230498">
          <w:rPr>
            <w:rStyle w:val="af5"/>
            <w:rFonts w:cstheme="minorHAnsi"/>
            <w:noProof/>
          </w:rPr>
          <w:t xml:space="preserve"> and [2-11]</w:t>
        </w:r>
        <w:r w:rsidR="0042250B" w:rsidRPr="00230498">
          <w:rPr>
            <w:rStyle w:val="af5"/>
            <w:noProof/>
            <w:vertAlign w:val="subscript"/>
          </w:rPr>
          <w:t xml:space="preserve"> α’’</w:t>
        </w:r>
        <w:r w:rsidR="0042250B" w:rsidRPr="00230498">
          <w:rPr>
            <w:rStyle w:val="af5"/>
            <w:noProof/>
          </w:rPr>
          <w:t xml:space="preserve"> zone axe</w:t>
        </w:r>
        <w:r w:rsidR="0042250B" w:rsidRPr="00230498">
          <w:rPr>
            <w:rStyle w:val="af5"/>
            <w:rFonts w:cstheme="minorHAnsi"/>
            <w:noProof/>
          </w:rPr>
          <w:t>.</w:t>
        </w:r>
        <w:r w:rsidR="0042250B">
          <w:rPr>
            <w:noProof/>
            <w:webHidden/>
          </w:rPr>
          <w:tab/>
        </w:r>
        <w:r w:rsidR="0042250B">
          <w:rPr>
            <w:noProof/>
            <w:webHidden/>
          </w:rPr>
          <w:fldChar w:fldCharType="begin"/>
        </w:r>
        <w:r w:rsidR="0042250B">
          <w:rPr>
            <w:noProof/>
            <w:webHidden/>
          </w:rPr>
          <w:instrText xml:space="preserve"> PAGEREF _Toc39312729 \h </w:instrText>
        </w:r>
        <w:r w:rsidR="0042250B">
          <w:rPr>
            <w:noProof/>
            <w:webHidden/>
          </w:rPr>
        </w:r>
        <w:r w:rsidR="0042250B">
          <w:rPr>
            <w:noProof/>
            <w:webHidden/>
          </w:rPr>
          <w:fldChar w:fldCharType="separate"/>
        </w:r>
        <w:r w:rsidR="0042250B">
          <w:rPr>
            <w:noProof/>
            <w:webHidden/>
          </w:rPr>
          <w:t>151</w:t>
        </w:r>
        <w:r w:rsidR="0042250B">
          <w:rPr>
            <w:noProof/>
            <w:webHidden/>
          </w:rPr>
          <w:fldChar w:fldCharType="end"/>
        </w:r>
      </w:hyperlink>
    </w:p>
    <w:p w14:paraId="01EE86B5" w14:textId="4F98E73D" w:rsidR="0042250B" w:rsidRDefault="00077961" w:rsidP="0042250B">
      <w:pPr>
        <w:pStyle w:val="af7"/>
        <w:tabs>
          <w:tab w:val="right" w:leader="dot" w:pos="9350"/>
        </w:tabs>
        <w:spacing w:after="60" w:line="360" w:lineRule="auto"/>
        <w:rPr>
          <w:noProof/>
          <w:kern w:val="2"/>
          <w:sz w:val="21"/>
        </w:rPr>
      </w:pPr>
      <w:hyperlink w:anchor="_Toc39312730" w:history="1">
        <w:r w:rsidR="0042250B" w:rsidRPr="00230498">
          <w:rPr>
            <w:rStyle w:val="af5"/>
            <w:rFonts w:cstheme="minorHAnsi"/>
            <w:b/>
            <w:noProof/>
          </w:rPr>
          <w:t>Figure 7-7 TEM showing the microstructure evolution of SA type II {351}&lt;-211&gt;</w:t>
        </w:r>
        <w:r w:rsidR="0042250B" w:rsidRPr="00230498">
          <w:rPr>
            <w:rStyle w:val="af5"/>
            <w:rFonts w:cstheme="minorHAnsi"/>
            <w:b/>
            <w:noProof/>
            <w:vertAlign w:val="subscript"/>
          </w:rPr>
          <w:t>α’’</w:t>
        </w:r>
        <w:r w:rsidR="0042250B" w:rsidRPr="00230498">
          <w:rPr>
            <w:rStyle w:val="af5"/>
            <w:rFonts w:cstheme="minorHAnsi"/>
            <w:b/>
            <w:noProof/>
          </w:rPr>
          <w:t xml:space="preserve"> twins. </w:t>
        </w:r>
        <w:r w:rsidR="0042250B" w:rsidRPr="00230498">
          <w:rPr>
            <w:rStyle w:val="af5"/>
            <w:rFonts w:cstheme="minorHAnsi"/>
            <w:noProof/>
          </w:rPr>
          <w:t>(</w:t>
        </w:r>
        <w:r w:rsidR="0042250B" w:rsidRPr="00230498">
          <w:rPr>
            <w:rStyle w:val="af5"/>
            <w:rFonts w:cstheme="minorHAnsi"/>
            <w:b/>
            <w:noProof/>
          </w:rPr>
          <w:t>a</w:t>
        </w:r>
        <w:r w:rsidR="0042250B" w:rsidRPr="00230498">
          <w:rPr>
            <w:rStyle w:val="af5"/>
            <w:rFonts w:cstheme="minorHAnsi"/>
            <w:noProof/>
          </w:rPr>
          <w:t>) BFI of the transformed SA {351}</w:t>
        </w:r>
        <w:r w:rsidR="0042250B" w:rsidRPr="00230498">
          <w:rPr>
            <w:rStyle w:val="af5"/>
            <w:rFonts w:cstheme="minorHAnsi"/>
            <w:noProof/>
            <w:vertAlign w:val="subscript"/>
          </w:rPr>
          <w:t>α’’</w:t>
        </w:r>
        <w:r w:rsidR="0042250B" w:rsidRPr="00230498">
          <w:rPr>
            <w:rStyle w:val="af5"/>
            <w:rFonts w:cstheme="minorHAnsi"/>
            <w:noProof/>
          </w:rPr>
          <w:t xml:space="preserve"> twins  after 9% strain. </w:t>
        </w:r>
        <w:r w:rsidR="0042250B" w:rsidRPr="00230498">
          <w:rPr>
            <w:rStyle w:val="af5"/>
            <w:rFonts w:cstheme="minorHAnsi"/>
            <w:bCs/>
            <w:noProof/>
          </w:rPr>
          <w:t>(</w:t>
        </w:r>
        <w:r w:rsidR="0042250B" w:rsidRPr="00230498">
          <w:rPr>
            <w:rStyle w:val="af5"/>
            <w:rFonts w:cstheme="minorHAnsi"/>
            <w:b/>
            <w:noProof/>
          </w:rPr>
          <w:t>b-c</w:t>
        </w:r>
        <w:r w:rsidR="0042250B" w:rsidRPr="00230498">
          <w:rPr>
            <w:rStyle w:val="af5"/>
            <w:rFonts w:cstheme="minorHAnsi"/>
            <w:bCs/>
            <w:noProof/>
          </w:rPr>
          <w:t>)</w:t>
        </w:r>
        <w:r w:rsidR="0042250B" w:rsidRPr="00230498">
          <w:rPr>
            <w:rStyle w:val="af5"/>
            <w:rFonts w:cstheme="minorHAnsi"/>
            <w:noProof/>
          </w:rPr>
          <w:t xml:space="preserve"> SADP taken next to the twin boundary (red circle) along the [10-1]</w:t>
        </w:r>
        <w:r w:rsidR="0042250B" w:rsidRPr="00230498">
          <w:rPr>
            <w:rStyle w:val="af5"/>
            <w:rFonts w:cstheme="minorHAnsi"/>
            <w:noProof/>
            <w:vertAlign w:val="subscript"/>
          </w:rPr>
          <w:t>α’’V1</w:t>
        </w:r>
        <w:r w:rsidR="0042250B" w:rsidRPr="00230498">
          <w:rPr>
            <w:rStyle w:val="af5"/>
            <w:rFonts w:eastAsia="等线" w:cstheme="minorHAnsi"/>
            <w:noProof/>
          </w:rPr>
          <w:t>//</w:t>
        </w:r>
        <w:r w:rsidR="0042250B" w:rsidRPr="00230498">
          <w:rPr>
            <w:rStyle w:val="af5"/>
            <w:rFonts w:cstheme="minorHAnsi"/>
            <w:noProof/>
          </w:rPr>
          <w:t>[-110]</w:t>
        </w:r>
        <w:r w:rsidR="0042250B" w:rsidRPr="00230498">
          <w:rPr>
            <w:rStyle w:val="af5"/>
            <w:rFonts w:cstheme="minorHAnsi"/>
            <w:noProof/>
            <w:vertAlign w:val="subscript"/>
          </w:rPr>
          <w:t>α’’V2</w:t>
        </w:r>
        <w:r w:rsidR="0042250B" w:rsidRPr="00230498">
          <w:rPr>
            <w:rStyle w:val="af5"/>
            <w:rFonts w:cstheme="minorHAnsi"/>
            <w:noProof/>
          </w:rPr>
          <w:t>//[-112]</w:t>
        </w:r>
        <w:r w:rsidR="0042250B" w:rsidRPr="00230498">
          <w:rPr>
            <w:rStyle w:val="af5"/>
            <w:rFonts w:cstheme="minorHAnsi"/>
            <w:noProof/>
            <w:vertAlign w:val="subscript"/>
          </w:rPr>
          <w:t>α’’V3&amp;V4</w:t>
        </w:r>
        <w:r w:rsidR="0042250B" w:rsidRPr="00230498">
          <w:rPr>
            <w:rStyle w:val="af5"/>
            <w:rFonts w:eastAsia="等线" w:cstheme="minorHAnsi"/>
            <w:noProof/>
          </w:rPr>
          <w:t xml:space="preserve"> and </w:t>
        </w:r>
        <w:r w:rsidR="0042250B" w:rsidRPr="00230498">
          <w:rPr>
            <w:rStyle w:val="af5"/>
            <w:rFonts w:cstheme="minorHAnsi"/>
            <w:noProof/>
          </w:rPr>
          <w:t>[2-11]</w:t>
        </w:r>
        <w:r w:rsidR="0042250B" w:rsidRPr="00230498">
          <w:rPr>
            <w:rStyle w:val="af5"/>
            <w:rFonts w:cstheme="minorHAnsi"/>
            <w:noProof/>
            <w:vertAlign w:val="subscript"/>
          </w:rPr>
          <w:t>α’’V1-3</w:t>
        </w:r>
        <w:r w:rsidR="0042250B" w:rsidRPr="00230498">
          <w:rPr>
            <w:rStyle w:val="af5"/>
            <w:rFonts w:cstheme="minorHAnsi"/>
            <w:noProof/>
          </w:rPr>
          <w:t>//[001]</w:t>
        </w:r>
        <w:r w:rsidR="0042250B" w:rsidRPr="00230498">
          <w:rPr>
            <w:rStyle w:val="af5"/>
            <w:rFonts w:cstheme="minorHAnsi"/>
            <w:noProof/>
            <w:vertAlign w:val="subscript"/>
          </w:rPr>
          <w:t>α’’V4</w:t>
        </w:r>
        <w:r w:rsidR="0042250B" w:rsidRPr="00230498">
          <w:rPr>
            <w:rStyle w:val="af5"/>
            <w:rFonts w:eastAsia="等线" w:cstheme="minorHAnsi"/>
            <w:noProof/>
          </w:rPr>
          <w:t xml:space="preserve"> </w:t>
        </w:r>
        <w:r w:rsidR="0042250B" w:rsidRPr="00230498">
          <w:rPr>
            <w:rStyle w:val="af5"/>
            <w:rFonts w:cstheme="minorHAnsi"/>
            <w:noProof/>
          </w:rPr>
          <w:t xml:space="preserve">zone axis </w:t>
        </w:r>
        <w:r w:rsidR="0042250B" w:rsidRPr="00230498">
          <w:rPr>
            <w:rStyle w:val="af5"/>
            <w:rFonts w:eastAsia="等线" w:cstheme="minorHAnsi"/>
            <w:noProof/>
          </w:rPr>
          <w:t>respectively</w:t>
        </w:r>
        <w:r w:rsidR="0042250B" w:rsidRPr="00230498">
          <w:rPr>
            <w:rStyle w:val="af5"/>
            <w:rFonts w:cstheme="minorHAnsi"/>
            <w:noProof/>
          </w:rPr>
          <w:t>. (</w:t>
        </w:r>
        <w:r w:rsidR="0042250B" w:rsidRPr="00230498">
          <w:rPr>
            <w:rStyle w:val="af5"/>
            <w:rFonts w:cstheme="minorHAnsi"/>
            <w:b/>
            <w:noProof/>
          </w:rPr>
          <w:t>d-f</w:t>
        </w:r>
        <w:r w:rsidR="0042250B" w:rsidRPr="00230498">
          <w:rPr>
            <w:rStyle w:val="af5"/>
            <w:rFonts w:cstheme="minorHAnsi"/>
            <w:noProof/>
          </w:rPr>
          <w:t>) DFI of four α’’ variants imaged in Fig. 3b. (</w:t>
        </w:r>
        <w:r w:rsidR="0042250B" w:rsidRPr="00230498">
          <w:rPr>
            <w:rStyle w:val="af5"/>
            <w:rFonts w:cstheme="minorHAnsi"/>
            <w:b/>
            <w:noProof/>
          </w:rPr>
          <w:t>g-i</w:t>
        </w:r>
        <w:r w:rsidR="0042250B" w:rsidRPr="00230498">
          <w:rPr>
            <w:rStyle w:val="af5"/>
            <w:rFonts w:cstheme="minorHAnsi"/>
            <w:bCs/>
            <w:noProof/>
          </w:rPr>
          <w:t>)</w:t>
        </w:r>
        <w:r w:rsidR="0042250B" w:rsidRPr="00230498">
          <w:rPr>
            <w:rStyle w:val="af5"/>
            <w:rFonts w:cstheme="minorHAnsi"/>
            <w:noProof/>
          </w:rPr>
          <w:t xml:space="preserve"> DFI of three α’’ variants imaged in Fig. 3c. All scale bars are 50nm.</w:t>
        </w:r>
        <w:r w:rsidR="0042250B">
          <w:rPr>
            <w:noProof/>
            <w:webHidden/>
          </w:rPr>
          <w:tab/>
        </w:r>
        <w:r w:rsidR="0042250B">
          <w:rPr>
            <w:noProof/>
            <w:webHidden/>
          </w:rPr>
          <w:fldChar w:fldCharType="begin"/>
        </w:r>
        <w:r w:rsidR="0042250B">
          <w:rPr>
            <w:noProof/>
            <w:webHidden/>
          </w:rPr>
          <w:instrText xml:space="preserve"> PAGEREF _Toc39312730 \h </w:instrText>
        </w:r>
        <w:r w:rsidR="0042250B">
          <w:rPr>
            <w:noProof/>
            <w:webHidden/>
          </w:rPr>
        </w:r>
        <w:r w:rsidR="0042250B">
          <w:rPr>
            <w:noProof/>
            <w:webHidden/>
          </w:rPr>
          <w:fldChar w:fldCharType="separate"/>
        </w:r>
        <w:r w:rsidR="0042250B">
          <w:rPr>
            <w:noProof/>
            <w:webHidden/>
          </w:rPr>
          <w:t>152</w:t>
        </w:r>
        <w:r w:rsidR="0042250B">
          <w:rPr>
            <w:noProof/>
            <w:webHidden/>
          </w:rPr>
          <w:fldChar w:fldCharType="end"/>
        </w:r>
      </w:hyperlink>
    </w:p>
    <w:p w14:paraId="36B273BE" w14:textId="148705DC" w:rsidR="0042250B" w:rsidRDefault="00077961" w:rsidP="0042250B">
      <w:pPr>
        <w:pStyle w:val="af7"/>
        <w:tabs>
          <w:tab w:val="right" w:leader="dot" w:pos="9350"/>
        </w:tabs>
        <w:spacing w:after="60" w:line="360" w:lineRule="auto"/>
        <w:rPr>
          <w:noProof/>
          <w:kern w:val="2"/>
          <w:sz w:val="21"/>
        </w:rPr>
      </w:pPr>
      <w:hyperlink w:anchor="_Toc39312731" w:history="1">
        <w:r w:rsidR="0042250B" w:rsidRPr="00230498">
          <w:rPr>
            <w:rStyle w:val="af5"/>
            <w:rFonts w:cstheme="minorHAnsi"/>
            <w:b/>
            <w:noProof/>
          </w:rPr>
          <w:t>Figure 7-8: SADP comparison of {351}&lt;-211&gt;</w:t>
        </w:r>
        <w:r w:rsidR="0042250B" w:rsidRPr="00230498">
          <w:rPr>
            <w:rStyle w:val="af5"/>
            <w:rFonts w:cstheme="minorHAnsi"/>
            <w:b/>
            <w:noProof/>
            <w:vertAlign w:val="subscript"/>
          </w:rPr>
          <w:t>α’’</w:t>
        </w:r>
        <w:r w:rsidR="0042250B" w:rsidRPr="00230498">
          <w:rPr>
            <w:rStyle w:val="af5"/>
            <w:rFonts w:cstheme="minorHAnsi"/>
            <w:b/>
            <w:noProof/>
          </w:rPr>
          <w:t xml:space="preserve"> type II and {351}&lt;1-12&gt;</w:t>
        </w:r>
        <w:r w:rsidR="0042250B" w:rsidRPr="00230498">
          <w:rPr>
            <w:rStyle w:val="af5"/>
            <w:rFonts w:cstheme="minorHAnsi"/>
            <w:b/>
            <w:noProof/>
            <w:vertAlign w:val="subscript"/>
          </w:rPr>
          <w:t>α’’</w:t>
        </w:r>
        <w:r w:rsidR="0042250B" w:rsidRPr="00230498">
          <w:rPr>
            <w:rStyle w:val="af5"/>
            <w:rFonts w:cstheme="minorHAnsi"/>
            <w:b/>
            <w:noProof/>
          </w:rPr>
          <w:t xml:space="preserve"> compound twinning under different zone axis. </w:t>
        </w:r>
        <w:r w:rsidR="0042250B" w:rsidRPr="00230498">
          <w:rPr>
            <w:rStyle w:val="af5"/>
            <w:rFonts w:cstheme="minorHAnsi"/>
            <w:noProof/>
          </w:rPr>
          <w:t>(</w:t>
        </w:r>
        <w:r w:rsidR="0042250B" w:rsidRPr="00230498">
          <w:rPr>
            <w:rStyle w:val="af5"/>
            <w:rFonts w:cstheme="minorHAnsi"/>
            <w:b/>
            <w:noProof/>
          </w:rPr>
          <w:t>a</w:t>
        </w:r>
        <w:r w:rsidR="0042250B" w:rsidRPr="00230498">
          <w:rPr>
            <w:rStyle w:val="af5"/>
            <w:rFonts w:cstheme="minorHAnsi"/>
            <w:noProof/>
          </w:rPr>
          <w:t>) Type II SA {351}</w:t>
        </w:r>
        <w:r w:rsidR="0042250B" w:rsidRPr="00230498">
          <w:rPr>
            <w:rStyle w:val="af5"/>
            <w:rFonts w:cstheme="minorHAnsi"/>
            <w:noProof/>
            <w:vertAlign w:val="subscript"/>
          </w:rPr>
          <w:t>α’’</w:t>
        </w:r>
        <w:r w:rsidR="0042250B" w:rsidRPr="00230498">
          <w:rPr>
            <w:rStyle w:val="af5"/>
            <w:rFonts w:cstheme="minorHAnsi"/>
            <w:noProof/>
          </w:rPr>
          <w:t xml:space="preserve"> twinning in a specimen deformed to 6% strain. </w:t>
        </w:r>
        <w:r w:rsidR="0042250B" w:rsidRPr="00230498">
          <w:rPr>
            <w:rStyle w:val="af5"/>
            <w:rFonts w:cstheme="minorHAnsi"/>
            <w:b/>
            <w:bCs/>
            <w:noProof/>
          </w:rPr>
          <w:t>i</w:t>
        </w:r>
        <w:r w:rsidR="0042250B" w:rsidRPr="00230498">
          <w:rPr>
            <w:rStyle w:val="af5"/>
            <w:rFonts w:cstheme="minorHAnsi"/>
            <w:noProof/>
          </w:rPr>
          <w:t xml:space="preserve">. BF image. </w:t>
        </w:r>
        <w:r w:rsidR="0042250B" w:rsidRPr="00230498">
          <w:rPr>
            <w:rStyle w:val="af5"/>
            <w:rFonts w:cstheme="minorHAnsi"/>
            <w:b/>
            <w:noProof/>
          </w:rPr>
          <w:t>ii-iv</w:t>
        </w:r>
        <w:r w:rsidR="0042250B" w:rsidRPr="00230498">
          <w:rPr>
            <w:rStyle w:val="af5"/>
            <w:rFonts w:cstheme="minorHAnsi"/>
            <w:noProof/>
          </w:rPr>
          <w:t xml:space="preserve"> Corresponding SADPs taken next to the twinning boundary (red circle) along the [1-12]</w:t>
        </w:r>
        <w:r w:rsidR="0042250B" w:rsidRPr="00230498">
          <w:rPr>
            <w:rStyle w:val="af5"/>
            <w:rFonts w:cstheme="minorHAnsi"/>
            <w:noProof/>
            <w:vertAlign w:val="subscript"/>
          </w:rPr>
          <w:t>α’’V1&amp;V2</w:t>
        </w:r>
        <w:r w:rsidR="0042250B" w:rsidRPr="00230498">
          <w:rPr>
            <w:rStyle w:val="af5"/>
            <w:rFonts w:cstheme="minorHAnsi"/>
            <w:noProof/>
          </w:rPr>
          <w:t>//[1-31]</w:t>
        </w:r>
        <w:r w:rsidR="0042250B" w:rsidRPr="00230498">
          <w:rPr>
            <w:rStyle w:val="af5"/>
            <w:rFonts w:eastAsia="等线" w:cstheme="minorHAnsi"/>
            <w:noProof/>
            <w:vertAlign w:val="subscript"/>
          </w:rPr>
          <w:t>β</w:t>
        </w:r>
        <w:r w:rsidR="0042250B" w:rsidRPr="00230498">
          <w:rPr>
            <w:rStyle w:val="af5"/>
            <w:rFonts w:eastAsia="等线" w:cstheme="minorHAnsi"/>
            <w:noProof/>
          </w:rPr>
          <w:t xml:space="preserve"> and </w:t>
        </w:r>
        <w:r w:rsidR="0042250B" w:rsidRPr="00230498">
          <w:rPr>
            <w:rStyle w:val="af5"/>
            <w:rFonts w:cstheme="minorHAnsi"/>
            <w:noProof/>
          </w:rPr>
          <w:t>[2-11]</w:t>
        </w:r>
        <w:r w:rsidR="0042250B" w:rsidRPr="00230498">
          <w:rPr>
            <w:rStyle w:val="af5"/>
            <w:rFonts w:cstheme="minorHAnsi"/>
            <w:noProof/>
            <w:vertAlign w:val="subscript"/>
          </w:rPr>
          <w:t>α’’V1</w:t>
        </w:r>
        <w:r w:rsidR="0042250B" w:rsidRPr="00230498">
          <w:rPr>
            <w:rStyle w:val="af5"/>
            <w:rFonts w:cstheme="minorHAnsi"/>
            <w:noProof/>
          </w:rPr>
          <w:t>//[001]</w:t>
        </w:r>
        <w:r w:rsidR="0042250B" w:rsidRPr="00230498">
          <w:rPr>
            <w:rStyle w:val="af5"/>
            <w:rFonts w:cstheme="minorHAnsi"/>
            <w:noProof/>
            <w:vertAlign w:val="subscript"/>
          </w:rPr>
          <w:t>α’’V2</w:t>
        </w:r>
        <w:r w:rsidR="0042250B" w:rsidRPr="00230498">
          <w:rPr>
            <w:rStyle w:val="af5"/>
            <w:rFonts w:cstheme="minorHAnsi"/>
            <w:noProof/>
          </w:rPr>
          <w:t>//[1-10]</w:t>
        </w:r>
        <w:r w:rsidR="0042250B" w:rsidRPr="00230498">
          <w:rPr>
            <w:rStyle w:val="af5"/>
            <w:rFonts w:eastAsia="等线" w:cstheme="minorHAnsi"/>
            <w:noProof/>
            <w:vertAlign w:val="subscript"/>
          </w:rPr>
          <w:t>β</w:t>
        </w:r>
        <w:r w:rsidR="0042250B" w:rsidRPr="00230498">
          <w:rPr>
            <w:rStyle w:val="af5"/>
            <w:rFonts w:cstheme="minorHAnsi"/>
            <w:noProof/>
          </w:rPr>
          <w:t xml:space="preserve"> zone axis </w:t>
        </w:r>
        <w:r w:rsidR="0042250B" w:rsidRPr="00230498">
          <w:rPr>
            <w:rStyle w:val="af5"/>
            <w:rFonts w:eastAsia="等线" w:cstheme="minorHAnsi"/>
            <w:noProof/>
          </w:rPr>
          <w:t>respectively</w:t>
        </w:r>
        <w:r w:rsidR="0042250B" w:rsidRPr="00230498">
          <w:rPr>
            <w:rStyle w:val="af5"/>
            <w:rFonts w:cstheme="minorHAnsi"/>
            <w:noProof/>
          </w:rPr>
          <w:t xml:space="preserve">. </w:t>
        </w:r>
        <w:r w:rsidR="0042250B" w:rsidRPr="00230498">
          <w:rPr>
            <w:rStyle w:val="af5"/>
            <w:rFonts w:cstheme="minorHAnsi"/>
            <w:bCs/>
            <w:noProof/>
          </w:rPr>
          <w:t>(</w:t>
        </w:r>
        <w:r w:rsidR="0042250B" w:rsidRPr="00230498">
          <w:rPr>
            <w:rStyle w:val="af5"/>
            <w:rFonts w:cstheme="minorHAnsi"/>
            <w:b/>
            <w:noProof/>
          </w:rPr>
          <w:t>b</w:t>
        </w:r>
        <w:r w:rsidR="0042250B" w:rsidRPr="00230498">
          <w:rPr>
            <w:rStyle w:val="af5"/>
            <w:rFonts w:cstheme="minorHAnsi"/>
            <w:bCs/>
            <w:noProof/>
          </w:rPr>
          <w:t xml:space="preserve">) </w:t>
        </w:r>
        <w:r w:rsidR="0042250B" w:rsidRPr="00230498">
          <w:rPr>
            <w:rStyle w:val="af5"/>
            <w:rFonts w:cstheme="minorHAnsi"/>
            <w:noProof/>
          </w:rPr>
          <w:t>Compound {351}&lt;1-12&gt;</w:t>
        </w:r>
        <w:r w:rsidR="0042250B" w:rsidRPr="00230498">
          <w:rPr>
            <w:rStyle w:val="af5"/>
            <w:rFonts w:cstheme="minorHAnsi"/>
            <w:noProof/>
            <w:vertAlign w:val="subscript"/>
          </w:rPr>
          <w:t>α’’</w:t>
        </w:r>
        <w:r w:rsidR="0042250B" w:rsidRPr="00230498">
          <w:rPr>
            <w:rStyle w:val="af5"/>
            <w:rFonts w:cstheme="minorHAnsi"/>
            <w:noProof/>
          </w:rPr>
          <w:t xml:space="preserve"> twin in a specimen deformed to 9% strain. </w:t>
        </w:r>
        <w:r w:rsidR="0042250B" w:rsidRPr="00230498">
          <w:rPr>
            <w:rStyle w:val="af5"/>
            <w:rFonts w:cstheme="minorHAnsi"/>
            <w:b/>
            <w:bCs/>
            <w:noProof/>
          </w:rPr>
          <w:t>i</w:t>
        </w:r>
        <w:r w:rsidR="0042250B" w:rsidRPr="00230498">
          <w:rPr>
            <w:rStyle w:val="af5"/>
            <w:rFonts w:cstheme="minorHAnsi"/>
            <w:noProof/>
          </w:rPr>
          <w:t xml:space="preserve">. BF image. </w:t>
        </w:r>
        <w:r w:rsidR="0042250B" w:rsidRPr="00230498">
          <w:rPr>
            <w:rStyle w:val="af5"/>
            <w:rFonts w:cstheme="minorHAnsi"/>
            <w:b/>
            <w:noProof/>
          </w:rPr>
          <w:t>ii-iv</w:t>
        </w:r>
        <w:r w:rsidR="0042250B" w:rsidRPr="00230498">
          <w:rPr>
            <w:rStyle w:val="af5"/>
            <w:rFonts w:cstheme="minorHAnsi"/>
            <w:noProof/>
          </w:rPr>
          <w:t xml:space="preserve"> Corresponding SADPs taken next to the twin boundary (red circle) along the [-101]</w:t>
        </w:r>
        <w:r w:rsidR="0042250B" w:rsidRPr="00230498">
          <w:rPr>
            <w:rStyle w:val="af5"/>
            <w:rFonts w:cstheme="minorHAnsi"/>
            <w:noProof/>
            <w:vertAlign w:val="subscript"/>
          </w:rPr>
          <w:t>α’’V1</w:t>
        </w:r>
        <w:r w:rsidR="0042250B" w:rsidRPr="00230498">
          <w:rPr>
            <w:rStyle w:val="af5"/>
            <w:rFonts w:cstheme="minorHAnsi"/>
            <w:noProof/>
          </w:rPr>
          <w:t>//[-110]</w:t>
        </w:r>
        <w:r w:rsidR="0042250B" w:rsidRPr="00230498">
          <w:rPr>
            <w:rStyle w:val="af5"/>
            <w:rFonts w:cstheme="minorHAnsi"/>
            <w:noProof/>
            <w:vertAlign w:val="subscript"/>
          </w:rPr>
          <w:t>α’’V2</w:t>
        </w:r>
        <w:r w:rsidR="0042250B" w:rsidRPr="00230498">
          <w:rPr>
            <w:rStyle w:val="af5"/>
            <w:rFonts w:cstheme="minorHAnsi"/>
            <w:noProof/>
          </w:rPr>
          <w:t>//[-112]</w:t>
        </w:r>
        <w:r w:rsidR="0042250B" w:rsidRPr="00230498">
          <w:rPr>
            <w:rStyle w:val="af5"/>
            <w:rFonts w:cstheme="minorHAnsi"/>
            <w:noProof/>
            <w:vertAlign w:val="subscript"/>
          </w:rPr>
          <w:t>α’’V4</w:t>
        </w:r>
        <w:r w:rsidR="0042250B" w:rsidRPr="00230498">
          <w:rPr>
            <w:rStyle w:val="af5"/>
            <w:rFonts w:eastAsia="等线" w:cstheme="minorHAnsi"/>
            <w:noProof/>
          </w:rPr>
          <w:t xml:space="preserve">, </w:t>
        </w:r>
        <w:r w:rsidR="0042250B" w:rsidRPr="00230498">
          <w:rPr>
            <w:rStyle w:val="af5"/>
            <w:rFonts w:cstheme="minorHAnsi"/>
            <w:noProof/>
          </w:rPr>
          <w:t>[2-1-1]</w:t>
        </w:r>
        <w:r w:rsidR="0042250B" w:rsidRPr="00230498">
          <w:rPr>
            <w:rStyle w:val="af5"/>
            <w:rFonts w:cstheme="minorHAnsi"/>
            <w:noProof/>
            <w:vertAlign w:val="subscript"/>
          </w:rPr>
          <w:t>α’’V1</w:t>
        </w:r>
        <w:r w:rsidR="0042250B" w:rsidRPr="00230498">
          <w:rPr>
            <w:rStyle w:val="af5"/>
            <w:rFonts w:cstheme="minorHAnsi"/>
            <w:noProof/>
          </w:rPr>
          <w:t>//[2-1-1]</w:t>
        </w:r>
        <w:r w:rsidR="0042250B" w:rsidRPr="00230498">
          <w:rPr>
            <w:rStyle w:val="af5"/>
            <w:rFonts w:cstheme="minorHAnsi"/>
            <w:noProof/>
            <w:vertAlign w:val="subscript"/>
          </w:rPr>
          <w:t>α’’V3</w:t>
        </w:r>
        <w:r w:rsidR="0042250B" w:rsidRPr="00230498">
          <w:rPr>
            <w:rStyle w:val="af5"/>
            <w:rFonts w:cstheme="minorHAnsi"/>
            <w:noProof/>
          </w:rPr>
          <w:t>//[001]</w:t>
        </w:r>
        <w:r w:rsidR="0042250B" w:rsidRPr="00230498">
          <w:rPr>
            <w:rStyle w:val="af5"/>
            <w:rFonts w:cstheme="minorHAnsi"/>
            <w:noProof/>
            <w:vertAlign w:val="subscript"/>
          </w:rPr>
          <w:t>α’’V4</w:t>
        </w:r>
        <w:r w:rsidR="0042250B" w:rsidRPr="00230498">
          <w:rPr>
            <w:rStyle w:val="af5"/>
            <w:rFonts w:cstheme="minorHAnsi"/>
            <w:noProof/>
          </w:rPr>
          <w:t>; yellow area in (c) along [10-1]</w:t>
        </w:r>
        <w:r w:rsidR="0042250B" w:rsidRPr="00230498">
          <w:rPr>
            <w:rStyle w:val="af5"/>
            <w:rFonts w:eastAsia="等线" w:cstheme="minorHAnsi"/>
            <w:noProof/>
            <w:vertAlign w:val="subscript"/>
          </w:rPr>
          <w:t>βM</w:t>
        </w:r>
        <w:r w:rsidR="0042250B" w:rsidRPr="00230498">
          <w:rPr>
            <w:rStyle w:val="af5"/>
            <w:rFonts w:cstheme="minorHAnsi"/>
            <w:noProof/>
          </w:rPr>
          <w:t>//[10-1]</w:t>
        </w:r>
        <w:r w:rsidR="0042250B" w:rsidRPr="00230498">
          <w:rPr>
            <w:rStyle w:val="af5"/>
            <w:rFonts w:eastAsia="等线" w:cstheme="minorHAnsi"/>
            <w:noProof/>
            <w:vertAlign w:val="subscript"/>
          </w:rPr>
          <w:t>βT</w:t>
        </w:r>
        <w:r w:rsidR="0042250B" w:rsidRPr="00230498">
          <w:rPr>
            <w:rStyle w:val="af5"/>
            <w:rFonts w:cstheme="minorHAnsi"/>
            <w:noProof/>
          </w:rPr>
          <w:t xml:space="preserve"> zone axis </w:t>
        </w:r>
        <w:r w:rsidR="0042250B" w:rsidRPr="00230498">
          <w:rPr>
            <w:rStyle w:val="af5"/>
            <w:rFonts w:eastAsia="等线" w:cstheme="minorHAnsi"/>
            <w:noProof/>
          </w:rPr>
          <w:t>respectively</w:t>
        </w:r>
        <w:r w:rsidR="0042250B" w:rsidRPr="00230498">
          <w:rPr>
            <w:rStyle w:val="af5"/>
            <w:rFonts w:cstheme="minorHAnsi"/>
            <w:noProof/>
          </w:rPr>
          <w:t>.</w:t>
        </w:r>
        <w:r w:rsidR="0042250B" w:rsidRPr="00230498">
          <w:rPr>
            <w:rStyle w:val="af5"/>
            <w:rFonts w:cstheme="minorHAnsi"/>
            <w:b/>
            <w:noProof/>
          </w:rPr>
          <w:t xml:space="preserve"> </w:t>
        </w:r>
        <w:r w:rsidR="0042250B" w:rsidRPr="00230498">
          <w:rPr>
            <w:rStyle w:val="af5"/>
            <w:rFonts w:cstheme="minorHAnsi"/>
            <w:noProof/>
          </w:rPr>
          <w:t>(</w:t>
        </w:r>
        <w:r w:rsidR="0042250B" w:rsidRPr="00230498">
          <w:rPr>
            <w:rStyle w:val="af5"/>
            <w:rFonts w:cstheme="minorHAnsi"/>
            <w:b/>
            <w:noProof/>
          </w:rPr>
          <w:t>c</w:t>
        </w:r>
        <w:r w:rsidR="0042250B" w:rsidRPr="00230498">
          <w:rPr>
            <w:rStyle w:val="af5"/>
            <w:rFonts w:cstheme="minorHAnsi"/>
            <w:noProof/>
          </w:rPr>
          <w:t xml:space="preserve">) Low magnified BF image of the twinning feature observed in (b). Red circled area is the feature in (b). </w:t>
        </w:r>
        <w:r w:rsidR="0042250B" w:rsidRPr="00230498">
          <w:rPr>
            <w:rStyle w:val="af5"/>
            <w:rFonts w:cstheme="minorHAnsi"/>
            <w:bCs/>
            <w:noProof/>
          </w:rPr>
          <w:t>(</w:t>
        </w:r>
        <w:r w:rsidR="0042250B" w:rsidRPr="00230498">
          <w:rPr>
            <w:rStyle w:val="af5"/>
            <w:rFonts w:cstheme="minorHAnsi"/>
            <w:b/>
            <w:noProof/>
          </w:rPr>
          <w:t>ii-iii</w:t>
        </w:r>
        <w:r w:rsidR="0042250B" w:rsidRPr="00230498">
          <w:rPr>
            <w:rStyle w:val="af5"/>
            <w:rFonts w:cstheme="minorHAnsi"/>
            <w:bCs/>
            <w:noProof/>
          </w:rPr>
          <w:t xml:space="preserve">) </w:t>
        </w:r>
        <w:r w:rsidR="0042250B" w:rsidRPr="00230498">
          <w:rPr>
            <w:rStyle w:val="af5"/>
            <w:rFonts w:cstheme="minorHAnsi"/>
            <w:noProof/>
          </w:rPr>
          <w:t>DFIs of the matrix and twinning, taken from reflection observed in b(iv)</w:t>
        </w:r>
        <w:r w:rsidR="0042250B" w:rsidRPr="00230498">
          <w:rPr>
            <w:rStyle w:val="af5"/>
            <w:rFonts w:eastAsia="等线" w:cstheme="minorHAnsi"/>
            <w:noProof/>
          </w:rPr>
          <w:t xml:space="preserve">. </w:t>
        </w:r>
        <w:r w:rsidR="0042250B" w:rsidRPr="00230498">
          <w:rPr>
            <w:rStyle w:val="af5"/>
            <w:rFonts w:cstheme="minorHAnsi"/>
            <w:noProof/>
          </w:rPr>
          <w:t>Scale bar in a, 200nm. Scale bar in b, 50nm. Scale bars in c (i-iii), 500nm.</w:t>
        </w:r>
        <w:r w:rsidR="0042250B">
          <w:rPr>
            <w:noProof/>
            <w:webHidden/>
          </w:rPr>
          <w:tab/>
        </w:r>
        <w:r w:rsidR="0042250B">
          <w:rPr>
            <w:noProof/>
            <w:webHidden/>
          </w:rPr>
          <w:fldChar w:fldCharType="begin"/>
        </w:r>
        <w:r w:rsidR="0042250B">
          <w:rPr>
            <w:noProof/>
            <w:webHidden/>
          </w:rPr>
          <w:instrText xml:space="preserve"> PAGEREF _Toc39312731 \h </w:instrText>
        </w:r>
        <w:r w:rsidR="0042250B">
          <w:rPr>
            <w:noProof/>
            <w:webHidden/>
          </w:rPr>
        </w:r>
        <w:r w:rsidR="0042250B">
          <w:rPr>
            <w:noProof/>
            <w:webHidden/>
          </w:rPr>
          <w:fldChar w:fldCharType="separate"/>
        </w:r>
        <w:r w:rsidR="0042250B">
          <w:rPr>
            <w:noProof/>
            <w:webHidden/>
          </w:rPr>
          <w:t>153</w:t>
        </w:r>
        <w:r w:rsidR="0042250B">
          <w:rPr>
            <w:noProof/>
            <w:webHidden/>
          </w:rPr>
          <w:fldChar w:fldCharType="end"/>
        </w:r>
      </w:hyperlink>
    </w:p>
    <w:p w14:paraId="770F1D62" w14:textId="13858303" w:rsidR="0042250B" w:rsidRDefault="00077961" w:rsidP="0042250B">
      <w:pPr>
        <w:pStyle w:val="af7"/>
        <w:tabs>
          <w:tab w:val="right" w:leader="dot" w:pos="9350"/>
        </w:tabs>
        <w:spacing w:after="60" w:line="360" w:lineRule="auto"/>
        <w:rPr>
          <w:noProof/>
          <w:kern w:val="2"/>
          <w:sz w:val="21"/>
        </w:rPr>
      </w:pPr>
      <w:hyperlink w:anchor="_Toc39312732" w:history="1">
        <w:r w:rsidR="0042250B" w:rsidRPr="00230498">
          <w:rPr>
            <w:rStyle w:val="af5"/>
            <w:b/>
            <w:noProof/>
          </w:rPr>
          <w:t>Figure 7-9 TEM images of the {111}</w:t>
        </w:r>
        <w:r w:rsidR="0042250B" w:rsidRPr="00230498">
          <w:rPr>
            <w:rStyle w:val="af5"/>
            <w:rFonts w:ascii="Times New Roman" w:hAnsi="Times New Roman" w:cs="Times New Roman"/>
            <w:b/>
            <w:noProof/>
            <w:vertAlign w:val="subscript"/>
          </w:rPr>
          <w:t>α</w:t>
        </w:r>
        <w:r w:rsidR="0042250B" w:rsidRPr="00230498">
          <w:rPr>
            <w:rStyle w:val="af5"/>
            <w:b/>
            <w:noProof/>
            <w:vertAlign w:val="subscript"/>
          </w:rPr>
          <w:t>’’</w:t>
        </w:r>
        <w:r w:rsidR="0042250B" w:rsidRPr="00230498">
          <w:rPr>
            <w:rStyle w:val="af5"/>
            <w:b/>
            <w:noProof/>
          </w:rPr>
          <w:t xml:space="preserve"> and {011}</w:t>
        </w:r>
        <w:r w:rsidR="0042250B" w:rsidRPr="00230498">
          <w:rPr>
            <w:rStyle w:val="af5"/>
            <w:rFonts w:ascii="Times New Roman" w:hAnsi="Times New Roman" w:cs="Times New Roman"/>
            <w:b/>
            <w:noProof/>
            <w:vertAlign w:val="subscript"/>
          </w:rPr>
          <w:t>α</w:t>
        </w:r>
        <w:r w:rsidR="0042250B" w:rsidRPr="00230498">
          <w:rPr>
            <w:rStyle w:val="af5"/>
            <w:b/>
            <w:noProof/>
            <w:vertAlign w:val="subscript"/>
          </w:rPr>
          <w:t xml:space="preserve">’’ </w:t>
        </w:r>
        <w:r w:rsidR="0042250B" w:rsidRPr="00230498">
          <w:rPr>
            <w:rStyle w:val="af5"/>
            <w:b/>
            <w:noProof/>
          </w:rPr>
          <w:t xml:space="preserve">twin microstructure after deformation to 8% strain. </w:t>
        </w:r>
        <w:r w:rsidR="0042250B" w:rsidRPr="00230498">
          <w:rPr>
            <w:rStyle w:val="af5"/>
            <w:noProof/>
          </w:rPr>
          <w:t>(</w:t>
        </w:r>
        <w:r w:rsidR="0042250B" w:rsidRPr="00230498">
          <w:rPr>
            <w:rStyle w:val="af5"/>
            <w:b/>
            <w:noProof/>
          </w:rPr>
          <w:t>a</w:t>
        </w:r>
        <w:r w:rsidR="0042250B" w:rsidRPr="00230498">
          <w:rPr>
            <w:rStyle w:val="af5"/>
            <w:noProof/>
          </w:rPr>
          <w:t>) a bright field image of the target area; (</w:t>
        </w:r>
        <w:r w:rsidR="0042250B" w:rsidRPr="00230498">
          <w:rPr>
            <w:rStyle w:val="af5"/>
            <w:b/>
            <w:noProof/>
          </w:rPr>
          <w:t>b</w:t>
        </w:r>
        <w:r w:rsidR="0042250B" w:rsidRPr="00230498">
          <w:rPr>
            <w:rStyle w:val="af5"/>
            <w:noProof/>
          </w:rPr>
          <w:t>) a SADP acquired along the [100]</w:t>
        </w:r>
        <w:r w:rsidR="0042250B" w:rsidRPr="00230498">
          <w:rPr>
            <w:rStyle w:val="af5"/>
            <w:rFonts w:ascii="Times New Roman" w:hAnsi="Times New Roman" w:cs="Times New Roman"/>
            <w:noProof/>
            <w:vertAlign w:val="subscript"/>
          </w:rPr>
          <w:t>α</w:t>
        </w:r>
        <w:r w:rsidR="0042250B" w:rsidRPr="00230498">
          <w:rPr>
            <w:rStyle w:val="af5"/>
            <w:noProof/>
            <w:vertAlign w:val="subscript"/>
          </w:rPr>
          <w:t>’’</w:t>
        </w:r>
        <w:r w:rsidR="0042250B" w:rsidRPr="00230498">
          <w:rPr>
            <w:rStyle w:val="af5"/>
            <w:noProof/>
          </w:rPr>
          <w:t>//[011]</w:t>
        </w:r>
        <w:r w:rsidR="0042250B" w:rsidRPr="00230498">
          <w:rPr>
            <w:rStyle w:val="af5"/>
            <w:rFonts w:ascii="Times New Roman" w:hAnsi="Times New Roman" w:cs="Times New Roman"/>
            <w:noProof/>
            <w:vertAlign w:val="subscript"/>
          </w:rPr>
          <w:t>α</w:t>
        </w:r>
        <w:r w:rsidR="0042250B" w:rsidRPr="00230498">
          <w:rPr>
            <w:rStyle w:val="af5"/>
            <w:noProof/>
            <w:vertAlign w:val="subscript"/>
          </w:rPr>
          <w:t>’’</w:t>
        </w:r>
        <w:r w:rsidR="0042250B" w:rsidRPr="00230498">
          <w:rPr>
            <w:rStyle w:val="af5"/>
            <w:noProof/>
          </w:rPr>
          <w:t xml:space="preserve"> zone axis of the twin boundary, four martensite variants are marked with red, blue, green and yellow circles and divided into M and V groups for the {111}</w:t>
        </w:r>
        <w:r w:rsidR="0042250B" w:rsidRPr="00230498">
          <w:rPr>
            <w:rStyle w:val="af5"/>
            <w:rFonts w:ascii="Times New Roman" w:hAnsi="Times New Roman" w:cs="Times New Roman"/>
            <w:noProof/>
            <w:vertAlign w:val="subscript"/>
          </w:rPr>
          <w:t>α</w:t>
        </w:r>
        <w:r w:rsidR="0042250B" w:rsidRPr="00230498">
          <w:rPr>
            <w:rStyle w:val="af5"/>
            <w:noProof/>
            <w:vertAlign w:val="subscript"/>
          </w:rPr>
          <w:t>’’</w:t>
        </w:r>
        <w:r w:rsidR="0042250B" w:rsidRPr="00230498">
          <w:rPr>
            <w:rStyle w:val="af5"/>
            <w:noProof/>
          </w:rPr>
          <w:t xml:space="preserve"> and {011}</w:t>
        </w:r>
        <w:r w:rsidR="0042250B" w:rsidRPr="00230498">
          <w:rPr>
            <w:rStyle w:val="af5"/>
            <w:rFonts w:ascii="Times New Roman" w:hAnsi="Times New Roman" w:cs="Times New Roman"/>
            <w:noProof/>
            <w:vertAlign w:val="subscript"/>
          </w:rPr>
          <w:t>α</w:t>
        </w:r>
        <w:r w:rsidR="0042250B" w:rsidRPr="00230498">
          <w:rPr>
            <w:rStyle w:val="af5"/>
            <w:noProof/>
            <w:vertAlign w:val="subscript"/>
          </w:rPr>
          <w:t xml:space="preserve">’’ </w:t>
        </w:r>
        <w:r w:rsidR="0042250B" w:rsidRPr="00230498">
          <w:rPr>
            <w:rStyle w:val="af5"/>
            <w:noProof/>
          </w:rPr>
          <w:t>twinning systems; (</w:t>
        </w:r>
        <w:r w:rsidR="0042250B" w:rsidRPr="00230498">
          <w:rPr>
            <w:rStyle w:val="af5"/>
            <w:b/>
            <w:noProof/>
          </w:rPr>
          <w:t>c-f</w:t>
        </w:r>
        <w:r w:rsidR="0042250B" w:rsidRPr="00230498">
          <w:rPr>
            <w:rStyle w:val="af5"/>
            <w:noProof/>
          </w:rPr>
          <w:t>) dark field images of four twin variants. Insets in (c) and (e) are twin boundary SADPs for M and V groups, respectively; and (</w:t>
        </w:r>
        <w:r w:rsidR="0042250B" w:rsidRPr="00230498">
          <w:rPr>
            <w:rStyle w:val="af5"/>
            <w:b/>
            <w:noProof/>
          </w:rPr>
          <w:t>g-h</w:t>
        </w:r>
        <w:r w:rsidR="0042250B" w:rsidRPr="00230498">
          <w:rPr>
            <w:rStyle w:val="af5"/>
            <w:noProof/>
          </w:rPr>
          <w:t>) sereographic projections were constructed along [011]</w:t>
        </w:r>
        <w:r w:rsidR="0042250B" w:rsidRPr="00230498">
          <w:rPr>
            <w:rStyle w:val="af5"/>
            <w:rFonts w:ascii="Times New Roman" w:hAnsi="Times New Roman" w:cs="Times New Roman"/>
            <w:noProof/>
            <w:vertAlign w:val="subscript"/>
          </w:rPr>
          <w:t>α</w:t>
        </w:r>
        <w:r w:rsidR="0042250B" w:rsidRPr="00230498">
          <w:rPr>
            <w:rStyle w:val="af5"/>
            <w:noProof/>
            <w:vertAlign w:val="subscript"/>
          </w:rPr>
          <w:t>’’</w:t>
        </w:r>
        <w:r w:rsidR="0042250B" w:rsidRPr="00230498">
          <w:rPr>
            <w:rStyle w:val="af5"/>
            <w:noProof/>
          </w:rPr>
          <w:t xml:space="preserve"> for M variants and [100]</w:t>
        </w:r>
        <w:r w:rsidR="0042250B" w:rsidRPr="00230498">
          <w:rPr>
            <w:rStyle w:val="af5"/>
            <w:rFonts w:ascii="Times New Roman" w:hAnsi="Times New Roman" w:cs="Times New Roman"/>
            <w:noProof/>
            <w:vertAlign w:val="subscript"/>
          </w:rPr>
          <w:t>α</w:t>
        </w:r>
        <w:r w:rsidR="0042250B" w:rsidRPr="00230498">
          <w:rPr>
            <w:rStyle w:val="af5"/>
            <w:noProof/>
            <w:vertAlign w:val="subscript"/>
          </w:rPr>
          <w:t>’’</w:t>
        </w:r>
        <w:r w:rsidR="0042250B" w:rsidRPr="00230498">
          <w:rPr>
            <w:rStyle w:val="af5"/>
            <w:noProof/>
          </w:rPr>
          <w:t xml:space="preserve"> for V variants. The OR was determined to be M{351}</w:t>
        </w:r>
        <w:r w:rsidR="0042250B" w:rsidRPr="00230498">
          <w:rPr>
            <w:rStyle w:val="af5"/>
            <w:rFonts w:ascii="Times New Roman" w:hAnsi="Times New Roman" w:cs="Times New Roman"/>
            <w:noProof/>
            <w:vertAlign w:val="subscript"/>
          </w:rPr>
          <w:t>α</w:t>
        </w:r>
        <w:r w:rsidR="0042250B" w:rsidRPr="00230498">
          <w:rPr>
            <w:rStyle w:val="af5"/>
            <w:noProof/>
            <w:vertAlign w:val="subscript"/>
          </w:rPr>
          <w:t>’’</w:t>
        </w:r>
        <w:r w:rsidR="0042250B" w:rsidRPr="00230498">
          <w:rPr>
            <w:rStyle w:val="af5"/>
            <w:noProof/>
          </w:rPr>
          <w:t>//V{351}</w:t>
        </w:r>
        <w:r w:rsidR="0042250B" w:rsidRPr="00230498">
          <w:rPr>
            <w:rStyle w:val="af5"/>
            <w:rFonts w:ascii="Times New Roman" w:hAnsi="Times New Roman" w:cs="Times New Roman"/>
            <w:noProof/>
            <w:vertAlign w:val="subscript"/>
          </w:rPr>
          <w:t>α</w:t>
        </w:r>
        <w:r w:rsidR="0042250B" w:rsidRPr="00230498">
          <w:rPr>
            <w:rStyle w:val="af5"/>
            <w:noProof/>
            <w:vertAlign w:val="subscript"/>
          </w:rPr>
          <w:t>’’</w:t>
        </w:r>
        <w:r w:rsidR="0042250B" w:rsidRPr="00230498">
          <w:rPr>
            <w:rStyle w:val="af5"/>
            <w:noProof/>
          </w:rPr>
          <w:t>, which indicated the OR of M and V may be related to {351}</w:t>
        </w:r>
        <w:r w:rsidR="0042250B" w:rsidRPr="00230498">
          <w:rPr>
            <w:rStyle w:val="af5"/>
            <w:rFonts w:ascii="Times New Roman" w:hAnsi="Times New Roman" w:cs="Times New Roman"/>
            <w:noProof/>
            <w:vertAlign w:val="subscript"/>
          </w:rPr>
          <w:t>α</w:t>
        </w:r>
        <w:r w:rsidR="0042250B" w:rsidRPr="00230498">
          <w:rPr>
            <w:rStyle w:val="af5"/>
            <w:noProof/>
            <w:vertAlign w:val="subscript"/>
          </w:rPr>
          <w:t>’’</w:t>
        </w:r>
        <w:r w:rsidR="0042250B" w:rsidRPr="00230498">
          <w:rPr>
            <w:rStyle w:val="af5"/>
            <w:noProof/>
          </w:rPr>
          <w:t xml:space="preserve"> twinning.</w:t>
        </w:r>
        <w:r w:rsidR="0042250B">
          <w:rPr>
            <w:noProof/>
            <w:webHidden/>
          </w:rPr>
          <w:tab/>
        </w:r>
        <w:r w:rsidR="0042250B">
          <w:rPr>
            <w:noProof/>
            <w:webHidden/>
          </w:rPr>
          <w:fldChar w:fldCharType="begin"/>
        </w:r>
        <w:r w:rsidR="0042250B">
          <w:rPr>
            <w:noProof/>
            <w:webHidden/>
          </w:rPr>
          <w:instrText xml:space="preserve"> PAGEREF _Toc39312732 \h </w:instrText>
        </w:r>
        <w:r w:rsidR="0042250B">
          <w:rPr>
            <w:noProof/>
            <w:webHidden/>
          </w:rPr>
        </w:r>
        <w:r w:rsidR="0042250B">
          <w:rPr>
            <w:noProof/>
            <w:webHidden/>
          </w:rPr>
          <w:fldChar w:fldCharType="separate"/>
        </w:r>
        <w:r w:rsidR="0042250B">
          <w:rPr>
            <w:noProof/>
            <w:webHidden/>
          </w:rPr>
          <w:t>155</w:t>
        </w:r>
        <w:r w:rsidR="0042250B">
          <w:rPr>
            <w:noProof/>
            <w:webHidden/>
          </w:rPr>
          <w:fldChar w:fldCharType="end"/>
        </w:r>
      </w:hyperlink>
    </w:p>
    <w:p w14:paraId="19E735E2" w14:textId="27916E8C" w:rsidR="0042250B" w:rsidRDefault="00077961" w:rsidP="0042250B">
      <w:pPr>
        <w:pStyle w:val="af7"/>
        <w:tabs>
          <w:tab w:val="right" w:leader="dot" w:pos="9350"/>
        </w:tabs>
        <w:spacing w:after="60" w:line="360" w:lineRule="auto"/>
        <w:rPr>
          <w:noProof/>
          <w:kern w:val="2"/>
          <w:sz w:val="21"/>
        </w:rPr>
      </w:pPr>
      <w:hyperlink w:anchor="_Toc39312733" w:history="1">
        <w:r w:rsidR="0042250B" w:rsidRPr="00230498">
          <w:rPr>
            <w:rStyle w:val="af5"/>
            <w:rFonts w:cstheme="minorHAnsi"/>
            <w:b/>
            <w:noProof/>
          </w:rPr>
          <w:t>Figure 7-10 HRTEM images of transformed {351}&lt;-211&gt;</w:t>
        </w:r>
        <w:r w:rsidR="0042250B" w:rsidRPr="00230498">
          <w:rPr>
            <w:rStyle w:val="af5"/>
            <w:rFonts w:cstheme="minorHAnsi"/>
            <w:b/>
            <w:noProof/>
            <w:vertAlign w:val="subscript"/>
          </w:rPr>
          <w:t>α’’</w:t>
        </w:r>
        <w:r w:rsidR="0042250B" w:rsidRPr="00230498">
          <w:rPr>
            <w:rStyle w:val="af5"/>
            <w:rFonts w:cstheme="minorHAnsi"/>
            <w:b/>
            <w:noProof/>
          </w:rPr>
          <w:t xml:space="preserve"> twin boundary </w:t>
        </w:r>
        <w:r w:rsidR="0042250B" w:rsidRPr="00230498">
          <w:rPr>
            <w:rStyle w:val="af5"/>
            <w:rFonts w:cstheme="minorHAnsi"/>
            <w:noProof/>
          </w:rPr>
          <w:t>(</w:t>
        </w:r>
        <w:r w:rsidR="0042250B" w:rsidRPr="00230498">
          <w:rPr>
            <w:rStyle w:val="af5"/>
            <w:rFonts w:cstheme="minorHAnsi"/>
            <w:b/>
            <w:noProof/>
          </w:rPr>
          <w:t>a</w:t>
        </w:r>
        <w:r w:rsidR="0042250B" w:rsidRPr="00230498">
          <w:rPr>
            <w:rStyle w:val="af5"/>
            <w:rFonts w:cstheme="minorHAnsi"/>
            <w:noProof/>
          </w:rPr>
          <w:t>) Low mag HRTEM image of transformed {351}&lt;-211&gt;</w:t>
        </w:r>
        <w:r w:rsidR="0042250B" w:rsidRPr="00230498">
          <w:rPr>
            <w:rStyle w:val="af5"/>
            <w:rFonts w:cstheme="minorHAnsi"/>
            <w:noProof/>
            <w:vertAlign w:val="subscript"/>
          </w:rPr>
          <w:t>α’’</w:t>
        </w:r>
        <w:r w:rsidR="0042250B" w:rsidRPr="00230498">
          <w:rPr>
            <w:rStyle w:val="af5"/>
            <w:rFonts w:cstheme="minorHAnsi"/>
            <w:noProof/>
          </w:rPr>
          <w:t xml:space="preserve"> type II twinning in a specimen strained to 9%. Insets are FFTs of highlighted areas. (</w:t>
        </w:r>
        <w:r w:rsidR="0042250B" w:rsidRPr="00230498">
          <w:rPr>
            <w:rStyle w:val="af5"/>
            <w:rFonts w:cstheme="minorHAnsi"/>
            <w:b/>
            <w:noProof/>
          </w:rPr>
          <w:t>b</w:t>
        </w:r>
        <w:r w:rsidR="0042250B" w:rsidRPr="00230498">
          <w:rPr>
            <w:rStyle w:val="af5"/>
            <w:rFonts w:cstheme="minorHAnsi"/>
            <w:noProof/>
          </w:rPr>
          <w:t>) Magnified image of the highlighted area in (a) shows partially transformed {351}&lt;-211&gt;</w:t>
        </w:r>
        <w:r w:rsidR="0042250B" w:rsidRPr="00230498">
          <w:rPr>
            <w:rStyle w:val="af5"/>
            <w:rFonts w:cstheme="minorHAnsi"/>
            <w:noProof/>
            <w:vertAlign w:val="subscript"/>
          </w:rPr>
          <w:t>α’’</w:t>
        </w:r>
        <w:r w:rsidR="0042250B" w:rsidRPr="00230498">
          <w:rPr>
            <w:rStyle w:val="af5"/>
            <w:rFonts w:cstheme="minorHAnsi"/>
            <w:noProof/>
          </w:rPr>
          <w:t xml:space="preserve"> type II twin structure. FFTs of three martensite variants are shown in insets which exhibit reflections of [-101]</w:t>
        </w:r>
        <w:r w:rsidR="0042250B" w:rsidRPr="00230498">
          <w:rPr>
            <w:rStyle w:val="af5"/>
            <w:rFonts w:cstheme="minorHAnsi"/>
            <w:noProof/>
            <w:vertAlign w:val="subscript"/>
          </w:rPr>
          <w:t>α’’V1</w:t>
        </w:r>
        <w:r w:rsidR="0042250B" w:rsidRPr="00230498">
          <w:rPr>
            <w:rStyle w:val="af5"/>
            <w:rFonts w:cstheme="minorHAnsi"/>
            <w:noProof/>
          </w:rPr>
          <w:t>, [-110]</w:t>
        </w:r>
        <w:r w:rsidR="0042250B" w:rsidRPr="00230498">
          <w:rPr>
            <w:rStyle w:val="af5"/>
            <w:rFonts w:cstheme="minorHAnsi"/>
            <w:noProof/>
            <w:vertAlign w:val="subscript"/>
          </w:rPr>
          <w:t>α’’V2</w:t>
        </w:r>
        <w:r w:rsidR="0042250B" w:rsidRPr="00230498">
          <w:rPr>
            <w:rStyle w:val="af5"/>
            <w:rFonts w:cstheme="minorHAnsi"/>
            <w:noProof/>
          </w:rPr>
          <w:t xml:space="preserve"> and [-112]</w:t>
        </w:r>
        <w:r w:rsidR="0042250B" w:rsidRPr="00230498">
          <w:rPr>
            <w:rStyle w:val="af5"/>
            <w:rFonts w:cstheme="minorHAnsi"/>
            <w:noProof/>
            <w:vertAlign w:val="subscript"/>
          </w:rPr>
          <w:t>α’’V3</w:t>
        </w:r>
        <w:r w:rsidR="0042250B" w:rsidRPr="00230498">
          <w:rPr>
            <w:rStyle w:val="af5"/>
            <w:rFonts w:cstheme="minorHAnsi"/>
            <w:noProof/>
          </w:rPr>
          <w:t>. (</w:t>
        </w:r>
        <w:r w:rsidR="0042250B" w:rsidRPr="00230498">
          <w:rPr>
            <w:rStyle w:val="af5"/>
            <w:rFonts w:cstheme="minorHAnsi"/>
            <w:b/>
            <w:noProof/>
          </w:rPr>
          <w:t>c</w:t>
        </w:r>
        <w:r w:rsidR="0042250B" w:rsidRPr="00230498">
          <w:rPr>
            <w:rStyle w:val="af5"/>
            <w:rFonts w:cstheme="minorHAnsi"/>
            <w:noProof/>
          </w:rPr>
          <w:t>) Fully transformed {351}&lt;-211&gt;</w:t>
        </w:r>
        <w:r w:rsidR="0042250B" w:rsidRPr="00230498">
          <w:rPr>
            <w:rStyle w:val="af5"/>
            <w:rFonts w:cstheme="minorHAnsi"/>
            <w:noProof/>
            <w:vertAlign w:val="subscript"/>
          </w:rPr>
          <w:t>α’’</w:t>
        </w:r>
        <w:r w:rsidR="0042250B" w:rsidRPr="00230498">
          <w:rPr>
            <w:rStyle w:val="af5"/>
            <w:rFonts w:cstheme="minorHAnsi"/>
            <w:noProof/>
          </w:rPr>
          <w:t xml:space="preserve"> type II twin ({351}&lt;1-12&gt;</w:t>
        </w:r>
        <w:r w:rsidR="0042250B" w:rsidRPr="00230498">
          <w:rPr>
            <w:rStyle w:val="af5"/>
            <w:rFonts w:cstheme="minorHAnsi"/>
            <w:noProof/>
            <w:vertAlign w:val="subscript"/>
          </w:rPr>
          <w:t>α’’</w:t>
        </w:r>
        <w:r w:rsidR="0042250B" w:rsidRPr="00230498">
          <w:rPr>
            <w:rStyle w:val="af5"/>
            <w:rFonts w:cstheme="minorHAnsi"/>
            <w:noProof/>
          </w:rPr>
          <w:t xml:space="preserve"> type I twin structure). FFTs of two martensite variants are shown in the insets which exhibit reflections of [-101]</w:t>
        </w:r>
        <w:r w:rsidR="0042250B" w:rsidRPr="00230498">
          <w:rPr>
            <w:rStyle w:val="af5"/>
            <w:rFonts w:cstheme="minorHAnsi"/>
            <w:noProof/>
            <w:vertAlign w:val="subscript"/>
          </w:rPr>
          <w:t>α’’V1</w:t>
        </w:r>
        <w:r w:rsidR="0042250B" w:rsidRPr="00230498">
          <w:rPr>
            <w:rStyle w:val="af5"/>
            <w:rFonts w:cstheme="minorHAnsi"/>
            <w:noProof/>
          </w:rPr>
          <w:t xml:space="preserve"> and [-112]</w:t>
        </w:r>
        <w:r w:rsidR="0042250B" w:rsidRPr="00230498">
          <w:rPr>
            <w:rStyle w:val="af5"/>
            <w:rFonts w:cstheme="minorHAnsi"/>
            <w:noProof/>
            <w:vertAlign w:val="subscript"/>
          </w:rPr>
          <w:t>α’’V3</w:t>
        </w:r>
        <w:r w:rsidR="0042250B" w:rsidRPr="00230498">
          <w:rPr>
            <w:rStyle w:val="af5"/>
            <w:rFonts w:cstheme="minorHAnsi"/>
            <w:noProof/>
          </w:rPr>
          <w:t xml:space="preserve"> zone axes. (</w:t>
        </w:r>
        <w:r w:rsidR="0042250B" w:rsidRPr="00230498">
          <w:rPr>
            <w:rStyle w:val="af5"/>
            <w:rFonts w:cstheme="minorHAnsi"/>
            <w:b/>
            <w:noProof/>
          </w:rPr>
          <w:t>d</w:t>
        </w:r>
        <w:r w:rsidR="0042250B" w:rsidRPr="00230498">
          <w:rPr>
            <w:rStyle w:val="af5"/>
            <w:rFonts w:cstheme="minorHAnsi"/>
            <w:noProof/>
          </w:rPr>
          <w:t>). HRTEM image of same area in (c), acquired from [-211]</w:t>
        </w:r>
        <w:r w:rsidR="0042250B" w:rsidRPr="00230498">
          <w:rPr>
            <w:rStyle w:val="af5"/>
            <w:rFonts w:cstheme="minorHAnsi"/>
            <w:noProof/>
            <w:vertAlign w:val="subscript"/>
          </w:rPr>
          <w:t>α’’</w:t>
        </w:r>
        <w:r w:rsidR="0042250B" w:rsidRPr="00230498">
          <w:rPr>
            <w:rStyle w:val="af5"/>
            <w:rFonts w:cstheme="minorHAnsi"/>
            <w:noProof/>
          </w:rPr>
          <w:t xml:space="preserve"> zone axis. FFT of two martensite variants are shown in insets which exhibit reflections of [2-1-1]</w:t>
        </w:r>
        <w:r w:rsidR="0042250B" w:rsidRPr="00230498">
          <w:rPr>
            <w:rStyle w:val="af5"/>
            <w:rFonts w:cstheme="minorHAnsi"/>
            <w:noProof/>
            <w:vertAlign w:val="subscript"/>
          </w:rPr>
          <w:t>α’’V1</w:t>
        </w:r>
        <w:r w:rsidR="0042250B" w:rsidRPr="00230498">
          <w:rPr>
            <w:rStyle w:val="af5"/>
            <w:rFonts w:cstheme="minorHAnsi"/>
            <w:noProof/>
          </w:rPr>
          <w:t xml:space="preserve"> and [2-1-1]</w:t>
        </w:r>
        <w:r w:rsidR="0042250B" w:rsidRPr="00230498">
          <w:rPr>
            <w:rStyle w:val="af5"/>
            <w:rFonts w:cstheme="minorHAnsi"/>
            <w:noProof/>
            <w:vertAlign w:val="subscript"/>
          </w:rPr>
          <w:t>α’’V3</w:t>
        </w:r>
        <w:r w:rsidR="0042250B" w:rsidRPr="00230498">
          <w:rPr>
            <w:rStyle w:val="af5"/>
            <w:rFonts w:cstheme="minorHAnsi"/>
            <w:noProof/>
          </w:rPr>
          <w:t>. (</w:t>
        </w:r>
        <w:r w:rsidR="0042250B" w:rsidRPr="00230498">
          <w:rPr>
            <w:rStyle w:val="af5"/>
            <w:rFonts w:cstheme="minorHAnsi"/>
            <w:b/>
            <w:noProof/>
          </w:rPr>
          <w:t>e</w:t>
        </w:r>
        <w:r w:rsidR="0042250B" w:rsidRPr="00230498">
          <w:rPr>
            <w:rStyle w:val="af5"/>
            <w:rFonts w:cstheme="minorHAnsi"/>
            <w:noProof/>
          </w:rPr>
          <w:t>)Schematic of {351}&lt;2-1-1&gt;</w:t>
        </w:r>
        <w:r w:rsidR="0042250B" w:rsidRPr="00230498">
          <w:rPr>
            <w:rStyle w:val="af5"/>
            <w:rFonts w:cstheme="minorHAnsi"/>
            <w:noProof/>
            <w:vertAlign w:val="subscript"/>
          </w:rPr>
          <w:t>α’’</w:t>
        </w:r>
        <w:r w:rsidR="0042250B" w:rsidRPr="00230498">
          <w:rPr>
            <w:rStyle w:val="af5"/>
            <w:rFonts w:cstheme="minorHAnsi"/>
            <w:noProof/>
          </w:rPr>
          <w:t xml:space="preserve"> type II twin to {351}&lt;1-12&gt;</w:t>
        </w:r>
        <w:r w:rsidR="0042250B" w:rsidRPr="00230498">
          <w:rPr>
            <w:rStyle w:val="af5"/>
            <w:rFonts w:cstheme="minorHAnsi"/>
            <w:noProof/>
            <w:vertAlign w:val="subscript"/>
          </w:rPr>
          <w:t>α’’</w:t>
        </w:r>
        <w:r w:rsidR="0042250B" w:rsidRPr="00230498">
          <w:rPr>
            <w:rStyle w:val="af5"/>
            <w:rFonts w:cstheme="minorHAnsi"/>
            <w:noProof/>
          </w:rPr>
          <w:t xml:space="preserve"> type I twin transformation. i-ii. projection of the type II (351)[2-1-1]</w:t>
        </w:r>
        <w:r w:rsidR="0042250B" w:rsidRPr="00230498">
          <w:rPr>
            <w:rStyle w:val="af5"/>
            <w:rFonts w:cstheme="minorHAnsi"/>
            <w:noProof/>
            <w:vertAlign w:val="subscript"/>
          </w:rPr>
          <w:t>α’’</w:t>
        </w:r>
        <w:r w:rsidR="0042250B" w:rsidRPr="00230498">
          <w:rPr>
            <w:rStyle w:val="af5"/>
            <w:rFonts w:cstheme="minorHAnsi"/>
            <w:noProof/>
          </w:rPr>
          <w:t xml:space="preserve"> and type I (351)[1-12]</w:t>
        </w:r>
        <w:r w:rsidR="0042250B" w:rsidRPr="00230498">
          <w:rPr>
            <w:rStyle w:val="af5"/>
            <w:rFonts w:cstheme="minorHAnsi"/>
            <w:noProof/>
            <w:vertAlign w:val="subscript"/>
          </w:rPr>
          <w:t>α’’</w:t>
        </w:r>
        <w:r w:rsidR="0042250B" w:rsidRPr="00230498">
          <w:rPr>
            <w:rStyle w:val="af5"/>
            <w:rFonts w:cstheme="minorHAnsi"/>
            <w:noProof/>
          </w:rPr>
          <w:t xml:space="preserve"> twin structure viewed along [2-1-1]</w:t>
        </w:r>
        <w:r w:rsidR="0042250B" w:rsidRPr="00230498">
          <w:rPr>
            <w:rStyle w:val="af5"/>
            <w:rFonts w:cstheme="minorHAnsi"/>
            <w:noProof/>
            <w:vertAlign w:val="subscript"/>
          </w:rPr>
          <w:t>α’’</w:t>
        </w:r>
        <w:r w:rsidR="0042250B" w:rsidRPr="00230498">
          <w:rPr>
            <w:rStyle w:val="af5"/>
            <w:rFonts w:cstheme="minorHAnsi"/>
            <w:noProof/>
          </w:rPr>
          <w:t xml:space="preserve"> and [1-12]</w:t>
        </w:r>
        <w:r w:rsidR="0042250B" w:rsidRPr="00230498">
          <w:rPr>
            <w:rStyle w:val="af5"/>
            <w:rFonts w:cstheme="minorHAnsi"/>
            <w:noProof/>
            <w:vertAlign w:val="subscript"/>
          </w:rPr>
          <w:t>α’’</w:t>
        </w:r>
        <w:r w:rsidR="0042250B" w:rsidRPr="00230498">
          <w:rPr>
            <w:rStyle w:val="af5"/>
            <w:rFonts w:cstheme="minorHAnsi"/>
            <w:noProof/>
          </w:rPr>
          <w:t xml:space="preserve"> directions respectively. iii. Lattice arrangement of the (351)[2-1-1]</w:t>
        </w:r>
        <w:r w:rsidR="0042250B" w:rsidRPr="00230498">
          <w:rPr>
            <w:rStyle w:val="af5"/>
            <w:rFonts w:cstheme="minorHAnsi"/>
            <w:noProof/>
            <w:vertAlign w:val="subscript"/>
          </w:rPr>
          <w:t>α’’</w:t>
        </w:r>
        <w:r w:rsidR="0042250B" w:rsidRPr="00230498">
          <w:rPr>
            <w:rStyle w:val="af5"/>
            <w:rFonts w:cstheme="minorHAnsi"/>
            <w:noProof/>
          </w:rPr>
          <w:t xml:space="preserve"> type II twin. iv. Lattice arrangement of the (351)[2-1-1]</w:t>
        </w:r>
        <w:r w:rsidR="0042250B" w:rsidRPr="00230498">
          <w:rPr>
            <w:rStyle w:val="af5"/>
            <w:rFonts w:cstheme="minorHAnsi"/>
            <w:noProof/>
            <w:vertAlign w:val="subscript"/>
          </w:rPr>
          <w:t>α’’</w:t>
        </w:r>
        <w:r w:rsidR="0042250B" w:rsidRPr="00230498">
          <w:rPr>
            <w:rStyle w:val="af5"/>
            <w:rFonts w:cstheme="minorHAnsi"/>
            <w:noProof/>
          </w:rPr>
          <w:t xml:space="preserve"> twin after shear along the [1-12]</w:t>
        </w:r>
        <w:r w:rsidR="0042250B" w:rsidRPr="00230498">
          <w:rPr>
            <w:rStyle w:val="af5"/>
            <w:rFonts w:cstheme="minorHAnsi"/>
            <w:noProof/>
            <w:vertAlign w:val="subscript"/>
          </w:rPr>
          <w:t>α’’</w:t>
        </w:r>
        <w:r w:rsidR="0042250B" w:rsidRPr="00230498">
          <w:rPr>
            <w:rStyle w:val="af5"/>
            <w:rFonts w:cstheme="minorHAnsi"/>
            <w:noProof/>
          </w:rPr>
          <w:t xml:space="preserve"> direction. Scar bar in (a), 20nm. Scar bars in (b-d), 2nm.</w:t>
        </w:r>
        <w:r w:rsidR="0042250B">
          <w:rPr>
            <w:noProof/>
            <w:webHidden/>
          </w:rPr>
          <w:tab/>
        </w:r>
        <w:r w:rsidR="0042250B">
          <w:rPr>
            <w:noProof/>
            <w:webHidden/>
          </w:rPr>
          <w:fldChar w:fldCharType="begin"/>
        </w:r>
        <w:r w:rsidR="0042250B">
          <w:rPr>
            <w:noProof/>
            <w:webHidden/>
          </w:rPr>
          <w:instrText xml:space="preserve"> PAGEREF _Toc39312733 \h </w:instrText>
        </w:r>
        <w:r w:rsidR="0042250B">
          <w:rPr>
            <w:noProof/>
            <w:webHidden/>
          </w:rPr>
        </w:r>
        <w:r w:rsidR="0042250B">
          <w:rPr>
            <w:noProof/>
            <w:webHidden/>
          </w:rPr>
          <w:fldChar w:fldCharType="separate"/>
        </w:r>
        <w:r w:rsidR="0042250B">
          <w:rPr>
            <w:noProof/>
            <w:webHidden/>
          </w:rPr>
          <w:t>157</w:t>
        </w:r>
        <w:r w:rsidR="0042250B">
          <w:rPr>
            <w:noProof/>
            <w:webHidden/>
          </w:rPr>
          <w:fldChar w:fldCharType="end"/>
        </w:r>
      </w:hyperlink>
    </w:p>
    <w:p w14:paraId="560AED8D" w14:textId="5EC59B05" w:rsidR="0042250B" w:rsidRDefault="00077961" w:rsidP="0042250B">
      <w:pPr>
        <w:pStyle w:val="af7"/>
        <w:tabs>
          <w:tab w:val="right" w:leader="dot" w:pos="9350"/>
        </w:tabs>
        <w:spacing w:after="60" w:line="360" w:lineRule="auto"/>
        <w:rPr>
          <w:noProof/>
          <w:kern w:val="2"/>
          <w:sz w:val="21"/>
        </w:rPr>
      </w:pPr>
      <w:hyperlink w:anchor="_Toc39312734" w:history="1">
        <w:r w:rsidR="0042250B" w:rsidRPr="00230498">
          <w:rPr>
            <w:rStyle w:val="af5"/>
            <w:rFonts w:ascii="Calibri" w:eastAsia="等线" w:hAnsi="Calibri" w:cs="Times New Roman"/>
            <w:b/>
            <w:bCs/>
            <w:noProof/>
            <w:kern w:val="24"/>
          </w:rPr>
          <w:t>Fig</w:t>
        </w:r>
        <w:r w:rsidR="0042250B" w:rsidRPr="00230498">
          <w:rPr>
            <w:rStyle w:val="af5"/>
            <w:rFonts w:eastAsia="等线" w:cstheme="minorHAnsi"/>
            <w:b/>
            <w:bCs/>
            <w:noProof/>
            <w:kern w:val="24"/>
          </w:rPr>
          <w:t xml:space="preserve">ure. </w:t>
        </w:r>
        <w:r w:rsidR="0042250B" w:rsidRPr="00230498">
          <w:rPr>
            <w:rStyle w:val="af5"/>
            <w:rFonts w:cstheme="minorHAnsi"/>
            <w:b/>
            <w:noProof/>
          </w:rPr>
          <w:t>7-11</w:t>
        </w:r>
        <w:r w:rsidR="0042250B" w:rsidRPr="00230498">
          <w:rPr>
            <w:rStyle w:val="af5"/>
            <w:rFonts w:eastAsia="等线" w:cstheme="minorHAnsi"/>
            <w:b/>
            <w:bCs/>
            <w:noProof/>
            <w:kern w:val="24"/>
          </w:rPr>
          <w:t>.</w:t>
        </w:r>
        <w:r w:rsidR="0042250B" w:rsidRPr="00230498">
          <w:rPr>
            <w:rStyle w:val="af5"/>
            <w:rFonts w:cstheme="minorHAnsi"/>
            <w:noProof/>
          </w:rPr>
          <w:t xml:space="preserve"> </w:t>
        </w:r>
        <w:r w:rsidR="0042250B" w:rsidRPr="00230498">
          <w:rPr>
            <w:rStyle w:val="af5"/>
            <w:rFonts w:cstheme="minorHAnsi"/>
            <w:b/>
            <w:bCs/>
            <w:noProof/>
          </w:rPr>
          <w:t>OR analysis o</w:t>
        </w:r>
        <w:r w:rsidR="0042250B" w:rsidRPr="00230498">
          <w:rPr>
            <w:rStyle w:val="af5"/>
            <w:rFonts w:cstheme="minorHAnsi"/>
            <w:b/>
            <w:noProof/>
          </w:rPr>
          <w:t>f {351}&lt;1-12&gt;</w:t>
        </w:r>
        <w:r w:rsidR="0042250B" w:rsidRPr="00230498">
          <w:rPr>
            <w:rStyle w:val="af5"/>
            <w:rFonts w:cstheme="minorHAnsi"/>
            <w:b/>
            <w:noProof/>
            <w:vertAlign w:val="subscript"/>
          </w:rPr>
          <w:t>α’’</w:t>
        </w:r>
        <w:r w:rsidR="0042250B" w:rsidRPr="00230498">
          <w:rPr>
            <w:rStyle w:val="af5"/>
            <w:rFonts w:cstheme="minorHAnsi"/>
            <w:b/>
            <w:noProof/>
          </w:rPr>
          <w:t xml:space="preserve"> compound twin</w:t>
        </w:r>
        <w:r w:rsidR="0042250B" w:rsidRPr="00230498">
          <w:rPr>
            <w:rStyle w:val="af5"/>
            <w:rFonts w:cstheme="minorHAnsi"/>
            <w:noProof/>
          </w:rPr>
          <w:t xml:space="preserve"> (</w:t>
        </w:r>
        <w:r w:rsidR="0042250B" w:rsidRPr="00230498">
          <w:rPr>
            <w:rStyle w:val="af5"/>
            <w:rFonts w:cstheme="minorHAnsi"/>
            <w:b/>
            <w:bCs/>
            <w:noProof/>
          </w:rPr>
          <w:t>a</w:t>
        </w:r>
        <w:r w:rsidR="0042250B" w:rsidRPr="00230498">
          <w:rPr>
            <w:rStyle w:val="af5"/>
            <w:rFonts w:cstheme="minorHAnsi"/>
            <w:noProof/>
          </w:rPr>
          <w:t>) SADP of {351}&lt;1-12&gt;</w:t>
        </w:r>
        <w:r w:rsidR="0042250B" w:rsidRPr="00230498">
          <w:rPr>
            <w:rStyle w:val="af5"/>
            <w:rFonts w:cstheme="minorHAnsi"/>
            <w:noProof/>
            <w:vertAlign w:val="subscript"/>
          </w:rPr>
          <w:t>α’’</w:t>
        </w:r>
        <w:r w:rsidR="0042250B" w:rsidRPr="00230498">
          <w:rPr>
            <w:rStyle w:val="af5"/>
            <w:rFonts w:cstheme="minorHAnsi"/>
            <w:noProof/>
          </w:rPr>
          <w:t xml:space="preserve"> compound twin (same as Figure.3(b)) taken along the [-101]</w:t>
        </w:r>
        <w:r w:rsidR="0042250B" w:rsidRPr="00230498">
          <w:rPr>
            <w:rStyle w:val="af5"/>
            <w:rFonts w:cstheme="minorHAnsi"/>
            <w:noProof/>
            <w:vertAlign w:val="subscript"/>
          </w:rPr>
          <w:t>α’’V1</w:t>
        </w:r>
        <w:r w:rsidR="0042250B" w:rsidRPr="00230498">
          <w:rPr>
            <w:rStyle w:val="af5"/>
            <w:rFonts w:cstheme="minorHAnsi"/>
            <w:noProof/>
          </w:rPr>
          <w:t>//[-110]</w:t>
        </w:r>
        <w:r w:rsidR="0042250B" w:rsidRPr="00230498">
          <w:rPr>
            <w:rStyle w:val="af5"/>
            <w:rFonts w:cstheme="minorHAnsi"/>
            <w:noProof/>
            <w:vertAlign w:val="subscript"/>
          </w:rPr>
          <w:t>α’’V2</w:t>
        </w:r>
        <w:r w:rsidR="0042250B" w:rsidRPr="00230498">
          <w:rPr>
            <w:rStyle w:val="af5"/>
            <w:rFonts w:cstheme="minorHAnsi"/>
            <w:noProof/>
          </w:rPr>
          <w:t>//[-112]</w:t>
        </w:r>
        <w:r w:rsidR="0042250B" w:rsidRPr="00230498">
          <w:rPr>
            <w:rStyle w:val="af5"/>
            <w:rFonts w:cstheme="minorHAnsi"/>
            <w:noProof/>
            <w:vertAlign w:val="subscript"/>
          </w:rPr>
          <w:t>α’’V3&amp;V4</w:t>
        </w:r>
        <w:r w:rsidR="0042250B" w:rsidRPr="00230498">
          <w:rPr>
            <w:rStyle w:val="af5"/>
            <w:rFonts w:eastAsia="等线" w:cstheme="minorHAnsi"/>
            <w:noProof/>
          </w:rPr>
          <w:t xml:space="preserve"> </w:t>
        </w:r>
        <w:r w:rsidR="0042250B" w:rsidRPr="00230498">
          <w:rPr>
            <w:rStyle w:val="af5"/>
            <w:rFonts w:cstheme="minorHAnsi"/>
            <w:noProof/>
          </w:rPr>
          <w:t>zone axis. (</w:t>
        </w:r>
        <w:r w:rsidR="0042250B" w:rsidRPr="00230498">
          <w:rPr>
            <w:rStyle w:val="af5"/>
            <w:rFonts w:cstheme="minorHAnsi"/>
            <w:b/>
            <w:bCs/>
            <w:noProof/>
          </w:rPr>
          <w:t>b-d</w:t>
        </w:r>
        <w:r w:rsidR="0042250B" w:rsidRPr="00230498">
          <w:rPr>
            <w:rStyle w:val="af5"/>
            <w:rFonts w:cstheme="minorHAnsi"/>
            <w:noProof/>
          </w:rPr>
          <w:t>) Simulated diffraction pattern of [-101]</w:t>
        </w:r>
        <w:r w:rsidR="0042250B" w:rsidRPr="00230498">
          <w:rPr>
            <w:rStyle w:val="af5"/>
            <w:rFonts w:cstheme="minorHAnsi"/>
            <w:noProof/>
            <w:vertAlign w:val="subscript"/>
          </w:rPr>
          <w:t>α’’V1</w:t>
        </w:r>
        <w:r w:rsidR="0042250B" w:rsidRPr="00230498">
          <w:rPr>
            <w:rStyle w:val="af5"/>
            <w:rFonts w:cstheme="minorHAnsi"/>
            <w:noProof/>
          </w:rPr>
          <w:t>, [-110]</w:t>
        </w:r>
        <w:r w:rsidR="0042250B" w:rsidRPr="00230498">
          <w:rPr>
            <w:rStyle w:val="af5"/>
            <w:rFonts w:cstheme="minorHAnsi"/>
            <w:noProof/>
            <w:vertAlign w:val="subscript"/>
          </w:rPr>
          <w:t>α’’V2</w:t>
        </w:r>
        <w:r w:rsidR="0042250B" w:rsidRPr="00230498">
          <w:rPr>
            <w:rStyle w:val="af5"/>
            <w:rFonts w:cstheme="minorHAnsi"/>
            <w:noProof/>
          </w:rPr>
          <w:t xml:space="preserve"> and [-112]</w:t>
        </w:r>
        <w:r w:rsidR="0042250B" w:rsidRPr="00230498">
          <w:rPr>
            <w:rStyle w:val="af5"/>
            <w:rFonts w:cstheme="minorHAnsi"/>
            <w:noProof/>
            <w:vertAlign w:val="subscript"/>
          </w:rPr>
          <w:t>α’’V3&amp;V4</w:t>
        </w:r>
        <w:r w:rsidR="0042250B" w:rsidRPr="00230498">
          <w:rPr>
            <w:rStyle w:val="af5"/>
            <w:rFonts w:cstheme="minorHAnsi"/>
            <w:noProof/>
          </w:rPr>
          <w:t>. (</w:t>
        </w:r>
        <w:r w:rsidR="0042250B" w:rsidRPr="00230498">
          <w:rPr>
            <w:rStyle w:val="af5"/>
            <w:rFonts w:cstheme="minorHAnsi"/>
            <w:b/>
            <w:bCs/>
            <w:noProof/>
          </w:rPr>
          <w:t>e</w:t>
        </w:r>
        <w:r w:rsidR="0042250B" w:rsidRPr="00230498">
          <w:rPr>
            <w:rStyle w:val="af5"/>
            <w:rFonts w:cstheme="minorHAnsi"/>
            <w:noProof/>
          </w:rPr>
          <w:t>) Simulated SADP whose DPs arrangement is following the FFT of Fig. 7-10. Showing (111)</w:t>
        </w:r>
        <w:r w:rsidR="0042250B" w:rsidRPr="00230498">
          <w:rPr>
            <w:rStyle w:val="af5"/>
            <w:rFonts w:cstheme="minorHAnsi"/>
            <w:noProof/>
            <w:vertAlign w:val="subscript"/>
          </w:rPr>
          <w:t>α’’V1</w:t>
        </w:r>
        <w:r w:rsidR="0042250B" w:rsidRPr="00230498">
          <w:rPr>
            <w:rStyle w:val="af5"/>
            <w:rFonts w:cstheme="minorHAnsi"/>
            <w:noProof/>
          </w:rPr>
          <w:t>//(111)</w:t>
        </w:r>
        <w:r w:rsidR="0042250B" w:rsidRPr="00230498">
          <w:rPr>
            <w:rStyle w:val="af5"/>
            <w:rFonts w:cstheme="minorHAnsi"/>
            <w:noProof/>
            <w:vertAlign w:val="subscript"/>
          </w:rPr>
          <w:t>α’’V2</w:t>
        </w:r>
        <w:r w:rsidR="0042250B" w:rsidRPr="00230498">
          <w:rPr>
            <w:rStyle w:val="af5"/>
            <w:rFonts w:cstheme="minorHAnsi"/>
            <w:noProof/>
          </w:rPr>
          <w:t xml:space="preserve"> and (110)</w:t>
        </w:r>
        <w:r w:rsidR="0042250B" w:rsidRPr="00230498">
          <w:rPr>
            <w:rStyle w:val="af5"/>
            <w:rFonts w:cstheme="minorHAnsi"/>
            <w:noProof/>
            <w:vertAlign w:val="subscript"/>
          </w:rPr>
          <w:t>α’’V2</w:t>
        </w:r>
        <w:r w:rsidR="0042250B" w:rsidRPr="00230498">
          <w:rPr>
            <w:rStyle w:val="af5"/>
            <w:rFonts w:cstheme="minorHAnsi"/>
            <w:noProof/>
          </w:rPr>
          <w:t>//(110)</w:t>
        </w:r>
        <w:r w:rsidR="0042250B" w:rsidRPr="00230498">
          <w:rPr>
            <w:rStyle w:val="af5"/>
            <w:rFonts w:cstheme="minorHAnsi"/>
            <w:noProof/>
            <w:vertAlign w:val="subscript"/>
          </w:rPr>
          <w:t>α’’V3</w:t>
        </w:r>
        <w:r w:rsidR="0042250B" w:rsidRPr="00230498">
          <w:rPr>
            <w:rStyle w:val="af5"/>
            <w:rFonts w:cstheme="minorHAnsi"/>
            <w:noProof/>
          </w:rPr>
          <w:t>. (</w:t>
        </w:r>
        <w:r w:rsidR="0042250B" w:rsidRPr="00230498">
          <w:rPr>
            <w:rStyle w:val="af5"/>
            <w:rFonts w:cstheme="minorHAnsi"/>
            <w:b/>
            <w:bCs/>
            <w:noProof/>
          </w:rPr>
          <w:t>f-h</w:t>
        </w:r>
        <w:r w:rsidR="0042250B" w:rsidRPr="00230498">
          <w:rPr>
            <w:rStyle w:val="af5"/>
            <w:rFonts w:cstheme="minorHAnsi"/>
            <w:noProof/>
          </w:rPr>
          <w:t>) Stereographic projections of V1-V3, generated from the orientation data in (e). The special lattice correspondence: (351)[1-12][2-1-1]</w:t>
        </w:r>
        <w:r w:rsidR="0042250B" w:rsidRPr="00230498">
          <w:rPr>
            <w:rStyle w:val="af5"/>
            <w:rFonts w:cstheme="minorHAnsi"/>
            <w:noProof/>
            <w:vertAlign w:val="subscript"/>
          </w:rPr>
          <w:t>α’’V1</w:t>
        </w:r>
        <w:r w:rsidR="0042250B" w:rsidRPr="00230498">
          <w:rPr>
            <w:rStyle w:val="af5"/>
            <w:rFonts w:cstheme="minorHAnsi"/>
            <w:noProof/>
          </w:rPr>
          <w:t>//(351)[1-12][2-1-1]</w:t>
        </w:r>
        <w:r w:rsidR="0042250B" w:rsidRPr="00230498">
          <w:rPr>
            <w:rStyle w:val="af5"/>
            <w:rFonts w:cstheme="minorHAnsi"/>
            <w:noProof/>
            <w:vertAlign w:val="subscript"/>
          </w:rPr>
          <w:t>α’’V2&amp;v3</w:t>
        </w:r>
        <w:r w:rsidR="0042250B" w:rsidRPr="00230498">
          <w:rPr>
            <w:rStyle w:val="af5"/>
            <w:rFonts w:cstheme="minorHAnsi"/>
            <w:noProof/>
          </w:rPr>
          <w:t xml:space="preserve"> are highlighted.</w:t>
        </w:r>
        <w:r w:rsidR="0042250B">
          <w:rPr>
            <w:noProof/>
            <w:webHidden/>
          </w:rPr>
          <w:tab/>
        </w:r>
        <w:r w:rsidR="0042250B">
          <w:rPr>
            <w:noProof/>
            <w:webHidden/>
          </w:rPr>
          <w:fldChar w:fldCharType="begin"/>
        </w:r>
        <w:r w:rsidR="0042250B">
          <w:rPr>
            <w:noProof/>
            <w:webHidden/>
          </w:rPr>
          <w:instrText xml:space="preserve"> PAGEREF _Toc39312734 \h </w:instrText>
        </w:r>
        <w:r w:rsidR="0042250B">
          <w:rPr>
            <w:noProof/>
            <w:webHidden/>
          </w:rPr>
        </w:r>
        <w:r w:rsidR="0042250B">
          <w:rPr>
            <w:noProof/>
            <w:webHidden/>
          </w:rPr>
          <w:fldChar w:fldCharType="separate"/>
        </w:r>
        <w:r w:rsidR="0042250B">
          <w:rPr>
            <w:noProof/>
            <w:webHidden/>
          </w:rPr>
          <w:t>158</w:t>
        </w:r>
        <w:r w:rsidR="0042250B">
          <w:rPr>
            <w:noProof/>
            <w:webHidden/>
          </w:rPr>
          <w:fldChar w:fldCharType="end"/>
        </w:r>
      </w:hyperlink>
    </w:p>
    <w:p w14:paraId="7C481AE0" w14:textId="6F4E418B" w:rsidR="0042250B" w:rsidRDefault="00077961" w:rsidP="0042250B">
      <w:pPr>
        <w:pStyle w:val="af7"/>
        <w:tabs>
          <w:tab w:val="right" w:leader="dot" w:pos="9350"/>
        </w:tabs>
        <w:spacing w:after="60" w:line="360" w:lineRule="auto"/>
        <w:rPr>
          <w:noProof/>
          <w:kern w:val="2"/>
          <w:sz w:val="21"/>
        </w:rPr>
      </w:pPr>
      <w:hyperlink w:anchor="_Toc39312735" w:history="1">
        <w:r w:rsidR="0042250B" w:rsidRPr="00230498">
          <w:rPr>
            <w:rStyle w:val="af5"/>
            <w:rFonts w:ascii="Calibri" w:eastAsia="等线" w:hAnsi="Calibri" w:cs="Times New Roman"/>
            <w:b/>
            <w:bCs/>
            <w:noProof/>
            <w:kern w:val="24"/>
          </w:rPr>
          <w:t xml:space="preserve">Figure. </w:t>
        </w:r>
        <w:r w:rsidR="0042250B" w:rsidRPr="00230498">
          <w:rPr>
            <w:rStyle w:val="af5"/>
            <w:b/>
            <w:noProof/>
          </w:rPr>
          <w:t>7-12</w:t>
        </w:r>
        <w:r w:rsidR="0042250B" w:rsidRPr="00230498">
          <w:rPr>
            <w:rStyle w:val="af5"/>
            <w:rFonts w:ascii="Calibri" w:eastAsia="等线" w:hAnsi="Calibri" w:cs="Times New Roman"/>
            <w:b/>
            <w:bCs/>
            <w:noProof/>
            <w:kern w:val="24"/>
          </w:rPr>
          <w:t>. Twin and martensite distribution analysis. Scale bar 20</w:t>
        </w:r>
        <w:r w:rsidR="0042250B" w:rsidRPr="00230498">
          <w:rPr>
            <w:rStyle w:val="af5"/>
            <w:rFonts w:ascii="Times New Roman" w:eastAsia="等线" w:hAnsi="Times New Roman"/>
            <w:b/>
            <w:bCs/>
            <w:noProof/>
            <w:kern w:val="24"/>
          </w:rPr>
          <w:t>μ</w:t>
        </w:r>
        <w:r w:rsidR="0042250B" w:rsidRPr="00230498">
          <w:rPr>
            <w:rStyle w:val="af5"/>
            <w:rFonts w:ascii="Calibri" w:eastAsia="等线" w:hAnsi="Calibri" w:cs="Times New Roman"/>
            <w:b/>
            <w:bCs/>
            <w:noProof/>
            <w:kern w:val="24"/>
          </w:rPr>
          <w:t>m.</w:t>
        </w:r>
        <w:r w:rsidR="0042250B" w:rsidRPr="00230498">
          <w:rPr>
            <w:rStyle w:val="af5"/>
            <w:rFonts w:ascii="Calibri" w:eastAsia="等线" w:hAnsi="Calibri" w:cs="Times New Roman"/>
            <w:noProof/>
            <w:kern w:val="24"/>
          </w:rPr>
          <w:t xml:space="preserve"> (</w:t>
        </w:r>
        <w:r w:rsidR="0042250B" w:rsidRPr="00230498">
          <w:rPr>
            <w:rStyle w:val="af5"/>
            <w:rFonts w:ascii="Calibri" w:eastAsia="等线" w:hAnsi="Calibri" w:cs="Times New Roman"/>
            <w:b/>
            <w:bCs/>
            <w:noProof/>
            <w:kern w:val="24"/>
          </w:rPr>
          <w:t>a-c</w:t>
        </w:r>
        <w:r w:rsidR="0042250B" w:rsidRPr="00230498">
          <w:rPr>
            <w:rStyle w:val="af5"/>
            <w:rFonts w:ascii="Calibri" w:eastAsia="等线" w:hAnsi="Calibri" w:cs="Times New Roman"/>
            <w:noProof/>
            <w:kern w:val="24"/>
          </w:rPr>
          <w:t>)</w:t>
        </w:r>
        <w:r w:rsidR="0042250B" w:rsidRPr="00230498">
          <w:rPr>
            <w:rStyle w:val="af5"/>
            <w:rFonts w:ascii="Calibri" w:eastAsia="等线" w:hAnsi="Calibri" w:cs="Times New Roman"/>
            <w:b/>
            <w:bCs/>
            <w:noProof/>
            <w:kern w:val="24"/>
          </w:rPr>
          <w:t xml:space="preserve"> </w:t>
        </w:r>
        <w:r w:rsidR="0042250B" w:rsidRPr="00230498">
          <w:rPr>
            <w:rStyle w:val="af5"/>
            <w:rFonts w:ascii="Calibri" w:eastAsia="等线" w:hAnsi="Calibri" w:cs="Times New Roman"/>
            <w:noProof/>
            <w:kern w:val="24"/>
          </w:rPr>
          <w:t>KAM map of (TiZrHf)</w:t>
        </w:r>
        <w:r w:rsidR="0042250B" w:rsidRPr="00230498">
          <w:rPr>
            <w:rStyle w:val="af5"/>
            <w:rFonts w:ascii="Calibri" w:eastAsia="等线" w:hAnsi="Calibri" w:cs="Times New Roman"/>
            <w:noProof/>
            <w:kern w:val="24"/>
            <w:position w:val="-6"/>
            <w:vertAlign w:val="subscript"/>
          </w:rPr>
          <w:t>87</w:t>
        </w:r>
        <w:r w:rsidR="0042250B" w:rsidRPr="00230498">
          <w:rPr>
            <w:rStyle w:val="af5"/>
            <w:rFonts w:ascii="Calibri" w:eastAsia="等线" w:hAnsi="Calibri" w:cs="Times New Roman"/>
            <w:noProof/>
            <w:kern w:val="24"/>
          </w:rPr>
          <w:t>Ta</w:t>
        </w:r>
        <w:r w:rsidR="0042250B" w:rsidRPr="00230498">
          <w:rPr>
            <w:rStyle w:val="af5"/>
            <w:rFonts w:ascii="Calibri" w:eastAsia="等线" w:hAnsi="Calibri" w:cs="Times New Roman"/>
            <w:noProof/>
            <w:kern w:val="24"/>
            <w:position w:val="-6"/>
            <w:vertAlign w:val="subscript"/>
          </w:rPr>
          <w:t>13</w:t>
        </w:r>
        <w:r w:rsidR="0042250B" w:rsidRPr="00230498">
          <w:rPr>
            <w:rStyle w:val="af5"/>
            <w:rFonts w:ascii="Calibri" w:eastAsia="等线" w:hAnsi="Calibri" w:cs="Times New Roman"/>
            <w:noProof/>
            <w:kern w:val="24"/>
          </w:rPr>
          <w:t xml:space="preserve"> for samples deformed during tensile testing to 3%, 6% and 9% strain; (</w:t>
        </w:r>
        <w:r w:rsidR="0042250B" w:rsidRPr="00230498">
          <w:rPr>
            <w:rStyle w:val="af5"/>
            <w:rFonts w:ascii="Calibri" w:eastAsia="等线" w:hAnsi="Calibri" w:cs="Times New Roman"/>
            <w:b/>
            <w:bCs/>
            <w:noProof/>
            <w:kern w:val="24"/>
          </w:rPr>
          <w:t>d-f</w:t>
        </w:r>
        <w:r w:rsidR="0042250B" w:rsidRPr="00230498">
          <w:rPr>
            <w:rStyle w:val="af5"/>
            <w:rFonts w:ascii="Calibri" w:eastAsia="等线" w:hAnsi="Calibri" w:cs="Times New Roman"/>
            <w:noProof/>
            <w:kern w:val="24"/>
          </w:rPr>
          <w:t>)</w:t>
        </w:r>
        <w:r w:rsidR="0042250B" w:rsidRPr="00230498">
          <w:rPr>
            <w:rStyle w:val="af5"/>
            <w:rFonts w:ascii="Calibri" w:eastAsia="等线" w:hAnsi="Calibri" w:cs="Times New Roman"/>
            <w:b/>
            <w:bCs/>
            <w:noProof/>
            <w:kern w:val="24"/>
          </w:rPr>
          <w:t xml:space="preserve"> </w:t>
        </w:r>
        <w:r w:rsidR="0042250B" w:rsidRPr="00230498">
          <w:rPr>
            <w:rStyle w:val="af5"/>
            <w:rFonts w:ascii="Calibri" w:eastAsia="等线" w:hAnsi="Calibri" w:cs="Times New Roman"/>
            <w:noProof/>
            <w:kern w:val="24"/>
          </w:rPr>
          <w:t>KAM map of (TiZrHf)</w:t>
        </w:r>
        <w:r w:rsidR="0042250B" w:rsidRPr="00230498">
          <w:rPr>
            <w:rStyle w:val="af5"/>
            <w:rFonts w:ascii="Calibri" w:eastAsia="等线" w:hAnsi="Calibri" w:cs="Times New Roman"/>
            <w:noProof/>
            <w:kern w:val="24"/>
            <w:position w:val="-6"/>
            <w:vertAlign w:val="subscript"/>
          </w:rPr>
          <w:t>85</w:t>
        </w:r>
        <w:r w:rsidR="0042250B" w:rsidRPr="00230498">
          <w:rPr>
            <w:rStyle w:val="af5"/>
            <w:rFonts w:ascii="Calibri" w:eastAsia="等线" w:hAnsi="Calibri" w:cs="Times New Roman"/>
            <w:noProof/>
            <w:kern w:val="24"/>
          </w:rPr>
          <w:t>Ta</w:t>
        </w:r>
        <w:r w:rsidR="0042250B" w:rsidRPr="00230498">
          <w:rPr>
            <w:rStyle w:val="af5"/>
            <w:rFonts w:ascii="Calibri" w:eastAsia="等线" w:hAnsi="Calibri" w:cs="Times New Roman"/>
            <w:noProof/>
            <w:kern w:val="24"/>
            <w:position w:val="-6"/>
            <w:vertAlign w:val="subscript"/>
          </w:rPr>
          <w:t>15</w:t>
        </w:r>
        <w:r w:rsidR="0042250B" w:rsidRPr="00230498">
          <w:rPr>
            <w:rStyle w:val="af5"/>
            <w:rFonts w:ascii="Calibri" w:eastAsia="等线" w:hAnsi="Calibri" w:cs="Times New Roman"/>
            <w:noProof/>
            <w:kern w:val="24"/>
          </w:rPr>
          <w:t xml:space="preserve"> for samples deformed during tensile testing to 3%, 6% and 9% strain; (</w:t>
        </w:r>
        <w:r w:rsidR="0042250B" w:rsidRPr="00230498">
          <w:rPr>
            <w:rStyle w:val="af5"/>
            <w:rFonts w:ascii="Calibri" w:eastAsia="等线" w:hAnsi="Calibri" w:cs="Times New Roman"/>
            <w:b/>
            <w:bCs/>
            <w:noProof/>
            <w:kern w:val="24"/>
          </w:rPr>
          <w:t>g</w:t>
        </w:r>
        <w:r w:rsidR="0042250B" w:rsidRPr="00230498">
          <w:rPr>
            <w:rStyle w:val="af5"/>
            <w:rFonts w:ascii="Calibri" w:eastAsia="等线" w:hAnsi="Calibri" w:cs="Times New Roman"/>
            <w:noProof/>
            <w:kern w:val="24"/>
          </w:rPr>
          <w:t>) variation of martensite volume fraction and GND density of (TiZrHf)</w:t>
        </w:r>
        <w:r w:rsidR="0042250B" w:rsidRPr="00230498">
          <w:rPr>
            <w:rStyle w:val="af5"/>
            <w:rFonts w:ascii="Calibri" w:eastAsia="等线" w:hAnsi="Calibri" w:cs="Times New Roman"/>
            <w:noProof/>
            <w:kern w:val="24"/>
            <w:position w:val="-6"/>
            <w:vertAlign w:val="subscript"/>
          </w:rPr>
          <w:t>87</w:t>
        </w:r>
        <w:r w:rsidR="0042250B" w:rsidRPr="00230498">
          <w:rPr>
            <w:rStyle w:val="af5"/>
            <w:rFonts w:ascii="Calibri" w:eastAsia="等线" w:hAnsi="Calibri" w:cs="Times New Roman"/>
            <w:noProof/>
            <w:kern w:val="24"/>
          </w:rPr>
          <w:t>Ta</w:t>
        </w:r>
        <w:r w:rsidR="0042250B" w:rsidRPr="00230498">
          <w:rPr>
            <w:rStyle w:val="af5"/>
            <w:rFonts w:ascii="Calibri" w:eastAsia="等线" w:hAnsi="Calibri" w:cs="Times New Roman"/>
            <w:noProof/>
            <w:kern w:val="24"/>
            <w:position w:val="-6"/>
            <w:vertAlign w:val="subscript"/>
          </w:rPr>
          <w:t>13</w:t>
        </w:r>
        <w:r w:rsidR="0042250B" w:rsidRPr="00230498">
          <w:rPr>
            <w:rStyle w:val="af5"/>
            <w:rFonts w:ascii="Calibri" w:eastAsia="等线" w:hAnsi="Calibri" w:cs="Times New Roman"/>
            <w:noProof/>
            <w:kern w:val="24"/>
          </w:rPr>
          <w:t xml:space="preserve"> (solid) and (TiZrHf)</w:t>
        </w:r>
        <w:r w:rsidR="0042250B" w:rsidRPr="00230498">
          <w:rPr>
            <w:rStyle w:val="af5"/>
            <w:rFonts w:ascii="Calibri" w:eastAsia="等线" w:hAnsi="Calibri" w:cs="Times New Roman"/>
            <w:noProof/>
            <w:kern w:val="24"/>
            <w:position w:val="-6"/>
            <w:vertAlign w:val="subscript"/>
          </w:rPr>
          <w:t>85</w:t>
        </w:r>
        <w:r w:rsidR="0042250B" w:rsidRPr="00230498">
          <w:rPr>
            <w:rStyle w:val="af5"/>
            <w:rFonts w:ascii="Calibri" w:eastAsia="等线" w:hAnsi="Calibri" w:cs="Times New Roman"/>
            <w:noProof/>
            <w:kern w:val="24"/>
          </w:rPr>
          <w:t>Ta</w:t>
        </w:r>
        <w:r w:rsidR="0042250B" w:rsidRPr="00230498">
          <w:rPr>
            <w:rStyle w:val="af5"/>
            <w:rFonts w:ascii="Calibri" w:eastAsia="等线" w:hAnsi="Calibri" w:cs="Times New Roman"/>
            <w:noProof/>
            <w:kern w:val="24"/>
            <w:position w:val="-6"/>
            <w:vertAlign w:val="subscript"/>
          </w:rPr>
          <w:t>15</w:t>
        </w:r>
        <w:r w:rsidR="0042250B" w:rsidRPr="00230498">
          <w:rPr>
            <w:rStyle w:val="af5"/>
            <w:rFonts w:ascii="Calibri" w:eastAsia="等线" w:hAnsi="Calibri" w:cs="Times New Roman"/>
            <w:noProof/>
            <w:kern w:val="24"/>
          </w:rPr>
          <w:t xml:space="preserve"> (hollow) from </w:t>
        </w:r>
        <w:r w:rsidR="0042250B" w:rsidRPr="00230498">
          <w:rPr>
            <w:rStyle w:val="af5"/>
            <w:rFonts w:ascii="Calibri" w:eastAsia="等线" w:hAnsi="Calibri" w:cs="Times New Roman"/>
            <w:noProof/>
            <w:kern w:val="24"/>
          </w:rPr>
          <w:lastRenderedPageBreak/>
          <w:t>3% &gt; 6% &gt; 9% strain; and (</w:t>
        </w:r>
        <w:r w:rsidR="0042250B" w:rsidRPr="00230498">
          <w:rPr>
            <w:rStyle w:val="af5"/>
            <w:rFonts w:ascii="Calibri" w:eastAsia="等线" w:hAnsi="Calibri" w:cs="Times New Roman"/>
            <w:b/>
            <w:bCs/>
            <w:noProof/>
            <w:kern w:val="24"/>
          </w:rPr>
          <w:t>h</w:t>
        </w:r>
        <w:r w:rsidR="0042250B" w:rsidRPr="00230498">
          <w:rPr>
            <w:rStyle w:val="af5"/>
            <w:rFonts w:ascii="Calibri" w:eastAsia="等线" w:hAnsi="Calibri" w:cs="Times New Roman"/>
            <w:noProof/>
            <w:kern w:val="24"/>
          </w:rPr>
          <w:t>) variation of (TiZrHf)</w:t>
        </w:r>
        <w:r w:rsidR="0042250B" w:rsidRPr="00230498">
          <w:rPr>
            <w:rStyle w:val="af5"/>
            <w:rFonts w:ascii="Calibri" w:eastAsia="等线" w:hAnsi="Calibri" w:cs="Times New Roman"/>
            <w:noProof/>
            <w:kern w:val="24"/>
            <w:position w:val="-6"/>
            <w:vertAlign w:val="subscript"/>
          </w:rPr>
          <w:t>87</w:t>
        </w:r>
        <w:r w:rsidR="0042250B" w:rsidRPr="00230498">
          <w:rPr>
            <w:rStyle w:val="af5"/>
            <w:rFonts w:ascii="Calibri" w:eastAsia="等线" w:hAnsi="Calibri" w:cs="Times New Roman"/>
            <w:noProof/>
            <w:kern w:val="24"/>
          </w:rPr>
          <w:t>Ta</w:t>
        </w:r>
        <w:r w:rsidR="0042250B" w:rsidRPr="00230498">
          <w:rPr>
            <w:rStyle w:val="af5"/>
            <w:rFonts w:ascii="Calibri" w:eastAsia="等线" w:hAnsi="Calibri" w:cs="Times New Roman"/>
            <w:noProof/>
            <w:kern w:val="24"/>
            <w:position w:val="-6"/>
            <w:vertAlign w:val="subscript"/>
          </w:rPr>
          <w:t>13</w:t>
        </w:r>
        <w:r w:rsidR="0042250B" w:rsidRPr="00230498">
          <w:rPr>
            <w:rStyle w:val="af5"/>
            <w:rFonts w:ascii="Calibri" w:eastAsia="等线" w:hAnsi="Calibri" w:cs="Times New Roman"/>
            <w:noProof/>
            <w:kern w:val="24"/>
          </w:rPr>
          <w:t xml:space="preserve"> and (TiZrHf)</w:t>
        </w:r>
        <w:r w:rsidR="0042250B" w:rsidRPr="00230498">
          <w:rPr>
            <w:rStyle w:val="af5"/>
            <w:rFonts w:ascii="Calibri" w:eastAsia="等线" w:hAnsi="Calibri" w:cs="Times New Roman"/>
            <w:noProof/>
            <w:kern w:val="24"/>
            <w:position w:val="-6"/>
            <w:vertAlign w:val="subscript"/>
          </w:rPr>
          <w:t>85</w:t>
        </w:r>
        <w:r w:rsidR="0042250B" w:rsidRPr="00230498">
          <w:rPr>
            <w:rStyle w:val="af5"/>
            <w:rFonts w:ascii="Calibri" w:eastAsia="等线" w:hAnsi="Calibri" w:cs="Times New Roman"/>
            <w:noProof/>
            <w:kern w:val="24"/>
          </w:rPr>
          <w:t>Ta</w:t>
        </w:r>
        <w:r w:rsidR="0042250B" w:rsidRPr="00230498">
          <w:rPr>
            <w:rStyle w:val="af5"/>
            <w:rFonts w:ascii="Calibri" w:eastAsia="等线" w:hAnsi="Calibri" w:cs="Times New Roman"/>
            <w:noProof/>
            <w:kern w:val="24"/>
            <w:position w:val="-6"/>
            <w:vertAlign w:val="subscript"/>
          </w:rPr>
          <w:t>15</w:t>
        </w:r>
        <w:r w:rsidR="0042250B" w:rsidRPr="00230498">
          <w:rPr>
            <w:rStyle w:val="af5"/>
            <w:rFonts w:ascii="Calibri" w:eastAsia="等线" w:hAnsi="Calibri" w:cs="Times New Roman"/>
            <w:noProof/>
            <w:kern w:val="24"/>
          </w:rPr>
          <w:t xml:space="preserve"> twin thickness from 3% &gt; 6% &gt; 9% strain.</w:t>
        </w:r>
        <w:r w:rsidR="0042250B">
          <w:rPr>
            <w:noProof/>
            <w:webHidden/>
          </w:rPr>
          <w:tab/>
        </w:r>
        <w:r w:rsidR="0042250B">
          <w:rPr>
            <w:noProof/>
            <w:webHidden/>
          </w:rPr>
          <w:fldChar w:fldCharType="begin"/>
        </w:r>
        <w:r w:rsidR="0042250B">
          <w:rPr>
            <w:noProof/>
            <w:webHidden/>
          </w:rPr>
          <w:instrText xml:space="preserve"> PAGEREF _Toc39312735 \h </w:instrText>
        </w:r>
        <w:r w:rsidR="0042250B">
          <w:rPr>
            <w:noProof/>
            <w:webHidden/>
          </w:rPr>
        </w:r>
        <w:r w:rsidR="0042250B">
          <w:rPr>
            <w:noProof/>
            <w:webHidden/>
          </w:rPr>
          <w:fldChar w:fldCharType="separate"/>
        </w:r>
        <w:r w:rsidR="0042250B">
          <w:rPr>
            <w:noProof/>
            <w:webHidden/>
          </w:rPr>
          <w:t>160</w:t>
        </w:r>
        <w:r w:rsidR="0042250B">
          <w:rPr>
            <w:noProof/>
            <w:webHidden/>
          </w:rPr>
          <w:fldChar w:fldCharType="end"/>
        </w:r>
      </w:hyperlink>
    </w:p>
    <w:p w14:paraId="753C0FB6" w14:textId="16F9AB77" w:rsidR="0042250B" w:rsidRDefault="00077961" w:rsidP="0042250B">
      <w:pPr>
        <w:pStyle w:val="af7"/>
        <w:tabs>
          <w:tab w:val="right" w:leader="dot" w:pos="9350"/>
        </w:tabs>
        <w:spacing w:after="60" w:line="360" w:lineRule="auto"/>
        <w:rPr>
          <w:noProof/>
          <w:kern w:val="2"/>
          <w:sz w:val="21"/>
        </w:rPr>
      </w:pPr>
      <w:hyperlink w:anchor="_Toc39312736" w:history="1">
        <w:r w:rsidR="0042250B" w:rsidRPr="00230498">
          <w:rPr>
            <w:rStyle w:val="af5"/>
            <w:b/>
            <w:noProof/>
          </w:rPr>
          <w:t>Figure 7-13 Sch</w:t>
        </w:r>
        <w:r w:rsidR="0042250B" w:rsidRPr="00230498">
          <w:rPr>
            <w:rStyle w:val="af5"/>
            <w:rFonts w:cstheme="minorHAnsi"/>
            <w:b/>
            <w:noProof/>
          </w:rPr>
          <w:t>ematic representation of TTIP analysis.</w:t>
        </w:r>
        <w:r w:rsidR="0042250B" w:rsidRPr="00230498">
          <w:rPr>
            <w:rStyle w:val="af5"/>
            <w:rFonts w:cstheme="minorHAnsi"/>
            <w:noProof/>
          </w:rPr>
          <w:t xml:space="preserve"> (a) </w:t>
        </w:r>
        <w:r w:rsidR="0042250B" w:rsidRPr="00230498">
          <w:rPr>
            <w:rStyle w:val="af5"/>
            <w:rFonts w:cstheme="minorHAnsi"/>
            <w:b/>
            <w:bCs/>
            <w:noProof/>
          </w:rPr>
          <w:t>I</w:t>
        </w:r>
        <w:r w:rsidR="0042250B" w:rsidRPr="00230498">
          <w:rPr>
            <w:rStyle w:val="af5"/>
            <w:rFonts w:cstheme="minorHAnsi"/>
            <w:noProof/>
          </w:rPr>
          <w:t xml:space="preserve">. Initial formation of α″ (red). </w:t>
        </w:r>
        <w:r w:rsidR="0042250B" w:rsidRPr="00230498">
          <w:rPr>
            <w:rStyle w:val="af5"/>
            <w:rFonts w:cstheme="minorHAnsi"/>
            <w:b/>
            <w:bCs/>
            <w:noProof/>
          </w:rPr>
          <w:t>II</w:t>
        </w:r>
        <w:r w:rsidR="0042250B" w:rsidRPr="00230498">
          <w:rPr>
            <w:rStyle w:val="af5"/>
            <w:rFonts w:cstheme="minorHAnsi"/>
            <w:noProof/>
          </w:rPr>
          <w:t>. SA type II {351}&lt;-211&gt;</w:t>
        </w:r>
        <w:r w:rsidR="0042250B" w:rsidRPr="00230498">
          <w:rPr>
            <w:rStyle w:val="af5"/>
            <w:rFonts w:cstheme="minorHAnsi"/>
            <w:noProof/>
            <w:vertAlign w:val="subscript"/>
          </w:rPr>
          <w:t>α″</w:t>
        </w:r>
        <w:r w:rsidR="0042250B" w:rsidRPr="00230498">
          <w:rPr>
            <w:rStyle w:val="af5"/>
            <w:rFonts w:cstheme="minorHAnsi"/>
            <w:noProof/>
          </w:rPr>
          <w:t xml:space="preserve"> SA twinning (green) generated adjacent to the primary α″. </w:t>
        </w:r>
        <w:r w:rsidR="0042250B" w:rsidRPr="00230498">
          <w:rPr>
            <w:rStyle w:val="af5"/>
            <w:rFonts w:cstheme="minorHAnsi"/>
            <w:b/>
            <w:bCs/>
            <w:noProof/>
          </w:rPr>
          <w:t>III</w:t>
        </w:r>
        <w:r w:rsidR="0042250B" w:rsidRPr="00230498">
          <w:rPr>
            <w:rStyle w:val="af5"/>
            <w:rFonts w:cstheme="minorHAnsi"/>
            <w:noProof/>
          </w:rPr>
          <w:t xml:space="preserve">. mechanical </w:t>
        </w:r>
        <w:r w:rsidR="0042250B" w:rsidRPr="00230498">
          <w:rPr>
            <w:rStyle w:val="af5"/>
            <w:rFonts w:cstheme="minorHAnsi"/>
            <w:bCs/>
            <w:noProof/>
          </w:rPr>
          <w:t>{351}</w:t>
        </w:r>
        <w:r w:rsidR="0042250B" w:rsidRPr="00230498">
          <w:rPr>
            <w:rStyle w:val="af5"/>
            <w:rFonts w:cstheme="minorHAnsi"/>
            <w:noProof/>
          </w:rPr>
          <w:t>&lt;1-12&gt;</w:t>
        </w:r>
        <w:r w:rsidR="0042250B" w:rsidRPr="00230498">
          <w:rPr>
            <w:rStyle w:val="af5"/>
            <w:rFonts w:cstheme="minorHAnsi"/>
            <w:noProof/>
            <w:vertAlign w:val="subscript"/>
          </w:rPr>
          <w:t>α″</w:t>
        </w:r>
        <w:r w:rsidR="0042250B" w:rsidRPr="00230498">
          <w:rPr>
            <w:rStyle w:val="af5"/>
            <w:rFonts w:cstheme="minorHAnsi"/>
            <w:noProof/>
          </w:rPr>
          <w:t xml:space="preserve">  twins (orange) nucleate within SA twinned α’’ variants and further overtake the SA twinned α’’ variants. (b)</w:t>
        </w:r>
        <w:r w:rsidR="0042250B" w:rsidRPr="00230498">
          <w:rPr>
            <w:rStyle w:val="af5"/>
            <w:rFonts w:cstheme="minorHAnsi"/>
            <w:b/>
            <w:bCs/>
            <w:noProof/>
          </w:rPr>
          <w:t xml:space="preserve"> </w:t>
        </w:r>
        <w:r w:rsidR="0042250B" w:rsidRPr="00230498">
          <w:rPr>
            <w:rStyle w:val="af5"/>
            <w:rFonts w:cstheme="minorHAnsi"/>
            <w:bCs/>
            <w:noProof/>
          </w:rPr>
          <w:t>Schematic representation of atomic movements associated with {351</w:t>
        </w:r>
        <w:r w:rsidR="0042250B" w:rsidRPr="00230498">
          <w:rPr>
            <w:rStyle w:val="af5"/>
            <w:rFonts w:cstheme="minorHAnsi"/>
            <w:noProof/>
          </w:rPr>
          <w:t>}&lt;-211&gt;</w:t>
        </w:r>
        <w:r w:rsidR="0042250B" w:rsidRPr="00230498">
          <w:rPr>
            <w:rStyle w:val="af5"/>
            <w:rFonts w:cstheme="minorHAnsi"/>
            <w:noProof/>
            <w:vertAlign w:val="subscript"/>
          </w:rPr>
          <w:t>α″</w:t>
        </w:r>
        <w:r w:rsidR="0042250B" w:rsidRPr="00230498">
          <w:rPr>
            <w:rStyle w:val="af5"/>
            <w:rFonts w:cstheme="minorHAnsi"/>
            <w:noProof/>
          </w:rPr>
          <w:t xml:space="preserve"> to </w:t>
        </w:r>
        <w:r w:rsidR="0042250B" w:rsidRPr="00230498">
          <w:rPr>
            <w:rStyle w:val="af5"/>
            <w:rFonts w:cstheme="minorHAnsi"/>
            <w:bCs/>
            <w:noProof/>
          </w:rPr>
          <w:t>{351}</w:t>
        </w:r>
        <w:r w:rsidR="0042250B" w:rsidRPr="00230498">
          <w:rPr>
            <w:rStyle w:val="af5"/>
            <w:rFonts w:cstheme="minorHAnsi"/>
            <w:noProof/>
          </w:rPr>
          <w:t>&lt;1-12&gt;</w:t>
        </w:r>
        <w:r w:rsidR="0042250B" w:rsidRPr="00230498">
          <w:rPr>
            <w:rStyle w:val="af5"/>
            <w:rFonts w:cstheme="minorHAnsi"/>
            <w:noProof/>
            <w:vertAlign w:val="subscript"/>
          </w:rPr>
          <w:t>α″</w:t>
        </w:r>
        <w:r w:rsidR="0042250B" w:rsidRPr="00230498">
          <w:rPr>
            <w:rStyle w:val="af5"/>
            <w:rFonts w:cstheme="minorHAnsi"/>
            <w:noProof/>
          </w:rPr>
          <w:t xml:space="preserve"> evolution. Blue and brown dots indicate atoms at matrix and shuffled with (001)&lt;010&gt;</w:t>
        </w:r>
        <w:r w:rsidR="0042250B" w:rsidRPr="00230498">
          <w:rPr>
            <w:rStyle w:val="af5"/>
            <w:rFonts w:cstheme="minorHAnsi"/>
            <w:noProof/>
            <w:vertAlign w:val="subscript"/>
          </w:rPr>
          <w:t>α’’</w:t>
        </w:r>
        <w:r w:rsidR="0042250B" w:rsidRPr="00230498">
          <w:rPr>
            <w:rStyle w:val="af5"/>
            <w:rFonts w:cstheme="minorHAnsi"/>
            <w:noProof/>
          </w:rPr>
          <w:t xml:space="preserve"> displacement, respectively. From left to right are projections of type II twin </w:t>
        </w:r>
        <w:r w:rsidR="0042250B" w:rsidRPr="00230498">
          <w:rPr>
            <w:rStyle w:val="af5"/>
            <w:rFonts w:cstheme="minorHAnsi"/>
            <w:bCs/>
            <w:noProof/>
          </w:rPr>
          <w:t>{351</w:t>
        </w:r>
        <w:r w:rsidR="0042250B" w:rsidRPr="00230498">
          <w:rPr>
            <w:rStyle w:val="af5"/>
            <w:rFonts w:cstheme="minorHAnsi"/>
            <w:noProof/>
          </w:rPr>
          <w:t>}&lt;-211&gt;</w:t>
        </w:r>
        <w:r w:rsidR="0042250B" w:rsidRPr="00230498">
          <w:rPr>
            <w:rStyle w:val="af5"/>
            <w:rFonts w:cstheme="minorHAnsi"/>
            <w:noProof/>
            <w:vertAlign w:val="subscript"/>
          </w:rPr>
          <w:t>α″</w:t>
        </w:r>
        <w:r w:rsidR="0042250B" w:rsidRPr="00230498">
          <w:rPr>
            <w:rStyle w:val="af5"/>
            <w:rFonts w:cstheme="minorHAnsi"/>
            <w:noProof/>
          </w:rPr>
          <w:t xml:space="preserve"> along &lt;1-12&gt;</w:t>
        </w:r>
        <w:r w:rsidR="0042250B" w:rsidRPr="00230498">
          <w:rPr>
            <w:rStyle w:val="af5"/>
            <w:rFonts w:cstheme="minorHAnsi"/>
            <w:noProof/>
            <w:vertAlign w:val="subscript"/>
          </w:rPr>
          <w:t>α″</w:t>
        </w:r>
        <w:r w:rsidR="0042250B" w:rsidRPr="00230498">
          <w:rPr>
            <w:rStyle w:val="af5"/>
            <w:rFonts w:cstheme="minorHAnsi"/>
            <w:noProof/>
          </w:rPr>
          <w:t xml:space="preserve"> and &lt;2-1-1&gt;</w:t>
        </w:r>
        <w:r w:rsidR="0042250B" w:rsidRPr="00230498">
          <w:rPr>
            <w:rStyle w:val="af5"/>
            <w:rFonts w:cstheme="minorHAnsi"/>
            <w:noProof/>
            <w:vertAlign w:val="subscript"/>
          </w:rPr>
          <w:t>α″</w:t>
        </w:r>
        <w:r w:rsidR="0042250B" w:rsidRPr="00230498">
          <w:rPr>
            <w:rStyle w:val="af5"/>
            <w:rFonts w:cstheme="minorHAnsi"/>
            <w:bCs/>
            <w:noProof/>
          </w:rPr>
          <w:t xml:space="preserve"> , type I </w:t>
        </w:r>
        <w:r w:rsidR="0042250B" w:rsidRPr="00230498">
          <w:rPr>
            <w:rStyle w:val="af5"/>
            <w:rFonts w:cstheme="minorHAnsi"/>
            <w:noProof/>
          </w:rPr>
          <w:t xml:space="preserve"> twin </w:t>
        </w:r>
        <w:r w:rsidR="0042250B" w:rsidRPr="00230498">
          <w:rPr>
            <w:rStyle w:val="af5"/>
            <w:rFonts w:cstheme="minorHAnsi"/>
            <w:bCs/>
            <w:noProof/>
          </w:rPr>
          <w:t>{351</w:t>
        </w:r>
        <w:r w:rsidR="0042250B" w:rsidRPr="00230498">
          <w:rPr>
            <w:rStyle w:val="af5"/>
            <w:rFonts w:cstheme="minorHAnsi"/>
            <w:noProof/>
          </w:rPr>
          <w:t>}&lt;1-12&gt;</w:t>
        </w:r>
        <w:r w:rsidR="0042250B" w:rsidRPr="00230498">
          <w:rPr>
            <w:rStyle w:val="af5"/>
            <w:rFonts w:cstheme="minorHAnsi"/>
            <w:noProof/>
            <w:vertAlign w:val="subscript"/>
          </w:rPr>
          <w:t>α″</w:t>
        </w:r>
        <w:r w:rsidR="0042250B" w:rsidRPr="00230498">
          <w:rPr>
            <w:rStyle w:val="af5"/>
            <w:rFonts w:cstheme="minorHAnsi"/>
            <w:noProof/>
          </w:rPr>
          <w:t xml:space="preserve"> along &lt;2-1-1&gt;</w:t>
        </w:r>
        <w:r w:rsidR="0042250B" w:rsidRPr="00230498">
          <w:rPr>
            <w:rStyle w:val="af5"/>
            <w:rFonts w:cstheme="minorHAnsi"/>
            <w:noProof/>
            <w:vertAlign w:val="subscript"/>
          </w:rPr>
          <w:t>α″</w:t>
        </w:r>
        <w:r w:rsidR="0042250B" w:rsidRPr="00230498">
          <w:rPr>
            <w:rStyle w:val="af5"/>
            <w:rFonts w:cstheme="minorHAnsi"/>
            <w:noProof/>
          </w:rPr>
          <w:t xml:space="preserve"> directions respectively.</w:t>
        </w:r>
        <w:r w:rsidR="0042250B">
          <w:rPr>
            <w:noProof/>
            <w:webHidden/>
          </w:rPr>
          <w:tab/>
        </w:r>
        <w:r w:rsidR="0042250B">
          <w:rPr>
            <w:noProof/>
            <w:webHidden/>
          </w:rPr>
          <w:fldChar w:fldCharType="begin"/>
        </w:r>
        <w:r w:rsidR="0042250B">
          <w:rPr>
            <w:noProof/>
            <w:webHidden/>
          </w:rPr>
          <w:instrText xml:space="preserve"> PAGEREF _Toc39312736 \h </w:instrText>
        </w:r>
        <w:r w:rsidR="0042250B">
          <w:rPr>
            <w:noProof/>
            <w:webHidden/>
          </w:rPr>
        </w:r>
        <w:r w:rsidR="0042250B">
          <w:rPr>
            <w:noProof/>
            <w:webHidden/>
          </w:rPr>
          <w:fldChar w:fldCharType="separate"/>
        </w:r>
        <w:r w:rsidR="0042250B">
          <w:rPr>
            <w:noProof/>
            <w:webHidden/>
          </w:rPr>
          <w:t>163</w:t>
        </w:r>
        <w:r w:rsidR="0042250B">
          <w:rPr>
            <w:noProof/>
            <w:webHidden/>
          </w:rPr>
          <w:fldChar w:fldCharType="end"/>
        </w:r>
      </w:hyperlink>
    </w:p>
    <w:p w14:paraId="1C33C190" w14:textId="0C24131A" w:rsidR="0042250B" w:rsidRDefault="00077961" w:rsidP="0042250B">
      <w:pPr>
        <w:pStyle w:val="af7"/>
        <w:tabs>
          <w:tab w:val="right" w:leader="dot" w:pos="9350"/>
        </w:tabs>
        <w:spacing w:after="60" w:line="360" w:lineRule="auto"/>
        <w:rPr>
          <w:noProof/>
          <w:kern w:val="2"/>
          <w:sz w:val="21"/>
        </w:rPr>
      </w:pPr>
      <w:hyperlink w:anchor="_Toc39312737" w:history="1">
        <w:r w:rsidR="0042250B" w:rsidRPr="00230498">
          <w:rPr>
            <w:rStyle w:val="af5"/>
            <w:b/>
            <w:noProof/>
          </w:rPr>
          <w:t>Figure 10-1 Schematic of the iterative procedure to determine basis vectors on (</w:t>
        </w:r>
        <m:oMath>
          <m:r>
            <w:rPr>
              <w:rStyle w:val="af5"/>
              <w:rFonts w:ascii="Cambria Math" w:hAnsi="Cambria Math"/>
              <w:noProof/>
            </w:rPr>
            <m:t>h k l</m:t>
          </m:r>
        </m:oMath>
        <w:r w:rsidR="0042250B" w:rsidRPr="00230498">
          <w:rPr>
            <w:rStyle w:val="af5"/>
            <w:b/>
            <w:noProof/>
          </w:rPr>
          <w:t>) plane</w:t>
        </w:r>
        <w:r w:rsidR="0042250B" w:rsidRPr="00230498">
          <w:rPr>
            <w:rStyle w:val="af5"/>
            <w:noProof/>
          </w:rPr>
          <w:t>.</w:t>
        </w:r>
        <w:r w:rsidR="0042250B">
          <w:rPr>
            <w:noProof/>
            <w:webHidden/>
          </w:rPr>
          <w:tab/>
        </w:r>
        <w:r w:rsidR="0042250B">
          <w:rPr>
            <w:noProof/>
            <w:webHidden/>
          </w:rPr>
          <w:fldChar w:fldCharType="begin"/>
        </w:r>
        <w:r w:rsidR="0042250B">
          <w:rPr>
            <w:noProof/>
            <w:webHidden/>
          </w:rPr>
          <w:instrText xml:space="preserve"> PAGEREF _Toc39312737 \h </w:instrText>
        </w:r>
        <w:r w:rsidR="0042250B">
          <w:rPr>
            <w:noProof/>
            <w:webHidden/>
          </w:rPr>
        </w:r>
        <w:r w:rsidR="0042250B">
          <w:rPr>
            <w:noProof/>
            <w:webHidden/>
          </w:rPr>
          <w:fldChar w:fldCharType="separate"/>
        </w:r>
        <w:r w:rsidR="0042250B">
          <w:rPr>
            <w:noProof/>
            <w:webHidden/>
          </w:rPr>
          <w:t>173</w:t>
        </w:r>
        <w:r w:rsidR="0042250B">
          <w:rPr>
            <w:noProof/>
            <w:webHidden/>
          </w:rPr>
          <w:fldChar w:fldCharType="end"/>
        </w:r>
      </w:hyperlink>
    </w:p>
    <w:p w14:paraId="08958250" w14:textId="395E7CC9" w:rsidR="0042250B" w:rsidRDefault="00077961" w:rsidP="0042250B">
      <w:pPr>
        <w:pStyle w:val="af7"/>
        <w:tabs>
          <w:tab w:val="right" w:leader="dot" w:pos="9350"/>
        </w:tabs>
        <w:spacing w:after="60" w:line="360" w:lineRule="auto"/>
        <w:rPr>
          <w:noProof/>
          <w:kern w:val="2"/>
          <w:sz w:val="21"/>
        </w:rPr>
      </w:pPr>
      <w:hyperlink w:anchor="_Toc39312738" w:history="1">
        <w:r w:rsidR="0042250B" w:rsidRPr="00230498">
          <w:rPr>
            <w:rStyle w:val="af5"/>
            <w:b/>
            <w:noProof/>
          </w:rPr>
          <w:t>Figure 10-2 A schematic of three parallel lattice planes</w:t>
        </w:r>
        <w:r w:rsidR="0042250B" w:rsidRPr="00230498">
          <w:rPr>
            <w:rStyle w:val="af5"/>
            <w:noProof/>
          </w:rPr>
          <w:t>. Plane 1 the mirror reflection of parent lattice Plane -1 with respect to the twinning Plane 0. Black points denote parents lattice on Plane 1 and Plane -1 while hollow blue points on Plane 0 and Plane 1 represent the invariant lattice and twin lattice respectively.</w:t>
        </w:r>
        <w:r w:rsidR="0042250B">
          <w:rPr>
            <w:noProof/>
            <w:webHidden/>
          </w:rPr>
          <w:tab/>
        </w:r>
        <w:r w:rsidR="0042250B">
          <w:rPr>
            <w:noProof/>
            <w:webHidden/>
          </w:rPr>
          <w:fldChar w:fldCharType="begin"/>
        </w:r>
        <w:r w:rsidR="0042250B">
          <w:rPr>
            <w:noProof/>
            <w:webHidden/>
          </w:rPr>
          <w:instrText xml:space="preserve"> PAGEREF _Toc39312738 \h </w:instrText>
        </w:r>
        <w:r w:rsidR="0042250B">
          <w:rPr>
            <w:noProof/>
            <w:webHidden/>
          </w:rPr>
        </w:r>
        <w:r w:rsidR="0042250B">
          <w:rPr>
            <w:noProof/>
            <w:webHidden/>
          </w:rPr>
          <w:fldChar w:fldCharType="separate"/>
        </w:r>
        <w:r w:rsidR="0042250B">
          <w:rPr>
            <w:noProof/>
            <w:webHidden/>
          </w:rPr>
          <w:t>176</w:t>
        </w:r>
        <w:r w:rsidR="0042250B">
          <w:rPr>
            <w:noProof/>
            <w:webHidden/>
          </w:rPr>
          <w:fldChar w:fldCharType="end"/>
        </w:r>
      </w:hyperlink>
    </w:p>
    <w:p w14:paraId="6AB4F819" w14:textId="51B36092" w:rsidR="0042250B" w:rsidRDefault="00077961" w:rsidP="0042250B">
      <w:pPr>
        <w:pStyle w:val="af7"/>
        <w:tabs>
          <w:tab w:val="right" w:leader="dot" w:pos="9350"/>
        </w:tabs>
        <w:spacing w:after="60" w:line="360" w:lineRule="auto"/>
        <w:rPr>
          <w:noProof/>
          <w:kern w:val="2"/>
          <w:sz w:val="21"/>
        </w:rPr>
      </w:pPr>
      <w:hyperlink w:anchor="_Toc39312739" w:history="1">
        <w:r w:rsidR="0042250B" w:rsidRPr="00230498">
          <w:rPr>
            <w:rStyle w:val="af5"/>
            <w:b/>
            <w:noProof/>
          </w:rPr>
          <w:t>Figure 10-3 Schematic of the (351) martensite twin.</w:t>
        </w:r>
        <w:r w:rsidR="0042250B" w:rsidRPr="00230498">
          <w:rPr>
            <w:rStyle w:val="af5"/>
            <w:noProof/>
          </w:rPr>
          <w:t xml:space="preserve"> The atomic model of the twinned crystal structures. The solid circles indicate the atoms in the plane of the figure, while the open circles show the atoms below the plane of figure.</w:t>
        </w:r>
        <w:r w:rsidR="0042250B">
          <w:rPr>
            <w:noProof/>
            <w:webHidden/>
          </w:rPr>
          <w:tab/>
        </w:r>
        <w:r w:rsidR="0042250B">
          <w:rPr>
            <w:noProof/>
            <w:webHidden/>
          </w:rPr>
          <w:fldChar w:fldCharType="begin"/>
        </w:r>
        <w:r w:rsidR="0042250B">
          <w:rPr>
            <w:noProof/>
            <w:webHidden/>
          </w:rPr>
          <w:instrText xml:space="preserve"> PAGEREF _Toc39312739 \h </w:instrText>
        </w:r>
        <w:r w:rsidR="0042250B">
          <w:rPr>
            <w:noProof/>
            <w:webHidden/>
          </w:rPr>
        </w:r>
        <w:r w:rsidR="0042250B">
          <w:rPr>
            <w:noProof/>
            <w:webHidden/>
          </w:rPr>
          <w:fldChar w:fldCharType="separate"/>
        </w:r>
        <w:r w:rsidR="0042250B">
          <w:rPr>
            <w:noProof/>
            <w:webHidden/>
          </w:rPr>
          <w:t>177</w:t>
        </w:r>
        <w:r w:rsidR="0042250B">
          <w:rPr>
            <w:noProof/>
            <w:webHidden/>
          </w:rPr>
          <w:fldChar w:fldCharType="end"/>
        </w:r>
      </w:hyperlink>
    </w:p>
    <w:p w14:paraId="46251A34" w14:textId="3B9ECA66" w:rsidR="00DD756B" w:rsidRDefault="00DD756B" w:rsidP="0042250B">
      <w:pPr>
        <w:spacing w:before="100" w:beforeAutospacing="1" w:afterLines="60" w:after="144" w:line="360" w:lineRule="auto"/>
        <w:jc w:val="both"/>
      </w:pPr>
      <w:r>
        <w:fldChar w:fldCharType="end"/>
      </w:r>
    </w:p>
    <w:p w14:paraId="79140385" w14:textId="5A631B3F" w:rsidR="00E7337B" w:rsidRDefault="00E7337B" w:rsidP="00E7337B">
      <w:pPr>
        <w:spacing w:before="100" w:beforeAutospacing="1" w:after="120" w:line="360" w:lineRule="auto"/>
        <w:jc w:val="both"/>
      </w:pPr>
    </w:p>
    <w:p w14:paraId="27192138" w14:textId="1685DE33" w:rsidR="00E7337B" w:rsidRDefault="00E7337B" w:rsidP="00E7337B">
      <w:pPr>
        <w:spacing w:before="100" w:beforeAutospacing="1" w:after="120" w:line="360" w:lineRule="auto"/>
        <w:jc w:val="both"/>
      </w:pPr>
    </w:p>
    <w:p w14:paraId="7BBC0EFE" w14:textId="28D10899" w:rsidR="00E7337B" w:rsidRDefault="00E7337B" w:rsidP="00E7337B">
      <w:pPr>
        <w:spacing w:before="100" w:beforeAutospacing="1" w:after="120" w:line="360" w:lineRule="auto"/>
        <w:jc w:val="both"/>
      </w:pPr>
    </w:p>
    <w:p w14:paraId="76439F15" w14:textId="3ACAFCC5" w:rsidR="00606E92" w:rsidRDefault="00606E92" w:rsidP="00E7337B">
      <w:pPr>
        <w:spacing w:before="100" w:beforeAutospacing="1" w:after="120" w:line="360" w:lineRule="auto"/>
        <w:jc w:val="both"/>
      </w:pPr>
    </w:p>
    <w:p w14:paraId="184FF6CC" w14:textId="63492797" w:rsidR="00606E92" w:rsidRDefault="00606E92" w:rsidP="00E7337B">
      <w:pPr>
        <w:spacing w:before="100" w:beforeAutospacing="1" w:after="120" w:line="360" w:lineRule="auto"/>
        <w:jc w:val="both"/>
      </w:pPr>
    </w:p>
    <w:p w14:paraId="0880AEB1" w14:textId="60F157AD" w:rsidR="00606E92" w:rsidRDefault="00606E92" w:rsidP="00E7337B">
      <w:pPr>
        <w:spacing w:before="100" w:beforeAutospacing="1" w:after="120" w:line="360" w:lineRule="auto"/>
        <w:jc w:val="both"/>
      </w:pPr>
    </w:p>
    <w:p w14:paraId="711D8DCA" w14:textId="77777777" w:rsidR="00DD756B" w:rsidRDefault="00DD756B" w:rsidP="00DD756B">
      <w:pPr>
        <w:spacing w:before="100" w:beforeAutospacing="1" w:after="120" w:line="360" w:lineRule="auto"/>
        <w:jc w:val="both"/>
      </w:pPr>
    </w:p>
    <w:p w14:paraId="20D52CC8" w14:textId="77777777" w:rsidR="00DD756B" w:rsidRPr="001E3029" w:rsidRDefault="00DD756B" w:rsidP="00606E92">
      <w:pPr>
        <w:pStyle w:val="1"/>
        <w:spacing w:before="120" w:after="60" w:line="360" w:lineRule="auto"/>
        <w:rPr>
          <w:rFonts w:asciiTheme="minorHAnsi" w:hAnsiTheme="minorHAnsi"/>
          <w:b/>
          <w:color w:val="000000" w:themeColor="text1"/>
        </w:rPr>
      </w:pPr>
      <w:bookmarkStart w:id="11" w:name="_Toc22052502"/>
      <w:r w:rsidRPr="001E3029">
        <w:rPr>
          <w:rFonts w:asciiTheme="minorHAnsi" w:hAnsiTheme="minorHAnsi"/>
          <w:b/>
          <w:color w:val="000000" w:themeColor="text1"/>
        </w:rPr>
        <w:lastRenderedPageBreak/>
        <w:t>List of Tables</w:t>
      </w:r>
      <w:bookmarkEnd w:id="11"/>
    </w:p>
    <w:p w14:paraId="65EF6F79" w14:textId="6E09C90C" w:rsidR="0042250B" w:rsidRDefault="00DD756B" w:rsidP="0042250B">
      <w:pPr>
        <w:pStyle w:val="af7"/>
        <w:tabs>
          <w:tab w:val="right" w:leader="dot" w:pos="9350"/>
        </w:tabs>
        <w:spacing w:afterLines="60" w:after="144" w:line="360" w:lineRule="auto"/>
        <w:rPr>
          <w:noProof/>
          <w:kern w:val="2"/>
          <w:sz w:val="21"/>
        </w:rPr>
      </w:pPr>
      <w:r>
        <w:fldChar w:fldCharType="begin"/>
      </w:r>
      <w:r>
        <w:instrText xml:space="preserve"> TOC \h \z \c "Table" </w:instrText>
      </w:r>
      <w:r>
        <w:fldChar w:fldCharType="separate"/>
      </w:r>
      <w:hyperlink w:anchor="_Toc39312740" w:history="1">
        <w:r w:rsidR="0042250B" w:rsidRPr="00731822">
          <w:rPr>
            <w:rStyle w:val="af5"/>
            <w:rFonts w:ascii="Calibri" w:eastAsia="等线" w:hAnsi="Calibri" w:cs="Calibri"/>
            <w:b/>
            <w:noProof/>
          </w:rPr>
          <w:t>Table 5</w:t>
        </w:r>
        <w:r w:rsidR="0042250B" w:rsidRPr="00731822">
          <w:rPr>
            <w:rStyle w:val="af5"/>
            <w:rFonts w:ascii="Calibri" w:eastAsia="等线" w:hAnsi="Calibri" w:cs="Calibri"/>
            <w:b/>
            <w:noProof/>
          </w:rPr>
          <w:noBreakHyphen/>
          <w:t>1 The compressive properties determined for TiZrHfTa</w:t>
        </w:r>
        <w:r w:rsidR="0042250B" w:rsidRPr="00731822">
          <w:rPr>
            <w:rStyle w:val="af5"/>
            <w:rFonts w:ascii="Calibri" w:eastAsia="等线" w:hAnsi="Calibri" w:cs="Calibri"/>
            <w:b/>
            <w:noProof/>
            <w:vertAlign w:val="subscript"/>
          </w:rPr>
          <w:t>x(x=0.5-1)</w:t>
        </w:r>
        <w:r w:rsidR="0042250B" w:rsidRPr="00731822">
          <w:rPr>
            <w:rStyle w:val="af5"/>
            <w:rFonts w:ascii="Calibri" w:eastAsia="等线" w:hAnsi="Calibri" w:cs="Calibri"/>
            <w:b/>
            <w:noProof/>
          </w:rPr>
          <w:t>.</w:t>
        </w:r>
        <w:r w:rsidR="0042250B">
          <w:rPr>
            <w:noProof/>
            <w:webHidden/>
          </w:rPr>
          <w:tab/>
        </w:r>
        <w:r w:rsidR="0042250B">
          <w:rPr>
            <w:noProof/>
            <w:webHidden/>
          </w:rPr>
          <w:fldChar w:fldCharType="begin"/>
        </w:r>
        <w:r w:rsidR="0042250B">
          <w:rPr>
            <w:noProof/>
            <w:webHidden/>
          </w:rPr>
          <w:instrText xml:space="preserve"> PAGEREF _Toc39312740 \h </w:instrText>
        </w:r>
        <w:r w:rsidR="0042250B">
          <w:rPr>
            <w:noProof/>
            <w:webHidden/>
          </w:rPr>
        </w:r>
        <w:r w:rsidR="0042250B">
          <w:rPr>
            <w:noProof/>
            <w:webHidden/>
          </w:rPr>
          <w:fldChar w:fldCharType="separate"/>
        </w:r>
        <w:r w:rsidR="0042250B">
          <w:rPr>
            <w:noProof/>
            <w:webHidden/>
          </w:rPr>
          <w:t>99</w:t>
        </w:r>
        <w:r w:rsidR="0042250B">
          <w:rPr>
            <w:noProof/>
            <w:webHidden/>
          </w:rPr>
          <w:fldChar w:fldCharType="end"/>
        </w:r>
      </w:hyperlink>
    </w:p>
    <w:p w14:paraId="2D94613B" w14:textId="13A341FE" w:rsidR="0042250B" w:rsidRDefault="00077961" w:rsidP="0042250B">
      <w:pPr>
        <w:pStyle w:val="af7"/>
        <w:tabs>
          <w:tab w:val="right" w:leader="dot" w:pos="9350"/>
        </w:tabs>
        <w:spacing w:afterLines="60" w:after="144" w:line="360" w:lineRule="auto"/>
        <w:rPr>
          <w:noProof/>
          <w:kern w:val="2"/>
          <w:sz w:val="21"/>
        </w:rPr>
      </w:pPr>
      <w:hyperlink w:anchor="_Toc39312741" w:history="1">
        <w:r w:rsidR="0042250B" w:rsidRPr="00731822">
          <w:rPr>
            <w:rStyle w:val="af5"/>
            <w:rFonts w:cstheme="minorHAnsi"/>
            <w:b/>
            <w:noProof/>
          </w:rPr>
          <w:t>Table 6</w:t>
        </w:r>
        <w:r w:rsidR="0042250B" w:rsidRPr="00731822">
          <w:rPr>
            <w:rStyle w:val="af5"/>
            <w:b/>
            <w:noProof/>
          </w:rPr>
          <w:noBreakHyphen/>
          <w:t>1</w:t>
        </w:r>
        <w:r w:rsidR="0042250B" w:rsidRPr="00731822">
          <w:rPr>
            <w:rStyle w:val="af5"/>
            <w:rFonts w:cstheme="minorHAnsi"/>
            <w:b/>
            <w:noProof/>
          </w:rPr>
          <w:t xml:space="preserve"> Lattice correspondence of the BCC structure with the Martensite structure.</w:t>
        </w:r>
        <w:r w:rsidR="0042250B">
          <w:rPr>
            <w:noProof/>
            <w:webHidden/>
          </w:rPr>
          <w:tab/>
        </w:r>
        <w:r w:rsidR="0042250B">
          <w:rPr>
            <w:noProof/>
            <w:webHidden/>
          </w:rPr>
          <w:fldChar w:fldCharType="begin"/>
        </w:r>
        <w:r w:rsidR="0042250B">
          <w:rPr>
            <w:noProof/>
            <w:webHidden/>
          </w:rPr>
          <w:instrText xml:space="preserve"> PAGEREF _Toc39312741 \h </w:instrText>
        </w:r>
        <w:r w:rsidR="0042250B">
          <w:rPr>
            <w:noProof/>
            <w:webHidden/>
          </w:rPr>
        </w:r>
        <w:r w:rsidR="0042250B">
          <w:rPr>
            <w:noProof/>
            <w:webHidden/>
          </w:rPr>
          <w:fldChar w:fldCharType="separate"/>
        </w:r>
        <w:r w:rsidR="0042250B">
          <w:rPr>
            <w:noProof/>
            <w:webHidden/>
          </w:rPr>
          <w:t>129</w:t>
        </w:r>
        <w:r w:rsidR="0042250B">
          <w:rPr>
            <w:noProof/>
            <w:webHidden/>
          </w:rPr>
          <w:fldChar w:fldCharType="end"/>
        </w:r>
      </w:hyperlink>
    </w:p>
    <w:p w14:paraId="3062D9F8" w14:textId="648117B3" w:rsidR="0042250B" w:rsidRDefault="00077961" w:rsidP="0042250B">
      <w:pPr>
        <w:pStyle w:val="af7"/>
        <w:tabs>
          <w:tab w:val="right" w:leader="dot" w:pos="9350"/>
        </w:tabs>
        <w:spacing w:afterLines="60" w:after="144" w:line="360" w:lineRule="auto"/>
        <w:rPr>
          <w:noProof/>
          <w:kern w:val="2"/>
          <w:sz w:val="21"/>
        </w:rPr>
      </w:pPr>
      <w:hyperlink w:anchor="_Toc39312742" w:history="1">
        <w:r w:rsidR="0042250B" w:rsidRPr="00731822">
          <w:rPr>
            <w:rStyle w:val="af5"/>
            <w:rFonts w:cstheme="minorHAnsi"/>
            <w:b/>
            <w:noProof/>
            <w:lang w:val="en-GB"/>
          </w:rPr>
          <w:t>Table 6</w:t>
        </w:r>
        <w:r w:rsidR="0042250B" w:rsidRPr="00731822">
          <w:rPr>
            <w:rStyle w:val="af5"/>
            <w:rFonts w:cstheme="minorHAnsi"/>
            <w:b/>
            <w:noProof/>
            <w:lang w:val="en-GB"/>
          </w:rPr>
          <w:noBreakHyphen/>
          <w:t>2 Potential TTIP twinning modes in α’’ martensite and lattice correspondence in the body-centric β phase</w:t>
        </w:r>
        <w:r w:rsidR="0042250B" w:rsidRPr="00731822">
          <w:rPr>
            <w:rStyle w:val="af5"/>
            <w:rFonts w:cstheme="minorHAnsi"/>
            <w:noProof/>
            <w:lang w:val="en-GB"/>
          </w:rPr>
          <w:t xml:space="preserve">. </w:t>
        </w:r>
        <w:r w:rsidR="0042250B" w:rsidRPr="00731822">
          <w:rPr>
            <w:rStyle w:val="af5"/>
            <w:rFonts w:cstheme="minorHAnsi"/>
            <w:i/>
            <w:noProof/>
            <w:lang w:val="en-GB"/>
          </w:rPr>
          <w:t>s</w:t>
        </w:r>
        <w:r w:rsidR="0042250B" w:rsidRPr="00731822">
          <w:rPr>
            <w:rStyle w:val="af5"/>
            <w:rFonts w:cstheme="minorHAnsi"/>
            <w:noProof/>
            <w:lang w:val="en-GB"/>
          </w:rPr>
          <w:t xml:space="preserve"> represents the shear vector, while </w:t>
        </w:r>
        <w:r w:rsidR="0042250B" w:rsidRPr="00731822">
          <w:rPr>
            <w:rStyle w:val="af5"/>
            <w:rFonts w:cstheme="minorHAnsi"/>
            <w:i/>
            <w:noProof/>
            <w:lang w:val="en-GB"/>
          </w:rPr>
          <w:t>K</w:t>
        </w:r>
        <w:r w:rsidR="0042250B" w:rsidRPr="00731822">
          <w:rPr>
            <w:rStyle w:val="af5"/>
            <w:rFonts w:cstheme="minorHAnsi"/>
            <w:noProof/>
            <w:vertAlign w:val="subscript"/>
            <w:lang w:val="en-GB"/>
          </w:rPr>
          <w:t>SA</w:t>
        </w:r>
        <w:r w:rsidR="0042250B" w:rsidRPr="00731822">
          <w:rPr>
            <w:rStyle w:val="af5"/>
            <w:rFonts w:cstheme="minorHAnsi"/>
            <w:noProof/>
            <w:lang w:val="en-GB"/>
          </w:rPr>
          <w:t xml:space="preserve">, </w:t>
        </w:r>
        <w:r w:rsidR="0042250B" w:rsidRPr="00731822">
          <w:rPr>
            <w:rStyle w:val="af5"/>
            <w:rFonts w:cstheme="minorHAnsi"/>
            <w:i/>
            <w:noProof/>
            <w:lang w:val="en-GB"/>
          </w:rPr>
          <w:t>η</w:t>
        </w:r>
        <w:r w:rsidR="0042250B" w:rsidRPr="00731822">
          <w:rPr>
            <w:rStyle w:val="af5"/>
            <w:rFonts w:cstheme="minorHAnsi"/>
            <w:noProof/>
            <w:vertAlign w:val="subscript"/>
            <w:lang w:val="en-GB"/>
          </w:rPr>
          <w:t>SA</w:t>
        </w:r>
        <w:r w:rsidR="0042250B" w:rsidRPr="00731822">
          <w:rPr>
            <w:rStyle w:val="af5"/>
            <w:rFonts w:cstheme="minorHAnsi"/>
            <w:noProof/>
            <w:lang w:val="en-GB"/>
          </w:rPr>
          <w:t xml:space="preserve"> and </w:t>
        </w:r>
        <w:r w:rsidR="0042250B" w:rsidRPr="00731822">
          <w:rPr>
            <w:rStyle w:val="af5"/>
            <w:rFonts w:cstheme="minorHAnsi"/>
            <w:i/>
            <w:noProof/>
            <w:lang w:val="en-GB"/>
          </w:rPr>
          <w:t>K</w:t>
        </w:r>
        <w:r w:rsidR="0042250B" w:rsidRPr="00731822">
          <w:rPr>
            <w:rStyle w:val="af5"/>
            <w:rFonts w:cstheme="minorHAnsi"/>
            <w:noProof/>
            <w:vertAlign w:val="subscript"/>
            <w:lang w:val="en-GB"/>
          </w:rPr>
          <w:t>1</w:t>
        </w:r>
        <w:r w:rsidR="0042250B" w:rsidRPr="00731822">
          <w:rPr>
            <w:rStyle w:val="af5"/>
            <w:rFonts w:cstheme="minorHAnsi"/>
            <w:noProof/>
            <w:lang w:val="en-GB"/>
          </w:rPr>
          <w:t>,</w:t>
        </w:r>
        <w:r w:rsidR="0042250B" w:rsidRPr="00731822">
          <w:rPr>
            <w:rStyle w:val="af5"/>
            <w:rFonts w:cstheme="minorHAnsi"/>
            <w:i/>
            <w:noProof/>
            <w:lang w:val="en-GB"/>
          </w:rPr>
          <w:t xml:space="preserve"> K</w:t>
        </w:r>
        <w:r w:rsidR="0042250B" w:rsidRPr="00731822">
          <w:rPr>
            <w:rStyle w:val="af5"/>
            <w:rFonts w:cstheme="minorHAnsi"/>
            <w:noProof/>
            <w:vertAlign w:val="subscript"/>
            <w:lang w:val="en-GB"/>
          </w:rPr>
          <w:t>2</w:t>
        </w:r>
        <w:r w:rsidR="0042250B" w:rsidRPr="00731822">
          <w:rPr>
            <w:rStyle w:val="af5"/>
            <w:rFonts w:cstheme="minorHAnsi"/>
            <w:noProof/>
            <w:lang w:val="en-GB"/>
          </w:rPr>
          <w:t xml:space="preserve">, </w:t>
        </w:r>
        <w:r w:rsidR="0042250B" w:rsidRPr="00731822">
          <w:rPr>
            <w:rStyle w:val="af5"/>
            <w:rFonts w:cstheme="minorHAnsi"/>
            <w:i/>
            <w:noProof/>
            <w:lang w:val="en-GB"/>
          </w:rPr>
          <w:t>η</w:t>
        </w:r>
        <w:r w:rsidR="0042250B" w:rsidRPr="00731822">
          <w:rPr>
            <w:rStyle w:val="af5"/>
            <w:rFonts w:cstheme="minorHAnsi"/>
            <w:noProof/>
            <w:vertAlign w:val="subscript"/>
            <w:lang w:val="en-GB"/>
          </w:rPr>
          <w:t>1</w:t>
        </w:r>
        <w:r w:rsidR="0042250B" w:rsidRPr="00731822">
          <w:rPr>
            <w:rStyle w:val="af5"/>
            <w:rFonts w:cstheme="minorHAnsi"/>
            <w:noProof/>
            <w:lang w:val="en-GB"/>
          </w:rPr>
          <w:t xml:space="preserve"> </w:t>
        </w:r>
        <w:r w:rsidR="0042250B" w:rsidRPr="00731822">
          <w:rPr>
            <w:rStyle w:val="af5"/>
            <w:rFonts w:cstheme="minorHAnsi"/>
            <w:i/>
            <w:noProof/>
            <w:lang w:val="en-GB"/>
          </w:rPr>
          <w:t>η</w:t>
        </w:r>
        <w:r w:rsidR="0042250B" w:rsidRPr="00731822">
          <w:rPr>
            <w:rStyle w:val="af5"/>
            <w:rFonts w:cstheme="minorHAnsi"/>
            <w:noProof/>
            <w:vertAlign w:val="subscript"/>
            <w:lang w:val="en-GB"/>
          </w:rPr>
          <w:t>2</w:t>
        </w:r>
        <w:r w:rsidR="0042250B" w:rsidRPr="00731822">
          <w:rPr>
            <w:rStyle w:val="af5"/>
            <w:rFonts w:cstheme="minorHAnsi"/>
            <w:noProof/>
            <w:lang w:val="en-GB"/>
          </w:rPr>
          <w:t xml:space="preserve"> are twinning elements of SA twinning and mechanical twinning, respectively. The value </w:t>
        </w:r>
        <w:r w:rsidR="0042250B" w:rsidRPr="00731822">
          <w:rPr>
            <w:rStyle w:val="af5"/>
            <w:rFonts w:cstheme="minorHAnsi"/>
            <w:i/>
            <w:noProof/>
            <w:lang w:val="en-GB"/>
          </w:rPr>
          <w:t>q</w:t>
        </w:r>
        <w:r w:rsidR="0042250B" w:rsidRPr="00731822">
          <w:rPr>
            <w:rStyle w:val="af5"/>
            <w:rFonts w:cstheme="minorHAnsi"/>
            <w:noProof/>
            <w:lang w:val="en-GB"/>
          </w:rPr>
          <w:t xml:space="preserve"> represents shuffle complexity.</w:t>
        </w:r>
        <w:r w:rsidR="0042250B">
          <w:rPr>
            <w:noProof/>
            <w:webHidden/>
          </w:rPr>
          <w:tab/>
        </w:r>
        <w:r w:rsidR="0042250B">
          <w:rPr>
            <w:noProof/>
            <w:webHidden/>
          </w:rPr>
          <w:fldChar w:fldCharType="begin"/>
        </w:r>
        <w:r w:rsidR="0042250B">
          <w:rPr>
            <w:noProof/>
            <w:webHidden/>
          </w:rPr>
          <w:instrText xml:space="preserve"> PAGEREF _Toc39312742 \h </w:instrText>
        </w:r>
        <w:r w:rsidR="0042250B">
          <w:rPr>
            <w:noProof/>
            <w:webHidden/>
          </w:rPr>
        </w:r>
        <w:r w:rsidR="0042250B">
          <w:rPr>
            <w:noProof/>
            <w:webHidden/>
          </w:rPr>
          <w:fldChar w:fldCharType="separate"/>
        </w:r>
        <w:r w:rsidR="0042250B">
          <w:rPr>
            <w:noProof/>
            <w:webHidden/>
          </w:rPr>
          <w:t>131</w:t>
        </w:r>
        <w:r w:rsidR="0042250B">
          <w:rPr>
            <w:noProof/>
            <w:webHidden/>
          </w:rPr>
          <w:fldChar w:fldCharType="end"/>
        </w:r>
      </w:hyperlink>
    </w:p>
    <w:p w14:paraId="5B50C826" w14:textId="048F12A9" w:rsidR="0042250B" w:rsidRDefault="00077961" w:rsidP="0042250B">
      <w:pPr>
        <w:pStyle w:val="af7"/>
        <w:tabs>
          <w:tab w:val="right" w:leader="dot" w:pos="9350"/>
        </w:tabs>
        <w:spacing w:afterLines="60" w:after="144" w:line="360" w:lineRule="auto"/>
        <w:rPr>
          <w:noProof/>
          <w:kern w:val="2"/>
          <w:sz w:val="21"/>
        </w:rPr>
      </w:pPr>
      <w:hyperlink w:anchor="_Toc39312743" w:history="1">
        <w:r w:rsidR="0042250B" w:rsidRPr="00731822">
          <w:rPr>
            <w:rStyle w:val="af5"/>
            <w:rFonts w:cstheme="minorHAnsi"/>
            <w:b/>
            <w:noProof/>
          </w:rPr>
          <w:t>Table 6-</w:t>
        </w:r>
        <w:r w:rsidR="0042250B" w:rsidRPr="00731822">
          <w:rPr>
            <w:rStyle w:val="af5"/>
            <w:b/>
            <w:noProof/>
          </w:rPr>
          <w:t>3</w:t>
        </w:r>
        <w:r w:rsidR="0042250B" w:rsidRPr="00731822">
          <w:rPr>
            <w:rStyle w:val="af5"/>
            <w:rFonts w:cstheme="minorHAnsi"/>
            <w:b/>
            <w:noProof/>
          </w:rPr>
          <w:t xml:space="preserve"> </w:t>
        </w:r>
        <w:r w:rsidR="0042250B" w:rsidRPr="00731822">
          <w:rPr>
            <w:rStyle w:val="af5"/>
            <w:rFonts w:cstheme="minorHAnsi"/>
            <w:noProof/>
          </w:rPr>
          <w:t>Potential TTIP twinning modes with shuffling mechanism complexity.</w:t>
        </w:r>
        <w:r w:rsidR="0042250B">
          <w:rPr>
            <w:noProof/>
            <w:webHidden/>
          </w:rPr>
          <w:tab/>
        </w:r>
        <w:r w:rsidR="0042250B">
          <w:rPr>
            <w:noProof/>
            <w:webHidden/>
          </w:rPr>
          <w:fldChar w:fldCharType="begin"/>
        </w:r>
        <w:r w:rsidR="0042250B">
          <w:rPr>
            <w:noProof/>
            <w:webHidden/>
          </w:rPr>
          <w:instrText xml:space="preserve"> PAGEREF _Toc39312743 \h </w:instrText>
        </w:r>
        <w:r w:rsidR="0042250B">
          <w:rPr>
            <w:noProof/>
            <w:webHidden/>
          </w:rPr>
        </w:r>
        <w:r w:rsidR="0042250B">
          <w:rPr>
            <w:noProof/>
            <w:webHidden/>
          </w:rPr>
          <w:fldChar w:fldCharType="separate"/>
        </w:r>
        <w:r w:rsidR="0042250B">
          <w:rPr>
            <w:noProof/>
            <w:webHidden/>
          </w:rPr>
          <w:t>132</w:t>
        </w:r>
        <w:r w:rsidR="0042250B">
          <w:rPr>
            <w:noProof/>
            <w:webHidden/>
          </w:rPr>
          <w:fldChar w:fldCharType="end"/>
        </w:r>
      </w:hyperlink>
    </w:p>
    <w:p w14:paraId="451B3777" w14:textId="758C7696" w:rsidR="0042250B" w:rsidRDefault="00077961" w:rsidP="0042250B">
      <w:pPr>
        <w:pStyle w:val="af7"/>
        <w:tabs>
          <w:tab w:val="right" w:leader="dot" w:pos="9350"/>
        </w:tabs>
        <w:spacing w:afterLines="60" w:after="144" w:line="360" w:lineRule="auto"/>
        <w:rPr>
          <w:noProof/>
          <w:kern w:val="2"/>
          <w:sz w:val="21"/>
        </w:rPr>
      </w:pPr>
      <w:hyperlink w:anchor="_Toc39312744" w:history="1">
        <w:r w:rsidR="0042250B" w:rsidRPr="00731822">
          <w:rPr>
            <w:rStyle w:val="af5"/>
            <w:rFonts w:cstheme="minorHAnsi"/>
            <w:b/>
            <w:noProof/>
          </w:rPr>
          <w:t xml:space="preserve">Table 6-4 </w:t>
        </w:r>
        <w:r w:rsidR="0042250B" w:rsidRPr="00731822">
          <w:rPr>
            <w:rStyle w:val="af5"/>
            <w:rFonts w:cstheme="minorHAnsi"/>
            <w:noProof/>
          </w:rPr>
          <w:t>Potential motif units in orthorhombic coordinates.</w:t>
        </w:r>
        <w:r w:rsidR="0042250B">
          <w:rPr>
            <w:noProof/>
            <w:webHidden/>
          </w:rPr>
          <w:tab/>
        </w:r>
        <w:r w:rsidR="0042250B">
          <w:rPr>
            <w:noProof/>
            <w:webHidden/>
          </w:rPr>
          <w:fldChar w:fldCharType="begin"/>
        </w:r>
        <w:r w:rsidR="0042250B">
          <w:rPr>
            <w:noProof/>
            <w:webHidden/>
          </w:rPr>
          <w:instrText xml:space="preserve"> PAGEREF _Toc39312744 \h </w:instrText>
        </w:r>
        <w:r w:rsidR="0042250B">
          <w:rPr>
            <w:noProof/>
            <w:webHidden/>
          </w:rPr>
        </w:r>
        <w:r w:rsidR="0042250B">
          <w:rPr>
            <w:noProof/>
            <w:webHidden/>
          </w:rPr>
          <w:fldChar w:fldCharType="separate"/>
        </w:r>
        <w:r w:rsidR="0042250B">
          <w:rPr>
            <w:noProof/>
            <w:webHidden/>
          </w:rPr>
          <w:t>133</w:t>
        </w:r>
        <w:r w:rsidR="0042250B">
          <w:rPr>
            <w:noProof/>
            <w:webHidden/>
          </w:rPr>
          <w:fldChar w:fldCharType="end"/>
        </w:r>
      </w:hyperlink>
    </w:p>
    <w:p w14:paraId="402BAC05" w14:textId="3AFB5D42" w:rsidR="0042250B" w:rsidRDefault="00077961" w:rsidP="0042250B">
      <w:pPr>
        <w:pStyle w:val="af7"/>
        <w:tabs>
          <w:tab w:val="right" w:leader="dot" w:pos="9350"/>
        </w:tabs>
        <w:spacing w:afterLines="60" w:after="144" w:line="360" w:lineRule="auto"/>
        <w:rPr>
          <w:noProof/>
          <w:kern w:val="2"/>
          <w:sz w:val="21"/>
        </w:rPr>
      </w:pPr>
      <w:hyperlink w:anchor="_Toc39312745" w:history="1">
        <w:r w:rsidR="0042250B" w:rsidRPr="00731822">
          <w:rPr>
            <w:rStyle w:val="af5"/>
            <w:rFonts w:cstheme="minorHAnsi"/>
            <w:b/>
            <w:noProof/>
          </w:rPr>
          <w:t xml:space="preserve">Table 6-5 Shuffle mechanisms of potential mechanical TTIP twinning modes and SA twinning modes. </w:t>
        </w:r>
        <w:r w:rsidR="0042250B" w:rsidRPr="00731822">
          <w:rPr>
            <w:rStyle w:val="af5"/>
            <w:rFonts w:cstheme="minorHAnsi"/>
            <w:noProof/>
          </w:rPr>
          <w:t>Group i represents the solution for SA twinning and Group ii are the solutions for mechanical twinning situations.</w:t>
        </w:r>
        <w:r w:rsidR="0042250B">
          <w:rPr>
            <w:noProof/>
            <w:webHidden/>
          </w:rPr>
          <w:tab/>
        </w:r>
        <w:r w:rsidR="0042250B">
          <w:rPr>
            <w:noProof/>
            <w:webHidden/>
          </w:rPr>
          <w:fldChar w:fldCharType="begin"/>
        </w:r>
        <w:r w:rsidR="0042250B">
          <w:rPr>
            <w:noProof/>
            <w:webHidden/>
          </w:rPr>
          <w:instrText xml:space="preserve"> PAGEREF _Toc39312745 \h </w:instrText>
        </w:r>
        <w:r w:rsidR="0042250B">
          <w:rPr>
            <w:noProof/>
            <w:webHidden/>
          </w:rPr>
        </w:r>
        <w:r w:rsidR="0042250B">
          <w:rPr>
            <w:noProof/>
            <w:webHidden/>
          </w:rPr>
          <w:fldChar w:fldCharType="separate"/>
        </w:r>
        <w:r w:rsidR="0042250B">
          <w:rPr>
            <w:noProof/>
            <w:webHidden/>
          </w:rPr>
          <w:t>135</w:t>
        </w:r>
        <w:r w:rsidR="0042250B">
          <w:rPr>
            <w:noProof/>
            <w:webHidden/>
          </w:rPr>
          <w:fldChar w:fldCharType="end"/>
        </w:r>
      </w:hyperlink>
    </w:p>
    <w:p w14:paraId="667302D9" w14:textId="3B2903AC" w:rsidR="0042250B" w:rsidRDefault="00077961" w:rsidP="0042250B">
      <w:pPr>
        <w:pStyle w:val="af7"/>
        <w:tabs>
          <w:tab w:val="right" w:leader="dot" w:pos="9350"/>
        </w:tabs>
        <w:spacing w:afterLines="60" w:after="144" w:line="360" w:lineRule="auto"/>
        <w:rPr>
          <w:noProof/>
          <w:kern w:val="2"/>
          <w:sz w:val="21"/>
        </w:rPr>
      </w:pPr>
      <w:hyperlink w:anchor="_Toc39312746" w:history="1">
        <w:r w:rsidR="0042250B" w:rsidRPr="00731822">
          <w:rPr>
            <w:rStyle w:val="af5"/>
            <w:rFonts w:cstheme="minorHAnsi"/>
            <w:b/>
            <w:noProof/>
          </w:rPr>
          <w:t xml:space="preserve">Table 6-6 Energetically favoured shuffle mechanism of group i and ii modes twin. </w:t>
        </w:r>
        <w:r w:rsidR="0042250B" w:rsidRPr="00731822">
          <w:rPr>
            <w:rStyle w:val="af5"/>
            <w:rFonts w:cstheme="minorHAnsi"/>
            <w:noProof/>
          </w:rPr>
          <w:t xml:space="preserve">With </w:t>
        </w:r>
        <m:oMath>
          <m:r>
            <w:rPr>
              <w:rStyle w:val="af5"/>
              <w:rFonts w:ascii="Cambria Math" w:hAnsi="Cambria Math" w:cstheme="minorHAnsi"/>
              <w:noProof/>
            </w:rPr>
            <m:t>d{hkl}</m:t>
          </m:r>
        </m:oMath>
        <w:r w:rsidR="0042250B" w:rsidRPr="00731822">
          <w:rPr>
            <w:rStyle w:val="af5"/>
            <w:rFonts w:cstheme="minorHAnsi"/>
            <w:noProof/>
          </w:rPr>
          <w:t xml:space="preserve"> and </w:t>
        </w:r>
        <m:oMath>
          <m:r>
            <w:rPr>
              <w:rStyle w:val="af5"/>
              <w:rFonts w:ascii="Cambria Math" w:hAnsi="Cambria Math" w:cstheme="minorHAnsi"/>
              <w:noProof/>
            </w:rPr>
            <m:t>l&lt;uvw&gt;</m:t>
          </m:r>
        </m:oMath>
        <w:r w:rsidR="0042250B" w:rsidRPr="00731822">
          <w:rPr>
            <w:rStyle w:val="af5"/>
            <w:rFonts w:cstheme="minorHAnsi"/>
            <w:noProof/>
          </w:rPr>
          <w:t xml:space="preserve"> representing the lattice spacing of the {</w:t>
        </w:r>
        <m:oMath>
          <m:r>
            <w:rPr>
              <w:rStyle w:val="af5"/>
              <w:rFonts w:ascii="Cambria Math" w:hAnsi="Cambria Math" w:cstheme="minorHAnsi"/>
              <w:noProof/>
            </w:rPr>
            <m:t>hkl</m:t>
          </m:r>
        </m:oMath>
        <w:r w:rsidR="0042250B" w:rsidRPr="00731822">
          <w:rPr>
            <w:rStyle w:val="af5"/>
            <w:rFonts w:cstheme="minorHAnsi"/>
            <w:noProof/>
          </w:rPr>
          <w:t>} planes and lattice vector of &lt;</w:t>
        </w:r>
        <m:oMath>
          <m:r>
            <w:rPr>
              <w:rStyle w:val="af5"/>
              <w:rFonts w:ascii="Cambria Math" w:hAnsi="Cambria Math" w:cstheme="minorHAnsi"/>
              <w:noProof/>
            </w:rPr>
            <m:t>uvw</m:t>
          </m:r>
        </m:oMath>
        <w:r w:rsidR="0042250B" w:rsidRPr="00731822">
          <w:rPr>
            <w:rStyle w:val="af5"/>
            <w:rFonts w:cstheme="minorHAnsi"/>
            <w:noProof/>
          </w:rPr>
          <w:t xml:space="preserve">&gt;. </w:t>
        </w:r>
        <m:oMath>
          <m:r>
            <w:rPr>
              <w:rStyle w:val="af5"/>
              <w:rFonts w:ascii="Cambria Math" w:hAnsi="Cambria Math" w:cstheme="minorHAnsi"/>
              <w:noProof/>
            </w:rPr>
            <m:t>cosφHKL</m:t>
          </m:r>
          <m:r>
            <m:rPr>
              <m:sty m:val="p"/>
            </m:rPr>
            <w:rPr>
              <w:rStyle w:val="af5"/>
              <w:rFonts w:ascii="Cambria Math" w:hAnsi="Cambria Math" w:cstheme="minorHAnsi"/>
              <w:noProof/>
            </w:rPr>
            <m:t>~</m:t>
          </m:r>
          <m:r>
            <w:rPr>
              <w:rStyle w:val="af5"/>
              <w:rFonts w:ascii="Cambria Math" w:hAnsi="Cambria Math" w:cstheme="minorHAnsi"/>
              <w:noProof/>
            </w:rPr>
            <m:t>hkl</m:t>
          </m:r>
        </m:oMath>
        <w:r w:rsidR="0042250B" w:rsidRPr="00731822">
          <w:rPr>
            <w:rStyle w:val="af5"/>
            <w:rFonts w:cstheme="minorHAnsi"/>
            <w:noProof/>
          </w:rPr>
          <w:t xml:space="preserve"> is the crystal plane angle between the {</w:t>
        </w:r>
        <m:oMath>
          <m:r>
            <w:rPr>
              <w:rStyle w:val="af5"/>
              <w:rFonts w:ascii="Cambria Math" w:hAnsi="Cambria Math" w:cstheme="minorHAnsi"/>
              <w:noProof/>
            </w:rPr>
            <m:t>HLK</m:t>
          </m:r>
        </m:oMath>
        <w:r w:rsidR="0042250B" w:rsidRPr="00731822">
          <w:rPr>
            <w:rStyle w:val="af5"/>
            <w:rFonts w:cstheme="minorHAnsi"/>
            <w:noProof/>
          </w:rPr>
          <w:t>} planes and the {</w:t>
        </w:r>
        <m:oMath>
          <m:r>
            <w:rPr>
              <w:rStyle w:val="af5"/>
              <w:rFonts w:ascii="Cambria Math" w:hAnsi="Cambria Math" w:cstheme="minorHAnsi"/>
              <w:noProof/>
            </w:rPr>
            <m:t>hkl</m:t>
          </m:r>
        </m:oMath>
        <w:r w:rsidR="0042250B" w:rsidRPr="00731822">
          <w:rPr>
            <w:rStyle w:val="af5"/>
            <w:rFonts w:cstheme="minorHAnsi"/>
            <w:noProof/>
          </w:rPr>
          <w:t xml:space="preserve">} planes. </w:t>
        </w:r>
        <w:r w:rsidR="0042250B" w:rsidRPr="00731822">
          <w:rPr>
            <w:rStyle w:val="af5"/>
            <w:rFonts w:cstheme="minorHAnsi"/>
            <w:i/>
            <w:noProof/>
          </w:rPr>
          <w:t>σ</w:t>
        </w:r>
        <w:r w:rsidR="0042250B" w:rsidRPr="00731822">
          <w:rPr>
            <w:rStyle w:val="af5"/>
            <w:rFonts w:cstheme="minorHAnsi"/>
            <w:noProof/>
          </w:rPr>
          <w:t xml:space="preserve"> is the magnitude of atomic displacement along {0-11}&lt;011&gt;</w:t>
        </w:r>
        <w:r w:rsidR="0042250B" w:rsidRPr="00731822">
          <w:rPr>
            <w:rStyle w:val="af5"/>
            <w:rFonts w:cstheme="minorHAnsi"/>
            <w:noProof/>
            <w:vertAlign w:val="subscript"/>
          </w:rPr>
          <w:t>β</w:t>
        </w:r>
        <w:r w:rsidR="0042250B" w:rsidRPr="00731822">
          <w:rPr>
            <w:rStyle w:val="af5"/>
            <w:rFonts w:cstheme="minorHAnsi"/>
            <w:noProof/>
          </w:rPr>
          <w:t>.</w:t>
        </w:r>
        <w:r w:rsidR="0042250B">
          <w:rPr>
            <w:noProof/>
            <w:webHidden/>
          </w:rPr>
          <w:tab/>
        </w:r>
        <w:r w:rsidR="0042250B">
          <w:rPr>
            <w:noProof/>
            <w:webHidden/>
          </w:rPr>
          <w:fldChar w:fldCharType="begin"/>
        </w:r>
        <w:r w:rsidR="0042250B">
          <w:rPr>
            <w:noProof/>
            <w:webHidden/>
          </w:rPr>
          <w:instrText xml:space="preserve"> PAGEREF _Toc39312746 \h </w:instrText>
        </w:r>
        <w:r w:rsidR="0042250B">
          <w:rPr>
            <w:noProof/>
            <w:webHidden/>
          </w:rPr>
        </w:r>
        <w:r w:rsidR="0042250B">
          <w:rPr>
            <w:noProof/>
            <w:webHidden/>
          </w:rPr>
          <w:fldChar w:fldCharType="separate"/>
        </w:r>
        <w:r w:rsidR="0042250B">
          <w:rPr>
            <w:noProof/>
            <w:webHidden/>
          </w:rPr>
          <w:t>136</w:t>
        </w:r>
        <w:r w:rsidR="0042250B">
          <w:rPr>
            <w:noProof/>
            <w:webHidden/>
          </w:rPr>
          <w:fldChar w:fldCharType="end"/>
        </w:r>
      </w:hyperlink>
    </w:p>
    <w:p w14:paraId="65412029" w14:textId="18B5563D" w:rsidR="0042250B" w:rsidRDefault="00077961" w:rsidP="0042250B">
      <w:pPr>
        <w:pStyle w:val="af7"/>
        <w:tabs>
          <w:tab w:val="right" w:leader="dot" w:pos="9350"/>
        </w:tabs>
        <w:spacing w:afterLines="60" w:after="144" w:line="360" w:lineRule="auto"/>
        <w:rPr>
          <w:noProof/>
          <w:kern w:val="2"/>
          <w:sz w:val="21"/>
        </w:rPr>
      </w:pPr>
      <w:hyperlink w:anchor="_Toc39312747" w:history="1">
        <w:r w:rsidR="0042250B" w:rsidRPr="00731822">
          <w:rPr>
            <w:rStyle w:val="af5"/>
            <w:b/>
            <w:bCs/>
            <w:noProof/>
          </w:rPr>
          <w:t xml:space="preserve">Table 7-1 </w:t>
        </w:r>
        <w:r w:rsidR="0042250B" w:rsidRPr="00731822">
          <w:rPr>
            <w:rStyle w:val="af5"/>
            <w:noProof/>
          </w:rPr>
          <w:t>Main Zone axis and corresponding zone axis after specific deformation.</w:t>
        </w:r>
        <w:r w:rsidR="0042250B">
          <w:rPr>
            <w:noProof/>
            <w:webHidden/>
          </w:rPr>
          <w:tab/>
        </w:r>
        <w:r w:rsidR="0042250B">
          <w:rPr>
            <w:noProof/>
            <w:webHidden/>
          </w:rPr>
          <w:fldChar w:fldCharType="begin"/>
        </w:r>
        <w:r w:rsidR="0042250B">
          <w:rPr>
            <w:noProof/>
            <w:webHidden/>
          </w:rPr>
          <w:instrText xml:space="preserve"> PAGEREF _Toc39312747 \h </w:instrText>
        </w:r>
        <w:r w:rsidR="0042250B">
          <w:rPr>
            <w:noProof/>
            <w:webHidden/>
          </w:rPr>
        </w:r>
        <w:r w:rsidR="0042250B">
          <w:rPr>
            <w:noProof/>
            <w:webHidden/>
          </w:rPr>
          <w:fldChar w:fldCharType="separate"/>
        </w:r>
        <w:r w:rsidR="0042250B">
          <w:rPr>
            <w:noProof/>
            <w:webHidden/>
          </w:rPr>
          <w:t>150</w:t>
        </w:r>
        <w:r w:rsidR="0042250B">
          <w:rPr>
            <w:noProof/>
            <w:webHidden/>
          </w:rPr>
          <w:fldChar w:fldCharType="end"/>
        </w:r>
      </w:hyperlink>
    </w:p>
    <w:p w14:paraId="5118D569" w14:textId="0E7BC33A" w:rsidR="00DD756B" w:rsidRPr="005F6FF5" w:rsidRDefault="00DD756B" w:rsidP="0042250B">
      <w:pPr>
        <w:spacing w:before="120" w:afterLines="60" w:after="144" w:line="360" w:lineRule="auto"/>
        <w:jc w:val="both"/>
        <w:sectPr w:rsidR="00DD756B" w:rsidRPr="005F6FF5" w:rsidSect="00C04BA5">
          <w:headerReference w:type="default" r:id="rId10"/>
          <w:footerReference w:type="default" r:id="rId11"/>
          <w:pgSz w:w="12240" w:h="15840"/>
          <w:pgMar w:top="1440" w:right="1440" w:bottom="1440" w:left="1440" w:header="720" w:footer="720" w:gutter="0"/>
          <w:pgNumType w:fmt="lowerRoman" w:start="1"/>
          <w:cols w:space="720"/>
          <w:docGrid w:linePitch="360"/>
        </w:sectPr>
      </w:pPr>
      <w:r>
        <w:fldChar w:fldCharType="end"/>
      </w:r>
    </w:p>
    <w:p w14:paraId="49CCE4AD" w14:textId="13E84B76" w:rsidR="00DD756B" w:rsidRDefault="00DD756B" w:rsidP="00DD756B">
      <w:pPr>
        <w:spacing w:before="100" w:beforeAutospacing="1" w:after="120" w:line="360" w:lineRule="auto"/>
        <w:jc w:val="both"/>
      </w:pPr>
    </w:p>
    <w:p w14:paraId="1F5211A6" w14:textId="4EDE8624" w:rsidR="00DD756B" w:rsidRPr="005F6FF5" w:rsidRDefault="00DD756B" w:rsidP="00DD756B">
      <w:pPr>
        <w:spacing w:before="100" w:beforeAutospacing="1" w:after="120" w:line="20" w:lineRule="exact"/>
        <w:jc w:val="both"/>
        <w:sectPr w:rsidR="00DD756B" w:rsidRPr="005F6FF5" w:rsidSect="00DD756B">
          <w:headerReference w:type="default" r:id="rId12"/>
          <w:footerReference w:type="default" r:id="rId13"/>
          <w:type w:val="continuous"/>
          <w:pgSz w:w="12240" w:h="15840"/>
          <w:pgMar w:top="1440" w:right="1440" w:bottom="1440" w:left="1440" w:header="720" w:footer="720" w:gutter="0"/>
          <w:pgNumType w:fmt="lowerRoman" w:start="1"/>
          <w:cols w:space="720"/>
          <w:docGrid w:linePitch="360"/>
        </w:sectPr>
      </w:pPr>
    </w:p>
    <w:p w14:paraId="3D156A2B" w14:textId="77777777" w:rsidR="00624970" w:rsidRPr="005F6FF5" w:rsidRDefault="00624970" w:rsidP="00624970">
      <w:pPr>
        <w:pStyle w:val="1"/>
        <w:spacing w:before="0" w:after="60" w:line="360" w:lineRule="auto"/>
        <w:rPr>
          <w:rFonts w:asciiTheme="minorHAnsi" w:hAnsiTheme="minorHAnsi"/>
          <w:b/>
          <w:color w:val="auto"/>
        </w:rPr>
      </w:pPr>
      <w:bookmarkStart w:id="12" w:name="_Toc22052503"/>
      <w:r w:rsidRPr="009D5EF8">
        <w:rPr>
          <w:rFonts w:asciiTheme="minorHAnsi" w:hAnsiTheme="minorHAnsi"/>
          <w:b/>
          <w:color w:val="auto"/>
        </w:rPr>
        <w:lastRenderedPageBreak/>
        <w:t>Chapter 1 Introduction</w:t>
      </w:r>
      <w:bookmarkEnd w:id="12"/>
    </w:p>
    <w:p w14:paraId="7996CC09" w14:textId="73DDA872" w:rsidR="00624970" w:rsidRDefault="00624970" w:rsidP="00624970">
      <w:pPr>
        <w:spacing w:after="60" w:line="360" w:lineRule="auto"/>
        <w:jc w:val="both"/>
      </w:pPr>
      <w:r>
        <w:t>Conventionally, alloy design strategy</w:t>
      </w:r>
      <w:r w:rsidRPr="008C71F2">
        <w:rPr>
          <w:noProof/>
        </w:rPr>
        <w:t xml:space="preserve"> focus</w:t>
      </w:r>
      <w:r>
        <w:rPr>
          <w:noProof/>
        </w:rPr>
        <w:t>es</w:t>
      </w:r>
      <w:r>
        <w:t xml:space="preserve"> on </w:t>
      </w:r>
      <w:r w:rsidR="00DD0EF9">
        <w:t xml:space="preserve">the </w:t>
      </w:r>
      <w:r>
        <w:t xml:space="preserve">single principal component alloy (at%&gt;50%). Through optimising the alloying content with </w:t>
      </w:r>
      <w:r w:rsidRPr="008C71F2">
        <w:rPr>
          <w:noProof/>
        </w:rPr>
        <w:t>minor</w:t>
      </w:r>
      <w:r>
        <w:t xml:space="preserve"> additions of metallic or non-metallic elements, various properties of the alloy can be tuned considerably, whilst the main mechanical properties of the base element are retained. This alloy design strategy has been effective in designing metallic materials, for example from bronzes to stainless steels. However, it appears that the strategy is reaching its limits after centuries of application. </w:t>
      </w:r>
    </w:p>
    <w:p w14:paraId="291E5BFF" w14:textId="112F9A69" w:rsidR="00624970" w:rsidRDefault="00624970" w:rsidP="00624970">
      <w:pPr>
        <w:spacing w:after="60" w:line="360" w:lineRule="auto"/>
        <w:jc w:val="both"/>
      </w:pPr>
      <w:r>
        <w:t>Regarding the limits of traditional alloy design strategy and inspired by the multi-principal components concept in designing bulk metallic glass (BMG), Cantor and Yeh proposed the concept of high entropy alloys (HEAs) [1,2] composed of multiple principal components. A decreased Gibbs free energy prevents the generation of ordered complex brittle intermetallic phases, which are</w:t>
      </w:r>
      <w:r w:rsidRPr="00863B1C">
        <w:t xml:space="preserve"> </w:t>
      </w:r>
      <w:r>
        <w:t xml:space="preserve">attributed to the configurational entropy maximisation. These </w:t>
      </w:r>
      <w:r w:rsidR="00F51B88">
        <w:t xml:space="preserve">intermetallic phases </w:t>
      </w:r>
      <w:r>
        <w:t>are replaced by simple disordered solid solution phases (BCC, FCC and</w:t>
      </w:r>
      <w:r>
        <w:rPr>
          <w:noProof/>
        </w:rPr>
        <w:t xml:space="preserve"> </w:t>
      </w:r>
      <w:r w:rsidR="00F51B88">
        <w:rPr>
          <w:noProof/>
        </w:rPr>
        <w:t>hexagonal close packed (</w:t>
      </w:r>
      <w:r>
        <w:rPr>
          <w:noProof/>
        </w:rPr>
        <w:t>HCP</w:t>
      </w:r>
      <w:r w:rsidR="00F51B88">
        <w:rPr>
          <w:noProof/>
        </w:rPr>
        <w:t>)</w:t>
      </w:r>
      <w:r>
        <w:t xml:space="preserve"> structures) and enhance the ductility of the alloy system. HEAs have intrinsic advantages</w:t>
      </w:r>
      <w:r w:rsidRPr="00863B1C">
        <w:t xml:space="preserve"> </w:t>
      </w:r>
      <w:r>
        <w:t xml:space="preserve">in </w:t>
      </w:r>
      <w:r w:rsidRPr="008C71F2">
        <w:rPr>
          <w:noProof/>
        </w:rPr>
        <w:t>high</w:t>
      </w:r>
      <w:r>
        <w:rPr>
          <w:noProof/>
        </w:rPr>
        <w:t>-</w:t>
      </w:r>
      <w:r w:rsidRPr="008C71F2">
        <w:rPr>
          <w:noProof/>
        </w:rPr>
        <w:t>temperature</w:t>
      </w:r>
      <w:r>
        <w:t xml:space="preserve"> environments. The entropic effect will be </w:t>
      </w:r>
      <w:r>
        <w:rPr>
          <w:noProof/>
        </w:rPr>
        <w:t>increased</w:t>
      </w:r>
      <w:r>
        <w:t xml:space="preserve"> by temperature and </w:t>
      </w:r>
      <w:r w:rsidRPr="008C71F2">
        <w:rPr>
          <w:noProof/>
        </w:rPr>
        <w:t>enabl</w:t>
      </w:r>
      <w:r w:rsidR="00D64D82">
        <w:rPr>
          <w:noProof/>
        </w:rPr>
        <w:t>e</w:t>
      </w:r>
      <w:r>
        <w:t xml:space="preserve"> the ductile disordered solid solution phase to be stabilised. In particular, refractory HEAs (RHEAs), a family of HEAs composed of refractory elements, show the exceedingly stabilised BCC phase, and satisfactory ductility and strength up to 1873K [3]. These results set precedence for further research into these </w:t>
      </w:r>
      <w:r w:rsidRPr="00696858">
        <w:rPr>
          <w:color w:val="000000" w:themeColor="text1"/>
        </w:rPr>
        <w:t>materials. However, their current limitations including</w:t>
      </w:r>
      <w:r w:rsidR="00D64D82">
        <w:rPr>
          <w:color w:val="000000" w:themeColor="text1"/>
        </w:rPr>
        <w:t>,</w:t>
      </w:r>
      <w:r w:rsidRPr="00696858">
        <w:rPr>
          <w:color w:val="000000" w:themeColor="text1"/>
        </w:rPr>
        <w:t xml:space="preserve"> poor </w:t>
      </w:r>
      <w:r w:rsidRPr="00C06CF3">
        <w:t>ductility and low-strain hardening capability at ambient temperatures</w:t>
      </w:r>
      <w:r>
        <w:t xml:space="preserve">, render them unsuitable for </w:t>
      </w:r>
      <w:r w:rsidRPr="006D0314">
        <w:t xml:space="preserve">practical usage [4,5]. </w:t>
      </w:r>
      <w:r>
        <w:t xml:space="preserve">Substantial attempts have been made to explore an </w:t>
      </w:r>
      <w:r w:rsidRPr="008C71F2">
        <w:rPr>
          <w:noProof/>
        </w:rPr>
        <w:t>efficient</w:t>
      </w:r>
      <w:r>
        <w:t xml:space="preserve"> method to design ductile RHEAs [6]. Currently, there are limited reported data revealing RHEAs exhibiting satisfactory performance in both strength and ductility [7,9–12], owing to their sensitivity to intrinsic elasticity (isotropy or anisotropy) [7][8].</w:t>
      </w:r>
    </w:p>
    <w:p w14:paraId="0CBC20AE" w14:textId="7564FDB5" w:rsidR="00624970" w:rsidRDefault="00624970" w:rsidP="00624970">
      <w:pPr>
        <w:spacing w:after="60" w:line="360" w:lineRule="auto"/>
        <w:jc w:val="both"/>
      </w:pPr>
      <w:r>
        <w:t xml:space="preserve">In order to overcome the limitation on mechanical performance at room temperature, it appears necessary to design RHEAs with a ductile BCC matrix. Considering theoretical elasticity of RHEAs, this limitation can be removed </w:t>
      </w:r>
      <w:r>
        <w:rPr>
          <w:rFonts w:hint="eastAsia"/>
        </w:rPr>
        <w:t>through</w:t>
      </w:r>
      <w:r>
        <w:t xml:space="preserve"> tailoring the mechanical yield mode under tension along</w:t>
      </w:r>
      <w:r w:rsidR="00D64D82">
        <w:t xml:space="preserve"> the</w:t>
      </w:r>
      <w:r>
        <w:t xml:space="preserve"> [100]</w:t>
      </w:r>
      <w:r>
        <w:rPr>
          <w:vertAlign w:val="subscript"/>
        </w:rPr>
        <w:t>BCC</w:t>
      </w:r>
      <w:r>
        <w:t xml:space="preserve"> direction [6]. A number of works have been conducted to investigate the relationship between the elastic properties and mechanical performance of RHEAs [6-12]. A comparison of the </w:t>
      </w:r>
      <w:r w:rsidRPr="00696858">
        <w:rPr>
          <w:i/>
        </w:rPr>
        <w:t>ab initio</w:t>
      </w:r>
      <w:r>
        <w:t xml:space="preserve"> simulation and experimentation results shows that elastically isotropic RHEAs were predicted to be more ductile than elastically anisotropic RHEAs [13–15]. It was reported [13–15,18,19] from </w:t>
      </w:r>
      <w:r w:rsidRPr="00D95DFB">
        <w:rPr>
          <w:i/>
        </w:rPr>
        <w:t>ab initio</w:t>
      </w:r>
      <w:r>
        <w:t xml:space="preserve"> investigations</w:t>
      </w:r>
      <w:r w:rsidR="00D64D82">
        <w:t xml:space="preserve"> that</w:t>
      </w:r>
      <w:r>
        <w:t xml:space="preserve"> the mechanical performance of BCC RHEAs was directly related to their electronic structures as a fraction of </w:t>
      </w:r>
      <w:r>
        <w:lastRenderedPageBreak/>
        <w:t xml:space="preserve">the localisation bond. This could be further analysed from the electron density of states, hence profoundly affecting the anisotropy of elasticity in RHEAs. Using the </w:t>
      </w:r>
      <w:bookmarkStart w:id="13" w:name="_Hlk5894226"/>
      <w:r>
        <w:t xml:space="preserve">EMTO-CPA </w:t>
      </w:r>
      <w:bookmarkEnd w:id="13"/>
      <w:r>
        <w:t xml:space="preserve">method, several ductile elastically isotropic RHEAs (including TiZrNbMo0.8V0.5[16] and TiVNbMoAl0.4[17]), were successfully predicted and subsequently tested with experiments. Moreover, the strategy of utilising metastable engineering to introduce multi-deformation mechanisms in RHEAs, including </w:t>
      </w:r>
      <w:r w:rsidRPr="008D07D9">
        <w:t>twinning-induced plasticity (TWIP) and transformation-induced plasticity (TRIP)</w:t>
      </w:r>
      <w:r>
        <w:t>, could also be considered. By tailoring the content of Mn in CoCrFeNiMn, the metastable engineering strategy was successfully demonstrated for the ‘3d transition group’ HEAs. These works revealed that a lowering of stacking fault energy, in addition to FCC matrix phase stability, activated a joint triggering of TWIP and TRIP effects [20–23]. As a consequence of the dynamic Hall-Petch effect and strain hardening capability enabled by TWIP and TRIP, the metastable Fe</w:t>
      </w:r>
      <w:r w:rsidRPr="00B65728">
        <w:rPr>
          <w:vertAlign w:val="subscript"/>
        </w:rPr>
        <w:t>50</w:t>
      </w:r>
      <w:r>
        <w:t>Mn</w:t>
      </w:r>
      <w:r w:rsidRPr="00B65728">
        <w:rPr>
          <w:vertAlign w:val="subscript"/>
        </w:rPr>
        <w:t>30</w:t>
      </w:r>
      <w:r>
        <w:t>Cr</w:t>
      </w:r>
      <w:r w:rsidRPr="00B65728">
        <w:rPr>
          <w:vertAlign w:val="subscript"/>
        </w:rPr>
        <w:t>10</w:t>
      </w:r>
      <w:r>
        <w:t>Co</w:t>
      </w:r>
      <w:r w:rsidRPr="00B65728">
        <w:rPr>
          <w:vertAlign w:val="subscript"/>
        </w:rPr>
        <w:t>10</w:t>
      </w:r>
      <w:r>
        <w:rPr>
          <w:vertAlign w:val="subscript"/>
        </w:rPr>
        <w:t xml:space="preserve">, </w:t>
      </w:r>
      <w:r>
        <w:t xml:space="preserve">exhibited impressive mechanical properties compared with the other equiatomic FCC HEAs [21]. Similarly, using </w:t>
      </w:r>
      <w:r w:rsidRPr="006B2702">
        <w:rPr>
          <w:noProof/>
        </w:rPr>
        <w:t>TRIP</w:t>
      </w:r>
      <w:r>
        <w:rPr>
          <w:noProof/>
        </w:rPr>
        <w:t>-</w:t>
      </w:r>
      <w:r w:rsidRPr="006B2702">
        <w:rPr>
          <w:noProof/>
        </w:rPr>
        <w:t>assisted</w:t>
      </w:r>
      <w:r>
        <w:t xml:space="preserve"> </w:t>
      </w:r>
      <w:r>
        <w:rPr>
          <w:rFonts w:ascii="Times New Roman" w:hAnsi="Times New Roman" w:cs="Times New Roman"/>
        </w:rPr>
        <w:t>β</w:t>
      </w:r>
      <w:r>
        <w:t xml:space="preserve">-Ti biomedical alloys as a </w:t>
      </w:r>
      <w:r w:rsidRPr="008C71F2">
        <w:rPr>
          <w:noProof/>
        </w:rPr>
        <w:t>reference</w:t>
      </w:r>
      <w:r>
        <w:t xml:space="preserve">, TRIP </w:t>
      </w:r>
      <w:r w:rsidRPr="006B2702">
        <w:rPr>
          <w:noProof/>
        </w:rPr>
        <w:t>was also introduced</w:t>
      </w:r>
      <w:r>
        <w:t xml:space="preserve"> in BCC based metastable RHEAs [24-25], indicat</w:t>
      </w:r>
      <w:r w:rsidR="00D64D82">
        <w:t>ing</w:t>
      </w:r>
      <w:r>
        <w:t xml:space="preserve"> the opportunity to introduce </w:t>
      </w:r>
      <w:r w:rsidRPr="00B65728">
        <w:t>simultaneously</w:t>
      </w:r>
      <w:r>
        <w:t xml:space="preserve"> activated TWIP and TRIP in RHEAs</w:t>
      </w:r>
      <w:r>
        <w:rPr>
          <w:rFonts w:cs="Times New Roman"/>
        </w:rPr>
        <w:t>.</w:t>
      </w:r>
    </w:p>
    <w:p w14:paraId="283E5AED" w14:textId="5C539A40" w:rsidR="00624970" w:rsidRDefault="00624970" w:rsidP="00624970">
      <w:pPr>
        <w:spacing w:after="60" w:line="360" w:lineRule="auto"/>
        <w:jc w:val="both"/>
      </w:pPr>
      <w:r>
        <w:t xml:space="preserve">Following the alloy design strategy and opportunities in enhancing RHEAs mentioned, the </w:t>
      </w:r>
      <w:r w:rsidRPr="008C71F2">
        <w:rPr>
          <w:noProof/>
        </w:rPr>
        <w:t>current</w:t>
      </w:r>
      <w:r>
        <w:t xml:space="preserve"> research focuses on developing a practical alloy design strategy, in an attempt to maximise the effect of TWIP and TRIP in RHEAs to achieve enhanced ductility. Chapter 2 presents background information </w:t>
      </w:r>
      <w:r>
        <w:rPr>
          <w:noProof/>
        </w:rPr>
        <w:t>on three keys areas to achieve this, namely (i)</w:t>
      </w:r>
      <w:r>
        <w:t xml:space="preserve"> HEA phase formation prediction through semi-empirical and </w:t>
      </w:r>
      <w:r w:rsidRPr="00696858">
        <w:rPr>
          <w:i/>
        </w:rPr>
        <w:t xml:space="preserve">ab initio </w:t>
      </w:r>
      <w:r>
        <w:t>methods; (ii) strengthening methods and deformation mechanisms for HEAs; and (iii) the possibility to design ductile TWIP/</w:t>
      </w:r>
      <w:r w:rsidRPr="008C71F2">
        <w:rPr>
          <w:noProof/>
        </w:rPr>
        <w:t>TRIP</w:t>
      </w:r>
      <w:r>
        <w:rPr>
          <w:noProof/>
        </w:rPr>
        <w:t>-</w:t>
      </w:r>
      <w:r w:rsidRPr="008C71F2">
        <w:rPr>
          <w:noProof/>
        </w:rPr>
        <w:t>assisted</w:t>
      </w:r>
      <w:r>
        <w:t xml:space="preserve"> RHEAs. In Chapter 3, detailed information is given with regard to experimental and modelling methods for alloy synthesis, mechanical testing and characterisations. The ductile base RHEAs selection, by conducting mixing/formation enthalpy deviation and DOS analysis on 67 existing RHEAs systems are detailed in Chapter 4. In </w:t>
      </w:r>
      <w:r>
        <w:rPr>
          <w:rFonts w:hint="eastAsia"/>
        </w:rPr>
        <w:t>C</w:t>
      </w:r>
      <w:r>
        <w:t>hapter 5, an investigation reveals the evolution of compositional-dependent deformation mechanisms, where various experimental methods have been applied to illustrate the activation of TWIP and TRIP. Chapter 6 proposes the concept of t</w:t>
      </w:r>
      <w:r w:rsidRPr="006B2891">
        <w:t>ransformation-</w:t>
      </w:r>
      <w:r>
        <w:t>t</w:t>
      </w:r>
      <w:r w:rsidRPr="006B2891">
        <w:t>winning</w:t>
      </w:r>
      <w:r w:rsidRPr="008D07D9">
        <w:rPr>
          <w:noProof/>
        </w:rPr>
        <w:t xml:space="preserve"> </w:t>
      </w:r>
      <w:r>
        <w:rPr>
          <w:noProof/>
        </w:rPr>
        <w:t>i</w:t>
      </w:r>
      <w:r w:rsidRPr="008D07D9">
        <w:rPr>
          <w:noProof/>
        </w:rPr>
        <w:t xml:space="preserve">nduced </w:t>
      </w:r>
      <w:r>
        <w:rPr>
          <w:noProof/>
        </w:rPr>
        <w:t>p</w:t>
      </w:r>
      <w:r w:rsidRPr="008D07D9">
        <w:rPr>
          <w:noProof/>
        </w:rPr>
        <w:t>lasticity (TTIP)</w:t>
      </w:r>
      <w:r>
        <w:t>, focusing on the coherent link between the effects of TWIP and TRIP, where the theoretical basis for activating TTIP is elucidated using IDA and the shuffle modulation mechanism. The experimental evidence of the TTIP effect is acquired in Chapter 7, which discusses a detailed analysis of co-operation between various self-accommodating twinning and martensitic mechanical twinning. In Chapters 8 and 9, th</w:t>
      </w:r>
      <w:r w:rsidR="00D64D82">
        <w:t>e</w:t>
      </w:r>
      <w:r>
        <w:t xml:space="preserve"> conclusions have been described, as well as the possibility of future work arising for this research. The determination of t</w:t>
      </w:r>
      <w:r w:rsidRPr="00D45E49">
        <w:t>wining elements for martensite twining</w:t>
      </w:r>
      <w:r>
        <w:t xml:space="preserve"> via different calculations is shown in the appendix in Chapter 10.</w:t>
      </w:r>
    </w:p>
    <w:p w14:paraId="05D421A1" w14:textId="77777777" w:rsidR="00606E92" w:rsidRPr="009D5EF8" w:rsidRDefault="00606E92" w:rsidP="00606E92">
      <w:pPr>
        <w:spacing w:after="120" w:line="360" w:lineRule="auto"/>
        <w:jc w:val="both"/>
        <w:rPr>
          <w:b/>
          <w:sz w:val="32"/>
        </w:rPr>
      </w:pPr>
      <w:r w:rsidRPr="009D5EF8">
        <w:rPr>
          <w:b/>
          <w:sz w:val="32"/>
        </w:rPr>
        <w:lastRenderedPageBreak/>
        <w:t>Reference</w:t>
      </w:r>
      <w:r>
        <w:rPr>
          <w:b/>
          <w:sz w:val="32"/>
        </w:rPr>
        <w:t>s</w:t>
      </w:r>
    </w:p>
    <w:p w14:paraId="3E530AD0" w14:textId="77777777" w:rsidR="00E35996" w:rsidRDefault="00606E92" w:rsidP="00E35996">
      <w:pPr>
        <w:spacing w:after="0" w:line="360" w:lineRule="auto"/>
        <w:jc w:val="both"/>
      </w:pPr>
      <w:r>
        <w:t>[1]</w:t>
      </w:r>
      <w:r>
        <w:tab/>
        <w:t xml:space="preserve">B. Cantor, I.T.H. Chang, P. Knight, A.J.B. Vincent, Microstructural development in equiatomic </w:t>
      </w:r>
      <w:r w:rsidR="00E35996">
        <w:t xml:space="preserve">   </w:t>
      </w:r>
    </w:p>
    <w:p w14:paraId="361AC700" w14:textId="17B68C7D" w:rsidR="00606E92" w:rsidRDefault="00E35996" w:rsidP="00E35996">
      <w:pPr>
        <w:spacing w:after="0" w:line="360" w:lineRule="auto"/>
        <w:jc w:val="both"/>
      </w:pPr>
      <w:r>
        <w:t xml:space="preserve">               </w:t>
      </w:r>
      <w:r w:rsidR="00606E92">
        <w:t xml:space="preserve">multicomponent alloys, Mater. Sci. Eng. A. (2004). </w:t>
      </w:r>
      <w:r w:rsidR="00606E92" w:rsidRPr="002D209C">
        <w:rPr>
          <w:noProof/>
        </w:rPr>
        <w:t>doi</w:t>
      </w:r>
      <w:r w:rsidR="00606E92">
        <w:t>:10.1016/j.msea.2003.10.257.</w:t>
      </w:r>
    </w:p>
    <w:p w14:paraId="7BA82DCA" w14:textId="77777777" w:rsidR="00E35996" w:rsidRDefault="00606E92" w:rsidP="00E35996">
      <w:pPr>
        <w:spacing w:before="120" w:after="0" w:line="360" w:lineRule="auto"/>
        <w:jc w:val="both"/>
      </w:pPr>
      <w:r>
        <w:t>[2]</w:t>
      </w:r>
      <w:r>
        <w:tab/>
        <w:t xml:space="preserve">J.W. Yeh, S.K. Chen, S.J. Lin, J.Y. Gan, T.S. Chin, T.T. Shun, C.H. Tsau, S.Y. Chang, Nanostructured </w:t>
      </w:r>
    </w:p>
    <w:p w14:paraId="7950918A" w14:textId="77777777" w:rsidR="00E35996" w:rsidRDefault="00E35996" w:rsidP="00E35996">
      <w:pPr>
        <w:spacing w:after="0" w:line="360" w:lineRule="auto"/>
        <w:jc w:val="both"/>
      </w:pPr>
      <w:r>
        <w:t xml:space="preserve">               </w:t>
      </w:r>
      <w:r w:rsidR="00606E92">
        <w:t xml:space="preserve">high-entropy alloys with multiple principal elements: Novel alloy design concepts and outcomes, </w:t>
      </w:r>
    </w:p>
    <w:p w14:paraId="3C51169A" w14:textId="2DB4B450" w:rsidR="00606E92" w:rsidRDefault="00E35996" w:rsidP="00E35996">
      <w:pPr>
        <w:spacing w:after="0" w:line="360" w:lineRule="auto"/>
        <w:jc w:val="both"/>
      </w:pPr>
      <w:r>
        <w:t xml:space="preserve">               </w:t>
      </w:r>
      <w:r w:rsidR="00606E92">
        <w:t xml:space="preserve">Adv. Eng. Mater. (2004). </w:t>
      </w:r>
      <w:r w:rsidR="00606E92" w:rsidRPr="002D209C">
        <w:rPr>
          <w:noProof/>
        </w:rPr>
        <w:t>doi</w:t>
      </w:r>
      <w:r w:rsidR="00606E92">
        <w:t>:10.1002/adem.200300567.</w:t>
      </w:r>
    </w:p>
    <w:p w14:paraId="35C62D0F" w14:textId="77777777" w:rsidR="00E35996" w:rsidRDefault="00606E92" w:rsidP="00E35996">
      <w:pPr>
        <w:spacing w:before="60" w:after="0" w:line="360" w:lineRule="auto"/>
        <w:jc w:val="both"/>
      </w:pPr>
      <w:r>
        <w:t>[3]</w:t>
      </w:r>
      <w:r>
        <w:tab/>
        <w:t xml:space="preserve">O.N. Senkov, G.B. Wilks, J.M. Scott, D.B. Miracle, Mechanical properties of Nb25Mo25Ta25W25 </w:t>
      </w:r>
    </w:p>
    <w:p w14:paraId="06C374E9" w14:textId="77777777" w:rsidR="00E35996" w:rsidRDefault="00E35996" w:rsidP="00E35996">
      <w:pPr>
        <w:spacing w:after="0" w:line="360" w:lineRule="auto"/>
        <w:jc w:val="both"/>
      </w:pPr>
      <w:r>
        <w:t xml:space="preserve">               </w:t>
      </w:r>
      <w:r w:rsidR="00606E92">
        <w:t>and V20Nb20Mo20Ta20W20 refractory high entropy alloys, Intermetallics. (2011).</w:t>
      </w:r>
      <w:r>
        <w:t xml:space="preserve">      </w:t>
      </w:r>
    </w:p>
    <w:p w14:paraId="0DDCF65A" w14:textId="6853F224" w:rsidR="00606E92" w:rsidRDefault="00E35996" w:rsidP="00E35996">
      <w:pPr>
        <w:spacing w:after="0" w:line="360" w:lineRule="auto"/>
        <w:jc w:val="both"/>
      </w:pPr>
      <w:r>
        <w:t xml:space="preserve">               </w:t>
      </w:r>
      <w:r w:rsidR="00606E92" w:rsidRPr="002D209C">
        <w:rPr>
          <w:noProof/>
        </w:rPr>
        <w:t>doi</w:t>
      </w:r>
      <w:r w:rsidR="00606E92">
        <w:t>:10.1016/j.intermet.2011.01.004.</w:t>
      </w:r>
    </w:p>
    <w:p w14:paraId="6973389E" w14:textId="7D272A7B" w:rsidR="00E35996" w:rsidRDefault="00606E92" w:rsidP="00E35996">
      <w:pPr>
        <w:spacing w:before="60" w:after="0" w:line="360" w:lineRule="auto"/>
        <w:jc w:val="both"/>
      </w:pPr>
      <w:r>
        <w:t>[4]</w:t>
      </w:r>
      <w:r w:rsidR="00E35996">
        <w:t xml:space="preserve">          </w:t>
      </w:r>
      <w:r>
        <w:t xml:space="preserve">C.C. Juan, M.H. Tsai, C.W. Tsai, C.M. Lin, W.R. Wang, C.C. Yang, S.K. Chen, S.J. Lin, J.W. Yeh, </w:t>
      </w:r>
    </w:p>
    <w:p w14:paraId="4B2BBFB9" w14:textId="410DF955" w:rsidR="00E35996" w:rsidRDefault="00E35996" w:rsidP="00E35996">
      <w:pPr>
        <w:spacing w:after="0" w:line="360" w:lineRule="auto"/>
        <w:jc w:val="both"/>
      </w:pPr>
      <w:r>
        <w:t xml:space="preserve">               </w:t>
      </w:r>
      <w:r w:rsidR="00606E92">
        <w:t xml:space="preserve">Enhanced mechanical properties of HfMoTaTiZr and HfMoNbTaTiZr refractory high-entropy alloys, </w:t>
      </w:r>
    </w:p>
    <w:p w14:paraId="70E39D74" w14:textId="6449951B" w:rsidR="00606E92" w:rsidRDefault="00E35996" w:rsidP="00E35996">
      <w:pPr>
        <w:spacing w:after="0" w:line="360" w:lineRule="auto"/>
        <w:jc w:val="both"/>
      </w:pPr>
      <w:r>
        <w:t xml:space="preserve">               </w:t>
      </w:r>
      <w:r w:rsidR="00606E92">
        <w:t xml:space="preserve">Intermetallics. (2015). </w:t>
      </w:r>
      <w:r w:rsidR="00606E92" w:rsidRPr="002D209C">
        <w:rPr>
          <w:noProof/>
        </w:rPr>
        <w:t>doi</w:t>
      </w:r>
      <w:r w:rsidR="00606E92">
        <w:t>:10.1016/j.intermet.2015.03.013.</w:t>
      </w:r>
    </w:p>
    <w:p w14:paraId="1995F3D2" w14:textId="1C947F89" w:rsidR="00E35996" w:rsidRDefault="00606E92" w:rsidP="00E35996">
      <w:pPr>
        <w:spacing w:before="60" w:after="0" w:line="360" w:lineRule="auto"/>
        <w:jc w:val="both"/>
      </w:pPr>
      <w:r>
        <w:t>[5]</w:t>
      </w:r>
      <w:r w:rsidR="00E35996">
        <w:t xml:space="preserve">          </w:t>
      </w:r>
      <w:r>
        <w:t xml:space="preserve">Y. Zou, H. Ma, R. Spolenak, Ultrastrong ductile and stable high-entropy alloys at small scales, Nat. </w:t>
      </w:r>
    </w:p>
    <w:p w14:paraId="671C6546" w14:textId="4AAE467A" w:rsidR="00606E92" w:rsidRDefault="00E35996" w:rsidP="00E35996">
      <w:pPr>
        <w:spacing w:after="0" w:line="360" w:lineRule="auto"/>
        <w:jc w:val="both"/>
      </w:pPr>
      <w:r>
        <w:t xml:space="preserve">              </w:t>
      </w:r>
      <w:r w:rsidR="00606E92">
        <w:t xml:space="preserve">Commun. (2015). </w:t>
      </w:r>
      <w:r w:rsidR="00606E92" w:rsidRPr="002D209C">
        <w:rPr>
          <w:noProof/>
        </w:rPr>
        <w:t>doi</w:t>
      </w:r>
      <w:r w:rsidR="00606E92">
        <w:t>:10.1038/ncomms8748.</w:t>
      </w:r>
    </w:p>
    <w:p w14:paraId="664F83E2" w14:textId="77777777" w:rsidR="00E35996" w:rsidRDefault="00606E92" w:rsidP="00E35996">
      <w:pPr>
        <w:spacing w:before="60" w:after="0" w:line="360" w:lineRule="auto"/>
        <w:jc w:val="both"/>
      </w:pPr>
      <w:r>
        <w:t>[6]</w:t>
      </w:r>
      <w:r w:rsidR="00E35996">
        <w:t xml:space="preserve">          </w:t>
      </w:r>
      <w:r>
        <w:t xml:space="preserve">L. Qi, D.C. Chrzan, Tuning ideal tensile strengths and intrinsic ductility of bcc refractory alloys, </w:t>
      </w:r>
    </w:p>
    <w:p w14:paraId="47660B44" w14:textId="71E21E9A" w:rsidR="00606E92" w:rsidRDefault="00E35996" w:rsidP="00E35996">
      <w:pPr>
        <w:spacing w:after="0" w:line="360" w:lineRule="auto"/>
        <w:jc w:val="both"/>
      </w:pPr>
      <w:r>
        <w:t xml:space="preserve">               </w:t>
      </w:r>
      <w:r w:rsidR="00606E92">
        <w:t xml:space="preserve">Phys. Rev. Lett. (2014). </w:t>
      </w:r>
      <w:r w:rsidR="00606E92" w:rsidRPr="002D209C">
        <w:rPr>
          <w:noProof/>
        </w:rPr>
        <w:t>doi</w:t>
      </w:r>
      <w:r w:rsidR="00606E92">
        <w:t>:10.1103/PhysRevLett.112.115503.</w:t>
      </w:r>
    </w:p>
    <w:p w14:paraId="5F1EA537" w14:textId="77777777" w:rsidR="00E35996" w:rsidRDefault="00606E92" w:rsidP="00E35996">
      <w:pPr>
        <w:spacing w:before="60" w:after="0" w:line="360" w:lineRule="auto"/>
        <w:jc w:val="both"/>
      </w:pPr>
      <w:r>
        <w:t>[7]</w:t>
      </w:r>
      <w:r>
        <w:tab/>
        <w:t xml:space="preserve">S. Sheikh, S. Shafeie, Q. Hu, J. Ahlström, C. Persson, J. Veselý, J. Zýka, U. Klement, S. Guo, Alloy </w:t>
      </w:r>
    </w:p>
    <w:p w14:paraId="03E9F852" w14:textId="77777777" w:rsidR="00E35996" w:rsidRDefault="00E35996" w:rsidP="00E35996">
      <w:pPr>
        <w:spacing w:after="0" w:line="360" w:lineRule="auto"/>
        <w:jc w:val="both"/>
      </w:pPr>
      <w:r>
        <w:t xml:space="preserve">              </w:t>
      </w:r>
      <w:r w:rsidR="00606E92">
        <w:t xml:space="preserve">design for intrinsically ductile refractory high-entropy alloys, J. Appl. Phys. (2016). </w:t>
      </w:r>
      <w:r>
        <w:t xml:space="preserve">    </w:t>
      </w:r>
    </w:p>
    <w:p w14:paraId="30CB0B91" w14:textId="1D37D7AC" w:rsidR="00606E92" w:rsidRDefault="00E35996" w:rsidP="00E35996">
      <w:pPr>
        <w:spacing w:after="0" w:line="360" w:lineRule="auto"/>
        <w:jc w:val="both"/>
      </w:pPr>
      <w:r>
        <w:t xml:space="preserve">              </w:t>
      </w:r>
      <w:r w:rsidR="00606E92" w:rsidRPr="002D209C">
        <w:rPr>
          <w:noProof/>
        </w:rPr>
        <w:t>doi</w:t>
      </w:r>
      <w:r w:rsidR="00606E92">
        <w:t>:10.1063/1.4966659.</w:t>
      </w:r>
    </w:p>
    <w:p w14:paraId="2DEC598B" w14:textId="77777777" w:rsidR="00E35996" w:rsidRDefault="00606E92" w:rsidP="00E35996">
      <w:pPr>
        <w:spacing w:before="60" w:after="0" w:line="360" w:lineRule="auto"/>
        <w:jc w:val="both"/>
      </w:pPr>
      <w:r>
        <w:t>[8]</w:t>
      </w:r>
      <w:r>
        <w:tab/>
        <w:t xml:space="preserve">X. Li, S. Schönecker, J. Zhao, B. Johansson, L. Vitos, Ideal strength of random alloys from first </w:t>
      </w:r>
    </w:p>
    <w:p w14:paraId="788787AC" w14:textId="74044F5D" w:rsidR="00606E92" w:rsidRDefault="00E35996" w:rsidP="00E35996">
      <w:pPr>
        <w:spacing w:after="0" w:line="360" w:lineRule="auto"/>
        <w:jc w:val="both"/>
      </w:pPr>
      <w:r>
        <w:t xml:space="preserve">              </w:t>
      </w:r>
      <w:r w:rsidR="00606E92">
        <w:t xml:space="preserve">principles, Phys. Rev. B - Condens. Matter Mater. Phys. (2013). </w:t>
      </w:r>
      <w:r w:rsidR="00606E92" w:rsidRPr="002D209C">
        <w:rPr>
          <w:noProof/>
        </w:rPr>
        <w:t>doi</w:t>
      </w:r>
      <w:r w:rsidR="00606E92">
        <w:t>:10.1103/PhysRevB.87.214203.</w:t>
      </w:r>
    </w:p>
    <w:p w14:paraId="092C9187" w14:textId="77777777" w:rsidR="00E35996" w:rsidRDefault="00606E92" w:rsidP="00E35996">
      <w:pPr>
        <w:spacing w:before="60" w:after="0" w:line="360" w:lineRule="auto"/>
        <w:jc w:val="both"/>
      </w:pPr>
      <w:r>
        <w:t>[9]</w:t>
      </w:r>
      <w:r>
        <w:tab/>
        <w:t xml:space="preserve">Y. Zou, S. Maiti, W. Steurer, R. Spolenak, Size-dependent plasticity in </w:t>
      </w:r>
      <w:r w:rsidRPr="002D209C">
        <w:rPr>
          <w:noProof/>
        </w:rPr>
        <w:t>an Nb25Mo25Ta</w:t>
      </w:r>
      <w:r>
        <w:t xml:space="preserve"> 25W25 </w:t>
      </w:r>
    </w:p>
    <w:p w14:paraId="026CD510" w14:textId="5118E03E" w:rsidR="00606E92" w:rsidRDefault="00E35996" w:rsidP="00E35996">
      <w:pPr>
        <w:spacing w:after="0" w:line="360" w:lineRule="auto"/>
        <w:jc w:val="both"/>
      </w:pPr>
      <w:r>
        <w:t xml:space="preserve">               </w:t>
      </w:r>
      <w:r w:rsidR="00606E92">
        <w:t xml:space="preserve">refractory high-entropy alloy, Acta Mater. (2014). </w:t>
      </w:r>
      <w:r w:rsidR="00606E92" w:rsidRPr="002D209C">
        <w:rPr>
          <w:noProof/>
        </w:rPr>
        <w:t>doi</w:t>
      </w:r>
      <w:r w:rsidR="00606E92">
        <w:t>:10.1016/j.actamat.2013.11.049.</w:t>
      </w:r>
    </w:p>
    <w:p w14:paraId="7B60DE1C" w14:textId="77777777" w:rsidR="00E35996" w:rsidRDefault="00606E92" w:rsidP="00E35996">
      <w:pPr>
        <w:spacing w:before="60" w:after="0" w:line="360" w:lineRule="auto"/>
        <w:jc w:val="both"/>
      </w:pPr>
      <w:r>
        <w:t>[10]</w:t>
      </w:r>
      <w:r>
        <w:tab/>
        <w:t xml:space="preserve">C.C. Juan, K.K. Tseng, W.L. Hsu, M.H. Tsai, C.W. Tsai, C.M. Lin, S.K. Chen, S.J. Lin, J.W. Yeh, Solution </w:t>
      </w:r>
    </w:p>
    <w:p w14:paraId="5D5F59AC" w14:textId="5FE2C4B9" w:rsidR="00E35996" w:rsidRDefault="00E35996" w:rsidP="00E35996">
      <w:pPr>
        <w:spacing w:after="0" w:line="360" w:lineRule="auto"/>
        <w:jc w:val="both"/>
      </w:pPr>
      <w:r>
        <w:t xml:space="preserve">               </w:t>
      </w:r>
      <w:r w:rsidR="00606E92">
        <w:t xml:space="preserve">strengthening of ductile refractory HfMoxNbTaTiZr high-entropy alloys, Mater. Lett. (2016). </w:t>
      </w:r>
    </w:p>
    <w:p w14:paraId="243678CB" w14:textId="61A84D2E" w:rsidR="00606E92" w:rsidRDefault="00E35996" w:rsidP="00E35996">
      <w:pPr>
        <w:spacing w:after="0" w:line="360" w:lineRule="auto"/>
        <w:jc w:val="both"/>
      </w:pPr>
      <w:r>
        <w:rPr>
          <w:noProof/>
        </w:rPr>
        <w:t xml:space="preserve">               </w:t>
      </w:r>
      <w:r w:rsidR="00606E92" w:rsidRPr="002D209C">
        <w:rPr>
          <w:noProof/>
        </w:rPr>
        <w:t>doi</w:t>
      </w:r>
      <w:r w:rsidR="00606E92">
        <w:t>:10.1016/j.matlet.2016.03.133.</w:t>
      </w:r>
    </w:p>
    <w:p w14:paraId="59D014D6" w14:textId="77777777" w:rsidR="00E35996" w:rsidRDefault="00606E92" w:rsidP="00E35996">
      <w:pPr>
        <w:spacing w:before="60" w:after="0" w:line="360" w:lineRule="auto"/>
        <w:jc w:val="both"/>
      </w:pPr>
      <w:r>
        <w:t>[11]</w:t>
      </w:r>
      <w:r>
        <w:tab/>
        <w:t xml:space="preserve">Y.D. Wu, Y.H. Cai, T. Wang, J.J. Si, J. Zhu, Y.D. Wang, X.D. Hui, A refractory Hf 25 Nb 25 Ti 25 Zr 25 </w:t>
      </w:r>
    </w:p>
    <w:p w14:paraId="1893ACB0" w14:textId="11896988" w:rsidR="00E35996" w:rsidRDefault="00E35996" w:rsidP="00E35996">
      <w:pPr>
        <w:spacing w:after="0" w:line="360" w:lineRule="auto"/>
        <w:jc w:val="both"/>
      </w:pPr>
      <w:r>
        <w:t xml:space="preserve">               </w:t>
      </w:r>
      <w:r w:rsidR="00606E92">
        <w:t xml:space="preserve">high-entropy alloy with excellent structural stability and tensile properties, Mater. Lett. (2014). </w:t>
      </w:r>
    </w:p>
    <w:p w14:paraId="58C4BD24" w14:textId="4DE22FE9" w:rsidR="00606E92" w:rsidRDefault="00E35996" w:rsidP="00E35996">
      <w:pPr>
        <w:spacing w:after="0" w:line="360" w:lineRule="auto"/>
        <w:jc w:val="both"/>
      </w:pPr>
      <w:r>
        <w:rPr>
          <w:noProof/>
        </w:rPr>
        <w:t xml:space="preserve">               </w:t>
      </w:r>
      <w:r w:rsidR="00606E92" w:rsidRPr="002D209C">
        <w:rPr>
          <w:noProof/>
        </w:rPr>
        <w:t>doi</w:t>
      </w:r>
      <w:r w:rsidR="00606E92">
        <w:t>:10.1016/j.matlet.2014.05.134.</w:t>
      </w:r>
    </w:p>
    <w:p w14:paraId="41A5BB1A" w14:textId="77777777" w:rsidR="00E35996" w:rsidRDefault="00606E92" w:rsidP="00E35996">
      <w:pPr>
        <w:spacing w:before="60" w:after="0" w:line="360" w:lineRule="auto"/>
        <w:jc w:val="both"/>
      </w:pPr>
      <w:r>
        <w:lastRenderedPageBreak/>
        <w:t>[12]</w:t>
      </w:r>
      <w:r>
        <w:tab/>
        <w:t xml:space="preserve">G. Dirras, L. Lilensten, P. Djemia, M. Laurent-Brocq, D. Tingaud, J.P. Couzinié, L. Perrière, T. </w:t>
      </w:r>
    </w:p>
    <w:p w14:paraId="309B1C06" w14:textId="12C13F20" w:rsidR="00E35996" w:rsidRDefault="00E35996" w:rsidP="00E35996">
      <w:pPr>
        <w:spacing w:after="0" w:line="360" w:lineRule="auto"/>
        <w:jc w:val="both"/>
      </w:pPr>
      <w:r>
        <w:t xml:space="preserve">              </w:t>
      </w:r>
      <w:r w:rsidR="00606E92">
        <w:t xml:space="preserve">Chauveau, I. Guillot, Elastic and plastic properties of as-cast equimolar TiHfZrTaNb high-entropy </w:t>
      </w:r>
      <w:r>
        <w:t xml:space="preserve">  </w:t>
      </w:r>
    </w:p>
    <w:p w14:paraId="0E99042B" w14:textId="106D4061" w:rsidR="00606E92" w:rsidRDefault="00E35996" w:rsidP="00E35996">
      <w:pPr>
        <w:spacing w:after="0" w:line="360" w:lineRule="auto"/>
        <w:jc w:val="both"/>
      </w:pPr>
      <w:r>
        <w:t xml:space="preserve">              </w:t>
      </w:r>
      <w:r w:rsidR="00606E92">
        <w:t xml:space="preserve">alloy, Mater. Sci. Eng. A. (2016). </w:t>
      </w:r>
      <w:r w:rsidR="00606E92" w:rsidRPr="002D209C">
        <w:rPr>
          <w:noProof/>
        </w:rPr>
        <w:t>doi</w:t>
      </w:r>
      <w:r w:rsidR="00606E92">
        <w:t>:10.1016/j.msea.2015.12.017.</w:t>
      </w:r>
    </w:p>
    <w:p w14:paraId="680F718E" w14:textId="2A83E9AB" w:rsidR="00E35996" w:rsidRDefault="00606E92" w:rsidP="00E35996">
      <w:pPr>
        <w:spacing w:before="60" w:after="0" w:line="360" w:lineRule="auto"/>
        <w:jc w:val="both"/>
      </w:pPr>
      <w:r>
        <w:t>[13]</w:t>
      </w:r>
      <w:r w:rsidR="00E35996">
        <w:t xml:space="preserve">       </w:t>
      </w:r>
      <w:r>
        <w:t xml:space="preserve">P. Cao, X. Ni, F. Tian, L.K. Varga, L. Vitos, Ab initio study of AlxMoNbTiV high-entropy alloys, J. </w:t>
      </w:r>
    </w:p>
    <w:p w14:paraId="1F41A34A" w14:textId="2C798E71" w:rsidR="00606E92" w:rsidRDefault="00E35996" w:rsidP="00E35996">
      <w:pPr>
        <w:spacing w:after="0" w:line="360" w:lineRule="auto"/>
        <w:jc w:val="both"/>
      </w:pPr>
      <w:r>
        <w:t xml:space="preserve">              </w:t>
      </w:r>
      <w:r w:rsidR="00606E92">
        <w:t xml:space="preserve">Phys. Condens. Matter. (2015). </w:t>
      </w:r>
      <w:r w:rsidR="00606E92" w:rsidRPr="002D209C">
        <w:rPr>
          <w:noProof/>
        </w:rPr>
        <w:t>doi</w:t>
      </w:r>
      <w:r w:rsidR="00606E92">
        <w:t>:10.1088/0953-8984/27/7/075401.</w:t>
      </w:r>
    </w:p>
    <w:p w14:paraId="1DBFBE71" w14:textId="77777777" w:rsidR="00E35996" w:rsidRDefault="00606E92" w:rsidP="00E35996">
      <w:pPr>
        <w:spacing w:before="60" w:after="0" w:line="360" w:lineRule="auto"/>
        <w:jc w:val="both"/>
      </w:pPr>
      <w:r>
        <w:t>[14]</w:t>
      </w:r>
      <w:r>
        <w:tab/>
        <w:t xml:space="preserve">F. Tian, L.K. Varga, N. Chen, J. Shen, L. Vitos, Ab initio design of elastically isotropic TiZrNbMoVx </w:t>
      </w:r>
    </w:p>
    <w:p w14:paraId="3422142B" w14:textId="0CA1E61C" w:rsidR="00606E92" w:rsidRDefault="00E35996" w:rsidP="00E35996">
      <w:pPr>
        <w:spacing w:after="0" w:line="360" w:lineRule="auto"/>
        <w:jc w:val="both"/>
      </w:pPr>
      <w:r>
        <w:t xml:space="preserve">               </w:t>
      </w:r>
      <w:r w:rsidR="00606E92">
        <w:t xml:space="preserve">high-entropy alloys, J. Alloys Compd. (2014). </w:t>
      </w:r>
      <w:r w:rsidR="00606E92" w:rsidRPr="002D209C">
        <w:rPr>
          <w:noProof/>
        </w:rPr>
        <w:t>doi</w:t>
      </w:r>
      <w:r w:rsidR="00606E92">
        <w:t>:10.1016/j.jallcom.2014.01.237.</w:t>
      </w:r>
    </w:p>
    <w:p w14:paraId="27556F9A" w14:textId="77777777" w:rsidR="00E35996" w:rsidRDefault="00606E92" w:rsidP="00E35996">
      <w:pPr>
        <w:spacing w:before="60" w:after="0" w:line="360" w:lineRule="auto"/>
        <w:jc w:val="both"/>
      </w:pPr>
      <w:r>
        <w:t>[15]</w:t>
      </w:r>
      <w:r>
        <w:tab/>
        <w:t>F. Tian, L. Delczeg, N. Chen, L.K. Varga, J. Shen, L. Vitos, Structural stability of NiCoFeCrAlx high-</w:t>
      </w:r>
    </w:p>
    <w:p w14:paraId="4BEA36DD" w14:textId="65BCAAD1" w:rsidR="00E35996" w:rsidRDefault="00E35996" w:rsidP="00E35996">
      <w:pPr>
        <w:spacing w:after="0" w:line="360" w:lineRule="auto"/>
        <w:jc w:val="both"/>
      </w:pPr>
      <w:r>
        <w:t xml:space="preserve">              </w:t>
      </w:r>
      <w:r w:rsidR="00606E92">
        <w:t xml:space="preserve">entropy alloy from ab initio theory, Phys. Rev. B - Condens. Matter Mater. Phys. (2013). </w:t>
      </w:r>
    </w:p>
    <w:p w14:paraId="1A6C77A3" w14:textId="5EED5FF1" w:rsidR="00606E92" w:rsidRDefault="00E35996" w:rsidP="00E35996">
      <w:pPr>
        <w:spacing w:after="0" w:line="360" w:lineRule="auto"/>
        <w:jc w:val="both"/>
      </w:pPr>
      <w:r>
        <w:rPr>
          <w:noProof/>
        </w:rPr>
        <w:t xml:space="preserve">              </w:t>
      </w:r>
      <w:r w:rsidR="00606E92" w:rsidRPr="002D209C">
        <w:rPr>
          <w:noProof/>
        </w:rPr>
        <w:t>doi</w:t>
      </w:r>
      <w:r w:rsidR="00606E92">
        <w:t>:10.1103/PhysRevB.88.085128.</w:t>
      </w:r>
    </w:p>
    <w:p w14:paraId="164DFF7F" w14:textId="77777777" w:rsidR="00E35996" w:rsidRDefault="00606E92" w:rsidP="00E35996">
      <w:pPr>
        <w:spacing w:before="60" w:after="0" w:line="360" w:lineRule="auto"/>
        <w:jc w:val="both"/>
      </w:pPr>
      <w:r>
        <w:t>[16]</w:t>
      </w:r>
      <w:r>
        <w:tab/>
        <w:t xml:space="preserve">Y. Zhang, X. Yang, P.K. Liaw, Alloy design and properties optimization of high-entropy alloys, JOM. </w:t>
      </w:r>
    </w:p>
    <w:p w14:paraId="4E365CAA" w14:textId="495A8091" w:rsidR="00606E92" w:rsidRDefault="00E35996" w:rsidP="00E35996">
      <w:pPr>
        <w:spacing w:after="0" w:line="360" w:lineRule="auto"/>
        <w:jc w:val="both"/>
      </w:pPr>
      <w:r>
        <w:t xml:space="preserve">              </w:t>
      </w:r>
      <w:r w:rsidR="00606E92">
        <w:t xml:space="preserve">(2012). </w:t>
      </w:r>
      <w:r w:rsidR="00606E92" w:rsidRPr="002D209C">
        <w:rPr>
          <w:noProof/>
        </w:rPr>
        <w:t>doi</w:t>
      </w:r>
      <w:r w:rsidR="00606E92">
        <w:t>:10.1007/s11837-012-0366-5.</w:t>
      </w:r>
    </w:p>
    <w:p w14:paraId="7D04FB1D" w14:textId="77777777" w:rsidR="00E35996" w:rsidRDefault="00606E92" w:rsidP="00E35996">
      <w:pPr>
        <w:spacing w:before="60" w:after="0" w:line="360" w:lineRule="auto"/>
        <w:jc w:val="both"/>
      </w:pPr>
      <w:r>
        <w:t>[17]</w:t>
      </w:r>
      <w:r>
        <w:tab/>
        <w:t xml:space="preserve">S.Y. Chen, X. Yang, K.A. Dahmen, P.K. Liaw, Y. Zhang, Microstructures and crackling noise of </w:t>
      </w:r>
    </w:p>
    <w:p w14:paraId="168DC54B" w14:textId="2BE2BE33" w:rsidR="00606E92" w:rsidRDefault="00E35996" w:rsidP="00E35996">
      <w:pPr>
        <w:spacing w:after="0" w:line="360" w:lineRule="auto"/>
        <w:jc w:val="both"/>
      </w:pPr>
      <w:r>
        <w:t xml:space="preserve">              </w:t>
      </w:r>
      <w:r w:rsidR="00606E92">
        <w:t xml:space="preserve">AlxNbTiMoV high entropy alloys, Entropy. (2014). </w:t>
      </w:r>
      <w:r w:rsidR="00606E92" w:rsidRPr="002D209C">
        <w:rPr>
          <w:noProof/>
        </w:rPr>
        <w:t>doi</w:t>
      </w:r>
      <w:r w:rsidR="00606E92">
        <w:t>:10.3390/e16020870.</w:t>
      </w:r>
    </w:p>
    <w:p w14:paraId="64561378" w14:textId="77777777" w:rsidR="00E35996" w:rsidRDefault="00606E92" w:rsidP="00E35996">
      <w:pPr>
        <w:spacing w:before="60" w:after="0" w:line="360" w:lineRule="auto"/>
        <w:jc w:val="both"/>
      </w:pPr>
      <w:r>
        <w:t>[18]</w:t>
      </w:r>
      <w:r>
        <w:tab/>
        <w:t xml:space="preserve">F. Tian, L.K. Varga, J. Shen, L. Vitos, Calculating elastic constants in high-entropy alloys using the </w:t>
      </w:r>
    </w:p>
    <w:p w14:paraId="1063D3D9" w14:textId="7CD3AB3D" w:rsidR="00E35996" w:rsidRDefault="00E35996" w:rsidP="00E35996">
      <w:pPr>
        <w:spacing w:after="0" w:line="360" w:lineRule="auto"/>
        <w:jc w:val="both"/>
      </w:pPr>
      <w:r>
        <w:t xml:space="preserve">              </w:t>
      </w:r>
      <w:r w:rsidR="00606E92">
        <w:t xml:space="preserve">coherent potential approximation: Current issues and errors, Comput. Mater. Sci. (2016). </w:t>
      </w:r>
    </w:p>
    <w:p w14:paraId="57D6986D" w14:textId="0E6C9C7E" w:rsidR="00606E92" w:rsidRDefault="00E35996" w:rsidP="00E35996">
      <w:pPr>
        <w:spacing w:after="0" w:line="360" w:lineRule="auto"/>
        <w:jc w:val="both"/>
      </w:pPr>
      <w:r>
        <w:rPr>
          <w:noProof/>
        </w:rPr>
        <w:t xml:space="preserve">              </w:t>
      </w:r>
      <w:r w:rsidR="00606E92" w:rsidRPr="002D209C">
        <w:rPr>
          <w:noProof/>
        </w:rPr>
        <w:t>doi</w:t>
      </w:r>
      <w:r w:rsidR="00606E92">
        <w:t>:10.1016/j.commatsci.2015.09.058.</w:t>
      </w:r>
    </w:p>
    <w:p w14:paraId="1AB21DB7" w14:textId="77777777" w:rsidR="00E35996" w:rsidRDefault="00606E92" w:rsidP="00E35996">
      <w:pPr>
        <w:spacing w:before="60" w:after="0" w:line="360" w:lineRule="auto"/>
        <w:jc w:val="both"/>
      </w:pPr>
      <w:r>
        <w:t>[19]</w:t>
      </w:r>
      <w:r>
        <w:tab/>
        <w:t xml:space="preserve">F. Tian, L.K. Varga, L. Vitos, Predicting single phase CrMoWX high entropy alloys from empirical </w:t>
      </w:r>
    </w:p>
    <w:p w14:paraId="11214CC4" w14:textId="328C822E" w:rsidR="00E35996" w:rsidRDefault="00E35996" w:rsidP="00E35996">
      <w:pPr>
        <w:spacing w:after="0" w:line="360" w:lineRule="auto"/>
        <w:jc w:val="both"/>
      </w:pPr>
      <w:r>
        <w:t xml:space="preserve">              </w:t>
      </w:r>
      <w:r w:rsidR="00606E92">
        <w:t xml:space="preserve">relations in combination with first-principles calculations, Intermetallics. (2017). </w:t>
      </w:r>
    </w:p>
    <w:p w14:paraId="5EA260B1" w14:textId="1DCEE086" w:rsidR="00606E92" w:rsidRDefault="00E35996" w:rsidP="00E35996">
      <w:pPr>
        <w:spacing w:after="0" w:line="360" w:lineRule="auto"/>
        <w:jc w:val="both"/>
      </w:pPr>
      <w:r>
        <w:rPr>
          <w:noProof/>
        </w:rPr>
        <w:t xml:space="preserve">              </w:t>
      </w:r>
      <w:r w:rsidR="00606E92" w:rsidRPr="002D209C">
        <w:rPr>
          <w:noProof/>
        </w:rPr>
        <w:t>doi</w:t>
      </w:r>
      <w:r w:rsidR="00606E92">
        <w:t>:10.1016/j.intermet.2016.12.007.</w:t>
      </w:r>
    </w:p>
    <w:p w14:paraId="281AE513" w14:textId="5B1AD549" w:rsidR="00E35996" w:rsidRDefault="00606E92" w:rsidP="00E35996">
      <w:pPr>
        <w:spacing w:before="60" w:after="0" w:line="360" w:lineRule="auto"/>
        <w:jc w:val="both"/>
      </w:pPr>
      <w:r>
        <w:t>[20]</w:t>
      </w:r>
      <w:r w:rsidR="00E35996">
        <w:t xml:space="preserve">       </w:t>
      </w:r>
      <w:r>
        <w:t xml:space="preserve">Z. Li, C.C. Tasan, H. Springer, B. Gault, D. Raabe, Interstitial atoms enable joint twinning and </w:t>
      </w:r>
    </w:p>
    <w:p w14:paraId="4EFC36BD" w14:textId="50405C8D" w:rsidR="00E35996" w:rsidRDefault="00E35996" w:rsidP="00E35996">
      <w:pPr>
        <w:spacing w:after="0" w:line="360" w:lineRule="auto"/>
        <w:jc w:val="both"/>
      </w:pPr>
      <w:r>
        <w:t xml:space="preserve">              </w:t>
      </w:r>
      <w:r w:rsidR="00606E92">
        <w:t xml:space="preserve">transformation induced plasticity in strong and ductile high-entropy alloys, Sci. Rep. (2017). </w:t>
      </w:r>
    </w:p>
    <w:p w14:paraId="16645100" w14:textId="58AE82E6" w:rsidR="00606E92" w:rsidRDefault="00E35996" w:rsidP="00E35996">
      <w:pPr>
        <w:spacing w:after="0" w:line="360" w:lineRule="auto"/>
        <w:jc w:val="both"/>
      </w:pPr>
      <w:r>
        <w:rPr>
          <w:noProof/>
        </w:rPr>
        <w:t xml:space="preserve">              </w:t>
      </w:r>
      <w:r w:rsidR="00606E92" w:rsidRPr="002D209C">
        <w:rPr>
          <w:noProof/>
        </w:rPr>
        <w:t>doi</w:t>
      </w:r>
      <w:r w:rsidR="00606E92">
        <w:t>:10.1038/srep40704.</w:t>
      </w:r>
    </w:p>
    <w:p w14:paraId="299BE83C" w14:textId="77777777" w:rsidR="00E35996" w:rsidRDefault="00606E92" w:rsidP="00E35996">
      <w:pPr>
        <w:spacing w:before="60" w:after="0" w:line="360" w:lineRule="auto"/>
        <w:jc w:val="both"/>
      </w:pPr>
      <w:r>
        <w:t>[21]</w:t>
      </w:r>
      <w:r>
        <w:tab/>
        <w:t xml:space="preserve">Z. Li, K.G. Pradeep, Y. Deng, D. Raabe, C.C. Tasan, Metastable high-entropy dual-phase alloys </w:t>
      </w:r>
    </w:p>
    <w:p w14:paraId="218439A7" w14:textId="13BF5919" w:rsidR="00606E92" w:rsidRDefault="00E35996" w:rsidP="00E35996">
      <w:pPr>
        <w:spacing w:after="30" w:line="360" w:lineRule="auto"/>
        <w:jc w:val="both"/>
      </w:pPr>
      <w:r>
        <w:t xml:space="preserve">               </w:t>
      </w:r>
      <w:r w:rsidR="00606E92">
        <w:t xml:space="preserve">overcome the strength-ductility trade-off, Nature. (2016). </w:t>
      </w:r>
      <w:r w:rsidR="00606E92" w:rsidRPr="002D209C">
        <w:rPr>
          <w:noProof/>
        </w:rPr>
        <w:t>doi</w:t>
      </w:r>
      <w:r w:rsidR="00606E92">
        <w:t>:10.1038/nature17981.</w:t>
      </w:r>
    </w:p>
    <w:p w14:paraId="6BE0BE1E" w14:textId="487ABDE9" w:rsidR="00E35996" w:rsidRDefault="00606E92" w:rsidP="00E35996">
      <w:pPr>
        <w:spacing w:before="60" w:after="0" w:line="360" w:lineRule="auto"/>
        <w:jc w:val="both"/>
      </w:pPr>
      <w:r>
        <w:t>[22]</w:t>
      </w:r>
      <w:r w:rsidR="00E35996">
        <w:t xml:space="preserve">      </w:t>
      </w:r>
      <w:r>
        <w:t xml:space="preserve">Z. Li, C.C. Tasan, K.G. Pradeep, D. Raabe, A TRIP-assisted dual-phase high-entropy alloy: Grain size </w:t>
      </w:r>
    </w:p>
    <w:p w14:paraId="609DC383" w14:textId="4EC32B31" w:rsidR="00E35996" w:rsidRDefault="00E35996" w:rsidP="00E35996">
      <w:pPr>
        <w:spacing w:after="0" w:line="360" w:lineRule="auto"/>
        <w:jc w:val="both"/>
      </w:pPr>
      <w:r>
        <w:t xml:space="preserve">             </w:t>
      </w:r>
      <w:r w:rsidR="00606E92">
        <w:t xml:space="preserve">and phase fraction effects on deformation </w:t>
      </w:r>
      <w:r w:rsidR="00606E92" w:rsidRPr="002D209C">
        <w:rPr>
          <w:noProof/>
        </w:rPr>
        <w:t>behavio</w:t>
      </w:r>
      <w:r w:rsidR="00606E92">
        <w:rPr>
          <w:noProof/>
        </w:rPr>
        <w:t>u</w:t>
      </w:r>
      <w:r w:rsidR="00606E92" w:rsidRPr="002D209C">
        <w:rPr>
          <w:noProof/>
        </w:rPr>
        <w:t>r</w:t>
      </w:r>
      <w:r w:rsidR="00606E92">
        <w:t xml:space="preserve">, Acta Mater. (2017). </w:t>
      </w:r>
    </w:p>
    <w:p w14:paraId="68A48E89" w14:textId="5FBD3F9B" w:rsidR="00606E92" w:rsidRDefault="00E35996" w:rsidP="00E35996">
      <w:pPr>
        <w:spacing w:after="0" w:line="360" w:lineRule="auto"/>
        <w:jc w:val="both"/>
      </w:pPr>
      <w:r>
        <w:t xml:space="preserve">             </w:t>
      </w:r>
      <w:r w:rsidR="00606E92" w:rsidRPr="002D209C">
        <w:rPr>
          <w:noProof/>
        </w:rPr>
        <w:t>doi</w:t>
      </w:r>
      <w:r w:rsidR="00606E92">
        <w:t>:10.1016/j.actamat.2017.03.069.</w:t>
      </w:r>
    </w:p>
    <w:p w14:paraId="412FF81D" w14:textId="32415809" w:rsidR="00C52D30" w:rsidRDefault="00606E92" w:rsidP="00E35996">
      <w:pPr>
        <w:spacing w:before="60" w:after="0" w:line="360" w:lineRule="auto"/>
        <w:jc w:val="both"/>
      </w:pPr>
      <w:r>
        <w:t>[23]</w:t>
      </w:r>
      <w:r w:rsidR="00E35996">
        <w:t xml:space="preserve">      </w:t>
      </w:r>
      <w:r>
        <w:t>Y. Deng, C.C. Tasan, K.G. Pradeep, H. Springer, A. Kostka, D. Raabe, Design of a twinning-induced</w:t>
      </w:r>
      <w:r w:rsidR="00C52D30">
        <w:t xml:space="preserve">     </w:t>
      </w:r>
    </w:p>
    <w:p w14:paraId="0BFD19EE" w14:textId="6425D5F0" w:rsidR="00606E92" w:rsidRDefault="00C52D30" w:rsidP="00E35996">
      <w:pPr>
        <w:spacing w:after="0" w:line="360" w:lineRule="auto"/>
        <w:jc w:val="both"/>
      </w:pPr>
      <w:r>
        <w:t xml:space="preserve">             </w:t>
      </w:r>
      <w:r w:rsidR="00606E92">
        <w:t xml:space="preserve">plasticity high entropy alloy, Acta Mater. (2015). </w:t>
      </w:r>
      <w:r w:rsidR="00606E92" w:rsidRPr="002D209C">
        <w:rPr>
          <w:noProof/>
        </w:rPr>
        <w:t>doi</w:t>
      </w:r>
      <w:r w:rsidR="00606E92">
        <w:t>:10.1016/j.actamat.2015.04.014.</w:t>
      </w:r>
    </w:p>
    <w:p w14:paraId="184C6FA7" w14:textId="29CC69CA" w:rsidR="00C52D30" w:rsidRPr="00C52D30" w:rsidRDefault="00C52D30" w:rsidP="00E35996">
      <w:pPr>
        <w:widowControl w:val="0"/>
        <w:autoSpaceDE w:val="0"/>
        <w:autoSpaceDN w:val="0"/>
        <w:adjustRightInd w:val="0"/>
        <w:spacing w:before="60" w:after="0" w:line="360" w:lineRule="auto"/>
        <w:ind w:left="634" w:hanging="634"/>
      </w:pPr>
      <w:r>
        <w:lastRenderedPageBreak/>
        <w:t>[24]</w:t>
      </w:r>
      <w:r w:rsidRPr="00C52D30">
        <w:t xml:space="preserve"> </w:t>
      </w:r>
      <w:r w:rsidRPr="00C52D30">
        <w:fldChar w:fldCharType="begin" w:fldLock="1"/>
      </w:r>
      <w:r w:rsidRPr="00C52D30">
        <w:instrText xml:space="preserve">ADDIN Mendeley Bibliography CSL_BIBLIOGRAPHY </w:instrText>
      </w:r>
      <w:r w:rsidRPr="00C52D30">
        <w:fldChar w:fldCharType="separate"/>
      </w:r>
      <w:r w:rsidRPr="00C52D30">
        <w:tab/>
        <w:t>L. Lilensten, J.P. Couzinié, J. Bourgon, L. Perrière, G. Dirras, F. Prima, I. Guillot, Design and tensile properties of a bcc Ti-rich high-entropy alloy with transformation-induced plasticity, Mater. Res. Lett. (2017). doi:10.1080/21663831.2016.1221861.</w:t>
      </w:r>
    </w:p>
    <w:p w14:paraId="47641263" w14:textId="49F68099" w:rsidR="00C52D30" w:rsidRPr="00C52D30" w:rsidRDefault="00C52D30" w:rsidP="00E35996">
      <w:pPr>
        <w:widowControl w:val="0"/>
        <w:autoSpaceDE w:val="0"/>
        <w:autoSpaceDN w:val="0"/>
        <w:adjustRightInd w:val="0"/>
        <w:spacing w:before="60" w:after="0" w:line="360" w:lineRule="auto"/>
        <w:ind w:left="640" w:hanging="640"/>
      </w:pPr>
      <w:r w:rsidRPr="00C52D30">
        <w:t>[25]</w:t>
      </w:r>
      <w:r w:rsidRPr="00C52D30">
        <w:tab/>
        <w:t>H. Huang, Y. Wu, J. He, H. Wang, X. Liu, K. An, W. Wu, Z. Lu, Phase-Transformation Ductilization of Brittle High-Entropy Alloys via Metastability Engineering, Adv. Mater. (2017). doi:10.1002/adma.201701678.</w:t>
      </w:r>
    </w:p>
    <w:p w14:paraId="477B614E" w14:textId="70584287" w:rsidR="00C52D30" w:rsidRDefault="00C52D30" w:rsidP="00E35996">
      <w:pPr>
        <w:spacing w:before="60" w:after="0" w:line="360" w:lineRule="auto"/>
        <w:jc w:val="both"/>
      </w:pPr>
      <w:r w:rsidRPr="00C52D30">
        <w:fldChar w:fldCharType="end"/>
      </w:r>
    </w:p>
    <w:p w14:paraId="125B9848" w14:textId="67CC4B4F" w:rsidR="00606E92" w:rsidRDefault="00606E92" w:rsidP="00624970">
      <w:pPr>
        <w:spacing w:after="60" w:line="360" w:lineRule="auto"/>
        <w:jc w:val="both"/>
      </w:pPr>
    </w:p>
    <w:p w14:paraId="23720592" w14:textId="25F05744" w:rsidR="00606E92" w:rsidRDefault="00606E92" w:rsidP="00624970">
      <w:pPr>
        <w:spacing w:after="60" w:line="360" w:lineRule="auto"/>
        <w:jc w:val="both"/>
      </w:pPr>
    </w:p>
    <w:p w14:paraId="105083E7" w14:textId="24A8D53A" w:rsidR="00606E92" w:rsidRDefault="00606E92" w:rsidP="00624970">
      <w:pPr>
        <w:spacing w:after="60" w:line="360" w:lineRule="auto"/>
        <w:jc w:val="both"/>
      </w:pPr>
    </w:p>
    <w:p w14:paraId="7C08D5BA" w14:textId="31B5A73E" w:rsidR="00606E92" w:rsidRDefault="00606E92" w:rsidP="00624970">
      <w:pPr>
        <w:spacing w:after="60" w:line="360" w:lineRule="auto"/>
        <w:jc w:val="both"/>
      </w:pPr>
    </w:p>
    <w:p w14:paraId="20DDB9B6" w14:textId="358C9D9D" w:rsidR="00606E92" w:rsidRDefault="00606E92" w:rsidP="00624970">
      <w:pPr>
        <w:spacing w:after="60" w:line="360" w:lineRule="auto"/>
        <w:jc w:val="both"/>
      </w:pPr>
    </w:p>
    <w:p w14:paraId="6E875DF5" w14:textId="04B34E84" w:rsidR="00606E92" w:rsidRDefault="00606E92" w:rsidP="00624970">
      <w:pPr>
        <w:spacing w:after="60" w:line="360" w:lineRule="auto"/>
        <w:jc w:val="both"/>
      </w:pPr>
    </w:p>
    <w:p w14:paraId="6DD7C19E" w14:textId="249C10E7" w:rsidR="00606E92" w:rsidRDefault="00606E92" w:rsidP="00624970">
      <w:pPr>
        <w:spacing w:after="60" w:line="360" w:lineRule="auto"/>
        <w:jc w:val="both"/>
      </w:pPr>
    </w:p>
    <w:p w14:paraId="12412897" w14:textId="71C14663" w:rsidR="00606E92" w:rsidRDefault="00606E92" w:rsidP="00624970">
      <w:pPr>
        <w:spacing w:after="60" w:line="360" w:lineRule="auto"/>
        <w:jc w:val="both"/>
      </w:pPr>
    </w:p>
    <w:p w14:paraId="1EB634CF" w14:textId="4E0C0262" w:rsidR="00606E92" w:rsidRDefault="00606E92" w:rsidP="00624970">
      <w:pPr>
        <w:spacing w:after="60" w:line="360" w:lineRule="auto"/>
        <w:jc w:val="both"/>
      </w:pPr>
    </w:p>
    <w:p w14:paraId="3DC44025" w14:textId="2B859C45" w:rsidR="00606E92" w:rsidRDefault="00606E92" w:rsidP="00624970">
      <w:pPr>
        <w:spacing w:after="60" w:line="360" w:lineRule="auto"/>
        <w:jc w:val="both"/>
      </w:pPr>
    </w:p>
    <w:p w14:paraId="3FC8D902" w14:textId="0F761DDC" w:rsidR="00606E92" w:rsidRDefault="00606E92" w:rsidP="00624970">
      <w:pPr>
        <w:spacing w:after="60" w:line="360" w:lineRule="auto"/>
        <w:jc w:val="both"/>
      </w:pPr>
    </w:p>
    <w:p w14:paraId="4164464E" w14:textId="49B4414C" w:rsidR="00606E92" w:rsidRDefault="00606E92" w:rsidP="00624970">
      <w:pPr>
        <w:spacing w:after="60" w:line="360" w:lineRule="auto"/>
        <w:jc w:val="both"/>
      </w:pPr>
    </w:p>
    <w:p w14:paraId="2339ED2F" w14:textId="4A2216F5" w:rsidR="00606E92" w:rsidRDefault="00606E92" w:rsidP="00624970">
      <w:pPr>
        <w:spacing w:after="60" w:line="360" w:lineRule="auto"/>
        <w:jc w:val="both"/>
      </w:pPr>
    </w:p>
    <w:p w14:paraId="18D798BC" w14:textId="463F9493" w:rsidR="00606E92" w:rsidRDefault="00606E92" w:rsidP="00624970">
      <w:pPr>
        <w:spacing w:after="60" w:line="360" w:lineRule="auto"/>
        <w:jc w:val="both"/>
      </w:pPr>
    </w:p>
    <w:p w14:paraId="1033B01C" w14:textId="39E94D27" w:rsidR="00E35996" w:rsidRDefault="00E35996" w:rsidP="00624970">
      <w:pPr>
        <w:spacing w:after="60" w:line="360" w:lineRule="auto"/>
        <w:jc w:val="both"/>
      </w:pPr>
    </w:p>
    <w:p w14:paraId="4641B57F" w14:textId="6F29E06C" w:rsidR="00E35996" w:rsidRDefault="00E35996" w:rsidP="00624970">
      <w:pPr>
        <w:spacing w:after="60" w:line="360" w:lineRule="auto"/>
        <w:jc w:val="both"/>
      </w:pPr>
    </w:p>
    <w:p w14:paraId="349394AF" w14:textId="280522AA" w:rsidR="00E35996" w:rsidRDefault="00E35996" w:rsidP="00624970">
      <w:pPr>
        <w:spacing w:after="60" w:line="360" w:lineRule="auto"/>
        <w:jc w:val="both"/>
      </w:pPr>
    </w:p>
    <w:p w14:paraId="680F97A4" w14:textId="77777777" w:rsidR="00E35996" w:rsidRDefault="00E35996" w:rsidP="00624970">
      <w:pPr>
        <w:spacing w:after="60" w:line="360" w:lineRule="auto"/>
        <w:jc w:val="both"/>
      </w:pPr>
    </w:p>
    <w:p w14:paraId="239F9D6C" w14:textId="49900833" w:rsidR="00606E92" w:rsidRDefault="00606E92" w:rsidP="00624970">
      <w:pPr>
        <w:spacing w:after="60" w:line="360" w:lineRule="auto"/>
        <w:jc w:val="both"/>
      </w:pPr>
    </w:p>
    <w:p w14:paraId="6CCEF698" w14:textId="77777777" w:rsidR="00606E92" w:rsidRDefault="00606E92" w:rsidP="00624970">
      <w:pPr>
        <w:spacing w:after="60" w:line="360" w:lineRule="auto"/>
        <w:jc w:val="both"/>
      </w:pPr>
    </w:p>
    <w:p w14:paraId="7B32F3E9" w14:textId="77777777" w:rsidR="00624970" w:rsidRPr="005B2FB0" w:rsidRDefault="00624970" w:rsidP="00624970">
      <w:pPr>
        <w:pStyle w:val="1"/>
        <w:spacing w:before="0" w:after="120" w:line="360" w:lineRule="auto"/>
        <w:rPr>
          <w:rFonts w:asciiTheme="minorHAnsi" w:hAnsiTheme="minorHAnsi"/>
          <w:b/>
          <w:color w:val="auto"/>
        </w:rPr>
      </w:pPr>
      <w:bookmarkStart w:id="14" w:name="_Toc22052504"/>
      <w:r w:rsidRPr="00486290">
        <w:rPr>
          <w:rFonts w:asciiTheme="minorHAnsi" w:hAnsiTheme="minorHAnsi"/>
          <w:b/>
          <w:color w:val="auto"/>
        </w:rPr>
        <w:lastRenderedPageBreak/>
        <w:t>Chapter 2 Literature review</w:t>
      </w:r>
      <w:bookmarkEnd w:id="14"/>
    </w:p>
    <w:p w14:paraId="6CC42C3A" w14:textId="77777777" w:rsidR="00624970" w:rsidRPr="001E3029" w:rsidRDefault="00624970" w:rsidP="00624970">
      <w:pPr>
        <w:pStyle w:val="2"/>
        <w:spacing w:before="0" w:after="60" w:line="360" w:lineRule="auto"/>
        <w:rPr>
          <w:rFonts w:asciiTheme="minorHAnsi" w:hAnsiTheme="minorHAnsi"/>
          <w:b/>
          <w:color w:val="000000" w:themeColor="text1"/>
          <w:sz w:val="32"/>
          <w:szCs w:val="32"/>
        </w:rPr>
      </w:pPr>
      <w:bookmarkStart w:id="15" w:name="_Toc5618276"/>
      <w:bookmarkStart w:id="16" w:name="_Toc22052505"/>
      <w:r w:rsidRPr="001E3029">
        <w:rPr>
          <w:rFonts w:asciiTheme="minorHAnsi" w:hAnsiTheme="minorHAnsi"/>
          <w:b/>
          <w:noProof/>
          <w:color w:val="000000" w:themeColor="text1"/>
          <w:sz w:val="32"/>
          <w:szCs w:val="32"/>
        </w:rPr>
        <w:t>2.1 Background</w:t>
      </w:r>
      <w:bookmarkEnd w:id="15"/>
      <w:bookmarkEnd w:id="16"/>
      <w:r w:rsidRPr="001E3029">
        <w:rPr>
          <w:rFonts w:asciiTheme="minorHAnsi" w:hAnsiTheme="minorHAnsi"/>
          <w:b/>
          <w:color w:val="000000" w:themeColor="text1"/>
          <w:sz w:val="32"/>
          <w:szCs w:val="32"/>
        </w:rPr>
        <w:t xml:space="preserve"> </w:t>
      </w:r>
    </w:p>
    <w:p w14:paraId="3CE18D34" w14:textId="09E0BE35" w:rsidR="00624970" w:rsidRDefault="00624970" w:rsidP="00624970">
      <w:pPr>
        <w:spacing w:after="60" w:line="360" w:lineRule="auto"/>
        <w:jc w:val="both"/>
      </w:pPr>
      <w:bookmarkStart w:id="17" w:name="_Toc5618277"/>
      <w:r>
        <w:t>From the Stone Age</w:t>
      </w:r>
      <w:r w:rsidRPr="272A05A3">
        <w:t xml:space="preserve"> </w:t>
      </w:r>
      <w:r>
        <w:t>to the Iron Age,</w:t>
      </w:r>
      <w:r w:rsidRPr="272A05A3">
        <w:t xml:space="preserve"> </w:t>
      </w:r>
      <w:r>
        <w:t xml:space="preserve">it has been proven in many circumstances that discovery made in relation to the development and use of metallic materials has aided </w:t>
      </w:r>
      <w:r w:rsidR="002D5DF8">
        <w:t xml:space="preserve">the evolution of </w:t>
      </w:r>
      <w:r>
        <w:t>society. Research pursues the enhancement of the performance of metallic materials through various methods, these are</w:t>
      </w:r>
      <w:r w:rsidRPr="272A05A3">
        <w:t xml:space="preserve"> </w:t>
      </w:r>
      <w:r>
        <w:t>alloying, rolling, forging and heat-treatment. The design of the</w:t>
      </w:r>
      <w:r w:rsidR="002D5DF8">
        <w:t xml:space="preserve"> metallic materials</w:t>
      </w:r>
      <w:r>
        <w:t xml:space="preserve"> may be optimised by tailoring the additions of various metallic and non-metallic elements, in addition to processing the </w:t>
      </w:r>
      <w:r w:rsidR="002D5DF8">
        <w:t>alloy</w:t>
      </w:r>
      <w:r>
        <w:t xml:space="preserve"> under different conditions. These enhancements</w:t>
      </w:r>
      <w:r w:rsidRPr="272A05A3">
        <w:t xml:space="preserve"> </w:t>
      </w:r>
      <w:r>
        <w:t xml:space="preserve">have often led to the significant increase in the performance of metallic materials in recent decades. </w:t>
      </w:r>
      <w:r>
        <w:rPr>
          <w:noProof/>
        </w:rPr>
        <w:t>Presently</w:t>
      </w:r>
      <w:r w:rsidRPr="002D6373">
        <w:rPr>
          <w:noProof/>
        </w:rPr>
        <w:t xml:space="preserve">, through </w:t>
      </w:r>
      <w:r>
        <w:rPr>
          <w:noProof/>
        </w:rPr>
        <w:t>investigating the</w:t>
      </w:r>
      <w:r w:rsidRPr="002D6373">
        <w:rPr>
          <w:noProof/>
        </w:rPr>
        <w:t xml:space="preserve"> microstructure evolution and deformation mechanisms, researchers</w:t>
      </w:r>
      <w:r>
        <w:rPr>
          <w:noProof/>
        </w:rPr>
        <w:t xml:space="preserve"> have</w:t>
      </w:r>
      <w:r w:rsidRPr="002D6373">
        <w:rPr>
          <w:noProof/>
        </w:rPr>
        <w:t xml:space="preserve"> developed various strategies to design alloys </w:t>
      </w:r>
      <w:r>
        <w:rPr>
          <w:noProof/>
        </w:rPr>
        <w:t>that</w:t>
      </w:r>
      <w:r w:rsidRPr="002D6373">
        <w:rPr>
          <w:noProof/>
        </w:rPr>
        <w:t xml:space="preserve"> </w:t>
      </w:r>
      <w:r w:rsidR="00B870FF">
        <w:rPr>
          <w:noProof/>
        </w:rPr>
        <w:t xml:space="preserve">can </w:t>
      </w:r>
      <w:r w:rsidRPr="002D6373">
        <w:rPr>
          <w:noProof/>
        </w:rPr>
        <w:t>satisfy increasing</w:t>
      </w:r>
      <w:r>
        <w:rPr>
          <w:noProof/>
        </w:rPr>
        <w:t xml:space="preserve"> industrial </w:t>
      </w:r>
      <w:r w:rsidRPr="002D6373">
        <w:rPr>
          <w:noProof/>
        </w:rPr>
        <w:t xml:space="preserve">requirements. </w:t>
      </w:r>
      <w:r>
        <w:rPr>
          <w:noProof/>
        </w:rPr>
        <w:t xml:space="preserve">Examples of alloy usage in industries are: </w:t>
      </w:r>
      <w:r w:rsidRPr="002D6373">
        <w:rPr>
          <w:noProof/>
        </w:rPr>
        <w:t xml:space="preserve"> TRIP and TWIP steel for vehicles</w:t>
      </w:r>
      <w:r>
        <w:rPr>
          <w:noProof/>
        </w:rPr>
        <w:t>;</w:t>
      </w:r>
      <w:r w:rsidRPr="002D6373">
        <w:rPr>
          <w:noProof/>
        </w:rPr>
        <w:t xml:space="preserve"> reversible shape memory Ni-Ti alloys in aerospace</w:t>
      </w:r>
      <w:r>
        <w:rPr>
          <w:noProof/>
        </w:rPr>
        <w:t xml:space="preserve"> and</w:t>
      </w:r>
      <w:r w:rsidRPr="002D6373">
        <w:rPr>
          <w:noProof/>
        </w:rPr>
        <w:t xml:space="preserve"> medic</w:t>
      </w:r>
      <w:r>
        <w:rPr>
          <w:noProof/>
        </w:rPr>
        <w:t>ine;</w:t>
      </w:r>
      <w:r w:rsidRPr="002D6373">
        <w:rPr>
          <w:noProof/>
        </w:rPr>
        <w:t xml:space="preserve"> precipitation reinforced Ni</w:t>
      </w:r>
      <w:r>
        <w:rPr>
          <w:noProof/>
        </w:rPr>
        <w:t xml:space="preserve">- and </w:t>
      </w:r>
      <w:r w:rsidRPr="002D6373">
        <w:rPr>
          <w:noProof/>
        </w:rPr>
        <w:t xml:space="preserve">Co-based superalloys for </w:t>
      </w:r>
      <w:r w:rsidRPr="008C71F2">
        <w:rPr>
          <w:noProof/>
        </w:rPr>
        <w:t>turbine</w:t>
      </w:r>
      <w:r>
        <w:rPr>
          <w:noProof/>
        </w:rPr>
        <w:t xml:space="preserve">s; </w:t>
      </w:r>
      <w:r w:rsidRPr="002D6373">
        <w:rPr>
          <w:noProof/>
        </w:rPr>
        <w:t>amorphous Fe bulk metallic glass for voltage transformer</w:t>
      </w:r>
      <w:r>
        <w:rPr>
          <w:noProof/>
        </w:rPr>
        <w:t>s</w:t>
      </w:r>
      <w:r w:rsidRPr="009C5F0F">
        <w:rPr>
          <w:iCs/>
        </w:rPr>
        <w:t xml:space="preserve">. </w:t>
      </w:r>
      <w:r>
        <w:t xml:space="preserve">On the other hand, the rate of development of new </w:t>
      </w:r>
      <w:r w:rsidRPr="0075111B">
        <w:rPr>
          <w:noProof/>
        </w:rPr>
        <w:t>high</w:t>
      </w:r>
      <w:r>
        <w:rPr>
          <w:noProof/>
        </w:rPr>
        <w:t>-</w:t>
      </w:r>
      <w:r w:rsidRPr="0075111B">
        <w:rPr>
          <w:noProof/>
        </w:rPr>
        <w:t>performance</w:t>
      </w:r>
      <w:r>
        <w:t xml:space="preserve"> alloy systems </w:t>
      </w:r>
      <w:r w:rsidRPr="0075111B">
        <w:rPr>
          <w:noProof/>
        </w:rPr>
        <w:t>ha</w:t>
      </w:r>
      <w:r>
        <w:rPr>
          <w:noProof/>
        </w:rPr>
        <w:t>s</w:t>
      </w:r>
      <w:r>
        <w:t xml:space="preserve"> slowed. It appears as though traditional alloy design strategies ha</w:t>
      </w:r>
      <w:r w:rsidR="00E5609A">
        <w:t>ve</w:t>
      </w:r>
      <w:r>
        <w:t xml:space="preserve"> reached </w:t>
      </w:r>
      <w:r w:rsidR="00E5609A">
        <w:t>this</w:t>
      </w:r>
      <w:r>
        <w:t xml:space="preserve"> limit</w:t>
      </w:r>
      <w:r w:rsidR="00E5609A">
        <w:t>s</w:t>
      </w:r>
      <w:r>
        <w:t xml:space="preserve">. </w:t>
      </w:r>
      <w:r w:rsidRPr="00333B27">
        <w:t>A new design strategy is required to assist researchers in developing new alloys for the future</w:t>
      </w:r>
      <w:r>
        <w:t>. These alloys could utilise</w:t>
      </w:r>
      <w:r w:rsidRPr="00333B27">
        <w:t xml:space="preserve"> the best aspects of the traditional system</w:t>
      </w:r>
      <w:r>
        <w:t>s, in addition to the incorporation of</w:t>
      </w:r>
      <w:r w:rsidRPr="00333B27">
        <w:t xml:space="preserve"> recent progress in understanding deformation mechanisms in advanced alloy systems.</w:t>
      </w:r>
    </w:p>
    <w:p w14:paraId="33F2DF87" w14:textId="30AD089F" w:rsidR="00624970" w:rsidRDefault="00624970" w:rsidP="00624970">
      <w:pPr>
        <w:spacing w:after="60" w:line="360" w:lineRule="auto"/>
        <w:jc w:val="both"/>
      </w:pPr>
      <w:r>
        <w:rPr>
          <w:rFonts w:hint="eastAsia"/>
        </w:rPr>
        <w:t>T</w:t>
      </w:r>
      <w:r>
        <w:t>raditional design strategies for structural alloys</w:t>
      </w:r>
      <w:r w:rsidRPr="002D6373">
        <w:rPr>
          <w:noProof/>
        </w:rPr>
        <w:t xml:space="preserve"> </w:t>
      </w:r>
      <w:r>
        <w:rPr>
          <w:noProof/>
        </w:rPr>
        <w:t>generally has</w:t>
      </w:r>
      <w:r w:rsidRPr="002D6373">
        <w:rPr>
          <w:noProof/>
        </w:rPr>
        <w:t xml:space="preserve"> focus</w:t>
      </w:r>
      <w:r>
        <w:rPr>
          <w:noProof/>
        </w:rPr>
        <w:t>ed</w:t>
      </w:r>
      <w:r>
        <w:t xml:space="preserve"> on one principal component system (possessing &gt;50% elemental content) with additions of </w:t>
      </w:r>
      <w:r w:rsidRPr="002D6373">
        <w:rPr>
          <w:noProof/>
        </w:rPr>
        <w:t>minor</w:t>
      </w:r>
      <w:r>
        <w:t xml:space="preserve"> metallic or non-metallic elements. Typical examples are the numerous </w:t>
      </w:r>
      <w:r w:rsidRPr="002D6373">
        <w:rPr>
          <w:noProof/>
        </w:rPr>
        <w:t>variet</w:t>
      </w:r>
      <w:r>
        <w:rPr>
          <w:noProof/>
        </w:rPr>
        <w:t>ies</w:t>
      </w:r>
      <w:r>
        <w:t xml:space="preserve"> of steels and superalloys. </w:t>
      </w:r>
      <w:r w:rsidR="00E5609A">
        <w:t>T</w:t>
      </w:r>
      <w:r>
        <w:t>he main constituent of</w:t>
      </w:r>
      <w:r w:rsidR="00E5609A">
        <w:t xml:space="preserve"> steel is </w:t>
      </w:r>
      <w:r>
        <w:t xml:space="preserve">Fe, whilst superalloys possess Co, Ni, or Fe as principal constituents. In contrast, Cantor and Yeh proposed the </w:t>
      </w:r>
      <w:r w:rsidRPr="00993DA1">
        <w:rPr>
          <w:noProof/>
        </w:rPr>
        <w:t>concept</w:t>
      </w:r>
      <w:r>
        <w:t xml:space="preserve"> of </w:t>
      </w:r>
      <w:r w:rsidRPr="00F702B4">
        <w:rPr>
          <w:noProof/>
        </w:rPr>
        <w:t>multi-component</w:t>
      </w:r>
      <w:r>
        <w:t xml:space="preserve"> alloy systems known as HEAs</w:t>
      </w:r>
      <w:r>
        <w:fldChar w:fldCharType="begin" w:fldLock="1"/>
      </w:r>
      <w:r>
        <w:instrText>ADDIN CSL_CITATION {"citationItems":[{"id":"ITEM-1","itemData":{"DOI":"10.1016/j.msea.2003.10.257","ISBN":"0921-5093","ISSN":"09215093","PMID":"27081990","abstract":"Multicomponent alloys containing several components in equal atomic proportions have been manufactured by casting and melt spinning, and their microstructures and properties have been investigated by a combination of optical microscopy, scanning electron microscopy, electron probe microanalysis, X-ray diffractrometry and microhardness measurements. Alloys containing 16 and 20 components in equal proportions are multiphase, crystalline and brittle both as-cast and after melt spinning. A five component Fe20Cr20Mn20Ni20Co20alloy forms a single fcc solid solution which solidifies dendritically. A wide range of other six to nine component late transition metal rich multicomponent alloys exhibit the same majority fcc primary dendritic phase, which can dissolve substantial amounts of other transition metals such as Nb, Ti and V. More electronegative elements such as Cu and Ge are less stable in the fcc dendrites and are rejected into the interdendritic regions. The total number of phases is always well below the maximum equilibrium number allowed by the Gibbs phase rule, and even further below the maximum number allowed under non-equilibrium solidification conditions. Glassy structures are not formed by casting or melt spinning of late transition metal rich multicomponent alloys, indicating that the confusion principle does not apply, and other factors are more important in promoting glass formation. © 2003 Elsevier B.V.","author":[{"dropping-particle":"","family":"Cantor","given":"B.","non-dropping-particle":"","parse-names":false,"suffix":""},{"dropping-particle":"","family":"Chang","given":"I. T.H.","non-dropping-particle":"","parse-names":false,"suffix":""},{"dropping-particle":"","family":"Knight","given":"P.","non-dropping-particle":"","parse-names":false,"suffix":""},{"dropping-particle":"","family":"Vincent","given":"A. J.B.","non-dropping-particle":"","parse-names":false,"suffix":""}],"container-title":"Materials Science and Engineering A","id":"ITEM-1","issued":{"date-parts":[["2004"]]},"title":"Microstructural development in equiatomic multicomponent alloys","type":"article-journal"},"uris":["http://www.mendeley.com/documents/?uuid=4dbdd59f-2010-4dec-98e7-1e5e9b076f39"]},{"id":"ITEM-2","itemData":{"DOI":"10.1002/adem.200300567","ISBN":"1438-1656","ISSN":"14381656","PMID":"19533682","abstract":"A new approach for the design of alloys is presented in this study. These high-entropy alloys with multi-principal elements were synthesized using well-developed processing technologies. Preliminary results demonstrate examples of the alloys with simple crystal structures, nanostructures, and promising mechanical properties. This approach may be opening a new era in materials science and engineering.","author":[{"dropping-particle":"","family":"Yeh","given":"Jien Wei","non-dropping-particle":"","parse-names":false,"suffix":""},{"dropping-particle":"","family":"Chen","given":"Swe Kai","non-dropping-particle":"","parse-names":false,"suffix":""},{"dropping-particle":"","family":"Lin","given":"Su Jien","non-dropping-particle":"","parse-names":false,"suffix":""},{"dropping-particle":"","family":"Gan","given":"Jon Yiew","non-dropping-particle":"","parse-names":false,"suffix":""},{"dropping-particle":"","family":"Chin","given":"Tsung Shune","non-dropping-particle":"","parse-names":false,"suffix":""},{"dropping-particle":"","family":"Shun","given":"Tao Tsung","non-dropping-particle":"","parse-names":false,"suffix":""},{"dropping-particle":"","family":"Tsau","given":"Chun Huei","non-dropping-particle":"","parse-names":false,"suffix":""},{"dropping-particle":"","family":"Chang","given":"Shou Yi","non-dropping-particle":"","parse-names":false,"suffix":""}],"container-title":"Advanced Engineering Materials","id":"ITEM-2","issued":{"date-parts":[["2004"]]},"title":"Nanostructured high-entropy alloys with multiple principal elements: Novel alloy design concepts and outcomes","type":"article-journal"},"uris":["http://www.mendeley.com/documents/?uuid=95ec2835-a6b3-41ef-800e-1e75ca6fa903"]}],"mendeley":{"formattedCitation":"[1,2]","plainTextFormattedCitation":"[1,2]","previouslyFormattedCitation":"[1,2]"},"properties":{"noteIndex":0},"schema":"https://github.com/citation-style-language/schema/raw/master/csl-citation.json"}</w:instrText>
      </w:r>
      <w:r>
        <w:fldChar w:fldCharType="separate"/>
      </w:r>
      <w:r w:rsidRPr="000640A4">
        <w:rPr>
          <w:noProof/>
        </w:rPr>
        <w:t>[1,2]</w:t>
      </w:r>
      <w:r>
        <w:fldChar w:fldCharType="end"/>
      </w:r>
      <w:r>
        <w:t xml:space="preserve">, by considering the limits of the traditional alloy design strategy from </w:t>
      </w:r>
      <w:r>
        <w:rPr>
          <w:noProof/>
        </w:rPr>
        <w:t>the use of the</w:t>
      </w:r>
      <w:r>
        <w:t xml:space="preserve"> </w:t>
      </w:r>
      <w:r>
        <w:rPr>
          <w:noProof/>
        </w:rPr>
        <w:t>H</w:t>
      </w:r>
      <w:r w:rsidRPr="0067418D">
        <w:rPr>
          <w:noProof/>
        </w:rPr>
        <w:t>ume</w:t>
      </w:r>
      <w:r>
        <w:t>-</w:t>
      </w:r>
      <w:r>
        <w:rPr>
          <w:noProof/>
        </w:rPr>
        <w:t>R</w:t>
      </w:r>
      <w:r w:rsidRPr="00F702B4">
        <w:rPr>
          <w:noProof/>
        </w:rPr>
        <w:t>othery</w:t>
      </w:r>
      <w:r>
        <w:t xml:space="preserve"> rule. Through the introduction of multi-principal components (5~35 at.%), </w:t>
      </w:r>
      <w:r>
        <w:rPr>
          <w:noProof/>
        </w:rPr>
        <w:t>this</w:t>
      </w:r>
      <w:r w:rsidRPr="00F702B4">
        <w:rPr>
          <w:noProof/>
        </w:rPr>
        <w:t xml:space="preserve"> new</w:t>
      </w:r>
      <w:r>
        <w:t xml:space="preserve"> alloy system tended to form </w:t>
      </w:r>
      <w:r w:rsidRPr="00993DA1">
        <w:rPr>
          <w:noProof/>
        </w:rPr>
        <w:t>simple</w:t>
      </w:r>
      <w:r>
        <w:t xml:space="preserve"> solid solution phases, due to the maximisation of mixing entropy. The high configurational entropy effect prevents the formation of brittle intermetallic phases, which are then replaced by ductile solid solution phases. This results in effectively making the designed alloy system more ductile. </w:t>
      </w:r>
    </w:p>
    <w:p w14:paraId="07761D81" w14:textId="5841EFB6" w:rsidR="00624970" w:rsidRDefault="00624970" w:rsidP="00624970">
      <w:pPr>
        <w:spacing w:after="60" w:line="360" w:lineRule="auto"/>
        <w:jc w:val="both"/>
      </w:pPr>
      <w:r>
        <w:t xml:space="preserve">However, the fundamentals of </w:t>
      </w:r>
      <w:r w:rsidRPr="00993DA1">
        <w:rPr>
          <w:noProof/>
        </w:rPr>
        <w:t>simple</w:t>
      </w:r>
      <w:r>
        <w:t xml:space="preserve"> phase formation rules in HEAs, </w:t>
      </w:r>
      <w:r w:rsidRPr="00480032">
        <w:rPr>
          <w:noProof/>
        </w:rPr>
        <w:t>ha</w:t>
      </w:r>
      <w:r>
        <w:rPr>
          <w:noProof/>
        </w:rPr>
        <w:t>ve</w:t>
      </w:r>
      <w:r>
        <w:t xml:space="preserve"> not yet </w:t>
      </w:r>
      <w:r w:rsidRPr="00993DA1">
        <w:rPr>
          <w:noProof/>
        </w:rPr>
        <w:t xml:space="preserve">been thoroughly </w:t>
      </w:r>
      <w:r>
        <w:rPr>
          <w:noProof/>
        </w:rPr>
        <w:t>researched</w:t>
      </w:r>
      <w:r>
        <w:t xml:space="preserve">. There are still </w:t>
      </w:r>
      <w:r>
        <w:rPr>
          <w:noProof/>
        </w:rPr>
        <w:t>d</w:t>
      </w:r>
      <w:r w:rsidRPr="00700181">
        <w:rPr>
          <w:noProof/>
        </w:rPr>
        <w:t>isagr</w:t>
      </w:r>
      <w:r>
        <w:rPr>
          <w:noProof/>
        </w:rPr>
        <w:t>e</w:t>
      </w:r>
      <w:r w:rsidRPr="00700181">
        <w:rPr>
          <w:noProof/>
        </w:rPr>
        <w:t>ements</w:t>
      </w:r>
      <w:r>
        <w:t xml:space="preserve"> regarding how much influence the mixing entropy has on the </w:t>
      </w:r>
      <w:r>
        <w:lastRenderedPageBreak/>
        <w:t>solid solution phase formation tendency. According to recent</w:t>
      </w:r>
      <w:r w:rsidRPr="00320D8E">
        <w:t xml:space="preserve"> </w:t>
      </w:r>
      <w:r>
        <w:t>research on the well-known CoCrFeNi and CoCrFeNiMn</w:t>
      </w:r>
      <w:r w:rsidRPr="00320D8E">
        <w:rPr>
          <w:noProof/>
        </w:rPr>
        <w:t xml:space="preserve"> </w:t>
      </w:r>
      <w:r w:rsidRPr="00700181">
        <w:rPr>
          <w:noProof/>
        </w:rPr>
        <w:t>equ</w:t>
      </w:r>
      <w:r>
        <w:rPr>
          <w:noProof/>
        </w:rPr>
        <w:t>im</w:t>
      </w:r>
      <w:r>
        <w:t xml:space="preserve">olar HEA systems, instead of a single FCC disordered solid solution </w:t>
      </w:r>
      <w:r w:rsidRPr="00700181">
        <w:rPr>
          <w:noProof/>
        </w:rPr>
        <w:t>phase</w:t>
      </w:r>
      <w:r>
        <w:rPr>
          <w:noProof/>
        </w:rPr>
        <w:t>,</w:t>
      </w:r>
      <w:r>
        <w:t xml:space="preserve"> the phase composition of </w:t>
      </w:r>
      <w:r w:rsidRPr="00700181">
        <w:rPr>
          <w:noProof/>
        </w:rPr>
        <w:t>th</w:t>
      </w:r>
      <w:r>
        <w:rPr>
          <w:noProof/>
        </w:rPr>
        <w:t>ese</w:t>
      </w:r>
      <w:r>
        <w:t xml:space="preserve"> alloys was identified as comprising multiple FCC phases possessing close lattice parameters</w:t>
      </w:r>
      <w:r>
        <w:fldChar w:fldCharType="begin" w:fldLock="1"/>
      </w:r>
      <w:r>
        <w:instrText>ADDIN CSL_CITATION {"citationItems":[{"id":"ITEM-1","itemData":{"DOI":"10.12693/APhysPolA.128.552","ISSN":"1898794X","abstract":"The understanding of the structure and the stability of high entropy alloys is still incomplete and the mecha-nisms behind the composition-property relationships are unclear. One reason is that few systematic and accurate determinations of their composition-dependent structure on atomic level have been made. In this paper some results on the structure obtained by X-ray and neutron diraction of the CoCrFeNi alloy, to which Pd, Sn and Cu have been added in dierent amounts, are reported. The investigations make it obvious that none of the alloys is completely homogeneous, as has earlier been suggested, and that they do not form a perfect solid solution.","author":[{"dropping-particle":"","family":"Dahlborg","given":"U.","non-dropping-particle":"","parse-names":false,"suffix":""},{"dropping-particle":"","family":"Cornide","given":"J.","non-dropping-particle":"","parse-names":false,"suffix":""},{"dropping-particle":"","family":"Calvo-Dahlborg","given":"M.","non-dropping-particle":"","parse-names":false,"suffix":""},{"dropping-particle":"","family":"Hansen","given":"T. C.","non-dropping-particle":"","parse-names":false,"suffix":""},{"dropping-particle":"","family":"Leong","given":"Z.","non-dropping-particle":"","parse-names":false,"suffix":""},{"dropping-particle":"","family":"Asensio Dominguez","given":"L.","non-dropping-particle":"","parse-names":false,"suffix":""},{"dropping-particle":"","family":"Chambreland","given":"S.","non-dropping-particle":"","parse-names":false,"suffix":""},{"dropping-particle":"","family":"Cunliffe","given":"A.","non-dropping-particle":"","parse-names":false,"suffix":""},{"dropping-particle":"","family":"Goodall","given":"R.","non-dropping-particle":"","parse-names":false,"suffix":""},{"dropping-particle":"","family":"Todd","given":"I.","non-dropping-particle":"","parse-names":false,"suffix":""}],"container-title":"Acta Physica Polonica A","id":"ITEM-1","issued":{"date-parts":[["2015"]]},"title":"Crystalline structures of some high entropy alloys obtained by neutron and X-ray diffraction","type":"paper-conference"},"uris":["http://www.mendeley.com/documents/?uuid=6eafc6d1-ff50-4bd6-823a-5d34a18e1dd6"]}],"mendeley":{"formattedCitation":"[3]","plainTextFormattedCitation":"[3]","previouslyFormattedCitation":"[3]"},"properties":{"noteIndex":0},"schema":"https://github.com/citation-style-language/schema/raw/master/csl-citation.json"}</w:instrText>
      </w:r>
      <w:r>
        <w:fldChar w:fldCharType="separate"/>
      </w:r>
      <w:r w:rsidRPr="000640A4">
        <w:rPr>
          <w:noProof/>
        </w:rPr>
        <w:t>[3]</w:t>
      </w:r>
      <w:r>
        <w:fldChar w:fldCharType="end"/>
      </w:r>
      <w:r>
        <w:t xml:space="preserve">. </w:t>
      </w:r>
      <w:r w:rsidR="00FB056D">
        <w:t xml:space="preserve">Previously </w:t>
      </w:r>
      <w:r>
        <w:t xml:space="preserve">regarded as one of the most stable HEA compositions, </w:t>
      </w:r>
      <w:r w:rsidR="00FB056D">
        <w:t>CoCrFeNiMn</w:t>
      </w:r>
      <w:r>
        <w:rPr>
          <w:noProof/>
        </w:rPr>
        <w:t xml:space="preserve"> was</w:t>
      </w:r>
      <w:r w:rsidRPr="0067418D">
        <w:rPr>
          <w:noProof/>
        </w:rPr>
        <w:t xml:space="preserve"> predicted</w:t>
      </w:r>
      <w:r>
        <w:t xml:space="preserve"> to remain </w:t>
      </w:r>
      <w:r w:rsidRPr="00480032">
        <w:rPr>
          <w:noProof/>
        </w:rPr>
        <w:t>structur</w:t>
      </w:r>
      <w:r>
        <w:rPr>
          <w:noProof/>
        </w:rPr>
        <w:t>ally</w:t>
      </w:r>
      <w:r>
        <w:t xml:space="preserve"> stable under </w:t>
      </w:r>
      <w:r w:rsidRPr="00480032">
        <w:rPr>
          <w:noProof/>
        </w:rPr>
        <w:t>high</w:t>
      </w:r>
      <w:r>
        <w:rPr>
          <w:noProof/>
        </w:rPr>
        <w:t>-</w:t>
      </w:r>
      <w:r w:rsidRPr="00480032">
        <w:rPr>
          <w:noProof/>
        </w:rPr>
        <w:t>temperature</w:t>
      </w:r>
      <w:r>
        <w:t xml:space="preserve"> conditions</w:t>
      </w:r>
      <w:r>
        <w:fldChar w:fldCharType="begin" w:fldLock="1"/>
      </w:r>
      <w:r>
        <w:instrText>ADDIN CSL_CITATION {"citationItems":[{"id":"ITEM-1","itemData":{"DOI":"10.1016/j.msea.2003.10.257","ISBN":"0921-5093","ISSN":"09215093","PMID":"27081990","abstract":"Multicomponent alloys containing several components in equal atomic proportions have been manufactured by casting and melt spinning, and their microstructures and properties have been investigated by a combination of optical microscopy, scanning electron microscopy, electron probe microanalysis, X-ray diffractrometry and microhardness measurements. Alloys containing 16 and 20 components in equal proportions are multiphase, crystalline and brittle both as-cast and after melt spinning. A five component Fe20Cr20Mn20Ni20Co20alloy forms a single fcc solid solution which solidifies dendritically. A wide range of other six to nine component late transition metal rich multicomponent alloys exhibit the same majority fcc primary dendritic phase, which can dissolve substantial amounts of other transition metals such as Nb, Ti and V. More electronegative elements such as Cu and Ge are less stable in the fcc dendrites and are rejected into the interdendritic regions. The total number of phases is always well below the maximum equilibrium number allowed by the Gibbs phase rule, and even further below the maximum number allowed under non-equilibrium solidification conditions. Glassy structures are not formed by casting or melt spinning of late transition metal rich multicomponent alloys, indicating that the confusion principle does not apply, and other factors are more important in promoting glass formation. © 2003 Elsevier B.V.","author":[{"dropping-particle":"","family":"Cantor","given":"B.","non-dropping-particle":"","parse-names":false,"suffix":""},{"dropping-particle":"","family":"Chang","given":"I. T.H.","non-dropping-particle":"","parse-names":false,"suffix":""},{"dropping-particle":"","family":"Knight","given":"P.","non-dropping-particle":"","parse-names":false,"suffix":""},{"dropping-particle":"","family":"Vincent","given":"A. J.B.","non-dropping-particle":"","parse-names":false,"suffix":""}],"container-title":"Materials Science and Engineering A","id":"ITEM-1","issued":{"date-parts":[["2004"]]},"title":"Microstructural development in equiatomic multicomponent alloys","type":"article-journal"},"uris":["http://www.mendeley.com/documents/?uuid=4dbdd59f-2010-4dec-98e7-1e5e9b076f39"]}],"mendeley":{"formattedCitation":"[1]","plainTextFormattedCitation":"[1]","previouslyFormattedCitation":"[1]"},"properties":{"noteIndex":0},"schema":"https://github.com/citation-style-language/schema/raw/master/csl-citation.json"}</w:instrText>
      </w:r>
      <w:r>
        <w:fldChar w:fldCharType="separate"/>
      </w:r>
      <w:r w:rsidRPr="003B39BC">
        <w:rPr>
          <w:noProof/>
        </w:rPr>
        <w:t>[1]</w:t>
      </w:r>
      <w:r>
        <w:fldChar w:fldCharType="end"/>
      </w:r>
      <w:r>
        <w:rPr>
          <w:rFonts w:hint="eastAsia"/>
        </w:rPr>
        <w:t>.</w:t>
      </w:r>
      <w:r>
        <w:t xml:space="preserve"> </w:t>
      </w:r>
      <w:r>
        <w:rPr>
          <w:rFonts w:hint="eastAsia"/>
        </w:rPr>
        <w:t>I</w:t>
      </w:r>
      <w:r>
        <w:t xml:space="preserve">n fact, after a long heat-treatment, new complex phases were observed to have precipitated </w:t>
      </w:r>
      <w:r w:rsidR="00FB056D">
        <w:t>next to</w:t>
      </w:r>
      <w:r>
        <w:t xml:space="preserve"> its </w:t>
      </w:r>
      <w:r w:rsidRPr="000F301B">
        <w:rPr>
          <w:noProof/>
        </w:rPr>
        <w:t>grain</w:t>
      </w:r>
      <w:r>
        <w:t xml:space="preserve"> boundaries</w:t>
      </w:r>
      <w:r>
        <w:fldChar w:fldCharType="begin" w:fldLock="1"/>
      </w:r>
      <w:r>
        <w:instrText>ADDIN CSL_CITATION {"citationItems":[{"id":"ITEM-1","itemData":{"DOI":"10.1016/j.scriptamat.2015.10.025","ISBN":"1359-6462","ISSN":"13596462","PMID":"29794680","abstract":"CrMnFeCoNi is widely considered to be an exemplar high-entropy alloy, which is stable as a single solid-solution phase at all temperatures below its melting point. Here, for the first time, the formation of two distinct types of Cr-rich precipitate in coarse-grained CrMnFeCoNi is reported following prolonged exposures at 700 °C. The precipitates were identified as M23C6and the σ phase, and their formation in unworked material during heat treatments without an applied stress indicated that they are equilibrium phases. Therefore, CrMnFeCoNi can no longer be regarded as thermodynamically stable as a single phase at all temperatures below its solidus.","author":[{"dropping-particle":"","family":"Pickering","given":"E. J.","non-dropping-particle":"","parse-names":false,"suffix":""},{"dropping-particle":"","family":"Muñoz-Moreno","given":"R.","non-dropping-particle":"","parse-names":false,"suffix":""},{"dropping-particle":"","family":"Stone","given":"H. J.","non-dropping-particle":"","parse-names":false,"suffix":""},{"dropping-particle":"","family":"Jones","given":"N. G.","non-dropping-particle":"","parse-names":false,"suffix":""}],"container-title":"Scripta Materialia","id":"ITEM-1","issued":{"date-parts":[["2016"]]},"title":"Precipitation in the equiatomic high-entropy alloy CrMnFeCoNi","type":"article-journal"},"uris":["http://www.mendeley.com/documents/?uuid=f67b666b-21a7-4e68-90b9-6033f1194dfd"]}],"mendeley":{"formattedCitation":"[4]","plainTextFormattedCitation":"[4]","previouslyFormattedCitation":"[4]"},"properties":{"noteIndex":0},"schema":"https://github.com/citation-style-language/schema/raw/master/csl-citation.json"}</w:instrText>
      </w:r>
      <w:r>
        <w:fldChar w:fldCharType="separate"/>
      </w:r>
      <w:r w:rsidRPr="003B39BC">
        <w:rPr>
          <w:noProof/>
        </w:rPr>
        <w:t>[4]</w:t>
      </w:r>
      <w:r>
        <w:fldChar w:fldCharType="end"/>
      </w:r>
      <w:r>
        <w:t xml:space="preserve">. Similarly, even in the </w:t>
      </w:r>
      <w:r w:rsidRPr="008C71F2">
        <w:rPr>
          <w:noProof/>
        </w:rPr>
        <w:t>completely</w:t>
      </w:r>
      <w:r>
        <w:t xml:space="preserve"> miscible TiZrNbTa HEAs system, multiple </w:t>
      </w:r>
      <w:r w:rsidRPr="00993DA1">
        <w:rPr>
          <w:noProof/>
        </w:rPr>
        <w:t>simple</w:t>
      </w:r>
      <w:r>
        <w:t xml:space="preserve"> BCC phases were observed after homogenisation</w:t>
      </w:r>
      <w:r>
        <w:fldChar w:fldCharType="begin" w:fldLock="1"/>
      </w:r>
      <w:r>
        <w:instrText>ADDIN CSL_CITATION {"citationItems":[{"id":"ITEM-1","itemData":{"DOI":"10.1016/j.intermet.2018.01.017","ISSN":"09669795","PMID":"20223479","abstract":"In this work, the evolution of microstructure and fundamental mechanical properties with Mo concentratio</w:instrText>
      </w:r>
      <w:r>
        <w:rPr>
          <w:rFonts w:hint="eastAsia"/>
        </w:rPr>
        <w:instrText xml:space="preserve">n in the arc-melted (TiZrNbTa)100-xMox (0 </w:instrText>
      </w:r>
      <w:r>
        <w:rPr>
          <w:rFonts w:hint="eastAsia"/>
        </w:rPr>
        <w:instrText>≤</w:instrText>
      </w:r>
      <w:r>
        <w:rPr>
          <w:rFonts w:hint="eastAsia"/>
        </w:rPr>
        <w:instrText xml:space="preserve"> x </w:instrText>
      </w:r>
      <w:r>
        <w:rPr>
          <w:rFonts w:hint="eastAsia"/>
        </w:rPr>
        <w:instrText>≤</w:instrText>
      </w:r>
      <w:r>
        <w:rPr>
          <w:rFonts w:hint="eastAsia"/>
        </w:rPr>
        <w:instrText xml:space="preserve"> 20) high-entropy alloys (HEAs) are investigated. The arc-melted (TiZrNbTa)100-xMox alloys structurally consist of two bcc phases. The change in volume fractions of two phases in the microstructure is insigni</w:instrText>
      </w:r>
      <w:r>
        <w:instrText xml:space="preserve">ficant with Mo concentration, at levels of </w:instrText>
      </w:r>
      <w:r>
        <w:rPr>
          <w:rFonts w:ascii="Cambria Math" w:hAnsi="Cambria Math" w:cs="Cambria Math"/>
        </w:rPr>
        <w:instrText>∼</w:instrText>
      </w:r>
      <w:r>
        <w:instrText xml:space="preserve">75% for bcc1 and </w:instrText>
      </w:r>
      <w:r>
        <w:rPr>
          <w:rFonts w:ascii="Cambria Math" w:hAnsi="Cambria Math" w:cs="Cambria Math"/>
        </w:rPr>
        <w:instrText>∼</w:instrText>
      </w:r>
      <w:r>
        <w:instrText>25% for bcc2. The increases in microhardness and Young's modulus of the alloys linearly scale with Mo concentration. To compromise the strength and ductility, the (TiZrNbTa)90Mo10 exhibits an o</w:instrText>
      </w:r>
      <w:r>
        <w:rPr>
          <w:rFonts w:hint="eastAsia"/>
        </w:rPr>
        <w:instrText>ptimal combination of stiffness (E = 137 GPa), compressive yield strength (</w:instrText>
      </w:r>
      <w:r>
        <w:rPr>
          <w:rFonts w:hint="eastAsia"/>
        </w:rPr>
        <w:instrText>σ</w:instrText>
      </w:r>
      <w:r>
        <w:rPr>
          <w:rFonts w:hint="eastAsia"/>
        </w:rPr>
        <w:instrText>y = 1370 MPa) and deformability (</w:instrText>
      </w:r>
      <w:r>
        <w:rPr>
          <w:rFonts w:hint="eastAsia"/>
        </w:rPr>
        <w:instrText>ε</w:instrText>
      </w:r>
      <w:r>
        <w:rPr>
          <w:rFonts w:hint="eastAsia"/>
        </w:rPr>
        <w:instrText xml:space="preserve">p </w:instrText>
      </w:r>
      <w:r>
        <w:rPr>
          <w:rFonts w:hint="eastAsia"/>
        </w:rPr>
        <w:instrText>≈</w:instrText>
      </w:r>
      <w:r>
        <w:rPr>
          <w:rFonts w:hint="eastAsia"/>
        </w:rPr>
        <w:instrText xml:space="preserve"> 25%). In addition, it is indicated that dislocation widths in bcc lattice of refractory HEAs are insensitive to the alloying complexity, refl</w:instrText>
      </w:r>
      <w:r>
        <w:instrText>ecting that the Peierls barrier is excluded as a predominant factor of strengthening. Furthermore, a simple model is proposed to reveal the solid solution hardening (SSH) in bcc refractory HEAs, in which the solid solutions are treated as an imposition of distortion-free and distorted lattices. By applying this model to archived refractory HEAs, the predicted yield strength agrees well with experimentally measured values. It provides a simple empirical tool used for predicting the strength of bcc refractory HEAs and to assist new alloy design.","author":[{"dropping-particle":"","family":"Wang","given":"Shao Ping","non-dropping-particle":"","parse-names":false,"suffix":""},{"dropping-particle":"","family":"Xu","given":"Jian","non-dropping-particle":"","parse-names":false,"suffix":""}],"container-title":"Intermetallics","id":"ITEM-1","issued":{"date-parts":[["2018"]]},"title":"(TiZrNbTa)-Mo high-entropy alloys: Dependence of microstructure and mechanical properties on Mo concentration and modeling of solid solution strengthening","type":"article-journal"},"uris":["http://www.mendeley.com/documents/?uuid=b62a5a1f-5e26-4113-bbf4-b25779d04459"]}],"mendeley":{"formattedCitation":"[5]","plainTextFormattedCitation":"[5]","previouslyFormattedCitation":"[5]"},"properties":{"noteIndex":0},"schema":"https://github.com/citation-style-language/schema/raw/master/csl-citation.json"}</w:instrText>
      </w:r>
      <w:r>
        <w:fldChar w:fldCharType="separate"/>
      </w:r>
      <w:r w:rsidRPr="003B39BC">
        <w:rPr>
          <w:noProof/>
        </w:rPr>
        <w:t>[5]</w:t>
      </w:r>
      <w:r>
        <w:fldChar w:fldCharType="end"/>
      </w:r>
      <w:r>
        <w:t xml:space="preserve">. Thus, the old alloy design strategy, which only considers the entropy effect as the </w:t>
      </w:r>
      <w:r w:rsidRPr="0067418D">
        <w:rPr>
          <w:noProof/>
        </w:rPr>
        <w:t>main</w:t>
      </w:r>
      <w:r>
        <w:t xml:space="preserve"> contribution to the single </w:t>
      </w:r>
      <w:r w:rsidRPr="00993DA1">
        <w:rPr>
          <w:noProof/>
        </w:rPr>
        <w:t>solid</w:t>
      </w:r>
      <w:r>
        <w:t xml:space="preserve"> solution phase forming tendency in HEAs, is not precise and hence cannot be treated as the only </w:t>
      </w:r>
      <w:r w:rsidRPr="0067418D">
        <w:rPr>
          <w:noProof/>
        </w:rPr>
        <w:t>guid</w:t>
      </w:r>
      <w:r>
        <w:rPr>
          <w:noProof/>
        </w:rPr>
        <w:t>a</w:t>
      </w:r>
      <w:r w:rsidRPr="0067418D">
        <w:rPr>
          <w:noProof/>
        </w:rPr>
        <w:t>nce</w:t>
      </w:r>
      <w:r>
        <w:t xml:space="preserve"> to design new HEAs. Although the entropy model is not ideal in explaining the </w:t>
      </w:r>
      <w:r w:rsidRPr="00480032">
        <w:rPr>
          <w:noProof/>
        </w:rPr>
        <w:t>phase</w:t>
      </w:r>
      <w:r>
        <w:rPr>
          <w:noProof/>
        </w:rPr>
        <w:t>-</w:t>
      </w:r>
      <w:r w:rsidRPr="00480032">
        <w:rPr>
          <w:noProof/>
        </w:rPr>
        <w:t>forming</w:t>
      </w:r>
      <w:r>
        <w:t xml:space="preserve"> tendency in </w:t>
      </w:r>
      <w:r w:rsidRPr="008C71F2">
        <w:rPr>
          <w:noProof/>
        </w:rPr>
        <w:t>multi-component</w:t>
      </w:r>
      <w:r>
        <w:t xml:space="preserve"> alloys, most HEAs</w:t>
      </w:r>
      <w:r w:rsidRPr="00333153">
        <w:rPr>
          <w:noProof/>
        </w:rPr>
        <w:t xml:space="preserve"> tend</w:t>
      </w:r>
      <w:r>
        <w:t xml:space="preserve"> to form </w:t>
      </w:r>
      <w:r w:rsidRPr="00993DA1">
        <w:rPr>
          <w:noProof/>
        </w:rPr>
        <w:t>simple</w:t>
      </w:r>
      <w:r>
        <w:rPr>
          <w:noProof/>
        </w:rPr>
        <w:t xml:space="preserve"> solid solution</w:t>
      </w:r>
      <w:r>
        <w:t xml:space="preserve"> phases instead of complex intermetallic phases. </w:t>
      </w:r>
      <w:r>
        <w:rPr>
          <w:noProof/>
        </w:rPr>
        <w:t>In order to</w:t>
      </w:r>
      <w:r w:rsidRPr="00480032">
        <w:rPr>
          <w:noProof/>
        </w:rPr>
        <w:t xml:space="preserve"> investigate the</w:t>
      </w:r>
      <w:r>
        <w:rPr>
          <w:noProof/>
        </w:rPr>
        <w:t xml:space="preserve"> underlying mechanisms and aim to develop </w:t>
      </w:r>
      <w:r w:rsidRPr="00993DA1">
        <w:rPr>
          <w:noProof/>
        </w:rPr>
        <w:t>an effective</w:t>
      </w:r>
      <w:r w:rsidRPr="00480032">
        <w:rPr>
          <w:noProof/>
        </w:rPr>
        <w:t xml:space="preserve"> </w:t>
      </w:r>
      <w:r>
        <w:rPr>
          <w:noProof/>
        </w:rPr>
        <w:t>semi-</w:t>
      </w:r>
      <w:r w:rsidRPr="00480032">
        <w:rPr>
          <w:noProof/>
        </w:rPr>
        <w:t>empirical prediction</w:t>
      </w:r>
      <w:r>
        <w:rPr>
          <w:noProof/>
        </w:rPr>
        <w:t xml:space="preserve"> model</w:t>
      </w:r>
      <w:r>
        <w:t xml:space="preserve">, the </w:t>
      </w:r>
      <w:r>
        <w:rPr>
          <w:noProof/>
        </w:rPr>
        <w:t>Hu</w:t>
      </w:r>
      <w:r w:rsidRPr="0067418D">
        <w:rPr>
          <w:noProof/>
        </w:rPr>
        <w:t>me</w:t>
      </w:r>
      <w:r>
        <w:t xml:space="preserve"> </w:t>
      </w:r>
      <w:r>
        <w:rPr>
          <w:noProof/>
        </w:rPr>
        <w:t>R</w:t>
      </w:r>
      <w:r w:rsidRPr="0067418D">
        <w:rPr>
          <w:noProof/>
        </w:rPr>
        <w:t>othery</w:t>
      </w:r>
      <w:r>
        <w:t xml:space="preserve"> rules, thermodynamic methods and </w:t>
      </w:r>
      <w:r w:rsidRPr="006A3D4D">
        <w:rPr>
          <w:i/>
        </w:rPr>
        <w:t>ab initio</w:t>
      </w:r>
      <w:r>
        <w:t xml:space="preserve"> methods </w:t>
      </w:r>
      <w:r w:rsidRPr="00480032">
        <w:rPr>
          <w:noProof/>
        </w:rPr>
        <w:t xml:space="preserve">were </w:t>
      </w:r>
      <w:r w:rsidR="00E5609A">
        <w:rPr>
          <w:noProof/>
        </w:rPr>
        <w:t>combined</w:t>
      </w:r>
      <w:r>
        <w:rPr>
          <w:noProof/>
        </w:rPr>
        <w:fldChar w:fldCharType="begin" w:fldLock="1"/>
      </w:r>
      <w:r>
        <w:rPr>
          <w:noProof/>
        </w:rPr>
        <w:instrText>ADDIN CSL_CITATION {"citationItems":[{"id":"ITEM-1","itemData":{"DOI":"10.1016/j.matchar.2018.06.019","ISSN":"10445803","abstract":"Multicomponent alloys with multiple principal elements including high entropy alloys (HEAs) and compositionally complex alloys (CCAs) are attracting rapidly growing attention. The endless possibilities to explore new alloys and the hope for better combinations of materials properties have stimulated a remarkable number of research works in the last years. Most of these works have been based on experimental approaches, but ab initio calculations have emerged as a powerful approach that complements experiment and serves as a predictive tool for the identification and characterization of promising alloys. The theoretical ab initio modeling of phase stabilities and mechanical properties of multi-principal element alloys by means of density functional theory (DFT) is reviewed. A general thermodynamic framework is laid down that provides a bridge between the quantities accessible with DFT and the targeted thermodynamic and mechanical properties. It is shown how chemical disorder and various finite-temperature excitations can be modeled with DFT. Different concepts to study crystal and alloy phase stabilities, the impact of lattice distortions (a core effect of HEAs), magnetic transitions, and chemical short-range order are discussed along with specific examples. Strategies to study elastic properties, stacking fault energies, and their dependence on, e.g., temperature or alloy composition are illustrated. Finally, we provide an extensive compilation of multi-principal element alloys and various material properties studied with DFT so far (a set of over 500 alloy-property combinations).","author":[{"dropping-particle":"","family":"Ikeda","given":"Yuji","non-dropping-particle":"","parse-names":false,"suffix":""},{"dropping-particle":"","family":"Grabowski","given":"Blazej","non-dropping-particle":"","parse-names":false,"suffix":""},{"dropping-particle":"","family":"Körmann","given":"Fritz","non-dropping-particle":"","parse-names":false,"suffix":""}],"container-title":"Materials Characterization","id":"ITEM-1","issued":{"date-parts":[["2018"]]},"title":"Ab initio phase stabilities and mechanical properties of multicomponent alloys: A comprehensive review for high entropy alloys and compositionally complex alloys","type":"article-newspaper"},"uris":["http://www.mendeley.com/documents/?uuid=4c456115-7461-4921-9ea8-eceb8b2c326c"]}],"mendeley":{"formattedCitation":"[6]","plainTextFormattedCitation":"[6]","previouslyFormattedCitation":"[6]"},"properties":{"noteIndex":0},"schema":"https://github.com/citation-style-language/schema/raw/master/csl-citation.json"}</w:instrText>
      </w:r>
      <w:r>
        <w:rPr>
          <w:noProof/>
        </w:rPr>
        <w:fldChar w:fldCharType="separate"/>
      </w:r>
      <w:r w:rsidRPr="003B39BC">
        <w:rPr>
          <w:noProof/>
        </w:rPr>
        <w:t>[6]</w:t>
      </w:r>
      <w:r>
        <w:rPr>
          <w:noProof/>
        </w:rPr>
        <w:fldChar w:fldCharType="end"/>
      </w:r>
      <w:r>
        <w:t xml:space="preserve">. Moreover, to enhance the </w:t>
      </w:r>
      <w:r w:rsidRPr="0067418D">
        <w:rPr>
          <w:noProof/>
        </w:rPr>
        <w:t>mechanical</w:t>
      </w:r>
      <w:r>
        <w:t xml:space="preserve"> performance of HEA systems, the concept of </w:t>
      </w:r>
      <w:r w:rsidRPr="0067418D">
        <w:rPr>
          <w:noProof/>
        </w:rPr>
        <w:t>multi</w:t>
      </w:r>
      <w:r>
        <w:rPr>
          <w:noProof/>
        </w:rPr>
        <w:t>-</w:t>
      </w:r>
      <w:r w:rsidRPr="0067418D">
        <w:rPr>
          <w:noProof/>
        </w:rPr>
        <w:t>component</w:t>
      </w:r>
      <w:r>
        <w:t xml:space="preserve"> alloys </w:t>
      </w:r>
      <w:r w:rsidRPr="0067418D">
        <w:rPr>
          <w:noProof/>
        </w:rPr>
        <w:t>w</w:t>
      </w:r>
      <w:r>
        <w:rPr>
          <w:noProof/>
        </w:rPr>
        <w:t>as</w:t>
      </w:r>
      <w:r>
        <w:t xml:space="preserve"> </w:t>
      </w:r>
      <w:r w:rsidRPr="00480032">
        <w:rPr>
          <w:noProof/>
        </w:rPr>
        <w:t>further</w:t>
      </w:r>
      <w:r>
        <w:rPr>
          <w:noProof/>
        </w:rPr>
        <w:t xml:space="preserve"> extended and</w:t>
      </w:r>
      <w:r>
        <w:t xml:space="preserve"> developed, </w:t>
      </w:r>
      <w:r w:rsidRPr="008C71F2">
        <w:rPr>
          <w:noProof/>
        </w:rPr>
        <w:t>result</w:t>
      </w:r>
      <w:r>
        <w:rPr>
          <w:noProof/>
        </w:rPr>
        <w:t>ing</w:t>
      </w:r>
      <w:r>
        <w:t xml:space="preserve"> in the development of a series of new HEAs. In addition to the successful introduction of traditional strengthening mechanisms, including</w:t>
      </w:r>
      <w:r w:rsidRPr="00AE5C50">
        <w:t xml:space="preserve"> </w:t>
      </w:r>
      <w:r>
        <w:t>p</w:t>
      </w:r>
      <w:r w:rsidRPr="00AE5C50">
        <w:t>recipitation strengthening</w:t>
      </w:r>
      <w:r>
        <w:t xml:space="preserve"> and </w:t>
      </w:r>
      <w:r w:rsidRPr="003B6CA7">
        <w:rPr>
          <w:noProof/>
        </w:rPr>
        <w:t>fine</w:t>
      </w:r>
      <w:r>
        <w:t xml:space="preserve"> grain strengthening, TWIP and TRIP type HEAs were also successfully designed [10-11]. It is clear that building on the promising recent developments into these materials, further novel research is required, in order to design and investigate new high performance HEAs for future applications. </w:t>
      </w:r>
    </w:p>
    <w:p w14:paraId="5956A113" w14:textId="2B9E2DD1" w:rsidR="00624970" w:rsidRPr="001E3029" w:rsidRDefault="00624970" w:rsidP="00624970">
      <w:pPr>
        <w:pStyle w:val="2"/>
        <w:spacing w:before="0" w:after="60" w:line="360" w:lineRule="auto"/>
        <w:rPr>
          <w:rFonts w:asciiTheme="minorHAnsi" w:hAnsiTheme="minorHAnsi"/>
          <w:b/>
          <w:noProof/>
          <w:color w:val="000000" w:themeColor="text1"/>
          <w:sz w:val="32"/>
          <w:szCs w:val="32"/>
        </w:rPr>
      </w:pPr>
      <w:bookmarkStart w:id="18" w:name="_Toc22052506"/>
      <w:r w:rsidRPr="001E3029">
        <w:rPr>
          <w:rFonts w:asciiTheme="minorHAnsi" w:hAnsiTheme="minorHAnsi"/>
          <w:b/>
          <w:noProof/>
          <w:color w:val="000000" w:themeColor="text1"/>
          <w:sz w:val="32"/>
          <w:szCs w:val="32"/>
        </w:rPr>
        <w:t>2.2 Definition and classification of HEAs</w:t>
      </w:r>
      <w:bookmarkEnd w:id="17"/>
      <w:bookmarkEnd w:id="18"/>
      <w:r w:rsidRPr="001E3029">
        <w:rPr>
          <w:rFonts w:asciiTheme="minorHAnsi" w:hAnsiTheme="minorHAnsi"/>
          <w:b/>
          <w:noProof/>
          <w:color w:val="000000" w:themeColor="text1"/>
          <w:sz w:val="32"/>
          <w:szCs w:val="32"/>
        </w:rPr>
        <w:t xml:space="preserve"> </w:t>
      </w:r>
    </w:p>
    <w:p w14:paraId="6B6E2D1E" w14:textId="02690684" w:rsidR="00624970" w:rsidRDefault="00624970" w:rsidP="00624970">
      <w:pPr>
        <w:spacing w:after="60" w:line="360" w:lineRule="auto"/>
        <w:jc w:val="both"/>
      </w:pPr>
      <w:bookmarkStart w:id="19" w:name="_Toc5618278"/>
      <w:r>
        <w:t xml:space="preserve">The multi-principal components idea </w:t>
      </w:r>
      <w:r w:rsidRPr="003B6CA7">
        <w:rPr>
          <w:noProof/>
        </w:rPr>
        <w:t xml:space="preserve">was first </w:t>
      </w:r>
      <w:r>
        <w:rPr>
          <w:noProof/>
        </w:rPr>
        <w:t xml:space="preserve">applied </w:t>
      </w:r>
      <w:r w:rsidRPr="008C71F2">
        <w:rPr>
          <w:noProof/>
        </w:rPr>
        <w:t>to design</w:t>
      </w:r>
      <w:r>
        <w:rPr>
          <w:noProof/>
        </w:rPr>
        <w:t xml:space="preserve"> bulk </w:t>
      </w:r>
      <w:r w:rsidRPr="0067418D">
        <w:rPr>
          <w:noProof/>
        </w:rPr>
        <w:t>metalli</w:t>
      </w:r>
      <w:r>
        <w:rPr>
          <w:noProof/>
        </w:rPr>
        <w:t xml:space="preserve">c </w:t>
      </w:r>
      <w:r w:rsidRPr="008C71F2">
        <w:rPr>
          <w:noProof/>
        </w:rPr>
        <w:t>g</w:t>
      </w:r>
      <w:r>
        <w:rPr>
          <w:noProof/>
        </w:rPr>
        <w:t>la</w:t>
      </w:r>
      <w:r w:rsidRPr="008C71F2">
        <w:rPr>
          <w:noProof/>
        </w:rPr>
        <w:t xml:space="preserve">ss </w:t>
      </w:r>
      <w:r>
        <w:rPr>
          <w:noProof/>
        </w:rPr>
        <w:t>(BMG)</w:t>
      </w:r>
      <w:r>
        <w:rPr>
          <w:noProof/>
        </w:rPr>
        <w:fldChar w:fldCharType="begin" w:fldLock="1"/>
      </w:r>
      <w:r>
        <w:rPr>
          <w:noProof/>
        </w:rPr>
        <w:instrText>ADDIN CSL_CITATION {"citationItems":[{"id":"ITEM-1","itemData":{"DOI":"10.4028/www.scientific.net/MSF.386-388.27","ISBN":"0255-5476","ISSN":"1662-9752","abstract":"A wide range of novel multicomponent amorphous alloys can be manufactured by the new method of equiatomic alloy substitution for the early and late transition metal contents of Zr-based amorphous alloys. Amorphous alloys are formed by melt spinning in the alloy system A/sub x /B/sub 90-x/Al/sub 10/ over the composition range x=20-70 at% when the early transition metal A=Ti/sub 33/Zr/sub 33/Hf /sub 33/ and the late transition metal B=Ni/sub 50/Cu/sub 50 /. Amorphous alloys are also formed over the composition range x=50-70 at%, when the early transition metal content is extended to A=Ti /sub 25/Zr/sub 25/Hf/sub 25/Nb/sub 25/ or when the late transition metal content is extended to B= Ni/sub 33/Cu/sub 33 /Ag/sub 33/. The most stable amorphous alloy of these is (Ti /sub 33/Zr/sub 33/Hf/sub 33/)/sub 40/(Ni/sub 50 /Cu/sub 50/)/sub 50/Al/sub 10/ with a crystallisation temperature of T/sub x/=545 degrees C. The amorphous alloy with the largest supercooled liquid region is (Ti/sub 33/Zr /sub 33/Hf/sub 33/)/sub 50/(Ni/sub 33/Cu/sub 33 /Ag/sub 33/)/sub 40/Al/sub 10/ with a crystallisation glass transition temperature difference of T/sub x/-T/sub g/=103 degrees C.","author":[{"dropping-particle":"","family":"Cantor","given":"Brian","non-dropping-particle":"","parse-names":false,"suffix":""},{"dropping-particle":"","family":"Kim","given":"K.B.","non-dropping-particle":"","parse-names":false,"suffix":""},{"dropping-particle":"","family":"Warren","given":"Paul J.","non-dropping-particle":"","parse-names":false,"suffix":""}],"container-title":"Materials Science Forum","id":"ITEM-1","issued":{"date-parts":[["2002"]]},"title":"Novel Multicomponent Amorphous Alloys","type":"article-journal"},"uris":["http://www.mendeley.com/documents/?uuid=be1da394-c5e5-4a6c-975a-ca4c6ee9d86c"]},{"id":"ITEM-2","itemData":{"DOI":"10.1016/j.msea.2003.10.257","ISBN":"0921-5093","ISSN":"09215093","PMID":"27081990","abstract":"Multicomponent alloys containing several components in equal atomic proportions have been manufactured by casting and melt spinning, and their microstructures and properties have been investigated by a combination of optical microscopy, scanning electron microscopy, electron probe microanalysis, X-ray diffractrometry and microhardness measurements. Alloys containing 16 and 20 components in equal proportions are multiphase, crystalline and brittle both as-cast and after melt spinning. A five component Fe20Cr20Mn20Ni20Co20alloy forms a single fcc solid solution which solidifies dendritically. A wide range of other six to nine component late transition metal rich multicomponent alloys exhibit the same majority fcc primary dendritic phase, which can dissolve substantial amounts of other transition metals such as Nb, Ti and V. More electronegative elements such as Cu and Ge are less stable in the fcc dendrites and are rejected into the interdendritic regions. The total number of phases is always well below the maximum equilibrium number allowed by the Gibbs phase rule, and even further below the maximum number allowed under non-equilibrium solidification conditions. Glassy structures are not formed by casting or melt spinning of late transition metal rich multicomponent alloys, indicating that the confusion principle does not apply, and other factors are more important in promoting glass formation. © 2003 Elsevier B.V.","author":[{"dropping-particle":"","family":"Cantor","given":"B.","non-dropping-particle":"","parse-names":false,"suffix":""},{"dropping-particle":"","family":"Chang","given":"I. T.H.","non-dropping-particle":"","parse-names":false,"suffix":""},{"dropping-particle":"","family":"Knight","given":"P.","non-dropping-particle":"","parse-names":false,"suffix":""},{"dropping-particle":"","family":"Vincent","given":"A. J.B.","non-dropping-particle":"","parse-names":false,"suffix":""}],"container-title":"Materials Science and Engineering A","id":"ITEM-2","issued":{"date-parts":[["2004"]]},"title":"Microstructural development in equiatomic multicomponent alloys","type":"article-journal"},"uris":["http://www.mendeley.com/documents/?uuid=4dbdd59f-2010-4dec-98e7-1e5e9b076f39"]}],"mendeley":{"formattedCitation":"[1,7]","plainTextFormattedCitation":"[1,7]","previouslyFormattedCitation":"[1,7]"},"properties":{"noteIndex":0},"schema":"https://github.com/citation-style-language/schema/raw/master/csl-citation.json"}</w:instrText>
      </w:r>
      <w:r>
        <w:rPr>
          <w:noProof/>
        </w:rPr>
        <w:fldChar w:fldCharType="separate"/>
      </w:r>
      <w:r w:rsidRPr="003B39BC">
        <w:rPr>
          <w:noProof/>
        </w:rPr>
        <w:t>[1,7]</w:t>
      </w:r>
      <w:r>
        <w:rPr>
          <w:noProof/>
        </w:rPr>
        <w:fldChar w:fldCharType="end"/>
      </w:r>
      <w:r>
        <w:rPr>
          <w:noProof/>
        </w:rPr>
        <w:t xml:space="preserve">, whereby </w:t>
      </w:r>
      <w:r>
        <w:t xml:space="preserve">multi-principal component metallic systems may </w:t>
      </w:r>
      <w:r w:rsidRPr="0067418D">
        <w:rPr>
          <w:noProof/>
        </w:rPr>
        <w:t>favo</w:t>
      </w:r>
      <w:r>
        <w:rPr>
          <w:noProof/>
        </w:rPr>
        <w:t>u</w:t>
      </w:r>
      <w:r w:rsidRPr="0067418D">
        <w:rPr>
          <w:noProof/>
        </w:rPr>
        <w:t>r</w:t>
      </w:r>
      <w:r>
        <w:t xml:space="preserve"> </w:t>
      </w:r>
      <w:r>
        <w:rPr>
          <w:noProof/>
        </w:rPr>
        <w:t>possessing</w:t>
      </w:r>
      <w:r w:rsidRPr="00480032">
        <w:rPr>
          <w:noProof/>
        </w:rPr>
        <w:t xml:space="preserve"> disordered states</w:t>
      </w:r>
      <w:r>
        <w:t xml:space="preserve"> during the </w:t>
      </w:r>
      <w:r w:rsidRPr="00480032">
        <w:rPr>
          <w:noProof/>
        </w:rPr>
        <w:t>cooling</w:t>
      </w:r>
      <w:r>
        <w:t xml:space="preserve"> process in comparison with the </w:t>
      </w:r>
      <w:r>
        <w:rPr>
          <w:noProof/>
        </w:rPr>
        <w:t>complex</w:t>
      </w:r>
      <w:r>
        <w:t xml:space="preserve"> structure. Upon further study of the multi-component strategy, researchers started to notice that in some multi-component alloy systems, simple solid solution phases were forming instead of an </w:t>
      </w:r>
      <w:r w:rsidRPr="0067418D">
        <w:rPr>
          <w:noProof/>
        </w:rPr>
        <w:t>amorphous</w:t>
      </w:r>
      <w:r>
        <w:t xml:space="preserve"> phase or complex intermetallic phases </w:t>
      </w:r>
      <w:r>
        <w:fldChar w:fldCharType="begin" w:fldLock="1"/>
      </w:r>
      <w:r>
        <w:instrText>ADDIN CSL_CITATION {"citationItems":[{"id":"ITEM-1","itemData":{"DOI":"10.4028/www.scientific.net/MSF.386-388.27","ISBN":"0255-5476","ISSN":"1662-9752","abstract":"A wide range of novel multicomponent amorphous alloys can be manufactured by the new method of equiatomic alloy substitution for the early and late transition metal contents of Zr-based amorphous alloys. Amorphous alloys are formed by melt spinning in the alloy system A/sub x /B/sub 90-x/Al/sub 10/ over the composition range x=20-70 at% when the early transition metal A=Ti/sub 33/Zr/sub 33/Hf /sub 33/ and the late transition metal B=Ni/sub 50/Cu/sub 50 /. Amorphous alloys are also formed over the composition range x=50-70 at%, when the early transition metal content is extended to A=Ti /sub 25/Zr/sub 25/Hf/sub 25/Nb/sub 25/ or when the late transition metal content is extended to B= Ni/sub 33/Cu/sub 33 /Ag/sub 33/. The most stable amorphous alloy of these is (Ti /sub 33/Zr/sub 33/Hf/sub 33/)/sub 40/(Ni/sub 50 /Cu/sub 50/)/sub 50/Al/sub 10/ with a crystallisation temperature of T/sub x/=545 degrees C. The amorphous alloy with the largest supercooled liquid region is (Ti/sub 33/Zr /sub 33/Hf/sub 33/)/sub 50/(Ni/sub 33/Cu/sub 33 /Ag/sub 33/)/sub 40/Al/sub 10/ with a crystallisation glass transition temperature difference of T/sub x/-T/sub g/=103 degrees C.","author":[{"dropping-particle":"","family":"Cantor","given":"Brian","non-dropping-particle":"","parse-names":false,"suffix":""},{"dropping-particle":"","family":"Kim","given":"K.B.","non-dropping-particle":"","parse-names":false,"suffix":""},{"dropping-particle":"","family":"Warren","given":"Paul J.","non-dropping-particle":"","parse-names":false,"suffix":""}],"container-title":"Materials Science Forum","id":"ITEM-1","issued":{"date-parts":[["2002"]]},"title":"Novel Multicomponent Amorphous Alloys","type":"article-journal"},"uris":["http://www.mendeley.com/documents/?uuid=be1da394-c5e5-4a6c-975a-ca4c6ee9d86c"]},{"id":"ITEM-2","itemData":{"DOI":"10.1016/j.msea.2003.10.257","ISBN":"0921-5093","ISSN":"09215093","PMID":"27081990","abstract":"Multicomponent alloys containing several components in equal atomic proportions have been manufactured by casting and melt spinning, and their microstructures and properties have been investigated by a combination of optical microscopy, scanning electron microscopy, electron probe microanalysis, X-ray diffractrometry and microhardness measurements. Alloys containing 16 and 20 components in equal proportions are multiphase, crystalline and brittle both as-cast and after melt spinning. A five component Fe20Cr20Mn20Ni20Co20alloy forms a single fcc solid solution which solidifies dendritically. A wide range of other six to nine component late transition metal rich multicomponent alloys exhibit the same majority fcc primary dendritic phase, which can dissolve substantial amounts of other transition metals such as Nb, Ti and V. More electronegative elements such as Cu and Ge are less stable in the fcc dendrites and are rejected into the interdendritic regions. The total number of phases is always well below the maximum equilibrium number allowed by the Gibbs phase rule, and even further below the maximum number allowed under non-equilibrium solidification conditions. Glassy structures are not formed by casting or melt spinning of late transition metal rich multicomponent alloys, indicating that the confusion principle does not apply, and other factors are more important in promoting glass formation. © 2003 Elsevier B.V.","author":[{"dropping-particle":"","family":"Cantor","given":"B.","non-dropping-particle":"","parse-names":false,"suffix":""},{"dropping-particle":"","family":"Chang","given":"I. T.H.","non-dropping-particle":"","parse-names":false,"suffix":""},{"dropping-particle":"","family":"Knight","given":"P.","non-dropping-particle":"","parse-names":false,"suffix":""},{"dropping-particle":"","family":"Vincent","given":"A. J.B.","non-dropping-particle":"","parse-names":false,"suffix":""}],"container-title":"Materials Science and Engineering A","id":"ITEM-2","issued":{"date-parts":[["2004"]]},"title":"Microstructural development in equiatomic multicomponent alloys","type":"article-journal"},"uris":["http://www.mendeley.com/documents/?uuid=4dbdd59f-2010-4dec-98e7-1e5e9b076f39"]},{"id":"ITEM-3","itemData":{"DOI":"10.1002/adem.200300567","ISBN":"1438-1656","ISSN":"14381656","PMID":"19533682","abstract":"A new approach for the design of alloys is presented in this study. These high-entropy alloys with multi-principal elements were synthesized using well-developed processing technologies. Preliminary results demonstrate examples of the alloys with simple crystal structures, nanostructures, and promising mechanical properties. This approach may be opening a new era in materials science and engineering.","author":[{"dropping-particle":"","family":"Yeh","given":"Jien Wei","non-dropping-particle":"","parse-names":false,"suffix":""},{"dropping-particle":"","family":"Chen","given":"Swe Kai","non-dropping-particle":"","parse-names":false,"suffix":""},{"dropping-particle":"","family":"Lin","given":"Su Jien","non-dropping-particle":"","parse-names":false,"suffix":""},{"dropping-particle":"","family":"Gan","given":"Jon Yiew","non-dropping-particle":"","parse-names":false,"suffix":""},{"dropping-particle":"","family":"Chin","given":"Tsung Shune","non-dropping-particle":"","parse-names":false,"suffix":""},{"dropping-particle":"","family":"Shun","given":"Tao Tsung","non-dropping-particle":"","parse-names":false,"suffix":""},{"dropping-particle":"","family":"Tsau","given":"Chun Huei","non-dropping-particle":"","parse-names":false,"suffix":""},{"dropping-particle":"","family":"Chang","given":"Shou Yi","non-dropping-particle":"","parse-names":false,"suffix":""}],"container-title":"Advanced Engineering Materials","id":"ITEM-3","issued":{"date-parts":[["2004"]]},"title":"Nanostructured high-entropy alloys with multiple principal elements: Novel alloy design concepts and outcomes","type":"article-journal"},"uris":["http://www.mendeley.com/documents/?uuid=95ec2835-a6b3-41ef-800e-1e75ca6fa903"]},{"id":"ITEM-4","itemData":{"DOI":"10.1007/s11661-006-0234-4","ISBN":"1073-5623","ISSN":"10735623","abstract":"A \"Communications\" section","author":[{"dropping-particle":"","family":"Yeh","given":"Jien Wei","non-dropping-particle":"","parse-names":false,"suffix":""},{"dropping-particle":"","family":"Chen","given":"Swe Kai","non-dropping-particle":"","parse-names":false,"suffix":""},{"dropping-particle":"","family":"Gan","given":"Jon Yiew","non-dropping-particle":"","parse-names":false,"suffix":""},{"dropping-particle":"","family":"Lin","given":"Su Jien","non-dropping-particle":"","parse-names":false,"suffix":""},{"dropping-particle":"","family":"Chin","given":"Tsung Shune","non-dropping-particle":"","parse-names":false,"suffix":""},{"dropping-particle":"","family":"Shun","given":"Tao Tsung","non-dropping-particle":"","parse-names":false,"suffix":""},{"dropping-particle":"","family":"Tsau","given":"Chung Huei","non-dropping-particle":"","parse-names":false,"suffix":""},{"dropping-particle":"","family":"Chang","given":"Shou Yi","non-dropping-particle":"","parse-names":false,"suffix":""}],"container-title":"Metallurgical and Materials Transactions A: Physical Metallurgy and Materials Science","id":"ITEM-4","issued":{"date-parts":[["2004"]]},"title":"Formation of simple crystal structures in Cu-Co-Ni-Cr-Al-Fe-Ti-V alloys with multiprincipal metallic elements","type":"article-journal"},"uris":["http://www.mendeley.com/documents/?uuid=65ba0fa6-34fb-4af1-b2dd-b6fdaeebb6ec"]}],"mendeley":{"formattedCitation":"[1,2,7,8]","plainTextFormattedCitation":"[1,2,7,8]","previouslyFormattedCitation":"[1,2,7,8]"},"properties":{"noteIndex":0},"schema":"https://github.com/citation-style-language/schema/raw/master/csl-citation.json"}</w:instrText>
      </w:r>
      <w:r>
        <w:fldChar w:fldCharType="separate"/>
      </w:r>
      <w:r w:rsidRPr="003B39BC">
        <w:rPr>
          <w:noProof/>
        </w:rPr>
        <w:t>[1,2,7,8]</w:t>
      </w:r>
      <w:r>
        <w:fldChar w:fldCharType="end"/>
      </w:r>
      <w:r>
        <w:t>. Yeh</w:t>
      </w:r>
      <w:r>
        <w:fldChar w:fldCharType="begin" w:fldLock="1"/>
      </w:r>
      <w:r>
        <w:instrText>ADDIN CSL_CITATION {"citationItems":[{"id":"ITEM-1","itemData":{"DOI":"10.1007/978-3-319-27013-5_9","ISBN":"9783319270135","ISSN":"13596454","abstract":"This chapter details the coherent potential approximation (CPA) to describe the chemically and magnetically disordered phases for systems of arbitrary number of components. Two widely used CPA implementations, namely, the exact muffin-tin orbitals (EMTO) and the Korringa–Kohn–Rostoker (KKR) methods, are briefly reviewed. Applications to predict lattice stability, electronic and magnetic structure, elasticity properties, and stacking fault energies of single-phase HEAs are presented. © Springer International Publishing Switzerland 2016.","author":[{"dropping-particle":"","family":"Tian","given":"Fuyang","non-dropping-particle":"","parse-names":false,"suffix":""},{"dropping-particle":"","family":"Wang","given":"Yang","non-dropping-particle":"","parse-names":false,"suffix":""},{"dropping-particle":"","family":"Irving","given":"Douglas L.","non-dropping-particle":"","parse-names":false,"suffix":""},{"dropping-particle":"","family":"Vitos","given":"Levente","non-dropping-particle":"","parse-names":false,"suffix":""}],"container-title":"High-Entropy Alloys: Fundamentals and Applications","id":"ITEM-1","issued":{"date-parts":[["2016"]]},"title":"Applications of coherent potential approximation to HEAs","type":"chapter"},"uris":["http://www.mendeley.com/documents/?uuid=3895d5da-458e-4b5f-8645-5955ada2947c"]}],"mendeley":{"formattedCitation":"[9]","plainTextFormattedCitation":"[9]","previouslyFormattedCitation":"[9]"},"properties":{"noteIndex":0},"schema":"https://github.com/citation-style-language/schema/raw/master/csl-citation.json"}</w:instrText>
      </w:r>
      <w:r>
        <w:fldChar w:fldCharType="separate"/>
      </w:r>
      <w:r w:rsidRPr="003B39BC">
        <w:rPr>
          <w:noProof/>
        </w:rPr>
        <w:t>[9]</w:t>
      </w:r>
      <w:r>
        <w:fldChar w:fldCharType="end"/>
      </w:r>
      <w:r>
        <w:t xml:space="preserve"> first determined that this simple solid solution phase formation tendency in </w:t>
      </w:r>
      <w:r w:rsidRPr="008C71F2">
        <w:rPr>
          <w:noProof/>
        </w:rPr>
        <w:t>multi-component</w:t>
      </w:r>
      <w:r>
        <w:t xml:space="preserve"> alloys was attributed to the effect of high configurational entropy and subsequently named this series of simple solid solution phases in multi-component alloys as HEAs</w:t>
      </w:r>
      <w:r>
        <w:fldChar w:fldCharType="begin" w:fldLock="1"/>
      </w:r>
      <w:r>
        <w:instrText>ADDIN CSL_CITATION {"citationItems":[{"id":"ITEM-1","itemData":{"DOI":"10.1002/adem.200300567","ISBN":"1438-1656","ISSN":"14381656","PMID":"19533682","abstract":"A new approach for the design of alloys is presented in this study. These high-entropy alloys with multi-principal elements were synthesized using well-developed processing technologies. Preliminary results demonstrate examples of the alloys with simple crystal structures, nanostructures, and promising mechanical properties. This approach may be opening a new era in materials science and engineering.","author":[{"dropping-particle":"","family":"Yeh","given":"Jien Wei","non-dropping-particle":"","parse-names":false,"suffix":""},{"dropping-particle":"","family":"Chen","given":"Swe Kai","non-dropping-particle":"","parse-names":false,"suffix":""},{"dropping-particle":"","family":"Lin","given":"Su Jien","non-dropping-particle":"","parse-names":false,"suffix":""},{"dropping-particle":"","family":"Gan","given":"Jon Yiew","non-dropping-particle":"","parse-names":false,"suffix":""},{"dropping-particle":"","family":"Chin","given":"Tsung Shune","non-dropping-particle":"","parse-names":false,"suffix":""},{"dropping-particle":"","family":"Shun","given":"Tao Tsung","non-dropping-particle":"","parse-names":false,"suffix":""},{"dropping-particle":"","family":"Tsau","given":"Chun Huei","non-dropping-particle":"","parse-names":false,"suffix":""},{"dropping-particle":"","family":"Chang","given":"Shou Yi","non-dropping-particle":"","parse-names":false,"suffix":""}],"container-title":"Advanced Engineering Materials","id":"ITEM-1","issued":{"date-parts":[["2004"]]},"title":"Nanostructured high-entropy alloys with multiple principal elements: Novel alloy design concepts and outcomes","type":"article-journal"},"uris":["http://www.mendeley.com/documents/?uuid=95ec2835-a6b3-41ef-800e-1e75ca6fa903"]}],"mendeley":{"formattedCitation":"[2]","plainTextFormattedCitation":"[2]","previouslyFormattedCitation":"[2]"},"properties":{"noteIndex":0},"schema":"https://github.com/citation-style-language/schema/raw/master/csl-citation.json"}</w:instrText>
      </w:r>
      <w:r>
        <w:fldChar w:fldCharType="separate"/>
      </w:r>
      <w:r w:rsidRPr="000640A4">
        <w:rPr>
          <w:noProof/>
        </w:rPr>
        <w:t>[2]</w:t>
      </w:r>
      <w:r>
        <w:fldChar w:fldCharType="end"/>
      </w:r>
      <w:r>
        <w:t xml:space="preserve">. The definition of HEAs </w:t>
      </w:r>
      <w:r>
        <w:rPr>
          <w:noProof/>
        </w:rPr>
        <w:t>was</w:t>
      </w:r>
      <w:r>
        <w:t xml:space="preserve"> described as alloys composed of five or more principal components in </w:t>
      </w:r>
      <w:r w:rsidRPr="008C71F2">
        <w:rPr>
          <w:noProof/>
        </w:rPr>
        <w:t>equimolar</w:t>
      </w:r>
      <w:r>
        <w:t xml:space="preserve"> ratio,</w:t>
      </w:r>
      <w:r w:rsidRPr="00A51328">
        <w:t xml:space="preserve"> </w:t>
      </w:r>
      <w:r>
        <w:t xml:space="preserve">this was undertaken to </w:t>
      </w:r>
      <w:r w:rsidRPr="003B6CA7">
        <w:rPr>
          <w:noProof/>
        </w:rPr>
        <w:t>maximi</w:t>
      </w:r>
      <w:r>
        <w:rPr>
          <w:noProof/>
        </w:rPr>
        <w:t>s</w:t>
      </w:r>
      <w:r w:rsidRPr="003B6CA7">
        <w:rPr>
          <w:noProof/>
        </w:rPr>
        <w:t>e</w:t>
      </w:r>
      <w:r>
        <w:t xml:space="preserve"> the </w:t>
      </w:r>
      <w:r w:rsidRPr="003B6CA7">
        <w:rPr>
          <w:noProof/>
        </w:rPr>
        <w:t>effect</w:t>
      </w:r>
      <w:r>
        <w:rPr>
          <w:noProof/>
        </w:rPr>
        <w:t>s</w:t>
      </w:r>
      <w:r>
        <w:t xml:space="preserve"> of configurational entropy. There was a focus on the use of the high configuration entropy effect </w:t>
      </w:r>
      <w:r>
        <w:lastRenderedPageBreak/>
        <w:t xml:space="preserve">to explore </w:t>
      </w:r>
      <w:r>
        <w:rPr>
          <w:noProof/>
        </w:rPr>
        <w:t>the</w:t>
      </w:r>
      <w:r>
        <w:t xml:space="preserve"> </w:t>
      </w:r>
      <w:r w:rsidRPr="00480032">
        <w:rPr>
          <w:noProof/>
        </w:rPr>
        <w:t>possibility</w:t>
      </w:r>
      <w:r>
        <w:t xml:space="preserve"> of designing the disordered </w:t>
      </w:r>
      <w:r w:rsidRPr="003B6CA7">
        <w:rPr>
          <w:noProof/>
        </w:rPr>
        <w:t>simple</w:t>
      </w:r>
      <w:r>
        <w:t xml:space="preserve"> solid solution phase alloy. With the development of HEAs and to expand the </w:t>
      </w:r>
      <w:r w:rsidRPr="00480032">
        <w:rPr>
          <w:noProof/>
        </w:rPr>
        <w:t>applicability</w:t>
      </w:r>
      <w:r>
        <w:rPr>
          <w:noProof/>
        </w:rPr>
        <w:t xml:space="preserve"> </w:t>
      </w:r>
      <w:r w:rsidRPr="00480032">
        <w:rPr>
          <w:noProof/>
        </w:rPr>
        <w:t>of</w:t>
      </w:r>
      <w:r>
        <w:t xml:space="preserve"> the HEAs concept, the definition further </w:t>
      </w:r>
      <w:r w:rsidRPr="0067418D">
        <w:rPr>
          <w:noProof/>
        </w:rPr>
        <w:t>extend</w:t>
      </w:r>
      <w:r>
        <w:rPr>
          <w:noProof/>
        </w:rPr>
        <w:t>s</w:t>
      </w:r>
      <w:r>
        <w:t xml:space="preserve"> to principal elements with a </w:t>
      </w:r>
      <w:r w:rsidRPr="0067418D">
        <w:rPr>
          <w:noProof/>
        </w:rPr>
        <w:t>concentration</w:t>
      </w:r>
      <w:r>
        <w:t xml:space="preserve"> of each element varying from 5 to 35 at%</w:t>
      </w:r>
      <w:r>
        <w:fldChar w:fldCharType="begin" w:fldLock="1"/>
      </w:r>
      <w:r>
        <w:instrText>ADDIN CSL_CITATION {"citationItems":[{"id":"ITEM-1","itemData":{"DOI":"10.1007/s11661-006-0234-4","ISBN":"1073-5623","ISSN":"10735623","abstract":"A \"Communications\" section","author":[{"dropping-particle":"","family":"Yeh","given":"Jien Wei","non-dropping-particle":"","parse-names":false,"suffix":""},{"dropping-particle":"","family":"Chen","given":"Swe Kai","non-dropping-particle":"","parse-names":false,"suffix":""},{"dropping-particle":"","family":"Gan","given":"Jon Yiew","non-dropping-particle":"","parse-names":false,"suffix":""},{"dropping-particle":"","family":"Lin","given":"Su Jien","non-dropping-particle":"","parse-names":false,"suffix":""},{"dropping-particle":"","family":"Chin","given":"Tsung Shune","non-dropping-particle":"","parse-names":false,"suffix":""},{"dropping-particle":"","family":"Shun","given":"Tao Tsung","non-dropping-particle":"","parse-names":false,"suffix":""},{"dropping-particle":"","family":"Tsau","given":"Chung Huei","non-dropping-particle":"","parse-names":false,"suffix":""},{"dropping-particle":"","family":"Chang","given":"Shou Yi","non-dropping-particle":"","parse-names":false,"suffix":""}],"container-title":"Metallurgical and Materials Transactions A: Physical Metallurgy and Materials Science","id":"ITEM-1","issued":{"date-parts":[["2004"]]},"title":"Formation of simple crystal structures in Cu-Co-Ni-Cr-Al-Fe-Ti-V alloys with multiprincipal metallic elements","type":"article-journal"},"uris":["http://www.mendeley.com/documents/?uuid=65ba0fa6-34fb-4af1-b2dd-b6fdaeebb6ec"]},{"id":"ITEM-2","itemData":{"DOI":"10.1002/adem.200300567","ISBN":"1438-1656","ISSN":"14381656","PMID":"19533682","abstract":"A new approach for the design of alloys is presented in this study. These high-entropy alloys with multi-principal elements were synthesized using well-developed processing technologies. Preliminary results demonstrate examples of the alloys with simple crystal structures, nanostructures, and promising mechanical properties. This approach may be opening a new era in materials science and engineering.","author":[{"dropping-particle":"","family":"Yeh","given":"Jien Wei","non-dropping-particle":"","parse-names":false,"suffix":""},{"dropping-particle":"","family":"Chen","given":"Swe Kai","non-dropping-particle":"","parse-names":false,"suffix":""},{"dropping-particle":"","family":"Lin","given":"Su Jien","non-dropping-particle":"","parse-names":false,"suffix":""},{"dropping-particle":"","family":"Gan","given":"Jon Yiew","non-dropping-particle":"","parse-names":false,"suffix":""},{"dropping-particle":"","family":"Chin","given":"Tsung Shune","non-dropping-particle":"","parse-names":false,"suffix":""},{"dropping-particle":"","family":"Shun","given":"Tao Tsung","non-dropping-particle":"","parse-names":false,"suffix":""},{"dropping-particle":"","family":"Tsau","given":"Chun Huei","non-dropping-particle":"","parse-names":false,"suffix":""},{"dropping-particle":"","family":"Chang","given":"Shou Yi","non-dropping-particle":"","parse-names":false,"suffix":""}],"container-title":"Advanced Engineering Materials","id":"ITEM-2","issued":{"date-parts":[["2004"]]},"title":"Nanostructured high-entropy alloys with multiple principal elements: Novel alloy design concepts and outcomes","type":"article-journal"},"uris":["http://www.mendeley.com/documents/?uuid=95ec2835-a6b3-41ef-800e-1e75ca6fa903"]}],"mendeley":{"formattedCitation":"[2,8]","plainTextFormattedCitation":"[2,8]","previouslyFormattedCitation":"[2,8]"},"properties":{"noteIndex":0},"schema":"https://github.com/citation-style-language/schema/raw/master/csl-citation.json"}</w:instrText>
      </w:r>
      <w:r>
        <w:fldChar w:fldCharType="separate"/>
      </w:r>
      <w:r w:rsidRPr="003B39BC">
        <w:rPr>
          <w:noProof/>
        </w:rPr>
        <w:t>[2,8]</w:t>
      </w:r>
      <w:r>
        <w:fldChar w:fldCharType="end"/>
      </w:r>
      <w:r>
        <w:t xml:space="preserve">. </w:t>
      </w:r>
      <w:r>
        <w:rPr>
          <w:noProof/>
        </w:rPr>
        <w:t>M</w:t>
      </w:r>
      <w:r>
        <w:t xml:space="preserve">inor alloying in HEAs </w:t>
      </w:r>
      <w:r>
        <w:rPr>
          <w:noProof/>
        </w:rPr>
        <w:t>has also bee</w:t>
      </w:r>
      <w:r>
        <w:t>n reported, providing further extension of the boundary of HEAs</w:t>
      </w:r>
      <w:r>
        <w:fldChar w:fldCharType="begin" w:fldLock="1"/>
      </w:r>
      <w:r>
        <w:instrText>ADDIN CSL_CITATION {"citationItems":[{"id":"ITEM-1","itemData":{"DOI":"10.1016/j.actamat.2015.08.076","ISBN":"1359-6454","ISSN":"13596454","abstract":"Recent studies indicated that high-entropy alloys (HEAs) possess unusual structural and thermal features, which could greatly affect dislocation motion and contribute to the mechanical performance, however, a HEA matrix alone is insufficiently strong for engineering applications and other strengthening mechanisms are urgently needed to be incorporated. In this work, we demonstrate the possibility to precipitate nanosized coherent reinforcing phase, i.e., L1&lt;inf&gt;2&lt;/inf&gt;-Ni&lt;inf&gt;3&lt;/inf&gt;(Ti,Al), in a fcc-FeCoNiCr HEA matrix using minor additions of Ti and Al. Through thermomechanical processing and microstructure controlling, extraordinary balanced tensile properties at room temperature were achieved, which is due to a well combination of various hardening mechanisms, particularly precipitation hardening. The applicability and validity of the conventional strengthening theories are also discussed. The current work is a successful demonstration of using integrated strengthening approaches to manipulate the properties of fcc-HEA systems, and the resulting findings are important not only for understanding the strengthening mechanisms of metallic materials in general, but also for the future development of high-performance HEAs for industrial applications.","author":[{"dropping-particle":"","family":"He","given":"J. Y.","non-dropping-particle":"","parse-names":false,"suffix":""},{"dropping-particle":"","family":"Wang","given":"H.","non-dropping-particle":"","parse-names":false,"suffix":""},{"dropping-particle":"","family":"Huang","given":"H. L.","non-dropping-particle":"","parse-names":false,"suffix":""},{"dropping-particle":"","family":"Xu","given":"X. D.","non-dropping-particle":"","parse-names":false,"suffix":""},{"dropping-particle":"","family":"Chen","given":"M. W.","non-dropping-particle":"","parse-names":false,"suffix":""},{"dropping-particle":"","family":"Wu","given":"Y.","non-dropping-particle":"","parse-names":false,"suffix":""},{"dropping-particle":"","family":"Liu","given":"X. J.","non-dropping-particle":"","parse-names":false,"suffix":""},{"dropping-particle":"","family":"Nieh","given":"T. G.","non-dropping-particle":"","parse-names":false,"suffix":""},{"dropping-particle":"","family":"An","given":"K.","non-dropping-particle":"","parse-names":false,"suffix":""},{"dropping-particle":"","family":"Lu","given":"Z. P.","non-dropping-particle":"","parse-names":false,"suffix":""}],"container-title":"Acta Materialia","id":"ITEM-1","issued":{"date-parts":[["2016"]]},"title":"A precipitation-hardened high-entropy alloy with outstanding tensile properties","type":"article-journal"},"uris":["http://www.mendeley.com/documents/?uuid=f3e1fcd2-b08b-45dd-abe1-5c0e68deb47e"]},{"id":"ITEM-2","itemData":{"DOI":"10.1038/srep32146","ISSN":"20452322","PMID":"27562023","abstract":"Materials performance is central to the satisfactory operation of current and future nuclear energy systems due to the severe irradiation environment in reactors. Searching for structural materials with excellent irradiation tolerance is crucial for developing the next generation nuclear reactors. Here, we report the irradiation responses of a novel multi-component alloy system, high entropy alloy (HEA) AlxCoCrFeNi (x = 0.1, 0.75 and 1.5), focusing on their precipitation behavior. It is found that the single phase system, Al 0.1 CoCrFeNi, exhibits a great phase stability against ion irradiation. No precipitate is observed even at the highest fluence. In contrast, numerous coherent precipitates are present in both multi-phase HEAs. Based on the irradiation-induced/enhanced precipitation theory, the excellent structural stability against precipitation of Al 0.1 CoCrFeNi is attributed to the high configurational entropy and low atomic diffusion, which reduces the thermodynamic driving force and kinetically restrains the formation of precipitate, respectively. For the multiphase HEAs, the phase separations and formation of ordered phases reduce the system configurational entropy, resulting in the similar precipitation behavior with corresponding binary or ternary conventional alloys. This study demonstrates the structural stability of single-phase HEAs under irradiation and provides important implications for searching for HEAs with higher irradiation tolerance.","author":[{"dropping-particle":"","family":"Yang","given":"Tengfei","non-dropping-particle":"","parse-names":false,"suffix":""},{"dropping-particle":"","family":"Xia","given":"Songqin","non-dropping-particle":"","parse-names":false,"suffix":""},{"dropping-particle":"","family":"Liu","given":"Shi","non-dropping-particle":"","parse-names":false,"suffix":""},{"dropping-particle":"","family":"Wang","given":"Chenxu","non-dropping-particle":"","parse-names":false,"suffix":""},{"dropping-particle":"","family":"Liu","given":"Shaoshuai","non-dropping-particle":"","parse-names":false,"suffix":""},{"dropping-particle":"","family":"Fang","given":"Yuan","non-dropping-particle":"","parse-names":false,"suffix":""},{"dropping-particle":"","family":"Zhang","given":"Yong","non-dropping-particle":"","parse-names":false,"suffix":""},{"dropping-particle":"","family":"Xue","given":"Jianming","non-dropping-particle":"","parse-names":false,"suffix":""},{"dropping-particle":"","family":"Yan","given":"Sha","non-dropping-particle":"","parse-names":false,"suffix":""},{"dropping-particle":"","family":"Wang","given":"Yugang","non-dropping-particle":"","parse-names":false,"suffix":""}],"container-title":"Scientific Reports","id":"ITEM-2","issued":{"date-parts":[["2016"]]},"title":"Precipitation behavior of AlxCoCrFeNi high entropy alloys under ion irradiation","type":"article-journal"},"uris":["http://www.mendeley.com/documents/?uuid=83d1878c-7a0d-4c3f-9954-846612ef2dec"]},{"id":"ITEM-3","itemData":{"DOI":"10.1007/s11837-013-0776-z","ISBN":"1047-4838\\r1543-1851","ISSN":"10474838","abstract":"The crystal lattice type is one of the dominant factors for controlling\\nthe mechanical behavior of high-entropy alloys (HEAs). For example, the\\nyield strength at room temperature varies from 300 MPa for the\\nface-centered-cubic (fcc) structured alloys, such as the CoCrCuFeNiTi\\n(x) system, to about 3,000 MPa for the body-centered-cubic (bcc)\\nstructured alloys, such as the AlCoCrFeNiTi (x) system. The values of\\nVickers hardness range from 100 to 900, depending on lattice types and\\nmicrostructures. As in conventional alloys with one or two principal\\nelements, the addition of minor alloying elements to HEAs can further\\nalter their mechanical properties, such as strength, plasticity,\\nhardness, etc. Excessive alloying may even result in the change of\\nlattice types of HEAs. In this report, we first review alloying effects\\non lattice types and properties of HEAs in five Al-containing HEA\\nsystems: Al (x) CoCrCuFeNi, Al (x) CoCrFeNi, Al (x) CrFe1.5MnNi0.5, Al\\n(x) CoCrFeNiTi, and Al (x) CrCuFeNi2. It is found that Al acts as a\\nstrong bcc stabilizer, and its addition enhances the strength of the\\nalloy at the cost of reduced ductility. The origins of such effects are\\nthen qualitatively discussed from the viewpoints of lattice-strain\\nenergies and electronic bonds. Quantification of the interaction between\\nAl and 3d transition metals in fcc, bcc, and intermetallic compounds is\\nillustrated in the thermodynamic modeling using the CALculation of PHAse\\nDiagram method.","author":[{"dropping-particle":"","family":"Tang","given":"Zhi","non-dropping-particle":"","parse-names":false,"suffix":""},{"dropping-particle":"","family":"Gao","given":"Michael C.","non-dropping-particle":"","parse-names":false,"suffix":""},{"dropping-particle":"","family":"Diao","given":"Haoyan","non-dropping-particle":"","parse-names":false,"suffix":""},{"dropping-particle":"","family":"Yang","given":"Tengfei","non-dropping-particle":"","parse-names":false,"suffix":""},{"dropping-particle":"","family":"Liu","given":"Junpeng","non-dropping-particle":"","parse-names":false,"suffix":""},{"dropping-particle":"","family":"Zuo","given":"Tingting","non-dropping-particle":"","parse-names":false,"suffix":""},{"dropping-particle":"","family":"Zhang","given":"Yong","non-dropping-particle":"","parse-names":false,"suffix":""},{"dropping-particle":"","family":"Lu","given":"Zhaoping","non-dropping-particle":"","parse-names":false,"suffix":""},{"dropping-particle":"","family":"Cheng","given":"Yongqiang","non-dropping-particle":"","parse-names":false,"suffix":""},{"dropping-particle":"","family":"Zhang","given":"Yanwen","non-dropping-particle":"","parse-names":false,"suffix":""},{"dropping-particle":"","family":"Dahmen","given":"Karin A.","non-dropping-particle":"","parse-names":false,"suffix":""},{"dropping-particle":"","family":"Liaw","given":"Peter K.","non-dropping-particle":"","parse-names":false,"suffix":""},{"dropping-particle":"","family":"Egami","given":"Takeshi","non-dropping-particle":"","parse-names":false,"suffix":""}],"container-title":"JOM","id":"ITEM-3","issued":{"date-parts":[["2013"]]},"title":"Aluminum alloying effects on lattice types, microstructures, and mechanical behavior of high-entropy alloys systems","type":"article-journal"},"uris":["http://www.mendeley.com/documents/?uuid=6bb48653-d61f-46db-9175-09f941f18b1d"]},{"id":"ITEM-4","itemData":{"DOI":"10.1038/s41467-018-06600-8","ISSN":"20411723","abstract":"Precipitation-hardening high-entropy alloys (PH-HEAs) with good strength−ductility balances are a promising candidate for advanced structural applications. However, current HEAs emphasize near-equiatomic initial compositions, which limit the increase of intermetallic precipitates that are closely related to the alloy strength. Here we present a strategy to design ultrastrong HEAs with high-content nanoprecipitates by phase separation, which can generate a near-equiatomic matrix in situ while forming strengthening phases, producing a PH-HEA regardless of the initial atomic ratio. Accordingly, we develop a non-equiatomic alloy that utilizes spinodal decomposition to create a low-misfit coherent nanostructure combining a near-equiatomic disordered face-centered-cubic (FCC) matrix with high-content ductile Ni3Al-type ordered nanoprecipitates. We find that this spinodal order–disorder nanostructure contributes to a strength increase of ~1.5 GPa (&gt;560%) relative to the HEA without precipitation, achieving one of the highest tensile strength (1.9 GPa) among all bulk HEAs reported previously while retaining good ductility (&gt;9%).","author":[{"dropping-particle":"","family":"Liang","given":"Yao Jian","non-dropping-particle":"","parse-names":false,"suffix":""},{"dropping-particle":"","family":"Wang","given":"Linjing","non-dropping-particle":"","parse-names":false,"suffix":""},{"dropping-particle":"","family":"Wen","given":"Yuren","non-dropping-particle":"","parse-names":false,"suffix":""},{"dropping-particle":"","family":"Cheng","given":"Baoyuan","non-dropping-particle":"","parse-names":false,"suffix":""},{"dropping-particle":"","family":"Wu","given":"Qinli","non-dropping-particle":"","parse-names":false,"suffix":""},{"dropping-particle":"","family":"Cao","given":"Tangqing","non-dropping-particle":"","parse-names":false,"suffix":""},{"dropping-particle":"","family":"Xiao","given":"Qian","non-dropping-particle":"","parse-names":false,"suffix":""},{"dropping-particle":"","family":"Xue","given":"Yunfei","non-dropping-particle":"","parse-names":false,"suffix":""},{"dropping-particle":"","family":"Sha","given":"Gang","non-dropping-particle":"","parse-names":false,"suffix":""},{"dropping-particle":"","family":"Wang","given":"Yandong","non-dropping-particle":"","parse-names":false,"suffix":""},{"dropping-particle":"","family":"Ren","given":"Yang","non-dropping-particle":"","parse-names":false,"suffix":""},{"dropping-particle":"","family":"Li","given":"Xiaoyan","non-dropping-particle":"","parse-names":false,"suffix":""},{"dropping-particle":"","family":"Wang","given":"Lu","non-dropping-particle":"","parse-names":false,"suffix":""},{"dropping-particle":"","family":"Wang","given":"Fuchi","non-dropping-particle":"","parse-names":false,"suffix":""},{"dropping-particle":"","family":"Cai","given":"Hongnian","non-dropping-particle":"","parse-names":false,"suffix":""}],"container-title":"Nature Communications","id":"ITEM-4","issued":{"date-parts":[["2018"]]},"title":"High-content ductile coherent nanoprecipitates achieve ultrastrong high-entropy alloys","type":"article-journal"},"uris":["http://www.mendeley.com/documents/?uuid=d1e0de3f-afd9-4009-b3a8-64fed11a3856"]}],"mendeley":{"formattedCitation":"[10–13]","plainTextFormattedCitation":"[10–13]","previouslyFormattedCitation":"[10–13]"},"properties":{"noteIndex":0},"schema":"https://github.com/citation-style-language/schema/raw/master/csl-citation.json"}</w:instrText>
      </w:r>
      <w:r>
        <w:fldChar w:fldCharType="separate"/>
      </w:r>
      <w:r w:rsidRPr="003B39BC">
        <w:rPr>
          <w:noProof/>
        </w:rPr>
        <w:t>[10–13]</w:t>
      </w:r>
      <w:r>
        <w:fldChar w:fldCharType="end"/>
      </w:r>
      <w:r>
        <w:t xml:space="preserve">. In general, the definition of HEAs can </w:t>
      </w:r>
      <w:r w:rsidRPr="003B6CA7">
        <w:rPr>
          <w:noProof/>
        </w:rPr>
        <w:t>be expressed</w:t>
      </w:r>
      <w:r>
        <w:t xml:space="preserve"> by the magnitude of configurational entropy of the selected HEAs system. This is calculated by eq. 1:</w:t>
      </w:r>
    </w:p>
    <w:p w14:paraId="7CC5C238" w14:textId="77777777" w:rsidR="00624970" w:rsidRDefault="00624970" w:rsidP="00624970">
      <w:pPr>
        <w:spacing w:after="120" w:line="360" w:lineRule="auto"/>
        <w:jc w:val="right"/>
      </w:pPr>
      <w:bookmarkStart w:id="20" w:name="_Hlk5894455"/>
      <m:oMath>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mix</m:t>
            </m:r>
          </m:sub>
        </m:sSub>
        <w:bookmarkEnd w:id="20"/>
        <m:r>
          <w:rPr>
            <w:rFonts w:ascii="Cambria Math" w:hAnsi="Cambria Math"/>
          </w:rPr>
          <m:t>=-</m:t>
        </m:r>
        <w:bookmarkStart w:id="21" w:name="_Hlk5894463"/>
        <m:r>
          <w:rPr>
            <w:rFonts w:ascii="Cambria Math" w:hAnsi="Cambria Math"/>
          </w:rPr>
          <m:t>R</m:t>
        </m:r>
        <w:bookmarkEnd w:id="21"/>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rPr>
              <m:t>ln</m:t>
            </m:r>
            <m:sSub>
              <m:sSubPr>
                <m:ctrlPr>
                  <w:rPr>
                    <w:rFonts w:ascii="Cambria Math" w:hAnsi="Cambria Math"/>
                    <w:i/>
                  </w:rPr>
                </m:ctrlPr>
              </m:sSubPr>
              <m:e>
                <m:r>
                  <w:rPr>
                    <w:rFonts w:ascii="Cambria Math" w:hAnsi="Cambria Math"/>
                  </w:rPr>
                  <m:t>c</m:t>
                </m:r>
              </m:e>
              <m:sub>
                <m:r>
                  <w:rPr>
                    <w:rFonts w:ascii="Cambria Math" w:hAnsi="Cambria Math"/>
                  </w:rPr>
                  <m:t>i</m:t>
                </m:r>
              </m:sub>
            </m:sSub>
          </m:e>
        </m:nary>
      </m:oMath>
      <w:r>
        <w:t xml:space="preserve">                                                                       (1)</w:t>
      </w:r>
    </w:p>
    <w:p w14:paraId="49B8D4F4" w14:textId="311266FF" w:rsidR="00624970" w:rsidRDefault="00624970" w:rsidP="00624970">
      <w:pPr>
        <w:spacing w:after="120" w:line="360" w:lineRule="auto"/>
        <w:jc w:val="both"/>
      </w:pPr>
      <w:bookmarkStart w:id="22" w:name="_Hlk5104106"/>
      <w:r>
        <w:t xml:space="preserve">where </w:t>
      </w:r>
      <w:r w:rsidRPr="006B2891">
        <w:rPr>
          <w:i/>
        </w:rPr>
        <w:t xml:space="preserve">R </w:t>
      </w:r>
      <w:r>
        <w:t xml:space="preserve">is </w:t>
      </w:r>
      <w:bookmarkStart w:id="23" w:name="_Hlk5894474"/>
      <w:r>
        <w:t xml:space="preserve">Boltzmann constant </w:t>
      </w:r>
      <w:bookmarkEnd w:id="23"/>
      <w:r>
        <w:t xml:space="preserve">and </w:t>
      </w:r>
      <m:oMath>
        <m:sSub>
          <m:sSubPr>
            <m:ctrlPr>
              <w:rPr>
                <w:rFonts w:ascii="Cambria Math" w:hAnsi="Cambria Math" w:cs="Times New Roman"/>
                <w:i/>
                <w:sz w:val="24"/>
                <w:szCs w:val="24"/>
              </w:rPr>
            </m:ctrlPr>
          </m:sSubPr>
          <m:e>
            <m:r>
              <w:rPr>
                <w:rFonts w:ascii="Cambria Math" w:hAnsi="Cambria Math"/>
              </w:rPr>
              <m:t>c</m:t>
            </m:r>
          </m:e>
          <m:sub>
            <m:r>
              <w:rPr>
                <w:rFonts w:ascii="Cambria Math" w:hAnsi="Cambria Math"/>
              </w:rPr>
              <m:t>i</m:t>
            </m:r>
          </m:sub>
        </m:sSub>
      </m:oMath>
      <w:r w:rsidRPr="1F4A1926">
        <w:t xml:space="preserve"> </w:t>
      </w:r>
      <w:r>
        <w:t>is the at</w:t>
      </w:r>
      <w:r w:rsidRPr="008C71F2">
        <w:rPr>
          <w:noProof/>
        </w:rPr>
        <w:t>omic c</w:t>
      </w:r>
      <w:r>
        <w:t xml:space="preserve">ontent of the element </w:t>
      </w:r>
      <w:bookmarkEnd w:id="22"/>
      <m:oMath>
        <m:r>
          <w:rPr>
            <w:rFonts w:ascii="Cambria Math" w:hAnsi="Cambria Math"/>
          </w:rPr>
          <m:t>i</m:t>
        </m:r>
      </m:oMath>
      <w:r>
        <w:t>. It is known that</w:t>
      </w:r>
      <w:r w:rsidRPr="1F4A1926">
        <w:t xml:space="preserve"> </w:t>
      </w:r>
      <w:r>
        <w:t>the most commonly used criterion for phase stabilisation is Gibbs free energy</w:t>
      </w:r>
      <w:r w:rsidRPr="1F4A1926">
        <w:t xml:space="preserve">, </w:t>
      </w:r>
      <w:r>
        <w:t xml:space="preserve">which is expressed in </w:t>
      </w:r>
      <w:r w:rsidRPr="006B2891">
        <w:rPr>
          <w:i/>
        </w:rPr>
        <w:t>eq</w:t>
      </w:r>
      <w:r>
        <w:t>. 2</w:t>
      </w:r>
      <w:r w:rsidRPr="1F4A1926">
        <w:t xml:space="preserve">. </w:t>
      </w:r>
      <w:r>
        <w:t xml:space="preserve">Phases with large </w:t>
      </w:r>
      <w:r w:rsidRPr="00E9073A">
        <w:t>ΔS</w:t>
      </w:r>
      <w:r>
        <w:t xml:space="preserve"> (ideal mixing configurational entropy of the system) will result in lower Gibbs free energy, which gives an adv</w:t>
      </w:r>
      <w:r w:rsidRPr="008C71F2">
        <w:rPr>
          <w:noProof/>
        </w:rPr>
        <w:t xml:space="preserve">antage </w:t>
      </w:r>
      <w:r>
        <w:rPr>
          <w:noProof/>
        </w:rPr>
        <w:t xml:space="preserve">that these </w:t>
      </w:r>
      <w:r>
        <w:t>phases form and remain stable at equilibrium. Therefore, the magnitude of mixing entropy is also used for the classification of HEAs. According to the magnitude of mixing configurational entropy, HEAs were classified into high entropy alloys (</w:t>
      </w:r>
      <w:r w:rsidRPr="00DC7594">
        <w:rPr>
          <w:rFonts w:ascii="Times New Roman" w:hAnsi="Times New Roman" w:cs="Times New Roman"/>
        </w:rPr>
        <w:t>Δ</w:t>
      </w:r>
      <w:r w:rsidRPr="006B2891">
        <w:rPr>
          <w:i/>
        </w:rPr>
        <w:t xml:space="preserve">S&gt; </w:t>
      </w:r>
      <w:r>
        <w:t>1.61</w:t>
      </w:r>
      <m:oMath>
        <m:r>
          <w:rPr>
            <w:rFonts w:ascii="Cambria Math" w:hAnsi="Cambria Math"/>
          </w:rPr>
          <m:t>R</m:t>
        </m:r>
      </m:oMath>
      <w:r>
        <w:t xml:space="preserve">), medium entropy </w:t>
      </w:r>
      <w:r w:rsidRPr="00DC7594">
        <w:t>alloy</w:t>
      </w:r>
      <w:r>
        <w:t>s</w:t>
      </w:r>
      <w:r w:rsidRPr="00DC7594">
        <w:rPr>
          <w:rFonts w:cs="Times New Roman"/>
        </w:rPr>
        <w:t xml:space="preserve"> (1.61</w:t>
      </w:r>
      <m:oMath>
        <m:r>
          <w:rPr>
            <w:rFonts w:ascii="Cambria Math" w:hAnsi="Cambria Math"/>
          </w:rPr>
          <m:t>R</m:t>
        </m:r>
      </m:oMath>
      <w:r w:rsidRPr="00DC7594">
        <w:rPr>
          <w:rFonts w:cs="Times New Roman"/>
        </w:rPr>
        <w:t xml:space="preserve"> &gt;</w:t>
      </w:r>
      <w:r>
        <w:rPr>
          <w:rFonts w:cs="Times New Roman"/>
        </w:rPr>
        <w:t xml:space="preserve"> </w:t>
      </w:r>
      <w:r w:rsidRPr="00DC7594">
        <w:rPr>
          <w:rFonts w:cs="Times New Roman"/>
        </w:rPr>
        <w:t>Δ</w:t>
      </w:r>
      <w:r w:rsidRPr="006B2891">
        <w:rPr>
          <w:i/>
        </w:rPr>
        <w:t>S</w:t>
      </w:r>
      <w:r w:rsidRPr="00DC7594">
        <w:t>&gt;</w:t>
      </w:r>
      <w:r w:rsidRPr="1F4A1926">
        <w:t xml:space="preserve"> </w:t>
      </w:r>
      <w:r w:rsidRPr="00DC7594">
        <w:t>0.69</w:t>
      </w:r>
      <m:oMath>
        <m:r>
          <w:rPr>
            <w:rFonts w:ascii="Cambria Math" w:hAnsi="Cambria Math"/>
          </w:rPr>
          <m:t>R</m:t>
        </m:r>
      </m:oMath>
      <w:r w:rsidRPr="00DC7594">
        <w:t>) and low entropy</w:t>
      </w:r>
      <w:r>
        <w:t xml:space="preserve"> alloys (0.69</w:t>
      </w:r>
      <m:oMath>
        <m:r>
          <w:rPr>
            <w:rFonts w:ascii="Cambria Math" w:hAnsi="Cambria Math"/>
          </w:rPr>
          <m:t>R</m:t>
        </m:r>
      </m:oMath>
      <w:r>
        <w:t xml:space="preserve"> &gt; </w:t>
      </w:r>
      <w:r>
        <w:rPr>
          <w:rFonts w:ascii="Times New Roman" w:hAnsi="Times New Roman" w:cs="Times New Roman"/>
        </w:rPr>
        <w:t>Δ</w:t>
      </w:r>
      <w:r w:rsidRPr="006B2891">
        <w:rPr>
          <w:i/>
        </w:rPr>
        <w:t>S</w:t>
      </w:r>
      <w:r w:rsidRPr="1F4A1926">
        <w:t>)</w:t>
      </w:r>
      <w:r>
        <w:fldChar w:fldCharType="begin" w:fldLock="1"/>
      </w:r>
      <w:r>
        <w:rPr>
          <w:rFonts w:hint="eastAsia"/>
        </w:rPr>
        <w:instrText>ADDIN CSL_CITATION {"citationItems":[{"id":"ITEM-1","itemData":{"abstract":"</w:instrText>
      </w:r>
      <w:r>
        <w:rPr>
          <w:rFonts w:hint="eastAsia"/>
        </w:rPr>
        <w:instrText>－</w:instrText>
      </w:r>
      <w:r>
        <w:rPr>
          <w:rFonts w:hint="eastAsia"/>
        </w:rPr>
        <w:instrText xml:space="preserve"> The thirty or so presently used common alloy systems are typically based on one or, at most, two elements. It has been considered that alloys consisting of a greater number of p</w:instrText>
      </w:r>
      <w:r>
        <w:instrText>rincipal elements will form complicated and brittle microstructures, and hence research regarding such multi-principal-element alloys has received very limited attention. It was suggested by Yeh in 1995, however, that alloy systems with five or more metallic elements will in fact possess higher mixing entropies, and therefore favor the formation of multielement solid-solution phases, as opposed to the inferred complex structures consisting of many intermetallic compounds. Indeed, work over the past decade into such multi-principal-element alloys, which have fittingly been coined as \" high-entropy alloys \" (HE alloys), has found them to form simple phases with nanocrystalline and even amorphous structures. In addition to the high-entropy effect, these structural characteristics are ascribed to the large lattice distortion and sluggish diffusion of such multielemental mixtures. Dependant upon the composition and/or processing route, HE alloys have been found to possess a wide spectrum of microstructures and properties. The superior properties exhibited by HE alloys over conventional alloys, along with the huge number of possible compositions that may give new phenomena and functional uses, makes these proposed HE alloys of great interest not only from a research perspective but also in numerous industrial applications. Therefore, this paper reviews the recent progress made on HE alloys, and possible future directions. Résumé – Revue des progrès dans les alliages à haute entropie. La trentaine de systèmes d'alliages actuellement d'utilisation courante sont typiquement basés sur un ou, au plus, deux éléments. On considérait que des alliages constitués d'un plus grand nombre d'éléments principaux formeraient des microstructures compliquées et fragiles, et la recherche sur de tels alliages multiélémentaires a donc été très limitée. Cependant, en 1995, Yeh a suggéré que les systèmes d'alliages formés d'au moins cinq éléments métalliques possédaient des entropies de mélange élevées et favoriseraient donc la formation de solutions solides multiélémentaires, par opposition aux supposées structures complexes formées de nombreux composés intermétalliques. Les travaux effectués au cours de la dernière décennie sur de tels alliages multiélémentaires, dénommés de façon appropriée « alliages à…","author":[{"dropping-particle":"","family":"Yeh","given":"Jien-Wei","non-dropping-particle":"","parse-names":false,"suffix":""},{"dropping-particle":"","family":"Yeh","given":"J W","non-dropping-particle":"","parse-names":false,"suffix":""}],"container-title":"Annales De Chimie – Science des Materiaux","id":"ITEM-1","issued":{"date-parts":[["2006"]]},"title":"Jien-Wei Yeh, \" Recent Progress in High-entropy Alloys \" RECENT PROGRESS IN HIGH-ENTROPY ALLOYS","type":"article-journal"},"uris":["http://www.mendeley.com/documents/?uuid=9e13d61d-26f6-4eeb-8458-ed9aa783d06a"]}],"mendeley":{"formattedCitation":"[14]","plainTextFormattedCitation":"[14]","previouslyFormattedCitation":"[14]"},"properties":{"noteIndex":0},"schema":"https://github.com/citation-style-language/schema/raw/master/csl-citation.json"}</w:instrText>
      </w:r>
      <w:r>
        <w:fldChar w:fldCharType="separate"/>
      </w:r>
      <w:r w:rsidRPr="003B39BC">
        <w:rPr>
          <w:noProof/>
        </w:rPr>
        <w:t>[14]</w:t>
      </w:r>
      <w:r>
        <w:fldChar w:fldCharType="end"/>
      </w:r>
      <w:r>
        <w:t>. It should be noted, that the magnitude of the configurational entropy is calculated on an id</w:t>
      </w:r>
      <w:r w:rsidRPr="0067418D">
        <w:rPr>
          <w:noProof/>
        </w:rPr>
        <w:t>eal s</w:t>
      </w:r>
      <w:r w:rsidRPr="008C71F2">
        <w:rPr>
          <w:noProof/>
        </w:rPr>
        <w:t>ystem</w:t>
      </w:r>
      <w:r>
        <w:rPr>
          <w:noProof/>
        </w:rPr>
        <w:t>,</w:t>
      </w:r>
      <w:r>
        <w:t xml:space="preserve"> based on the assumption that every atom in the se</w:t>
      </w:r>
      <w:r w:rsidRPr="0067418D">
        <w:rPr>
          <w:noProof/>
        </w:rPr>
        <w:t>lected a</w:t>
      </w:r>
      <w:r>
        <w:t>lloy system can randomly occupy a lattice site. Such a pre-condition can only be satisfied by representing the alloy system in a perfect solid solution state at a high temperature or liquid states</w:t>
      </w:r>
      <w:r w:rsidRPr="1F4A1926">
        <w:t>.</w:t>
      </w:r>
      <w:r>
        <w:t xml:space="preserve"> These strict assumptions therefore emphasise the</w:t>
      </w:r>
      <w:r w:rsidRPr="1F4A1926">
        <w:t xml:space="preserve"> </w:t>
      </w:r>
      <w:r>
        <w:t>restrictions of this classification and definition</w:t>
      </w:r>
      <w:r>
        <w:fldChar w:fldCharType="begin" w:fldLock="1"/>
      </w:r>
      <w:r>
        <w:instrText>ADDIN CSL_CITATION {"citationItems":[{"id":"ITEM-1","itemData":{"DOI":"10.1179/1743284715Y.0000000028","ISSN":"0267-0836","abstract":"AbstractThe article discusses the concept of high entropy alloys, introduced over the last decade and offering a methodology for development of new materials with enhanced properties, as well as the classification of such materials into a special category of multicomponent solutions. It is argued that the efficiency of this approach and applicability of the theory of regular solutions, on which the concept of high entropy alloys is based to materials science of multicomponent systems, are strongly exaggerated. The idea of random distribution of atoms in high entropy alloy structure is appropriate in fact only for ideal solid solutions, and there is no advantage in using it to understand the regularities of formation of complex alloys with special properties.","author":[{"dropping-particle":"","family":"Tomilin","given":"I. A.","non-dropping-particle":"","parse-names":false,"suffix":""},{"dropping-particle":"","family":"Kaloshkin","given":"S. D.","non-dropping-particle":"","parse-names":false,"suffix":""}],"container-title":"Materials Science and Technology","id":"ITEM-1","issued":{"date-parts":[["2015"]]},"title":"‘High entropy alloys’—‘semi-impossible’ regular solid solutions?","type":"article-journal"},"uris":["http://www.mendeley.com/documents/?uuid=fe12cc7d-ae4e-4c43-9d48-cc426e61ad6a"]}],"mendeley":{"formattedCitation":"[15]","plainTextFormattedCitation":"[15]","previouslyFormattedCitation":"[15]"},"properties":{"noteIndex":0},"schema":"https://github.com/citation-style-language/schema/raw/master/csl-citation.json"}</w:instrText>
      </w:r>
      <w:r>
        <w:fldChar w:fldCharType="separate"/>
      </w:r>
      <w:r w:rsidRPr="003B39BC">
        <w:rPr>
          <w:noProof/>
        </w:rPr>
        <w:t>[15]</w:t>
      </w:r>
      <w:r>
        <w:fldChar w:fldCharType="end"/>
      </w:r>
      <w:bookmarkStart w:id="24" w:name="_Hlk5104095"/>
      <w:r w:rsidRPr="1F4A1926">
        <w:t>.</w:t>
      </w:r>
      <w:bookmarkEnd w:id="24"/>
      <w:r>
        <w:rPr>
          <w:rFonts w:ascii="Times New Roman" w:hAnsi="Times New Roman" w:cs="Times New Roman"/>
          <w:sz w:val="24"/>
          <w:szCs w:val="24"/>
        </w:rPr>
        <w:t xml:space="preserve"> </w:t>
      </w:r>
      <w:r>
        <w:t>With progressive research, hundreds of HEA compositions have been designed and developed for different purposes. Miracle and Senkov</w:t>
      </w:r>
      <w:r>
        <w:fldChar w:fldCharType="begin" w:fldLock="1"/>
      </w:r>
      <w:r>
        <w:instrText>ADDIN CSL_CITATION {"citationItems":[{"id":"ITEM-1","itemData":{"DOI":"10.1016/j.actamat.2016.08.081","ISBN":"1359-6454","ISSN":"13596454","PMID":"1000090641","abstract":"High entropy alloys (HEAs) are barely 12 years old. The field has stimulated new ideas and has inspired the exploration of the vast composition space offered by multi-principal element alloys (MPEAs). Here we present a critical review of this field, with the intent of summarizing key findings, uncovering major trends and providing guidance for future efforts. Major themes in this assessment include definition of terms; thermodynamic analysis of complex, concentrated alloys (CCAs); taxonomy of current alloy families; microstructures; mechanical properties; potential applications; and future efforts. Based on detailed analyses, the following major results emerge. Although classical thermodynamic concepts are unchanged, trends in MPEAs can be different than in simpler alloys. Common thermodynamic perceptions can be misleading and new trends are described. From a strong focus on 3d transition metal alloys, there are now seven distinct CCA families. A new theme of designing alloy families by selecting elements to achieve a specific, intended purpose is starting to emerge. A comprehensive microstructural assessment is performed using three datasets: experimental data drawn from 408 different alloys and two computational datasets generated using the CALculated PHAse Diagram (CALPHAD) method. Each dataset emphasizes different elements and shows different microstructural trends. Trends in these three datasets are all predicted by a ‘structure in – structure out’ (SISO) analysis developed here that uses the weighted fractions of the constituent element crystal structures in each dataset. A total of 13 distinct multi-principal element single-phase fields are found in this microstructural assessment. Relationships between composition, microstructure and properties are established for 3d transition metal MPEAs, including the roles of Al, Cr and Cu. Critical evaluation shows that commercial austenitic stainless steels and nickel alloys with 3 or more principal elements are MPEAs, as well as some established functional materials. Mechanical properties of 3d transition metal CCAs are equivalent to commercial austenitic stainless steels and nickel alloys, while some refractory metal CCAs show potential to extend the service strength and/or temperature of nickel superalloys. Detailed analyses of microstructures and properties allow two major HEA hypotheses to be resolved. Although the ‘entropy effect’ is not supported by the present data, it has nevertheless made an endu…","author":[{"dropping-particle":"","family":"Miracle","given":"D. B.","non-dropping-particle":"","parse-names":false,"suffix":""},{"dropping-particle":"","family":"Senkov","given":"O. N.","non-dropping-particle":"","parse-names":false,"suffix":""}],"container-title":"Acta Materialia","id":"ITEM-1","issued":{"date-parts":[["2017"]]},"title":"A critical review of high entropy alloys and related concepts","type":"article"},"uris":["http://www.mendeley.com/documents/?uuid=b9603af7-792b-42ae-9b72-2b38c3ee23e5"]}],"mendeley":{"formattedCitation":"[16]","plainTextFormattedCitation":"[16]","previouslyFormattedCitation":"[16]"},"properties":{"noteIndex":0},"schema":"https://github.com/citation-style-language/schema/raw/master/csl-citation.json"}</w:instrText>
      </w:r>
      <w:r>
        <w:fldChar w:fldCharType="separate"/>
      </w:r>
      <w:r w:rsidRPr="003B39BC">
        <w:rPr>
          <w:noProof/>
        </w:rPr>
        <w:t>[16]</w:t>
      </w:r>
      <w:r>
        <w:fldChar w:fldCharType="end"/>
      </w:r>
      <w:r>
        <w:t xml:space="preserve"> reviewed a significantly large dataset of over four hundreds HEA compositions and created a system for classifying existing HEAs into seven groups (Fig. 2-1). HEAs comprised of elements of </w:t>
      </w:r>
      <w:r w:rsidRPr="0067418D">
        <w:rPr>
          <w:noProof/>
        </w:rPr>
        <w:t>the 3</w:t>
      </w:r>
      <w:r w:rsidRPr="006B2891">
        <w:rPr>
          <w:i/>
        </w:rPr>
        <w:t>d</w:t>
      </w:r>
      <w:r>
        <w:rPr>
          <w:noProof/>
        </w:rPr>
        <w:t xml:space="preserve"> </w:t>
      </w:r>
      <w:r w:rsidRPr="0067418D">
        <w:rPr>
          <w:noProof/>
        </w:rPr>
        <w:t>trans</w:t>
      </w:r>
      <w:r>
        <w:rPr>
          <w:noProof/>
        </w:rPr>
        <w:t>i</w:t>
      </w:r>
      <w:r w:rsidRPr="0067418D">
        <w:rPr>
          <w:noProof/>
        </w:rPr>
        <w:t>tional</w:t>
      </w:r>
      <w:r>
        <w:t xml:space="preserve"> metallic group and refractory elements have attracted </w:t>
      </w:r>
      <w:r w:rsidRPr="0067418D">
        <w:rPr>
          <w:noProof/>
        </w:rPr>
        <w:t>most</w:t>
      </w:r>
      <w:r w:rsidRPr="1F4A1926">
        <w:t xml:space="preserve"> </w:t>
      </w:r>
      <w:r w:rsidRPr="008C71F2">
        <w:rPr>
          <w:noProof/>
        </w:rPr>
        <w:t>attention</w:t>
      </w:r>
      <w:r w:rsidRPr="1F4A1926">
        <w:t xml:space="preserve">.   </w:t>
      </w:r>
    </w:p>
    <w:p w14:paraId="52CE8329" w14:textId="77777777" w:rsidR="00624970" w:rsidRDefault="00624970" w:rsidP="00624970">
      <w:pPr>
        <w:keepNext/>
        <w:spacing w:after="120" w:line="360" w:lineRule="auto"/>
        <w:jc w:val="center"/>
      </w:pPr>
      <w:r w:rsidRPr="00013EB4">
        <w:rPr>
          <w:noProof/>
          <w:lang w:val="en-US" w:eastAsia="en-US"/>
        </w:rPr>
        <w:lastRenderedPageBreak/>
        <w:drawing>
          <wp:inline distT="0" distB="0" distL="0" distR="0" wp14:anchorId="6A9B6248" wp14:editId="6616651B">
            <wp:extent cx="2760453" cy="4089560"/>
            <wp:effectExtent l="0" t="0" r="1905" b="6350"/>
            <wp:docPr id="22" name="图片 22" descr="C:\Users\Yuhe\Downloads\1-s2.0-S1359645416306759-gr8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he\Downloads\1-s2.0-S1359645416306759-gr8_lrg.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61940" cy="4091763"/>
                    </a:xfrm>
                    <a:prstGeom prst="rect">
                      <a:avLst/>
                    </a:prstGeom>
                    <a:noFill/>
                    <a:ln>
                      <a:noFill/>
                    </a:ln>
                  </pic:spPr>
                </pic:pic>
              </a:graphicData>
            </a:graphic>
          </wp:inline>
        </w:drawing>
      </w:r>
    </w:p>
    <w:p w14:paraId="578A92A9" w14:textId="77777777" w:rsidR="00624970" w:rsidRPr="008844E5" w:rsidRDefault="00624970" w:rsidP="00624970">
      <w:pPr>
        <w:spacing w:afterLines="60" w:after="144" w:line="360" w:lineRule="auto"/>
        <w:jc w:val="both"/>
        <w:rPr>
          <w:sz w:val="20"/>
        </w:rPr>
      </w:pPr>
      <w:bookmarkStart w:id="25" w:name="_Toc5617623"/>
      <w:bookmarkStart w:id="26" w:name="_Toc7364556"/>
      <w:bookmarkStart w:id="27" w:name="_Toc39312670"/>
      <w:r w:rsidRPr="008844E5">
        <w:rPr>
          <w:b/>
          <w:sz w:val="20"/>
          <w:szCs w:val="20"/>
        </w:rPr>
        <w:t>Figure 2-</w:t>
      </w:r>
      <w:r w:rsidRPr="008844E5">
        <w:rPr>
          <w:b/>
          <w:sz w:val="20"/>
          <w:szCs w:val="20"/>
        </w:rPr>
        <w:fldChar w:fldCharType="begin"/>
      </w:r>
      <w:r w:rsidRPr="008844E5">
        <w:rPr>
          <w:b/>
          <w:sz w:val="20"/>
          <w:szCs w:val="20"/>
        </w:rPr>
        <w:instrText xml:space="preserve"> SEQ Figure \* ARABIC </w:instrText>
      </w:r>
      <w:r w:rsidRPr="008844E5">
        <w:rPr>
          <w:b/>
          <w:sz w:val="20"/>
          <w:szCs w:val="20"/>
        </w:rPr>
        <w:fldChar w:fldCharType="separate"/>
      </w:r>
      <w:r>
        <w:rPr>
          <w:b/>
          <w:noProof/>
          <w:sz w:val="20"/>
          <w:szCs w:val="20"/>
        </w:rPr>
        <w:t>1</w:t>
      </w:r>
      <w:r w:rsidRPr="008844E5">
        <w:rPr>
          <w:b/>
          <w:sz w:val="20"/>
          <w:szCs w:val="20"/>
        </w:rPr>
        <w:fldChar w:fldCharType="end"/>
      </w:r>
      <w:r w:rsidRPr="008844E5">
        <w:rPr>
          <w:b/>
          <w:sz w:val="20"/>
          <w:szCs w:val="20"/>
        </w:rPr>
        <w:t xml:space="preserve"> </w:t>
      </w:r>
      <w:r w:rsidRPr="00A03FC4">
        <w:rPr>
          <w:b/>
          <w:sz w:val="20"/>
        </w:rPr>
        <w:t>Classification of HEAs by component element</w:t>
      </w:r>
      <w:r>
        <w:rPr>
          <w:b/>
          <w:sz w:val="20"/>
        </w:rPr>
        <w:t>s</w:t>
      </w:r>
      <w:r w:rsidRPr="00A03FC4">
        <w:rPr>
          <w:b/>
          <w:sz w:val="20"/>
        </w:rPr>
        <w:t xml:space="preserve"> </w:t>
      </w:r>
      <w:r w:rsidRPr="00A27DDF">
        <w:rPr>
          <w:sz w:val="20"/>
        </w:rPr>
        <w:t>(</w:t>
      </w:r>
      <w:r w:rsidRPr="00A03FC4">
        <w:rPr>
          <w:b/>
          <w:sz w:val="20"/>
        </w:rPr>
        <w:t>a</w:t>
      </w:r>
      <w:r w:rsidRPr="00A27DDF">
        <w:rPr>
          <w:sz w:val="20"/>
        </w:rPr>
        <w:t>)</w:t>
      </w:r>
      <w:r>
        <w:rPr>
          <w:sz w:val="20"/>
        </w:rPr>
        <w:t xml:space="preserve"> </w:t>
      </w:r>
      <w:r w:rsidRPr="00A03FC4">
        <w:rPr>
          <w:sz w:val="20"/>
        </w:rPr>
        <w:t>3</w:t>
      </w:r>
      <w:r w:rsidRPr="006524FD">
        <w:rPr>
          <w:i/>
          <w:sz w:val="20"/>
        </w:rPr>
        <w:t>d</w:t>
      </w:r>
      <w:r w:rsidRPr="00A03FC4">
        <w:rPr>
          <w:sz w:val="20"/>
        </w:rPr>
        <w:t xml:space="preserve"> transitional </w:t>
      </w:r>
      <w:r>
        <w:rPr>
          <w:sz w:val="20"/>
        </w:rPr>
        <w:t>metal</w:t>
      </w:r>
      <w:r w:rsidRPr="00A03FC4">
        <w:rPr>
          <w:sz w:val="20"/>
        </w:rPr>
        <w:t xml:space="preserve"> </w:t>
      </w:r>
      <w:r>
        <w:rPr>
          <w:sz w:val="20"/>
        </w:rPr>
        <w:t>composed</w:t>
      </w:r>
      <w:r w:rsidRPr="00A03FC4">
        <w:rPr>
          <w:sz w:val="20"/>
        </w:rPr>
        <w:t xml:space="preserve"> HEAs</w:t>
      </w:r>
      <w:r>
        <w:rPr>
          <w:sz w:val="20"/>
        </w:rPr>
        <w:t xml:space="preserve">, </w:t>
      </w:r>
      <w:r w:rsidRPr="00A03FC4">
        <w:rPr>
          <w:sz w:val="20"/>
        </w:rPr>
        <w:t xml:space="preserve">refractory </w:t>
      </w:r>
      <w:r>
        <w:rPr>
          <w:sz w:val="20"/>
        </w:rPr>
        <w:t>metal</w:t>
      </w:r>
      <w:r w:rsidRPr="00A03FC4">
        <w:rPr>
          <w:sz w:val="20"/>
        </w:rPr>
        <w:t xml:space="preserve"> co</w:t>
      </w:r>
      <w:r>
        <w:rPr>
          <w:sz w:val="20"/>
        </w:rPr>
        <w:t>mposed</w:t>
      </w:r>
      <w:r w:rsidRPr="00A03FC4">
        <w:rPr>
          <w:sz w:val="20"/>
        </w:rPr>
        <w:t xml:space="preserve"> HEAs</w:t>
      </w:r>
      <w:r>
        <w:rPr>
          <w:sz w:val="20"/>
        </w:rPr>
        <w:t xml:space="preserve"> and</w:t>
      </w:r>
      <w:r w:rsidRPr="00A03FC4">
        <w:rPr>
          <w:sz w:val="20"/>
        </w:rPr>
        <w:t xml:space="preserve"> 4</w:t>
      </w:r>
      <w:r w:rsidRPr="006524FD">
        <w:rPr>
          <w:i/>
          <w:sz w:val="20"/>
        </w:rPr>
        <w:t>f</w:t>
      </w:r>
      <w:r w:rsidRPr="00A03FC4">
        <w:rPr>
          <w:sz w:val="20"/>
        </w:rPr>
        <w:t xml:space="preserve"> group transition metal </w:t>
      </w:r>
      <w:r>
        <w:rPr>
          <w:sz w:val="20"/>
        </w:rPr>
        <w:t>composed</w:t>
      </w:r>
      <w:r w:rsidRPr="00A03FC4">
        <w:rPr>
          <w:sz w:val="20"/>
        </w:rPr>
        <w:t xml:space="preserve"> HEAs</w:t>
      </w:r>
      <w:r>
        <w:rPr>
          <w:sz w:val="20"/>
        </w:rPr>
        <w:t>; and</w:t>
      </w:r>
      <w:r w:rsidRPr="00A03FC4">
        <w:rPr>
          <w:sz w:val="20"/>
        </w:rPr>
        <w:t xml:space="preserve"> </w:t>
      </w:r>
      <w:r w:rsidRPr="00A27DDF">
        <w:rPr>
          <w:sz w:val="20"/>
        </w:rPr>
        <w:t>(</w:t>
      </w:r>
      <w:r w:rsidRPr="00A03FC4">
        <w:rPr>
          <w:b/>
          <w:sz w:val="20"/>
        </w:rPr>
        <w:t>b</w:t>
      </w:r>
      <w:r w:rsidRPr="00A27DDF">
        <w:rPr>
          <w:sz w:val="20"/>
        </w:rPr>
        <w:t>)</w:t>
      </w:r>
      <w:r w:rsidRPr="00A03FC4">
        <w:rPr>
          <w:sz w:val="20"/>
        </w:rPr>
        <w:t xml:space="preserve"> </w:t>
      </w:r>
      <w:r>
        <w:rPr>
          <w:noProof/>
          <w:sz w:val="20"/>
        </w:rPr>
        <w:t>L</w:t>
      </w:r>
      <w:r w:rsidRPr="0067418D">
        <w:rPr>
          <w:noProof/>
          <w:sz w:val="20"/>
        </w:rPr>
        <w:t>ight</w:t>
      </w:r>
      <w:r w:rsidRPr="00A03FC4">
        <w:rPr>
          <w:sz w:val="20"/>
        </w:rPr>
        <w:t xml:space="preserve"> metal complex </w:t>
      </w:r>
      <w:r>
        <w:rPr>
          <w:sz w:val="20"/>
        </w:rPr>
        <w:t>composed</w:t>
      </w:r>
      <w:r w:rsidRPr="00A03FC4">
        <w:rPr>
          <w:sz w:val="20"/>
        </w:rPr>
        <w:t xml:space="preserve"> HEAs, precious metal complex </w:t>
      </w:r>
      <w:r>
        <w:rPr>
          <w:noProof/>
          <w:sz w:val="20"/>
        </w:rPr>
        <w:t>composed</w:t>
      </w:r>
      <w:r w:rsidRPr="00A03FC4">
        <w:rPr>
          <w:sz w:val="20"/>
        </w:rPr>
        <w:t xml:space="preserve"> HEAs and brasses and bronzes complex </w:t>
      </w:r>
      <w:r>
        <w:rPr>
          <w:sz w:val="20"/>
        </w:rPr>
        <w:t>composed</w:t>
      </w:r>
      <w:r w:rsidRPr="00A03FC4">
        <w:rPr>
          <w:sz w:val="20"/>
        </w:rPr>
        <w:t xml:space="preserve"> HEAs. The heights of the </w:t>
      </w:r>
      <w:r>
        <w:rPr>
          <w:sz w:val="20"/>
        </w:rPr>
        <w:t xml:space="preserve">classification </w:t>
      </w:r>
      <w:r w:rsidRPr="00A03FC4">
        <w:rPr>
          <w:sz w:val="20"/>
        </w:rPr>
        <w:t xml:space="preserve">boxes </w:t>
      </w:r>
      <w:r w:rsidRPr="005E5580">
        <w:rPr>
          <w:sz w:val="20"/>
        </w:rPr>
        <w:t xml:space="preserve">in </w:t>
      </w:r>
      <w:r w:rsidRPr="005E5580">
        <w:rPr>
          <w:iCs/>
          <w:sz w:val="20"/>
        </w:rPr>
        <w:t>(a)</w:t>
      </w:r>
      <w:r w:rsidRPr="00A03FC4">
        <w:rPr>
          <w:sz w:val="20"/>
        </w:rPr>
        <w:t xml:space="preserve"> are proportional to the number of</w:t>
      </w:r>
      <w:r>
        <w:rPr>
          <w:sz w:val="20"/>
        </w:rPr>
        <w:t xml:space="preserve"> reported</w:t>
      </w:r>
      <w:r w:rsidRPr="00A03FC4">
        <w:rPr>
          <w:sz w:val="20"/>
        </w:rPr>
        <w:t xml:space="preserve"> alloys in the two major groups </w:t>
      </w:r>
      <w:r>
        <w:rPr>
          <w:sz w:val="20"/>
        </w:rPr>
        <w:t>[21]</w:t>
      </w:r>
      <w:bookmarkEnd w:id="25"/>
      <w:bookmarkEnd w:id="26"/>
      <w:r>
        <w:rPr>
          <w:sz w:val="20"/>
        </w:rPr>
        <w:t>.</w:t>
      </w:r>
      <w:bookmarkEnd w:id="27"/>
    </w:p>
    <w:p w14:paraId="7A294445" w14:textId="4EE19725" w:rsidR="00624970" w:rsidRDefault="00624970" w:rsidP="00624970">
      <w:pPr>
        <w:spacing w:afterLines="60" w:after="144" w:line="360" w:lineRule="auto"/>
        <w:jc w:val="both"/>
      </w:pPr>
      <w:r w:rsidRPr="0067418D">
        <w:rPr>
          <w:noProof/>
        </w:rPr>
        <w:t>Owing</w:t>
      </w:r>
      <w:r>
        <w:t xml:space="preserve"> to the nature of</w:t>
      </w:r>
      <w:r>
        <w:rPr>
          <w:noProof/>
        </w:rPr>
        <w:t xml:space="preserve"> intrinsic high configurational entropy</w:t>
      </w:r>
      <w:r>
        <w:t xml:space="preserve">, HEAs prefer to form </w:t>
      </w:r>
      <w:r w:rsidRPr="003B6CA7">
        <w:rPr>
          <w:noProof/>
        </w:rPr>
        <w:t>simple</w:t>
      </w:r>
      <w:r>
        <w:rPr>
          <w:noProof/>
        </w:rPr>
        <w:t xml:space="preserve"> disordered</w:t>
      </w:r>
      <w:r>
        <w:t xml:space="preserve"> solid solution phases with BCC, FCC and HCP structures. The two HEAs groups most frequently reported in </w:t>
      </w:r>
      <w:r w:rsidR="00E5609A">
        <w:t xml:space="preserve">the </w:t>
      </w:r>
      <w:r>
        <w:t>literature</w:t>
      </w:r>
      <w:r w:rsidR="00E5609A">
        <w:t>,</w:t>
      </w:r>
      <w:r>
        <w:t xml:space="preserve"> as shown in Fig. 2-1, are also the HEA groups observed to most often have </w:t>
      </w:r>
      <w:r w:rsidRPr="003B6CA7">
        <w:rPr>
          <w:noProof/>
        </w:rPr>
        <w:t>simple</w:t>
      </w:r>
      <w:r>
        <w:t xml:space="preserve"> solid solution phases. The CoCrFeNiMn system originally developed by Cantor and mainly composed of </w:t>
      </w:r>
      <w:r w:rsidR="00E5609A">
        <w:t xml:space="preserve">a </w:t>
      </w:r>
      <w:r>
        <w:t xml:space="preserve">FCC </w:t>
      </w:r>
      <w:r w:rsidR="00E5609A">
        <w:rPr>
          <w:noProof/>
        </w:rPr>
        <w:t>phase</w:t>
      </w:r>
      <w:r>
        <w:rPr>
          <w:noProof/>
        </w:rPr>
        <w:t>,</w:t>
      </w:r>
      <w:r>
        <w:t xml:space="preserve"> was shown to exhibit excellent </w:t>
      </w:r>
      <w:r w:rsidRPr="003B6CA7">
        <w:rPr>
          <w:noProof/>
        </w:rPr>
        <w:t>mechanical</w:t>
      </w:r>
      <w:r>
        <w:t xml:space="preserve"> performance at </w:t>
      </w:r>
      <w:r w:rsidRPr="00045620">
        <w:t>cryogenic</w:t>
      </w:r>
      <w:r>
        <w:t xml:space="preserve"> conditions. Based on the </w:t>
      </w:r>
      <w:r w:rsidRPr="003B6CA7">
        <w:rPr>
          <w:noProof/>
        </w:rPr>
        <w:t>stable</w:t>
      </w:r>
      <w:r>
        <w:t xml:space="preserve"> FCC matrix, with the </w:t>
      </w:r>
      <w:r w:rsidRPr="0067418D">
        <w:rPr>
          <w:noProof/>
        </w:rPr>
        <w:t>addition</w:t>
      </w:r>
      <w:r>
        <w:t xml:space="preserve"> of elements such as Al and Cu, various FCC dominated HEAs </w:t>
      </w:r>
      <w:r w:rsidRPr="003B6CA7">
        <w:rPr>
          <w:noProof/>
        </w:rPr>
        <w:t>were synthesi</w:t>
      </w:r>
      <w:r>
        <w:rPr>
          <w:noProof/>
        </w:rPr>
        <w:t>s</w:t>
      </w:r>
      <w:r w:rsidRPr="003B6CA7">
        <w:rPr>
          <w:noProof/>
        </w:rPr>
        <w:t>ed</w:t>
      </w:r>
      <w:r>
        <w:rPr>
          <w:noProof/>
        </w:rPr>
        <w:fldChar w:fldCharType="begin" w:fldLock="1"/>
      </w:r>
      <w:r>
        <w:rPr>
          <w:noProof/>
        </w:rPr>
        <w:instrText>ADDIN CSL_CITATION {"citationItems":[{"id":"ITEM-1","itemData":{"DOI":"10.1016/j.actamat.2016.10.038","ISBN":"1359-6454","ISSN":"13596454","abstract":"High-entropy alloys (HEAs) are multi-component systems based on novel alloy composition designs with entropy maximization. They feature an array of unique mechanical properties when compared with traditional alloys. In this study, HEA fibers with diameters ranging from 1 to 3.15 mm in diameter, with the composition of Al0.3CoCrFeNi (atomic percent, at.%), were successfully fabricated by hot-drawing, followed by microstructural characterization using scanning-electron microscopy (SEM) and transmission-electron microscopy (TEM). The compositional variations within and between fibers were determined using energy-dispersive X-ray spectroscopy in TEM along with atomic-probe tomography (APT). These analyses revealed a homogeneous face-centered cubic (FCC) structure in the as-cast material, while post processing (e.g., forging and wire drawing) produced nanosized B2 particles in an FCC matrix. Electron back-scatter diffraction (EBSD) was used to determine the evolution of the texture and grain boundary character after processing of the fibers. The tensile strength and plasticity of the fibers were determined at both 298 K (1207 MPa/7.8%) and 77 K (1600 MPa/17.5%). Detailed TEM analyses revealed that the improvement of mechanical properties at 77 K (i.e. increased strength and ductility) is due to a change in deformation mechanisms from the planar slip of dislocations to nano-twinning. Such properties could be beneficial for cryogenic applications.","author":[{"dropping-particle":"","family":"Li","given":"Dongyue","non-dropping-particle":"","parse-names":false,"suffix":""},{"dropping-particle":"","family":"Li","given":"Chengxin","non-dropping-particle":"","parse-names":false,"suffix":""},{"dropping-particle":"","family":"Feng","given":"Tao","non-dropping-particle":"","parse-names":false,"suffix":""},{"dropping-particle":"","family":"Zhang","given":"Yidong","non-dropping-particle":"","parse-names":false,"suffix":""},{"dropping-particle":"","family":"Sha","given":"Gang","non-dropping-particle":"","parse-names":false,"suffix":""},{"dropping-particle":"","family":"Lewandowski","given":"John J.","non-dropping-particle":"","parse-names":false,"suffix":""},{"dropping-particle":"","family":"Liaw","given":"Peter K.","non-dropping-particle":"","parse-names":false,"suffix":""},{"dropping-particle":"","family":"Zhang","given":"Yong","non-dropping-particle":"","parse-names":false,"suffix":""}],"container-title":"Acta Materialia","id":"ITEM-1","issued":{"date-parts":[["2017"]]},"title":"High-entropy Al0.3CoCrFeNi alloy fibers with high tensile strength and ductility at ambient and cryogenic temperatures","type":"article-journal"},"uris":["http://www.mendeley.com/documents/?uuid=97b6eb28-975f-4549-b3ca-ddf92d59671e"]},{"id":"ITEM-2","itemData":{"DOI":"10.1016/j.actamat.2015.08.076","ISBN":"1359-6454","ISSN":"13596454","abstract":"Recent studies indicated that high-entropy alloys (HEAs) possess unusual structural and thermal features, which could greatly affect dislocation motion and contribute to the mechanical performance, however, a HEA matrix alone is insufficiently strong for engineering applications and other strengthening mechanisms are urgently needed to be incorporated. In this work, we demonstrate the possibility to precipitate nanosized coherent reinforcing phase, i.e., L1&lt;inf&gt;2&lt;/inf&gt;-Ni&lt;inf&gt;3&lt;/inf&gt;(Ti,Al), in a fcc-FeCoNiCr HEA matrix using minor additions of Ti and Al. Through thermomechanical processing and microstructure controlling, extraordinary balanced tensile properties at room temperature were achieved, which is due to a well combination of various hardening mechanisms, particularly precipitation hardening. The applicability and validity of the conventional strengthening theories are also discussed. The current work is a successful demonstration of using integrated strengthening approaches to manipulate the properties of fcc-HEA systems, and the resulting findings are important not only for understanding the strengthening mechanisms of metallic materials in general, but also for the future development of high-performance HEAs for industrial applications.","author":[{"dropping-particle":"","family":"He","given":"J. Y.","non-dropping-particle":"","parse-names":false,"suffix":""},{"dropping-particle":"","family":"Wang","given":"H.","non-dropping-particle":"","parse-names":false,"suffix":""},{"dropping-particle":"","family":"Huang","given":"H. L.","non-dropping-particle":"","parse-names":false,"suffix":""},{"dropping-particle":"","family":"Xu","given":"X. D.","non-dropping-particle":"","parse-names":false,"suffix":""},{"dropping-particle":"","family":"Chen","given":"M. W.","non-dropping-particle":"","parse-names":false,"suffix":""},{"dropping-particle":"","family":"Wu","given":"Y.","non-dropping-particle":"","parse-names":false,"suffix":""},{"dropping-particle":"","family":"Liu","given":"X. J.","non-dropping-particle":"","parse-names":false,"suffix":""},{"dropping-particle":"","family":"Nieh","given":"T. G.","non-dropping-particle":"","parse-names":false,"suffix":""},{"dropping-particle":"","family":"An","given":"K.","non-dropping-particle":"","parse-names":false,"suffix":""},{"dropping-particle":"","family":"Lu","given":"Z. P.","non-dropping-particle":"","parse-names":false,"suffix":""}],"container-title":"Acta Materialia","id":"ITEM-2","issued":{"date-parts":[["2016"]]},"title":"A precipitation-hardened high-entropy alloy with outstanding tensile properties","type":"article-journal"},"uris":["http://www.mendeley.com/documents/?uuid=f3e1fcd2-b08b-45dd-abe1-5c0e68deb47e"]},{"id":"ITEM-3","itemData":{"DOI":"10.1016/j.intermet.2016.09.003","ISSN":"09669795","abstract":"Starting from three typical equiatomic CoCrFeNiMn, CoCrFeNiAl and CoCrFeNiCu high entropy alloys (HEAs), we systematically investigated the compositional dependence of phase formation and mechanical properties of 78 alloys by varying the atomic ratio of the constituent elements. It was found that the simple phase structures, including a single face-centered cubic (FCC) or body-centered cubic (BCC) phase, duplex FCC phases, duplex BCC phases, instead of intermetallics, could form within a broad compositional landscape in 68 out of the 78 alloys not limited to the equiatomic composition where the configurational mixing entropy is maximum. This fact indicates that it may be the nature of the constituent elements that leads to simple phase structure formation. With compositional variation, the microstructure and mechanical properties including hardness and tensile properties show corresponding changes. It was found that the hardness variation of samples within the same structure is smaller for the FCC than that of the BCC. Tensile results indicated that the tensile elongation of (CoCrFeMn)(100−x)Nix (x = 0, 10 and 20) alloys increases with Ni addition due to the decreasing volume fraction of sigma phase. For the (CoCrFeAl)(100−x)Nix (x = 27.3, 33.3, 38.5, 42.9 and 50) alloys, the yield strength decreases and tensile elongation increases with Ni addition due to decreasing volume fraction of BCC phase which is hard yet brittle. The present results are important to understand the phase formation and relationship between microstructure and mechanical properties in HEAs.","author":[{"dropping-particle":"","family":"Zhu","given":"Z. G.","non-dropping-particle":"","parse-names":false,"suffix":""},{"dropping-particle":"","family":"Ma","given":"K. H.","non-dropping-particle":"","parse-names":false,"suffix":""},{"dropping-particle":"","family":"Wang","given":"Q.","non-dropping-particle":"","parse-names":false,"suffix":""},{"dropping-particle":"","family":"Shek","given":"C. H.","non-dropping-particle":"","parse-names":false,"suffix":""}],"container-title":"Intermetallics","id":"ITEM-3","issued":{"date-parts":[["2016"]]},"title":"Compositional dependence of phase formation and mechanical properties in three CoCrFeNi-(Mn/Al/Cu) high entropy alloys","type":"article-journal"},"uris":["http://www.mendeley.com/documents/?uuid=f74246ab-0ebd-4cdc-b538-bddba39fca42","http://www.mendeley.com/documents/?uuid=4e94d3f2-f439-4775-b31a-d7d04b2e5f60"]},{"id":"ITEM-4","itemData":{"DOI":"10.1080/21663831.2018.1449767","ISSN":"21663831","abstract":"© 2018 The Author(s). Published by Informa UK Limited, trading as Taylor  &amp;  Francis Group. Effect of the addition of carbon on phase formations in Al x CoCrFeNiCu (x = 0.3, 1.5, 2.8) high-entropy alloys (HEAs) was studied. Free diffusion of carbon from graphite crucible resulted in the partitioning of the entire Cr from the matrix and the formation of the (Cr,Fe) 23 C 6 phase in all HEAs. No other metal-carbide phase was detected. The formation of (Cr,Fe) 23 C 6 enhanced the overall hardness of the HEAs. By increasing the amount of Al, the Cr amount decreased resulting in the reduction of carbon diffusion and volume fraction of the (Cr,Fe) 23 C 6 phase in HEAs. The hardness of matrix phases and the overall hardness of HEAs increased with an increase in the amount of Al. Impact statement The detailed phase analysis reveals that C addition to Al x CoCrFeNiCu HEAs leads to the formation of the (Cr,Fe) 23 C 6 phase. The overall hardness can be controlled by the amount of C and/or Al.","author":[{"dropping-particle":"","family":"Beyramali Kivy","given":"Mohsen","non-dropping-particle":"","parse-names":false,"suffix":""},{"dropping-particle":"","family":"Kriewall","given":"Caitlin S.","non-dropping-particle":"","parse-names":false,"suffix":""},{"dropping-particle":"","family":"Asle Zaeem","given":"Mohsen","non-dropping-particle":"","parse-names":false,"suffix":""}],"container-title":"Materials Research Letters","id":"ITEM-4","issued":{"date-parts":[["2018"]]},"title":"Formation of chromium-iron carbide by carbon diffusion in AlXCoCrFeNiCu high-entropy alloys","type":"article-journal"},"uris":["http://www.mendeley.com/documents/?uuid=37003bc8-be10-4c21-a797-1a356a41a6dc","http://www.mendeley.com/documents/?uuid=e51f35cd-73bb-4159-8e66-abda51764ce3"]}],"mendeley":{"formattedCitation":"[10,17–19]","plainTextFormattedCitation":"[10,17–19]","previouslyFormattedCitation":"[10,17–19]"},"properties":{"noteIndex":0},"schema":"https://github.com/citation-style-language/schema/raw/master/csl-citation.json"}</w:instrText>
      </w:r>
      <w:r>
        <w:rPr>
          <w:noProof/>
        </w:rPr>
        <w:fldChar w:fldCharType="separate"/>
      </w:r>
      <w:r w:rsidRPr="003B39BC">
        <w:rPr>
          <w:noProof/>
        </w:rPr>
        <w:t>[10,17–19]</w:t>
      </w:r>
      <w:r>
        <w:rPr>
          <w:noProof/>
        </w:rPr>
        <w:fldChar w:fldCharType="end"/>
      </w:r>
      <w:r w:rsidRPr="00480032">
        <w:rPr>
          <w:noProof/>
        </w:rPr>
        <w:t xml:space="preserve">. </w:t>
      </w:r>
      <w:r>
        <w:rPr>
          <w:noProof/>
        </w:rPr>
        <w:t xml:space="preserve">The </w:t>
      </w:r>
      <w:r>
        <w:t xml:space="preserve">BCC structure and sigma phases were detected in this series of HEAs and </w:t>
      </w:r>
      <w:r>
        <w:rPr>
          <w:noProof/>
        </w:rPr>
        <w:t>described</w:t>
      </w:r>
      <w:r>
        <w:t xml:space="preserve"> as </w:t>
      </w:r>
      <w:r w:rsidRPr="003B6CA7">
        <w:rPr>
          <w:noProof/>
        </w:rPr>
        <w:t>reinforc</w:t>
      </w:r>
      <w:r>
        <w:rPr>
          <w:noProof/>
        </w:rPr>
        <w:t>ing</w:t>
      </w:r>
      <w:r>
        <w:t xml:space="preserve"> precipitates in the matrix of both CoCrFeNi and CoCrFeNiMn</w:t>
      </w:r>
      <w:r>
        <w:fldChar w:fldCharType="begin" w:fldLock="1"/>
      </w:r>
      <w:r>
        <w:instrText>ADDIN CSL_CITATION {"citationItems":[{"id":"ITEM-1","itemData":{"DOI":"10.1016/j.scriptamat.2015.10.025","ISBN":"1359-6462","ISSN":"13596462","PMID":"29794680","abstract":"CrMnFeCoNi is widely considered to be an exemplar high-entropy alloy, which is stable as a single solid-solution phase at all temperatures below its melting point. Here, for the first time, the formation of two distinct types of Cr-rich precipitate in coarse-grained CrMnFeCoNi is reported following prolonged exposures at 700 °C. The precipitates were identified as M23C6and the σ phase, and their formation in unworked material during heat treatments without an applied stress indicated that they are equilibrium phases. Therefore, CrMnFeCoNi can no longer be regarded as thermodynamically stable as a single phase at all temperatures below its solidus.","author":[{"dropping-particle":"","family":"Pickering","given":"E. J.","non-dropping-particle":"","parse-names":false,"suffix":""},{"dropping-particle":"","family":"Muñoz-Moreno","given":"R.","non-dropping-particle":"","parse-names":false,"suffix":""},{"dropping-particle":"","family":"Stone","given":"H. J.","non-dropping-particle":"","parse-names":false,"suffix":""},{"dropping-particle":"","family":"Jones","given":"N. G.","non-dropping-particle":"","parse-names":false,"suffix":""}],"container-title":"Scripta Materialia","id":"ITEM-1","issued":{"date-parts":[["2016"]]},"title":"Precipitation in the equiatomic high-entropy alloy CrMnFeCoNi","type":"article-journal"},"uris":["http://www.mendeley.com/documents/?uuid=f67b666b-21a7-4e68-90b9-6033f1194dfd"]}],"mendeley":{"formattedCitation":"[4]","plainTextFormattedCitation":"[4]","previouslyFormattedCitation":"[4]"},"properties":{"noteIndex":0},"schema":"https://github.com/citation-style-language/schema/raw/master/csl-citation.json"}</w:instrText>
      </w:r>
      <w:r>
        <w:fldChar w:fldCharType="separate"/>
      </w:r>
      <w:r w:rsidRPr="003B39BC">
        <w:rPr>
          <w:noProof/>
        </w:rPr>
        <w:t>[4]</w:t>
      </w:r>
      <w:r>
        <w:fldChar w:fldCharType="end"/>
      </w:r>
      <w:r>
        <w:t xml:space="preserve">. </w:t>
      </w:r>
    </w:p>
    <w:p w14:paraId="1C2CF3F8" w14:textId="77777777" w:rsidR="00624970" w:rsidRDefault="00624970" w:rsidP="00624970">
      <w:pPr>
        <w:spacing w:afterLines="60" w:after="144" w:line="360" w:lineRule="auto"/>
        <w:jc w:val="both"/>
      </w:pPr>
      <w:r>
        <w:rPr>
          <w:rFonts w:hint="eastAsia"/>
        </w:rPr>
        <w:t>A</w:t>
      </w:r>
      <w:r>
        <w:t xml:space="preserve">nother highly researched </w:t>
      </w:r>
      <w:r w:rsidRPr="0067418D">
        <w:rPr>
          <w:noProof/>
        </w:rPr>
        <w:t>multi</w:t>
      </w:r>
      <w:r>
        <w:rPr>
          <w:noProof/>
        </w:rPr>
        <w:t>-</w:t>
      </w:r>
      <w:r w:rsidRPr="0067418D">
        <w:rPr>
          <w:noProof/>
        </w:rPr>
        <w:t>component</w:t>
      </w:r>
      <w:r>
        <w:t xml:space="preserve"> system</w:t>
      </w:r>
      <w:r w:rsidRPr="006B7F4B">
        <w:t xml:space="preserve"> </w:t>
      </w:r>
      <w:r>
        <w:t xml:space="preserve">presented in Fig. 2-1(a) </w:t>
      </w:r>
      <w:r>
        <w:rPr>
          <w:noProof/>
        </w:rPr>
        <w:t>is</w:t>
      </w:r>
      <w:r w:rsidRPr="0067418D">
        <w:rPr>
          <w:noProof/>
        </w:rPr>
        <w:t xml:space="preserve"> mainly </w:t>
      </w:r>
      <w:r>
        <w:rPr>
          <w:noProof/>
        </w:rPr>
        <w:t>composed of</w:t>
      </w:r>
      <w:r>
        <w:t xml:space="preserve"> elements from </w:t>
      </w:r>
      <w:r w:rsidRPr="00ED0FC4">
        <w:rPr>
          <w:i/>
        </w:rPr>
        <w:t>IV</w:t>
      </w:r>
      <w:r>
        <w:t xml:space="preserve">B group to </w:t>
      </w:r>
      <w:r w:rsidRPr="00ED0FC4">
        <w:rPr>
          <w:i/>
        </w:rPr>
        <w:t>VI</w:t>
      </w:r>
      <w:r>
        <w:t xml:space="preserve">B group. As a result of their high melting points, this class of HEAs </w:t>
      </w:r>
      <w:r>
        <w:rPr>
          <w:noProof/>
        </w:rPr>
        <w:t>was</w:t>
      </w:r>
      <w:r w:rsidRPr="00480032">
        <w:rPr>
          <w:noProof/>
        </w:rPr>
        <w:t xml:space="preserve"> </w:t>
      </w:r>
      <w:r>
        <w:rPr>
          <w:noProof/>
        </w:rPr>
        <w:t>grouped as R</w:t>
      </w:r>
      <w:r>
        <w:t>HEAs</w:t>
      </w:r>
      <w:r>
        <w:fldChar w:fldCharType="begin" w:fldLock="1"/>
      </w:r>
      <w:r>
        <w:instrText>ADDIN CSL_CITATION {"citationItems":[{"id":"ITEM-1","itemData":{"DOI":"10.1016/j.intermet.2010.05.014","ISBN":"0966-9795","ISSN":"09669795","abstract":"Two refractory high-entropy alloys with near-equiatomic concentrations, W-Nb-Mo-Ta and W-Nb-Mo-Ta-V, were produced by vacuum arc melting. Despite containing many constituents both alloys have a single-phase body-centered cubic (BCC) structure. The lattice parameters a = 3.2134(3) for the quaternary alloy and a = 3.1832(2) for the quinternary alloy were determined with high-energy X-ray diffraction using a scattering vector length range from 0.7 to 20 Å-1. The alloy density and Vickers microhardness were ρ = 13.75 g/cm3and Hv= 4455 MPa for the W-Nb-Mo-Ta alloy and ρ = 12.36 g/cm3and Hv= 5250 MPa for the W-Nb-Mo-Ta-V alloy. The exceptional microhardness in these alloys is greater than any individual constituent, suggesting the operation of a solid-solution-like strengthening mechanism. © 2010 Elsevier Ltd. All rights reserved.","author":[{"dropping-particle":"","family":"Senkov","given":"O. N.","non-dropping-particle":"","parse-names":false,"suffix":""},{"dropping-particle":"","family":"Wilks","given":"G. B.","non-dropping-particle":"","parse-names":false,"suffix":""},{"dropping-particle":"","family":"Miracle","given":"D. B.","non-dropping-particle":"","parse-names":false,"suffix":""},{"dropping-particle":"","family":"Chuang","given":"C. P.","non-dropping-particle":"","parse-names":false,"suffix":""},{"dropping-particle":"","family":"Liaw","given":"P. K.","non-dropping-particle":"","parse-names":false,"suffix":""}],"container-title":"Intermetallics","id":"ITEM-1","issued":{"date-parts":[["2010"]]},"title":"Refractory high-entropy alloys","type":"article-journal"},"uris":["http://www.mendeley.com/documents/?uuid=62b0b7c6-7fd0-4b3b-8189-4d228543f0ab"]}],"mendeley":{"formattedCitation":"[20]","plainTextFormattedCitation":"[20]","previouslyFormattedCitation":"[20]"},"properties":{"noteIndex":0},"schema":"https://github.com/citation-style-language/schema/raw/master/csl-citation.json"}</w:instrText>
      </w:r>
      <w:r>
        <w:fldChar w:fldCharType="separate"/>
      </w:r>
      <w:r w:rsidRPr="003B39BC">
        <w:rPr>
          <w:noProof/>
        </w:rPr>
        <w:t>[20]</w:t>
      </w:r>
      <w:r>
        <w:fldChar w:fldCharType="end"/>
      </w:r>
      <w:r>
        <w:t xml:space="preserve">. </w:t>
      </w:r>
      <w:r w:rsidRPr="0067418D">
        <w:rPr>
          <w:noProof/>
        </w:rPr>
        <w:t>Inherit</w:t>
      </w:r>
      <w:r>
        <w:rPr>
          <w:noProof/>
        </w:rPr>
        <w:t>ing</w:t>
      </w:r>
      <w:r>
        <w:t xml:space="preserve"> the mechanical properties of their </w:t>
      </w:r>
      <w:r w:rsidRPr="003B6CA7">
        <w:rPr>
          <w:noProof/>
        </w:rPr>
        <w:t>principal</w:t>
      </w:r>
      <w:r>
        <w:t xml:space="preserve"> </w:t>
      </w:r>
      <w:r w:rsidRPr="0067418D">
        <w:rPr>
          <w:noProof/>
        </w:rPr>
        <w:t>c</w:t>
      </w:r>
      <w:r>
        <w:rPr>
          <w:noProof/>
        </w:rPr>
        <w:t>ompon</w:t>
      </w:r>
      <w:r w:rsidRPr="0067418D">
        <w:rPr>
          <w:noProof/>
        </w:rPr>
        <w:t>ents</w:t>
      </w:r>
      <w:r>
        <w:rPr>
          <w:noProof/>
        </w:rPr>
        <w:t>,</w:t>
      </w:r>
      <w:r>
        <w:t xml:space="preserve"> they display </w:t>
      </w:r>
      <w:r>
        <w:lastRenderedPageBreak/>
        <w:t xml:space="preserve">high yield strength under </w:t>
      </w:r>
      <w:r w:rsidRPr="0067418D">
        <w:rPr>
          <w:noProof/>
        </w:rPr>
        <w:t>high</w:t>
      </w:r>
      <w:r>
        <w:rPr>
          <w:noProof/>
        </w:rPr>
        <w:t>-</w:t>
      </w:r>
      <w:r w:rsidRPr="0067418D">
        <w:rPr>
          <w:noProof/>
        </w:rPr>
        <w:t>temperature</w:t>
      </w:r>
      <w:r>
        <w:t xml:space="preserve"> conditions. </w:t>
      </w:r>
      <w:r w:rsidRPr="003B6CA7">
        <w:rPr>
          <w:noProof/>
        </w:rPr>
        <w:t>Ductility</w:t>
      </w:r>
      <w:r>
        <w:t xml:space="preserve">, strength, </w:t>
      </w:r>
      <w:r>
        <w:rPr>
          <w:noProof/>
        </w:rPr>
        <w:t>Y</w:t>
      </w:r>
      <w:r w:rsidRPr="0067418D">
        <w:rPr>
          <w:noProof/>
        </w:rPr>
        <w:t>oung</w:t>
      </w:r>
      <w:r>
        <w:rPr>
          <w:noProof/>
        </w:rPr>
        <w:t>’</w:t>
      </w:r>
      <w:r w:rsidRPr="0067418D">
        <w:rPr>
          <w:noProof/>
        </w:rPr>
        <w:t>s</w:t>
      </w:r>
      <w:r>
        <w:t xml:space="preserve"> </w:t>
      </w:r>
      <w:r w:rsidRPr="0067418D">
        <w:rPr>
          <w:noProof/>
        </w:rPr>
        <w:t>modulus</w:t>
      </w:r>
      <w:r>
        <w:t xml:space="preserve"> and various other mechanical properties </w:t>
      </w:r>
      <w:r w:rsidRPr="003B6CA7">
        <w:rPr>
          <w:noProof/>
        </w:rPr>
        <w:t>were tested</w:t>
      </w:r>
      <w:r>
        <w:t xml:space="preserve"> while tailoring the alloying components in RHEAs. Most RHEAs can remain phase stable and exhibit good mechanical performance at </w:t>
      </w:r>
      <w:r w:rsidRPr="008C71F2">
        <w:rPr>
          <w:noProof/>
        </w:rPr>
        <w:t>high</w:t>
      </w:r>
      <w:r>
        <w:rPr>
          <w:noProof/>
        </w:rPr>
        <w:t xml:space="preserve"> </w:t>
      </w:r>
      <w:r w:rsidRPr="008C71F2">
        <w:rPr>
          <w:noProof/>
        </w:rPr>
        <w:t>temperature</w:t>
      </w:r>
      <w:r>
        <w:rPr>
          <w:noProof/>
        </w:rPr>
        <w:t>s</w:t>
      </w:r>
      <w:r>
        <w:t>.</w:t>
      </w:r>
    </w:p>
    <w:p w14:paraId="03982FF6" w14:textId="7CBABE0A" w:rsidR="00624970" w:rsidRPr="001E3029" w:rsidRDefault="00624970" w:rsidP="00624970">
      <w:pPr>
        <w:pStyle w:val="2"/>
        <w:spacing w:before="0" w:afterLines="60" w:after="144" w:line="360" w:lineRule="auto"/>
        <w:rPr>
          <w:rFonts w:asciiTheme="minorHAnsi" w:hAnsiTheme="minorHAnsi"/>
          <w:b/>
          <w:noProof/>
          <w:color w:val="000000" w:themeColor="text1"/>
          <w:sz w:val="32"/>
          <w:szCs w:val="32"/>
        </w:rPr>
      </w:pPr>
      <w:bookmarkStart w:id="28" w:name="_Toc22052507"/>
      <w:r w:rsidRPr="001E3029">
        <w:rPr>
          <w:rFonts w:asciiTheme="minorHAnsi" w:hAnsiTheme="minorHAnsi"/>
          <w:b/>
          <w:noProof/>
          <w:color w:val="000000" w:themeColor="text1"/>
          <w:sz w:val="32"/>
          <w:szCs w:val="32"/>
        </w:rPr>
        <w:t xml:space="preserve">2.3 Phase prediction of </w:t>
      </w:r>
      <w:r w:rsidRPr="008C71F2">
        <w:rPr>
          <w:rFonts w:asciiTheme="minorHAnsi" w:hAnsiTheme="minorHAnsi"/>
          <w:b/>
          <w:noProof/>
          <w:color w:val="000000" w:themeColor="text1"/>
          <w:sz w:val="32"/>
          <w:szCs w:val="32"/>
        </w:rPr>
        <w:t>multi-components</w:t>
      </w:r>
      <w:r w:rsidRPr="001E3029">
        <w:rPr>
          <w:rFonts w:asciiTheme="minorHAnsi" w:hAnsiTheme="minorHAnsi"/>
          <w:b/>
          <w:noProof/>
          <w:color w:val="000000" w:themeColor="text1"/>
          <w:sz w:val="32"/>
          <w:szCs w:val="32"/>
        </w:rPr>
        <w:t xml:space="preserve"> alloys</w:t>
      </w:r>
      <w:bookmarkEnd w:id="19"/>
      <w:bookmarkEnd w:id="28"/>
    </w:p>
    <w:p w14:paraId="0074B30F" w14:textId="7D241170" w:rsidR="00624970" w:rsidRDefault="00624970" w:rsidP="00624970">
      <w:pPr>
        <w:spacing w:afterLines="60" w:after="144" w:line="360" w:lineRule="auto"/>
        <w:jc w:val="both"/>
      </w:pPr>
      <w:bookmarkStart w:id="29" w:name="_Toc5618279"/>
      <w:r>
        <w:t xml:space="preserve">The </w:t>
      </w:r>
      <w:r>
        <w:rPr>
          <w:noProof/>
        </w:rPr>
        <w:t>u</w:t>
      </w:r>
      <w:r w:rsidRPr="003B6CA7">
        <w:rPr>
          <w:noProof/>
        </w:rPr>
        <w:t>tili</w:t>
      </w:r>
      <w:r>
        <w:rPr>
          <w:noProof/>
        </w:rPr>
        <w:t>s</w:t>
      </w:r>
      <w:r w:rsidRPr="003B6CA7">
        <w:rPr>
          <w:noProof/>
        </w:rPr>
        <w:t>ation</w:t>
      </w:r>
      <w:r>
        <w:t xml:space="preserve"> of the HEAs concept in designing </w:t>
      </w:r>
      <w:r w:rsidRPr="003B6CA7">
        <w:rPr>
          <w:noProof/>
        </w:rPr>
        <w:t>advance</w:t>
      </w:r>
      <w:r>
        <w:rPr>
          <w:noProof/>
        </w:rPr>
        <w:t>d</w:t>
      </w:r>
      <w:r>
        <w:t xml:space="preserve"> </w:t>
      </w:r>
      <w:r w:rsidRPr="0067418D">
        <w:rPr>
          <w:noProof/>
        </w:rPr>
        <w:t>high</w:t>
      </w:r>
      <w:r>
        <w:rPr>
          <w:noProof/>
        </w:rPr>
        <w:t>-</w:t>
      </w:r>
      <w:r w:rsidRPr="0067418D">
        <w:rPr>
          <w:noProof/>
        </w:rPr>
        <w:t>performance</w:t>
      </w:r>
      <w:r>
        <w:rPr>
          <w:noProof/>
        </w:rPr>
        <w:t xml:space="preserve"> alloys allows the principles to be used for</w:t>
      </w:r>
      <w:r>
        <w:t xml:space="preserve"> further research. With the development of the HEA definition, the ratio of components of HEAs </w:t>
      </w:r>
      <w:r w:rsidRPr="003B6CA7">
        <w:rPr>
          <w:noProof/>
        </w:rPr>
        <w:t>is no longer restricted</w:t>
      </w:r>
      <w:r>
        <w:t xml:space="preserve"> to equimolar, hence greatly increasing the boundary for the design of new HEAs.</w:t>
      </w:r>
      <w:r w:rsidRPr="00657753">
        <w:t xml:space="preserve"> </w:t>
      </w:r>
      <w:r>
        <w:t>However, with many newly designed HEAs possessing equimolar compositions</w:t>
      </w:r>
      <w:r w:rsidRPr="002F436A">
        <w:t xml:space="preserve"> </w:t>
      </w:r>
      <w:r>
        <w:t>and constitutions with the highest configurational entropy, the tendency of phase formation changed from the formation of a single solid solution phases to that of multiple solid solution phases</w:t>
      </w:r>
      <w:r>
        <w:fldChar w:fldCharType="begin" w:fldLock="1"/>
      </w:r>
      <w:r>
        <w:instrText>ADDIN CSL_CITATION {"citationItems":[{"id":"ITEM-1","itemData":{"DOI":"10.1016/j.intermet.2018.01.017","ISSN":"09669795","PMID":"20223479","abstract":"In this work, the evolution of microstructure and fundamental mechanical properties with Mo concentratio</w:instrText>
      </w:r>
      <w:r>
        <w:rPr>
          <w:rFonts w:hint="eastAsia"/>
        </w:rPr>
        <w:instrText xml:space="preserve">n in the arc-melted (TiZrNbTa)100-xMox (0 </w:instrText>
      </w:r>
      <w:r>
        <w:rPr>
          <w:rFonts w:hint="eastAsia"/>
        </w:rPr>
        <w:instrText>≤</w:instrText>
      </w:r>
      <w:r>
        <w:rPr>
          <w:rFonts w:hint="eastAsia"/>
        </w:rPr>
        <w:instrText xml:space="preserve"> x </w:instrText>
      </w:r>
      <w:r>
        <w:rPr>
          <w:rFonts w:hint="eastAsia"/>
        </w:rPr>
        <w:instrText>≤</w:instrText>
      </w:r>
      <w:r>
        <w:rPr>
          <w:rFonts w:hint="eastAsia"/>
        </w:rPr>
        <w:instrText xml:space="preserve"> 20) high-entropy alloys (HEAs) are investigated. The arc-melted (TiZrNbTa)100-xMox alloys structurally consist of two bcc phases. The change in volume fractions of two phases in the microstructure is insigni</w:instrText>
      </w:r>
      <w:r>
        <w:instrText xml:space="preserve">ficant with Mo concentration, at levels of </w:instrText>
      </w:r>
      <w:r>
        <w:rPr>
          <w:rFonts w:ascii="Cambria Math" w:hAnsi="Cambria Math" w:cs="Cambria Math"/>
        </w:rPr>
        <w:instrText>∼</w:instrText>
      </w:r>
      <w:r>
        <w:instrText xml:space="preserve">75% for bcc1 and </w:instrText>
      </w:r>
      <w:r>
        <w:rPr>
          <w:rFonts w:ascii="Cambria Math" w:hAnsi="Cambria Math" w:cs="Cambria Math"/>
        </w:rPr>
        <w:instrText>∼</w:instrText>
      </w:r>
      <w:r>
        <w:instrText>25% for bcc2. The increases in microhardness and Young's modulus of the alloys linearly scale with Mo concentration. To compromise the strength and ductility, the (TiZrNbTa)90Mo10 exhibits an o</w:instrText>
      </w:r>
      <w:r>
        <w:rPr>
          <w:rFonts w:hint="eastAsia"/>
        </w:rPr>
        <w:instrText>ptimal combination of stiffness (E = 137 GPa), compressive yield strength (</w:instrText>
      </w:r>
      <w:r>
        <w:rPr>
          <w:rFonts w:hint="eastAsia"/>
        </w:rPr>
        <w:instrText>σ</w:instrText>
      </w:r>
      <w:r>
        <w:rPr>
          <w:rFonts w:hint="eastAsia"/>
        </w:rPr>
        <w:instrText>y = 1370 MPa) and deformability (</w:instrText>
      </w:r>
      <w:r>
        <w:rPr>
          <w:rFonts w:hint="eastAsia"/>
        </w:rPr>
        <w:instrText>ε</w:instrText>
      </w:r>
      <w:r>
        <w:rPr>
          <w:rFonts w:hint="eastAsia"/>
        </w:rPr>
        <w:instrText xml:space="preserve">p </w:instrText>
      </w:r>
      <w:r>
        <w:rPr>
          <w:rFonts w:hint="eastAsia"/>
        </w:rPr>
        <w:instrText>≈</w:instrText>
      </w:r>
      <w:r>
        <w:rPr>
          <w:rFonts w:hint="eastAsia"/>
        </w:rPr>
        <w:instrText xml:space="preserve"> 25%). In addition, it is indicated that dislocation widths in bcc lattice of refractory HEAs are insensitive to the alloying complexity, refl</w:instrText>
      </w:r>
      <w:r>
        <w:instrText>ecting that the Peierls barrier is excluded as a predominant factor of strengthening. Furthermore, a simple model is proposed to reveal the solid solution hardening (SSH) in bcc refractory HEAs, in which the solid solutions are treated as an imposition of distortion-free and distorted lattices. By applying this model to archived refractory HEAs, the predicted yield strength agrees well with experimentally measured values. It provides a simple empirical tool used for predicting the strength of bcc refractory HEAs and to assist new alloy design.","author":[{"dropping-particle":"","family":"Wang","given":"Shao Ping","non-dropping-particle":"","parse-names":false,"suffix":""},{"dropping-particle":"","family":"Xu","given":"Jian","non-dropping-particle":"","parse-names":false,"suffix":""}],"container-title":"Intermetallics","id":"ITEM-1","issued":{"date-parts":[["2018"]]},"title":"(TiZrNbTa)-Mo high-entropy alloys: Dependence of microstructure and mechanical properties on Mo concentration and modeling of solid solution strengthening","type":"article-journal"},"uris":["http://www.mendeley.com/documents/?uuid=b62a5a1f-5e26-4113-bbf4-b25779d04459"]},{"id":"ITEM-2","itemData":{"DOI":"10.1016/j.scriptamat.2016.08.008","ISBN":"8629884606","ISSN":"13596462","abstract":"CoCrFeNi alloy is an exemplary stable base for high entropy alloys (HEAs), but its phase stability is still suspicious. Here, the CoCrFeNi HEA was firstly identified to be thermally metastable at 750 °C. Composition decomposition occurred after annealed at 750 °C for 800 h. The minor addition of Al accelerated the composition decomposition and a second fcc phase with a different lattice constant occurred in the long time annealed CoCrFeNiAl0.1HEA. The CoCrFeNi HEA cannot be seen as stable alloys anymore and researchers should be very careful when using the current phase selection models to predict stability of HEAs at intermediate temperatures.","author":[{"dropping-particle":"","family":"He","given":"Feng","non-dropping-particle":"","parse-names":false,"suffix":""},{"dropping-particle":"","family":"Wang","given":"Zhijun","non-dropping-particle":"","parse-names":false,"suffix":""},{"dropping-particle":"","family":"Wu","given":"Qingfeng","non-dropping-particle":"","parse-names":false,"suffix":""},{"dropping-particle":"","family":"Li","given":"Junjie","non-dropping-particle":"","parse-names":false,"suffix":""},{"dropping-particle":"","family":"Wang","given":"Jincheng","non-dropping-particle":"","parse-names":false,"suffix":""},{"dropping-particle":"","family":"Liu","given":"C. T.","non-dropping-particle":"","parse-names":false,"suffix":""}],"container-title":"Scripta Materialia","id":"ITEM-2","issued":{"date-parts":[["2017"]]},"title":"Phase separation of metastable CoCrFeNi high entropy alloy at intermediate temperatures","type":"article-journal"},"uris":["http://www.mendeley.com/documents/?uuid=95bc5437-20fa-42f9-817d-f0d5139da04c"]}],"mendeley":{"formattedCitation":"[5,21]","plainTextFormattedCitation":"[5,21]","previouslyFormattedCitation":"[5,21]"},"properties":{"noteIndex":0},"schema":"https://github.com/citation-style-language/schema/raw/master/csl-citation.json"}</w:instrText>
      </w:r>
      <w:r>
        <w:fldChar w:fldCharType="separate"/>
      </w:r>
      <w:r w:rsidRPr="003B39BC">
        <w:rPr>
          <w:noProof/>
        </w:rPr>
        <w:t>[5,21]</w:t>
      </w:r>
      <w:r>
        <w:fldChar w:fldCharType="end"/>
      </w:r>
      <w:r>
        <w:t xml:space="preserve">. After these alloys were annealed, some equimolar HEAs where reported to form </w:t>
      </w:r>
      <w:r w:rsidRPr="003B6CA7">
        <w:rPr>
          <w:noProof/>
        </w:rPr>
        <w:t>complex</w:t>
      </w:r>
      <w:r>
        <w:t xml:space="preserve"> brittle intermetallic compound phases</w:t>
      </w:r>
      <w:r>
        <w:fldChar w:fldCharType="begin" w:fldLock="1"/>
      </w:r>
      <w:r>
        <w:instrText>ADDIN CSL_CITATION {"citationItems":[{"id":"ITEM-1","itemData":{"DOI":"10.1007/s11837-013-0776-z","ISBN":"1047-4838\\r1543-1851","ISSN":"10474838","abstract":"The crystal lattice type is one of the dominant factors for controlling\\nthe mechanical behavior of high-entropy alloys (HEAs). For example, the\\nyield strength at room temperature varies from 300 MPa for the\\nface-centered-cubic (fcc) structured alloys, such as the CoCrCuFeNiTi\\n(x) system, to about 3,000 MPa for the body-centered-cubic (bcc)\\nstructured alloys, such as the AlCoCrFeNiTi (x) system. The values of\\nVickers hardness range from 100 to 900, depending on lattice types and\\nmicrostructures. As in conventional alloys with one or two principal\\nelements, the addition of minor alloying elements to HEAs can further\\nalter their mechanical properties, such as strength, plasticity,\\nhardness, etc. Excessive alloying may even result in the change of\\nlattice types of HEAs. In this report, we first review alloying effects\\non lattice types and properties of HEAs in five Al-containing HEA\\nsystems: Al (x) CoCrCuFeNi, Al (x) CoCrFeNi, Al (x) CrFe1.5MnNi0.5, Al\\n(x) CoCrFeNiTi, and Al (x) CrCuFeNi2. It is found that Al acts as a\\nstrong bcc stabilizer, and its addition enhances the strength of the\\nalloy at the cost of reduced ductility. The origins of such effects are\\nthen qualitatively discussed from the viewpoints of lattice-strain\\nenergies and electronic bonds. Quantification of the interaction between\\nAl and 3d transition metals in fcc, bcc, and intermetallic compounds is\\nillustrated in the thermodynamic modeling using the CALculation of PHAse\\nDiagram method.","author":[{"dropping-particle":"","family":"Tang","given":"Zhi","non-dropping-particle":"","parse-names":false,"suffix":""},{"dropping-particle":"","family":"Gao","given":"Michael C.","non-dropping-particle":"","parse-names":false,"suffix":""},{"dropping-particle":"","family":"Diao","given":"Haoyan","non-dropping-particle":"","parse-names":false,"suffix":""},{"dropping-particle":"","family":"Yang","given":"Tengfei","non-dropping-particle":"","parse-names":false,"suffix":""},{"dropping-particle":"","family":"Liu","given":"Junpeng","non-dropping-particle":"","parse-names":false,"suffix":""},{"dropping-particle":"","family":"Zuo","given":"Tingting","non-dropping-particle":"","parse-names":false,"suffix":""},{"dropping-particle":"","family":"Zhang","given":"Yong","non-dropping-particle":"","parse-names":false,"suffix":""},{"dropping-particle":"","family":"Lu","given":"Zhaoping","non-dropping-particle":"","parse-names":false,"suffix":""},{"dropping-particle":"","family":"Cheng","given":"Yongqiang","non-dropping-particle":"","parse-names":false,"suffix":""},{"dropping-particle":"","family":"Zhang","given":"Yanwen","non-dropping-particle":"","parse-names":false,"suffix":""},{"dropping-particle":"","family":"Dahmen","given":"Karin A.","non-dropping-particle":"","parse-names":false,"suffix":""},{"dropping-particle":"","family":"Liaw","given":"Peter K.","non-dropping-particle":"","parse-names":false,"suffix":""},{"dropping-particle":"","family":"Egami","given":"Takeshi","non-dropping-particle":"","parse-names":false,"suffix":""}],"container-title":"JOM","id":"ITEM-1","issued":{"date-parts":[["2013"]]},"title":"Aluminum alloying effects on lattice types, microstructures, and mechanical behavior of high-entropy alloys systems","type":"article-journal"},"uris":["http://www.mendeley.com/documents/?uuid=6bb48653-d61f-46db-9175-09f941f18b1d"]},{"id":"ITEM-2","itemData":{"DOI":"10.1016/j.matlet.2016.08.088","ISBN":"0167577X","ISSN":"18734979","abstract":"There is a strong belief that the CoCrFeNiMn alloy is an example of high entropy alloy with single disordered solid solution structure. Recently it was challenged by the demonstration of second phases in the alloy after low-temperature annealing; however, specific processing conditions (prolonged annealing or severe plastic deformation prior to annealing) were used to cause their formation. In this letter, we report the formation of Cr-rich second phases with tetragonal (sigma phase) and bcc structures in the CoCrFeNiMn alloy after room or cryogenic temperature rolling to 80% strain thickness and further annealing at 600–800 °C for 1 h.","author":[{"dropping-particle":"","family":"Stepanov","given":"N. D.","non-dropping-particle":"","parse-names":false,"suffix":""},{"dropping-particle":"","family":"Shaysultanov","given":"D. G.","non-dropping-particle":"","parse-names":false,"suffix":""},{"dropping-particle":"","family":"Ozerov","given":"M. S.","non-dropping-particle":"","parse-names":false,"suffix":""},{"dropping-particle":"V.","family":"Zherebtsov","given":"S.","non-dropping-particle":"","parse-names":false,"suffix":""},{"dropping-particle":"","family":"Salishchev","given":"G. A.","non-dropping-particle":"","parse-names":false,"suffix":""}],"container-title":"Materials Letters","id":"ITEM-2","issued":{"date-parts":[["2016"]]},"title":"Second phase formation in the CoCrFeNiMn high entropy alloy after recrystallization annealing","type":"article-journal"},"uris":["http://www.mendeley.com/documents/?uuid=be48e946-f196-4945-801e-8692169e5c6f"]}],"mendeley":{"formattedCitation":"[12,22]","plainTextFormattedCitation":"[12,22]","previouslyFormattedCitation":"[12,22]"},"properties":{"noteIndex":0},"schema":"https://github.com/citation-style-language/schema/raw/master/csl-citation.json"}</w:instrText>
      </w:r>
      <w:r>
        <w:fldChar w:fldCharType="separate"/>
      </w:r>
      <w:r w:rsidRPr="003B39BC">
        <w:rPr>
          <w:noProof/>
        </w:rPr>
        <w:t>[12,22]</w:t>
      </w:r>
      <w:r>
        <w:fldChar w:fldCharType="end"/>
      </w:r>
      <w:r>
        <w:t xml:space="preserve">. It is the influence of the formation of </w:t>
      </w:r>
      <w:r w:rsidRPr="0067418D">
        <w:rPr>
          <w:noProof/>
        </w:rPr>
        <w:t>multiphase</w:t>
      </w:r>
      <w:r>
        <w:rPr>
          <w:noProof/>
        </w:rPr>
        <w:t>s in HEAs and their resul</w:t>
      </w:r>
      <w:r w:rsidR="00E5609A">
        <w:rPr>
          <w:noProof/>
        </w:rPr>
        <w:t>t</w:t>
      </w:r>
      <w:r>
        <w:rPr>
          <w:noProof/>
        </w:rPr>
        <w:t>ant effect on mechanical performance, which has placed increasing importance on phase formation prediction in these materials</w:t>
      </w:r>
      <w:r>
        <w:t>.</w:t>
      </w:r>
    </w:p>
    <w:p w14:paraId="1805ECE4" w14:textId="51C71593" w:rsidR="00624970" w:rsidRDefault="00624970" w:rsidP="00624970">
      <w:pPr>
        <w:spacing w:afterLines="60" w:after="144" w:line="360" w:lineRule="auto"/>
        <w:jc w:val="both"/>
      </w:pPr>
      <w:r>
        <w:t xml:space="preserve">Under the ideal disordered solid solution model, HEAs have high configurational entropy. This indicates that under </w:t>
      </w:r>
      <w:r w:rsidRPr="003B6CA7">
        <w:rPr>
          <w:noProof/>
        </w:rPr>
        <w:t>high-temperature</w:t>
      </w:r>
      <w:r>
        <w:t xml:space="preserve"> conditions, the </w:t>
      </w:r>
      <w:r>
        <w:rPr>
          <w:noProof/>
        </w:rPr>
        <w:t>G</w:t>
      </w:r>
      <w:r w:rsidRPr="0067418D">
        <w:rPr>
          <w:noProof/>
        </w:rPr>
        <w:t>ibbs</w:t>
      </w:r>
      <w:r>
        <w:t xml:space="preserve"> free energy of the </w:t>
      </w:r>
      <w:r w:rsidRPr="003B6CA7">
        <w:rPr>
          <w:noProof/>
        </w:rPr>
        <w:t>simple</w:t>
      </w:r>
      <w:r>
        <w:t xml:space="preserve"> solid solution phases will be significantly </w:t>
      </w:r>
      <w:r w:rsidRPr="003B6CA7">
        <w:rPr>
          <w:noProof/>
        </w:rPr>
        <w:t>reduced</w:t>
      </w:r>
      <w:r w:rsidR="00E5609A">
        <w:rPr>
          <w:noProof/>
        </w:rPr>
        <w:t>,</w:t>
      </w:r>
      <w:r>
        <w:t xml:space="preserve"> as expressed in </w:t>
      </w:r>
      <w:r w:rsidRPr="00D4322E">
        <w:rPr>
          <w:i/>
        </w:rPr>
        <w:t>eq</w:t>
      </w:r>
      <w:r>
        <w:t xml:space="preserve">.2. </w:t>
      </w:r>
      <w:bookmarkStart w:id="30" w:name="_Hlk5894597"/>
    </w:p>
    <w:p w14:paraId="365DA146" w14:textId="77777777" w:rsidR="00624970" w:rsidRDefault="00624970" w:rsidP="00624970">
      <w:pPr>
        <w:spacing w:afterLines="60" w:after="144" w:line="360" w:lineRule="auto"/>
        <w:jc w:val="right"/>
      </w:pPr>
      <m:oMath>
        <m:r>
          <m:rPr>
            <m:sty m:val="p"/>
          </m:rPr>
          <w:rPr>
            <w:rFonts w:ascii="Cambria Math" w:hAnsi="Cambria Math"/>
          </w:rPr>
          <m:t>∆</m:t>
        </m:r>
        <m:r>
          <w:rPr>
            <w:rFonts w:ascii="Cambria Math" w:hAnsi="Cambria Math"/>
          </w:rPr>
          <m:t>G</m:t>
        </m:r>
        <w:bookmarkEnd w:id="30"/>
        <m:r>
          <m:rPr>
            <m:sty m:val="p"/>
          </m:rPr>
          <w:rPr>
            <w:rFonts w:ascii="Cambria Math" w:hAnsi="Cambria Math"/>
          </w:rPr>
          <m:t>=</m:t>
        </m:r>
        <w:bookmarkStart w:id="31" w:name="_Hlk5894611"/>
        <m:r>
          <m:rPr>
            <m:sty m:val="p"/>
          </m:rPr>
          <w:rPr>
            <w:rFonts w:ascii="Cambria Math" w:hAnsi="Cambria Math"/>
          </w:rPr>
          <m:t>∆</m:t>
        </m:r>
        <m:r>
          <w:rPr>
            <w:rFonts w:ascii="Cambria Math" w:hAnsi="Cambria Math"/>
          </w:rPr>
          <m:t>H</m:t>
        </m:r>
        <w:bookmarkEnd w:id="31"/>
        <m:r>
          <m:rPr>
            <m:sty m:val="p"/>
          </m:rPr>
          <w:rPr>
            <w:rFonts w:ascii="Cambria Math" w:hAnsi="Cambria Math"/>
          </w:rPr>
          <m:t>-</m:t>
        </m:r>
        <m:r>
          <w:rPr>
            <w:rFonts w:ascii="Cambria Math" w:hAnsi="Cambria Math"/>
          </w:rPr>
          <m:t>T</m:t>
        </m:r>
        <m:r>
          <m:rPr>
            <m:sty m:val="p"/>
          </m:rPr>
          <w:rPr>
            <w:rFonts w:ascii="Cambria Math" w:hAnsi="Cambria Math"/>
          </w:rPr>
          <m:t>×∆</m:t>
        </m:r>
        <m:r>
          <w:rPr>
            <w:rFonts w:ascii="Cambria Math" w:hAnsi="Cambria Math"/>
          </w:rPr>
          <m:t>S</m:t>
        </m:r>
      </m:oMath>
      <w:r>
        <w:t xml:space="preserve">                                                                    (2)</w:t>
      </w:r>
    </w:p>
    <w:p w14:paraId="4100D37B" w14:textId="48B111D4" w:rsidR="00624970" w:rsidRPr="00417421" w:rsidRDefault="00624970" w:rsidP="00624970">
      <w:pPr>
        <w:spacing w:afterLines="60" w:after="144" w:line="360" w:lineRule="auto"/>
        <w:jc w:val="both"/>
      </w:pPr>
      <w:r>
        <w:t xml:space="preserve">The </w:t>
      </w:r>
      <w:r w:rsidRPr="003B6CA7">
        <w:rPr>
          <w:noProof/>
        </w:rPr>
        <w:t>simple</w:t>
      </w:r>
      <w:r>
        <w:t xml:space="preserve"> solid solution phase will become </w:t>
      </w:r>
      <w:r w:rsidRPr="1F4A1926">
        <w:t>eas</w:t>
      </w:r>
      <w:r>
        <w:t xml:space="preserve">ier to form, in comparison with </w:t>
      </w:r>
      <w:r w:rsidRPr="0067418D">
        <w:rPr>
          <w:noProof/>
        </w:rPr>
        <w:t>complex</w:t>
      </w:r>
      <w:r>
        <w:t xml:space="preserve"> intermetallic compounds at high temperatures. </w:t>
      </w:r>
      <w:r w:rsidRPr="00480032">
        <w:rPr>
          <w:noProof/>
        </w:rPr>
        <w:t>However</w:t>
      </w:r>
      <w:r>
        <w:rPr>
          <w:noProof/>
        </w:rPr>
        <w:t>,</w:t>
      </w:r>
      <w:r>
        <w:t xml:space="preserve"> the effect of mixing enthalpy cannot be neglected in phase selection, especially at </w:t>
      </w:r>
      <w:r w:rsidRPr="0067418D">
        <w:rPr>
          <w:noProof/>
        </w:rPr>
        <w:t>low</w:t>
      </w:r>
      <w:r>
        <w:rPr>
          <w:noProof/>
        </w:rPr>
        <w:t>-</w:t>
      </w:r>
      <w:r w:rsidRPr="0067418D">
        <w:rPr>
          <w:noProof/>
        </w:rPr>
        <w:t>temperature</w:t>
      </w:r>
      <w:r>
        <w:t xml:space="preserve"> conditions. The competition between mixing enthalpy </w:t>
      </w:r>
      <w:r w:rsidRPr="0067418D">
        <w:rPr>
          <w:noProof/>
        </w:rPr>
        <w:t>and</w:t>
      </w:r>
      <w:r>
        <w:t xml:space="preserve"> mixing entropy determines the final stable states in HEAs. Several </w:t>
      </w:r>
      <w:r w:rsidRPr="00480032">
        <w:rPr>
          <w:noProof/>
        </w:rPr>
        <w:t>work</w:t>
      </w:r>
      <w:r>
        <w:rPr>
          <w:noProof/>
        </w:rPr>
        <w:t>s</w:t>
      </w:r>
      <w:r>
        <w:t xml:space="preserve"> have been conducted to ascertain the </w:t>
      </w:r>
      <w:r w:rsidRPr="00480032">
        <w:rPr>
          <w:noProof/>
        </w:rPr>
        <w:t>effect</w:t>
      </w:r>
      <w:r>
        <w:rPr>
          <w:noProof/>
        </w:rPr>
        <w:t>s</w:t>
      </w:r>
      <w:r>
        <w:t xml:space="preserve"> of entropy </w:t>
      </w:r>
      <w:r w:rsidRPr="00480032">
        <w:rPr>
          <w:noProof/>
        </w:rPr>
        <w:t>and</w:t>
      </w:r>
      <w:r>
        <w:t xml:space="preserve"> enthalpy in HEA phase formation. Early works were conducted on CoCrFeNi FCC HEAs. Known as FCC-stable HEA, various elements were added into CoCrFeNi to examine the phase formation tendency in CoFrFeNi+X (where X is the fifth components</w:t>
      </w:r>
      <w:r w:rsidR="00E5609A">
        <w:t>)</w:t>
      </w:r>
      <w:r>
        <w:t xml:space="preserve"> Unsurprisingly, despite the well-known CoCrFeNiMn system comprising </w:t>
      </w:r>
      <w:r w:rsidRPr="003B6CA7">
        <w:rPr>
          <w:noProof/>
        </w:rPr>
        <w:t>simple</w:t>
      </w:r>
      <w:r>
        <w:t xml:space="preserve"> solid solution phases, once Mn is replaced with other elemental substitutions, the phase constitution will change significantly as a result of the </w:t>
      </w:r>
      <w:r w:rsidRPr="0067418D">
        <w:rPr>
          <w:noProof/>
        </w:rPr>
        <w:t>difference</w:t>
      </w:r>
      <w:r>
        <w:t xml:space="preserve"> in mixing enthalpy. An example of this is Ti, whose mixing enthalpy with Co, Cr, Fe and Ni is -28 kJ/mol, -7</w:t>
      </w:r>
      <w:r w:rsidRPr="008F4177">
        <w:t xml:space="preserve"> </w:t>
      </w:r>
      <w:r>
        <w:t>kJ/mol, -17</w:t>
      </w:r>
      <w:r w:rsidRPr="008F4177">
        <w:t xml:space="preserve"> </w:t>
      </w:r>
      <w:r>
        <w:t>kJ/mol and -35</w:t>
      </w:r>
      <w:r w:rsidRPr="008F4177">
        <w:t xml:space="preserve"> </w:t>
      </w:r>
      <w:r>
        <w:t xml:space="preserve">kJ/mol, respectively. When </w:t>
      </w:r>
      <w:r>
        <w:rPr>
          <w:noProof/>
        </w:rPr>
        <w:t>substituting Mn with Ti</w:t>
      </w:r>
      <w:r>
        <w:t>,</w:t>
      </w:r>
      <w:r w:rsidR="00E5609A">
        <w:t xml:space="preserve"> the</w:t>
      </w:r>
      <w:r>
        <w:t xml:space="preserve"> simple </w:t>
      </w:r>
      <w:r w:rsidRPr="003B6CA7">
        <w:rPr>
          <w:noProof/>
        </w:rPr>
        <w:t>solid</w:t>
      </w:r>
      <w:r>
        <w:t xml:space="preserve"> solution FCC phase </w:t>
      </w:r>
      <w:r w:rsidR="00E5609A">
        <w:t xml:space="preserve">was </w:t>
      </w:r>
      <w:r>
        <w:t xml:space="preserve">observed together with intermetallic phases </w:t>
      </w:r>
      <w:r>
        <w:fldChar w:fldCharType="begin" w:fldLock="1"/>
      </w:r>
      <w:r>
        <w:instrText>ADDIN CSL_CITATION {"citationItems":[{"id":"ITEM-1","itemData":{"DOI":"10.1038/srep39803","ISBN":"2045-2322 (Electronic)\r2045-2322 (Linking)","ISSN":"20452322","PMID":"28059106","abstract":"The Effect of Electronic Structure on the Phases Present in High Entropy Alloys","author":[{"dropping-particle":"","family":"Leong","given":"Zhaoyuan","non-dropping-particle":"","parse-names":false,"suffix":""},{"dropping-particle":"","family":"Wróbel","given":"Jan S.","non-dropping-particle":"","parse-names":false,"suffix":""},{"dropping-particle":"","family":"Dudarev","given":"Sergei L.","non-dropping-particle":"","parse-names":false,"suffix":""},{"dropping-particle":"","family":"Goodall","given":"Russell","non-dropping-particle":"","parse-names":false,"suffix":""},{"dropping-particle":"","family":"Todd","given":"Iain","non-dropping-particle":"","parse-names":false,"suffix":""},{"dropping-particle":"","family":"Nguyen-Manh","given":"Duc","non-dropping-particle":"","parse-names":false,"suffix":""}],"container-title":"Scientific Reports","id":"ITEM-1","issued":{"date-parts":[["2017"]]},"title":"The Effect of Electronic Structure on the Phases Present in High Entropy Alloys","type":"article-journal"},"uris":["http://www.mendeley.com/documents/?uuid=9a74995c-5cfe-4fc6-b1cb-6438ea951f18"]},{"id":"ITEM-2","itemData":{"DOI":"10.1007/s11661-006-0234-4","ISBN":"1073-5623","ISSN":"10735623","abstract":"A \"Communications\" section","author":[{"dropping-particle":"","family":"Yeh","given":"Jien Wei","non-dropping-particle":"","parse-names":false,"suffix":""},{"dropping-particle":"","family":"Chen","given":"Swe Kai","non-dropping-particle":"","parse-names":false,"suffix":""},{"dropping-particle":"","family":"Gan","given":"Jon Yiew","non-dropping-particle":"","parse-names":false,"suffix":""},{"dropping-particle":"","family":"Lin","given":"Su Jien","non-dropping-particle":"","parse-names":false,"suffix":""},{"dropping-particle":"","family":"Chin","given":"Tsung Shune","non-dropping-particle":"","parse-names":false,"suffix":""},{"dropping-particle":"","family":"Shun","given":"Tao Tsung","non-dropping-particle":"","parse-names":false,"suffix":""},{"dropping-particle":"","family":"Tsau","given":"Chung Huei","non-dropping-particle":"","parse-names":false,"suffix":""},{"dropping-particle":"","family":"Chang","given":"Shou Yi","non-dropping-particle":"","parse-names":false,"suffix":""}],"container-title":"Metallurgical and Materials Transactions A: Physical Metallurgy and Materials Science","id":"ITEM-2","issued":{"date-parts":[["2004"]]},"title":"Formation of simple crystal structures in Cu-Co-Ni-Cr-Al-Fe-Ti-V alloys with multiprincipal metallic elements","type":"article-journal"},"uris":["http://www.mendeley.com/documents/?uuid=65ba0fa6-34fb-4af1-b2dd-b6fdaeebb6ec"]},{"id":"ITEM-3","itemData":{"DOI":"10.1016/j.msea.2012.06.075","ISBN":"1044-5803","ISSN":"09215093","PMID":"26735844","abstract":"The purpose of this study is to investigate the effects of Ti addition on the microstructures and mechanical properties of multiprincipal component CoCrFeNiTix(x values in molar ratio, x=0, 0.3, and 0.5) alloys. The CoCrFeNi quaternary alloy displayed a crystalline structure constructed by a simple face-centered cubic solid solution, whereas a plate-like structure consisting of a mixture of (Ni, Ti)-rich R phase and (Cr, Fe)-rich σ phase was observed within the face-centered cubic matrix of a CoCrFeNiTi0.3alloy. In a CoCrFeNiTi0.5alloy, an face-centered cubic matrix, a (Ti, Co)-rich Laves phase, and R+σ mixed phases were discovered. The compressive strength of the alloys rose by approximately 75% after the addition of Ti. Alloys with high levels of Ti content had high yield stress values and low ductility values. The solid-solution strengthening of the face-centered cubic matrix and the secondary-phase hardening were the two main factors that strengthened the alloy. The CoCrFeNiTi0.3alloy exhibited a compressive strength of 1529MPa and a fracture strain of 0.60; this indicates that this material shows potential for the development of a ductile, high-strength alloy. © 2012 Elsevier B.V.","author":[{"dropping-particle":"","family":"Shun","given":"Tao Tsung","non-dropping-particle":"","parse-names":false,"suffix":""},{"dropping-particle":"","family":"Chang","given":"Liang Yi","non-dropping-particle":"","parse-names":false,"suffix":""},{"dropping-particle":"","family":"Shiu","given":"Ming Hua","non-dropping-particle":"","parse-names":false,"suffix":""}],"container-title":"Materials Science and Engineering A","id":"ITEM-3","issued":{"date-parts":[["2012"]]},"title":"Microstructures and mechanical properties of multiprincipal component CoCrFeNiTi x alloys","type":"article-journal"},"uris":["http://www.mendeley.com/documents/?uuid=08c1a803-dd12-4481-a644-c70af2f25c23"]}],"mendeley":{"formattedCitation":"[8,23,24]","plainTextFormattedCitation":"[8,23,24]","previouslyFormattedCitation":"[8,23,24]"},"properties":{"noteIndex":0},"schema":"https://github.com/citation-style-language/schema/raw/master/csl-citation.json"}</w:instrText>
      </w:r>
      <w:r>
        <w:fldChar w:fldCharType="separate"/>
      </w:r>
      <w:r w:rsidRPr="003B39BC">
        <w:rPr>
          <w:noProof/>
        </w:rPr>
        <w:t>[8,23,24]</w:t>
      </w:r>
      <w:r>
        <w:fldChar w:fldCharType="end"/>
      </w:r>
      <w:r>
        <w:t xml:space="preserve">. </w:t>
      </w:r>
      <w:r>
        <w:rPr>
          <w:noProof/>
        </w:rPr>
        <w:t>S</w:t>
      </w:r>
      <w:r w:rsidRPr="0067418D">
        <w:rPr>
          <w:noProof/>
        </w:rPr>
        <w:t>imilar</w:t>
      </w:r>
      <w:r>
        <w:t xml:space="preserve"> observations have been </w:t>
      </w:r>
      <w:r>
        <w:lastRenderedPageBreak/>
        <w:t>described for CoCrFeNi-Mo</w:t>
      </w:r>
      <w:r>
        <w:fldChar w:fldCharType="begin" w:fldLock="1"/>
      </w:r>
      <w:r>
        <w:instrText>ADDIN CSL_CITATION {"citationItems":[{"id":"ITEM-1","itemData":{"DOI":"10.1166/jnn.2014.9441","ISBN":"1533-4880","ISSN":"15334880","abstract":"In the present study, influence of molybdenum and niobium additions on phase formation during mechanical alloying and spark plasma sintering of CoCrFeNi high entropy alloy was studied. Major FCC and minor BCC phase were observed after mechanical alloying of CoCrFeNi. However, major FCC and sigma phase were observed after spark plasma sintering. A maximum relative density of 95% was obtained with the hardness of 570 HV in CoCrFeNi HEA. The phase formation behavior was not significantly affected by the addition of molybdenum or niobium. However, addition of Mo to CoCrFeNi increased the hardness from 570 HV to 620 HV, and the hardness increased to 710 HV with combined addition of molybdenum and niobium. After sintering, major FCC phase with crystallite size of 60–70 nm was observed in all the compositions. Further, the microstructure and hardness retention was observed in CoCrFeNiMo0.2 with annealing temperature up to 800 °C.","author":[{"dropping-particle":"","family":"Praveen","given":"S.","non-dropping-particle":"","parse-names":false,"suffix":""},{"dropping-particle":"","family":"Murty","given":"B. S.","non-dropping-particle":"","parse-names":false,"suffix":""},{"dropping-particle":"","family":"Kottada","given":"Ravi S.","non-dropping-particle":"","parse-names":false,"suffix":""}],"container-title":"Journal of Nanoscience and Nanotechnology","id":"ITEM-1","issued":{"date-parts":[["2014"]]},"title":"Effect of Molybdenum and Niobium on the Phase Formation and Hardness of Nanocrystalline CoCrFeNi High Entropy Alloys","type":"article-journal"},"uris":["http://www.mendeley.com/documents/?uuid=637d9392-fc49-42c2-aea0-38e21c9adb5d"]}],"mendeley":{"formattedCitation":"[25]","plainTextFormattedCitation":"[25]","previouslyFormattedCitation":"[25]"},"properties":{"noteIndex":0},"schema":"https://github.com/citation-style-language/schema/raw/master/csl-citation.json"}</w:instrText>
      </w:r>
      <w:r>
        <w:fldChar w:fldCharType="separate"/>
      </w:r>
      <w:r w:rsidRPr="003B39BC">
        <w:rPr>
          <w:noProof/>
        </w:rPr>
        <w:t>[25]</w:t>
      </w:r>
      <w:r>
        <w:fldChar w:fldCharType="end"/>
      </w:r>
      <w:r>
        <w:t>, CoCrFeNi-V</w:t>
      </w:r>
      <w:r>
        <w:fldChar w:fldCharType="begin" w:fldLock="1"/>
      </w:r>
      <w:r>
        <w:instrText>ADDIN CSL_CITATION {"citationItems":[{"id":"ITEM-1","itemData":{"DOI":"10.1016/j.jallcom.2013.12.210","ISBN":"09258388","ISSN":"09258388","abstract":"Microstructure and mechanical properties of equimolar composition alloys FeCrCoNi, FeCrCoNiV, FeCrCoNiMn and FeCrCoNiMnV were studied in as-solidified and annealed conditions. The FeCrCoNi and FeCrCoNiMn alloys were single-phase FCC solid-solutions in both conditions. However, the FeCrCoNiV and FeCrCoNiMnV alloys consisted of the intermetallic σ-phase matrix with a tetragonal crystal lattice and precipitates of a disordered FCC phase. The crystal structures of these alloys were found to be not affected by annealing. A number of criteria were considered to explain phase composition of the studied alloys. It was shown that poor compatibility of V with other alloying elements caused significant distortions of FCC solid solution and thus promoted formation of the σ phase. Tensile and compressive properties of these alloys together with their microhardness were determined. Significant strengthening accompanied by the loss of ductility due to formation of the σ phase was demonstrated in the V containing alloys. The characteristics of the microstructure formation in the studied alloys were discussed. © 2013 Elsevier B.V. All rights reserved.","author":[{"dropping-particle":"","family":"Salishchev","given":"G. A.","non-dropping-particle":"","parse-names":false,"suffix":""},{"dropping-particle":"","family":"Tikhonovsky","given":"M. A.","non-dropping-particle":"","parse-names":false,"suffix":""},{"dropping-particle":"","family":"Shaysultanov","given":"D. G.","non-dropping-particle":"","parse-names":false,"suffix":""},{"dropping-particle":"","family":"Stepanov","given":"N. D.","non-dropping-particle":"","parse-names":false,"suffix":""},{"dropping-particle":"V.","family":"Kuznetsov","given":"A.","non-dropping-particle":"","parse-names":false,"suffix":""},{"dropping-particle":"V.","family":"Kolodiy","given":"I.","non-dropping-particle":"","parse-names":false,"suffix":""},{"dropping-particle":"","family":"Tortika","given":"A. S.","non-dropping-particle":"","parse-names":false,"suffix":""},{"dropping-particle":"","family":"Senkov","given":"O. N.","non-dropping-particle":"","parse-names":false,"suffix":""}],"container-title":"Journal of Alloys and Compounds","id":"ITEM-1","issued":{"date-parts":[["2014"]]},"title":"Effect of Mn and v on structure and mechanical properties of high-entropy alloys based on CoCrFeNi system","type":"article-journal"},"uris":["http://www.mendeley.com/documents/?uuid=73dcea6a-2275-44ab-a76d-a75b954165d0"]}],"mendeley":{"formattedCitation":"[26]","plainTextFormattedCitation":"[26]","previouslyFormattedCitation":"[26]"},"properties":{"noteIndex":0},"schema":"https://github.com/citation-style-language/schema/raw/master/csl-citation.json"}</w:instrText>
      </w:r>
      <w:r>
        <w:fldChar w:fldCharType="separate"/>
      </w:r>
      <w:r w:rsidRPr="003B39BC">
        <w:rPr>
          <w:noProof/>
        </w:rPr>
        <w:t>[26]</w:t>
      </w:r>
      <w:r>
        <w:fldChar w:fldCharType="end"/>
      </w:r>
      <w:r>
        <w:t xml:space="preserve"> and CoCrFeNi-Al</w:t>
      </w:r>
      <w:r>
        <w:fldChar w:fldCharType="begin" w:fldLock="1"/>
      </w:r>
      <w:r>
        <w:instrText>ADDIN CSL_CITATION {"citationItems":[{"id":"ITEM-1","itemData":{"DOI":"10.1007/s11837-013-0776-z","ISBN":"1047-4838\\r1543-1851","ISSN":"10474838","abstract":"The crystal lattice type is one of the dominant factors for controlling\\nthe mechanical behavior of high-entropy alloys (HEAs). For example, the\\nyield strength at room temperature varies from 300 MPa for the\\nface-centered-cubic (fcc) structured alloys, such as the CoCrCuFeNiTi\\n(x) system, to about 3,000 MPa for the body-centered-cubic (bcc)\\nstructured alloys, such as the AlCoCrFeNiTi (x) system. The values of\\nVickers hardness range from 100 to 900, depending on lattice types and\\nmicrostructures. As in conventional alloys with one or two principal\\nelements, the addition of minor alloying elements to HEAs can further\\nalter their mechanical properties, such as strength, plasticity,\\nhardness, etc. Excessive alloying may even result in the change of\\nlattice types of HEAs. In this report, we first review alloying effects\\non lattice types and properties of HEAs in five Al-containing HEA\\nsystems: Al (x) CoCrCuFeNi, Al (x) CoCrFeNi, Al (x) CrFe1.5MnNi0.5, Al\\n(x) CoCrFeNiTi, and Al (x) CrCuFeNi2. It is found that Al acts as a\\nstrong bcc stabilizer, and its addition enhances the strength of the\\nalloy at the cost of reduced ductility. The origins of such effects are\\nthen qualitatively discussed from the viewpoints of lattice-strain\\nenergies and electronic bonds. Quantification of the interaction between\\nAl and 3d transition metals in fcc, bcc, and intermetallic compounds is\\nillustrated in the thermodynamic modeling using the CALculation of PHAse\\nDiagram method.","author":[{"dropping-particle":"","family":"Tang","given":"Zhi","non-dropping-particle":"","parse-names":false,"suffix":""},{"dropping-particle":"","family":"Gao","given":"Michael C.","non-dropping-particle":"","parse-names":false,"suffix":""},{"dropping-particle":"","family":"Diao","given":"Haoyan","non-dropping-particle":"","parse-names":false,"suffix":""},{"dropping-particle":"","family":"Yang","given":"Tengfei","non-dropping-particle":"","parse-names":false,"suffix":""},{"dropping-particle":"","family":"Liu","given":"Junpeng","non-dropping-particle":"","parse-names":false,"suffix":""},{"dropping-particle":"","family":"Zuo","given":"Tingting","non-dropping-particle":"","parse-names":false,"suffix":""},{"dropping-particle":"","family":"Zhang","given":"Yong","non-dropping-particle":"","parse-names":false,"suffix":""},{"dropping-particle":"","family":"Lu","given":"Zhaoping","non-dropping-particle":"","parse-names":false,"suffix":""},{"dropping-particle":"","family":"Cheng","given":"Yongqiang","non-dropping-particle":"","parse-names":false,"suffix":""},{"dropping-particle":"","family":"Zhang","given":"Yanwen","non-dropping-particle":"","parse-names":false,"suffix":""},{"dropping-particle":"","family":"Dahmen","given":"Karin A.","non-dropping-particle":"","parse-names":false,"suffix":""},{"dropping-particle":"","family":"Liaw","given":"Peter K.","non-dropping-particle":"","parse-names":false,"suffix":""},{"dropping-particle":"","family":"Egami","given":"Takeshi","non-dropping-particle":"","parse-names":false,"suffix":""}],"container-title":"JOM","id":"ITEM-1","issued":{"date-parts":[["2013"]]},"title":"Aluminum alloying effects on lattice types, microstructures, and mechanical behavior of high-entropy alloys systems","type":"article-journal"},"uris":["http://www.mendeley.com/documents/?uuid=6bb48653-d61f-46db-9175-09f941f18b1d"]},{"id":"ITEM-2","itemData":{"DOI":"10.1016/j.matlet.2016.08.088","ISBN":"0167577X","ISSN":"18734979","abstract":"There is a strong belief that the CoCrFeNiMn alloy is an example of high entropy alloy with single disordered solid solution structure. Recently it was challenged by the demonstration of second phases in the alloy after low-temperature annealing; however, specific processing conditions (prolonged annealing or severe plastic deformation prior to annealing) were used to cause their formation. In this letter, we report the formation of Cr-rich second phases with tetragonal (sigma phase) and bcc structures in the CoCrFeNiMn alloy after room or cryogenic temperature rolling to 80% strain thickness and further annealing at 600–800 °C for 1 h.","author":[{"dropping-particle":"","family":"Stepanov","given":"N. D.","non-dropping-particle":"","parse-names":false,"suffix":""},{"dropping-particle":"","family":"Shaysultanov","given":"D. G.","non-dropping-particle":"","parse-names":false,"suffix":""},{"dropping-particle":"","family":"Ozerov","given":"M. S.","non-dropping-particle":"","parse-names":false,"suffix":""},{"dropping-particle":"V.","family":"Zherebtsov","given":"S.","non-dropping-particle":"","parse-names":false,"suffix":""},{"dropping-particle":"","family":"Salishchev","given":"G. A.","non-dropping-particle":"","parse-names":false,"suffix":""}],"container-title":"Materials Letters","id":"ITEM-2","issued":{"date-parts":[["2016"]]},"title":"Second phase formation in the CoCrFeNiMn high entropy alloy after recrystallization annealing","type":"article-journal"},"uris":["http://www.mendeley.com/documents/?uuid=be48e946-f196-4945-801e-8692169e5c6f"]},{"id":"ITEM-3","itemData":{"DOI":"10.1016/j.actamat.2017.03.066","ISBN":"1359-6454","ISSN":"13596454","abstract":"Secondary phases, either introduced by alloying or heat treatment, are commonly present in most high-entropy alloys (HEAs). Understanding the formation of secondary phases at high temperatures, and their effect on mechanical properties, is a critical issue that is undertaken in the present study, using the AlxCoCrFeNi (x = 0.3, 0.5, and 0.7) as a model alloy. The in-situ transmission-electron-microscopy (TEM) heating observation, an atom-probe-tomography (APT) study for the reference starting materials (Al0.3 and Al0.5 alloys), and thermodynamic calculations for all three alloys, are performed to investigate (1) the aluminum effect on the secondary-phase fractions, (2) the annealing-twinning formation in the face-centered-cubic (FCC) matrix, (3) the strengthening effect of the secondary ordered body-centered-cubic (B2) phase, and (4) the nucleation path of the σ secondary phase thoroughly. The present work will substantially optimize the alloy design of HEAs and facilitate applications of HEAs to a wide temperature range.","author":[{"dropping-particle":"","family":"Rao","given":"J. C.","non-dropping-particle":"","parse-names":false,"suffix":""},{"dropping-particle":"","family":"Diao","given":"H. Y.","non-dropping-particle":"","parse-names":false,"suffix":""},{"dropping-particle":"","family":"Ocelík","given":"V.","non-dropping-particle":"","parse-names":false,"suffix":""},{"dropping-particle":"","family":"Vainchtein","given":"D.","non-dropping-particle":"","parse-names":false,"suffix":""},{"dropping-particle":"","family":"Zhang","given":"C.","non-dropping-particle":"","parse-names":false,"suffix":""},{"dropping-particle":"","family":"Kuo","given":"C.","non-dropping-particle":"","parse-names":false,"suffix":""},{"dropping-particle":"","family":"Tang","given":"Z.","non-dropping-particle":"","parse-names":false,"suffix":""},{"dropping-particle":"","family":"Guo","given":"W.","non-dropping-particle":"","parse-names":false,"suffix":""},{"dropping-particle":"","family":"Poplawsky","given":"J. D.","non-dropping-particle":"","parse-names":false,"suffix":""},{"dropping-particle":"","family":"Zhou","given":"Y.","non-dropping-particle":"","parse-names":false,"suffix":""},{"dropping-particle":"","family":"Liaw","given":"P. K.","non-dropping-particle":"","parse-names":false,"suffix":""},{"dropping-particle":"","family":"Hosson","given":"J. Th M.","non-dropping-particle":"De","parse-names":false,"suffix":""}],"container-title":"Acta Materialia","id":"ITEM-3","issued":{"date-parts":[["2017"]]},"title":"Secondary phases in AlxCoCrFeNi high-entropy alloys: An in-situ TEM heating study and thermodynamic appraisal","type":"article-journal"},"uris":["http://www.mendeley.com/documents/?uuid=5a6a6b90-1e0d-497d-99c6-3880c8d0018d"]}],"mendeley":{"formattedCitation":"[12,22,27]","plainTextFormattedCitation":"[12,22,27]","previouslyFormattedCitation":"[12,22,27]"},"properties":{"noteIndex":0},"schema":"https://github.com/citation-style-language/schema/raw/master/csl-citation.json"}</w:instrText>
      </w:r>
      <w:r>
        <w:fldChar w:fldCharType="separate"/>
      </w:r>
      <w:r w:rsidRPr="003B39BC">
        <w:rPr>
          <w:noProof/>
        </w:rPr>
        <w:t>[12,22,27]</w:t>
      </w:r>
      <w:r>
        <w:fldChar w:fldCharType="end"/>
      </w:r>
      <w:r>
        <w:t xml:space="preserve">. </w:t>
      </w:r>
      <w:r w:rsidRPr="003B6CA7">
        <w:rPr>
          <w:noProof/>
        </w:rPr>
        <w:t xml:space="preserve">Possessing </w:t>
      </w:r>
      <w:r>
        <w:rPr>
          <w:noProof/>
        </w:rPr>
        <w:t xml:space="preserve">exactly the </w:t>
      </w:r>
      <w:r w:rsidRPr="003B6CA7">
        <w:rPr>
          <w:noProof/>
        </w:rPr>
        <w:t>same configurational entropy</w:t>
      </w:r>
      <w:r>
        <w:t xml:space="preserve">, the different phase formation brings about the assumption that high configurational entropy will </w:t>
      </w:r>
      <w:r w:rsidRPr="003B6CA7">
        <w:rPr>
          <w:noProof/>
        </w:rPr>
        <w:t>stabili</w:t>
      </w:r>
      <w:r>
        <w:rPr>
          <w:noProof/>
        </w:rPr>
        <w:t>s</w:t>
      </w:r>
      <w:r w:rsidRPr="003B6CA7">
        <w:rPr>
          <w:noProof/>
        </w:rPr>
        <w:t>e</w:t>
      </w:r>
      <w:r>
        <w:t xml:space="preserve"> the </w:t>
      </w:r>
      <w:r w:rsidRPr="008C71F2">
        <w:rPr>
          <w:noProof/>
        </w:rPr>
        <w:t>simple</w:t>
      </w:r>
      <w:r>
        <w:t xml:space="preserve"> solid solution phase but is insufficient to explain the phase formation tendency of HEAs.</w:t>
      </w:r>
      <w:r w:rsidRPr="00893FF3">
        <w:t xml:space="preserve"> </w:t>
      </w:r>
      <w:r>
        <w:t>When</w:t>
      </w:r>
      <w:r w:rsidRPr="00893FF3">
        <w:t xml:space="preserve"> considering the mixing enthalpy factor which direct</w:t>
      </w:r>
      <w:r>
        <w:t>ly</w:t>
      </w:r>
      <w:r w:rsidRPr="00893FF3">
        <w:t xml:space="preserve"> relates to the competition between complex intermetallic phases and simple solid solution phases</w:t>
      </w:r>
      <w:r>
        <w:t>,</w:t>
      </w:r>
      <w:r w:rsidRPr="00893FF3">
        <w:t xml:space="preserve"> </w:t>
      </w:r>
      <w:r>
        <w:t>i</w:t>
      </w:r>
      <w:r w:rsidRPr="00893FF3">
        <w:t xml:space="preserve">t is possible to predict the Gibbs free energy of different phases </w:t>
      </w:r>
      <w:r>
        <w:t>enabling the determination of</w:t>
      </w:r>
      <w:r w:rsidRPr="00893FF3">
        <w:t xml:space="preserve"> </w:t>
      </w:r>
      <w:r>
        <w:t xml:space="preserve">the final </w:t>
      </w:r>
      <w:r w:rsidRPr="00893FF3">
        <w:t>stabilised phase states</w:t>
      </w:r>
      <w:r>
        <w:t xml:space="preserve"> </w:t>
      </w:r>
      <w:r w:rsidRPr="00893FF3">
        <w:t>[4,32]</w:t>
      </w:r>
      <w:bookmarkStart w:id="32" w:name="_Hlk16320233"/>
      <w:r>
        <w:t xml:space="preserve">. </w:t>
      </w:r>
      <w:bookmarkEnd w:id="32"/>
      <w:r>
        <w:t xml:space="preserve">As mixing enthalpy or formation enthalpy represents the magnitude of interaction between component pairs, the prediction parameters have </w:t>
      </w:r>
      <w:r w:rsidRPr="0067418D">
        <w:rPr>
          <w:noProof/>
        </w:rPr>
        <w:t>expan</w:t>
      </w:r>
      <w:r>
        <w:rPr>
          <w:noProof/>
        </w:rPr>
        <w:t>de</w:t>
      </w:r>
      <w:r w:rsidRPr="0067418D">
        <w:rPr>
          <w:noProof/>
        </w:rPr>
        <w:t>d</w:t>
      </w:r>
      <w:r>
        <w:t xml:space="preserve"> to the </w:t>
      </w:r>
      <w:r w:rsidRPr="0067418D">
        <w:rPr>
          <w:noProof/>
        </w:rPr>
        <w:t>electrical</w:t>
      </w:r>
      <w:r>
        <w:t xml:space="preserve"> field and thermodynamic field. </w:t>
      </w:r>
    </w:p>
    <w:bookmarkEnd w:id="29"/>
    <w:p w14:paraId="57BDFE22" w14:textId="77777777" w:rsidR="00624970" w:rsidRDefault="00624970" w:rsidP="00624970">
      <w:pPr>
        <w:spacing w:afterLines="60" w:after="144" w:line="360" w:lineRule="auto"/>
        <w:jc w:val="both"/>
      </w:pPr>
      <w:r w:rsidRPr="003B6CA7">
        <w:rPr>
          <w:noProof/>
        </w:rPr>
        <w:t>Assuming</w:t>
      </w:r>
      <w:r>
        <w:t xml:space="preserve"> the </w:t>
      </w:r>
      <w:r w:rsidRPr="0067418D">
        <w:rPr>
          <w:noProof/>
        </w:rPr>
        <w:t>HEA</w:t>
      </w:r>
      <w:r>
        <w:t xml:space="preserve"> system as a </w:t>
      </w:r>
      <w:r w:rsidRPr="0067418D">
        <w:rPr>
          <w:noProof/>
        </w:rPr>
        <w:t>complex</w:t>
      </w:r>
      <w:r>
        <w:rPr>
          <w:noProof/>
        </w:rPr>
        <w:t xml:space="preserve"> p</w:t>
      </w:r>
      <w:r w:rsidRPr="0067418D">
        <w:rPr>
          <w:noProof/>
        </w:rPr>
        <w:t>seudo</w:t>
      </w:r>
      <w:r>
        <w:t xml:space="preserve">-binary alloy system, the Hume </w:t>
      </w:r>
      <w:r>
        <w:rPr>
          <w:noProof/>
        </w:rPr>
        <w:t>R</w:t>
      </w:r>
      <w:r w:rsidRPr="0067418D">
        <w:rPr>
          <w:noProof/>
        </w:rPr>
        <w:t>othery</w:t>
      </w:r>
      <w:r>
        <w:t xml:space="preserve"> rules which describe the necessary conditions for solid solution phase formation in binary metallic materials, were first employed as guidance to aid in </w:t>
      </w:r>
      <w:r>
        <w:rPr>
          <w:noProof/>
        </w:rPr>
        <w:t>designing</w:t>
      </w:r>
      <w:r>
        <w:t xml:space="preserve"> HEAs</w:t>
      </w:r>
      <w:r>
        <w:fldChar w:fldCharType="begin" w:fldLock="1"/>
      </w:r>
      <w:r>
        <w:instrText>ADDIN CSL_CITATION {"citationItems":[{"id":"ITEM-1","itemData":{"DOI":"10.1016/S1002-0071(12)60080-X","ISBN":"1002-0071","ISSN":"10020071","PMID":"26830651","abstract":"The alloy design for equiatomic multi-component alloys was rationalized by statistically analyzing the atomic size difference, mixing enthalpy, mixing entropy, electronegativity, valence electron concentration among constituent elements in solid solutions forming high entropy alloys and amorphous alloys. Solid solution phases form and only form when the requirements of the atomic size difference, mixing enthalpy and mixing entropy are all met. The most significant difference between the solid solution forming high entropy alloys and bulk metallic glasses lies in the atomic size difference. These rules provide valuable guidance for the future development of high entropy alloys and bulk metallic glasses.","author":[{"dropping-particle":"","family":"Guo","given":"Sheng","non-dropping-particle":"","parse-names":false,"suffix":""},{"dropping-particle":"","family":"Liu","given":"C. T.","non-dropping-particle":"","parse-names":false,"suffix":""}],"container-title":"Progress in Natural Science: Materials International","id":"ITEM-1","issued":{"date-parts":[["2011"]]},"title":"Phase stability in high entropy alloys: Formation of solid-solution phase or amorphous phase","type":"article-journal"},"uris":["http://www.mendeley.com/documents/?uuid=3cf24bf9-28b8-4f01-bb91-02fa0ed4c6aa"]}],"mendeley":{"formattedCitation":"[28]","plainTextFormattedCitation":"[28]","previouslyFormattedCitation":"[28]"},"properties":{"noteIndex":0},"schema":"https://github.com/citation-style-language/schema/raw/master/csl-citation.json"}</w:instrText>
      </w:r>
      <w:r>
        <w:fldChar w:fldCharType="separate"/>
      </w:r>
      <w:r w:rsidRPr="003B39BC">
        <w:rPr>
          <w:noProof/>
        </w:rPr>
        <w:t>[28]</w:t>
      </w:r>
      <w:r>
        <w:fldChar w:fldCharType="end"/>
      </w:r>
      <w:r>
        <w:t xml:space="preserve">. According to the Hume </w:t>
      </w:r>
      <w:r>
        <w:rPr>
          <w:noProof/>
        </w:rPr>
        <w:t>R</w:t>
      </w:r>
      <w:r w:rsidRPr="0067418D">
        <w:rPr>
          <w:noProof/>
        </w:rPr>
        <w:t>othery</w:t>
      </w:r>
      <w:r>
        <w:t xml:space="preserve"> rules, the three </w:t>
      </w:r>
      <w:r w:rsidRPr="003B6CA7">
        <w:rPr>
          <w:noProof/>
        </w:rPr>
        <w:t>major</w:t>
      </w:r>
      <w:r>
        <w:t xml:space="preserve"> phase formation prediction criteria </w:t>
      </w:r>
      <w:r w:rsidRPr="0067418D">
        <w:rPr>
          <w:noProof/>
        </w:rPr>
        <w:t>are</w:t>
      </w:r>
      <w:r>
        <w:t xml:space="preserve"> </w:t>
      </w:r>
      <w:r w:rsidRPr="008C71F2">
        <w:rPr>
          <w:noProof/>
        </w:rPr>
        <w:t>atomic</w:t>
      </w:r>
      <w:r>
        <w:t xml:space="preserve"> size difference, </w:t>
      </w:r>
      <w:r w:rsidRPr="0067418D">
        <w:rPr>
          <w:noProof/>
        </w:rPr>
        <w:t>electronegativities</w:t>
      </w:r>
      <w:r>
        <w:t xml:space="preserve"> and valence electron concentration (</w:t>
      </w:r>
      <w:r w:rsidRPr="00634B67">
        <w:rPr>
          <w:i/>
        </w:rPr>
        <w:t>VEC</w:t>
      </w:r>
      <w:r>
        <w:t xml:space="preserve">). </w:t>
      </w:r>
      <w:r>
        <w:rPr>
          <w:noProof/>
        </w:rPr>
        <w:t>The a</w:t>
      </w:r>
      <w:r w:rsidRPr="0067418D">
        <w:rPr>
          <w:noProof/>
        </w:rPr>
        <w:t>tomic</w:t>
      </w:r>
      <w:r>
        <w:t xml:space="preserve"> size difference </w:t>
      </w:r>
      <w:r w:rsidRPr="003B6CA7">
        <w:rPr>
          <w:noProof/>
        </w:rPr>
        <w:t>was expressed</w:t>
      </w:r>
      <w:r>
        <w:t xml:space="preserve"> as a dimensionless unit in </w:t>
      </w:r>
      <w:r w:rsidRPr="00071026">
        <w:rPr>
          <w:i/>
        </w:rPr>
        <w:t>eq</w:t>
      </w:r>
      <w:r>
        <w:t xml:space="preserve">.3, where </w:t>
      </w:r>
      <w:r w:rsidRPr="00507C85">
        <w:rPr>
          <w:rFonts w:ascii="Times New Roman" w:hAnsi="Times New Roman" w:cs="Times New Roman"/>
          <w:i/>
        </w:rPr>
        <w:t>r</w:t>
      </w:r>
      <w:r>
        <w:t xml:space="preserve"> is the </w:t>
      </w:r>
      <w:r w:rsidRPr="003B6CA7">
        <w:rPr>
          <w:noProof/>
        </w:rPr>
        <w:t>atomic</w:t>
      </w:r>
      <w:r>
        <w:t xml:space="preserve"> radius of components </w:t>
      </w:r>
      <w:r w:rsidRPr="008C71F2">
        <w:rPr>
          <w:rFonts w:ascii="Times New Roman" w:hAnsi="Times New Roman" w:cs="Times New Roman"/>
          <w:i/>
          <w:noProof/>
        </w:rPr>
        <w:t>i</w:t>
      </w:r>
      <w:r w:rsidRPr="00507C85">
        <w:rPr>
          <w:rFonts w:ascii="Times New Roman" w:hAnsi="Times New Roman" w:cs="Times New Roman"/>
        </w:rPr>
        <w:t xml:space="preserve"> </w:t>
      </w:r>
      <w:r>
        <w:t xml:space="preserve">and </w:t>
      </w:r>
      <m:oMath>
        <m:acc>
          <m:accPr>
            <m:chr m:val="̅"/>
            <m:ctrlPr>
              <w:rPr>
                <w:rFonts w:ascii="Cambria Math" w:hAnsi="Cambria Math"/>
                <w:i/>
              </w:rPr>
            </m:ctrlPr>
          </m:accPr>
          <m:e>
            <m:r>
              <w:rPr>
                <w:rFonts w:ascii="Cambria Math" w:hAnsi="Cambria Math"/>
              </w:rPr>
              <m:t>r</m:t>
            </m:r>
          </m:e>
        </m:acc>
      </m:oMath>
      <w:r>
        <w:t xml:space="preserve"> is the w</w:t>
      </w:r>
      <w:r w:rsidRPr="0067418D">
        <w:rPr>
          <w:noProof/>
        </w:rPr>
        <w:t xml:space="preserve">eighted </w:t>
      </w:r>
      <w:r>
        <w:t xml:space="preserve">average atomic radius of all elements. </w:t>
      </w:r>
    </w:p>
    <w:p w14:paraId="2ECB4022" w14:textId="77777777" w:rsidR="00624970" w:rsidRDefault="00624970" w:rsidP="00624970">
      <w:pPr>
        <w:spacing w:afterLines="60" w:after="144" w:line="360" w:lineRule="auto"/>
        <w:jc w:val="right"/>
      </w:pPr>
      <w:bookmarkStart w:id="33" w:name="_Hlk5894642"/>
      <m:oMath>
        <m:r>
          <m:rPr>
            <m:sty m:val="p"/>
          </m:rPr>
          <w:rPr>
            <w:rFonts w:ascii="Cambria Math" w:hAnsi="Cambria Math"/>
          </w:rPr>
          <m:t>δ</m:t>
        </m:r>
        <w:bookmarkEnd w:id="33"/>
        <m:r>
          <m:rPr>
            <m:sty m:val="p"/>
          </m:rPr>
          <w:rPr>
            <w:rFonts w:ascii="Cambria Math" w:hAnsi="Cambria Math"/>
          </w:rPr>
          <m:t>=</m:t>
        </m:r>
        <m:rad>
          <m:radPr>
            <m:degHide m:val="1"/>
            <m:ctrlPr>
              <w:rPr>
                <w:rFonts w:ascii="Cambria Math" w:hAnsi="Cambria Math"/>
              </w:rPr>
            </m:ctrlPr>
          </m:radPr>
          <m:deg/>
          <m:e>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i</m:t>
                        </m:r>
                      </m:sub>
                    </m:sSub>
                  </m:num>
                  <m:den>
                    <m:acc>
                      <m:accPr>
                        <m:chr m:val="̅"/>
                        <m:ctrlPr>
                          <w:rPr>
                            <w:rFonts w:ascii="Cambria Math" w:hAnsi="Cambria Math"/>
                            <w:i/>
                          </w:rPr>
                        </m:ctrlPr>
                      </m:accPr>
                      <m:e>
                        <m:r>
                          <w:rPr>
                            <w:rFonts w:ascii="Cambria Math" w:hAnsi="Cambria Math"/>
                          </w:rPr>
                          <m:t>r</m:t>
                        </m:r>
                      </m:e>
                    </m:acc>
                  </m:den>
                </m:f>
                <m:sSup>
                  <m:sSupPr>
                    <m:ctrlPr>
                      <w:rPr>
                        <w:rFonts w:ascii="Cambria Math" w:hAnsi="Cambria Math"/>
                        <w:i/>
                      </w:rPr>
                    </m:ctrlPr>
                  </m:sSupPr>
                  <m:e>
                    <m:r>
                      <w:rPr>
                        <w:rFonts w:ascii="Cambria Math" w:hAnsi="Cambria Math"/>
                      </w:rPr>
                      <m:t>)</m:t>
                    </m:r>
                  </m:e>
                  <m:sup>
                    <m:r>
                      <w:rPr>
                        <w:rFonts w:ascii="Cambria Math" w:hAnsi="Cambria Math"/>
                      </w:rPr>
                      <m:t>2</m:t>
                    </m:r>
                  </m:sup>
                </m:sSup>
              </m:e>
            </m:nary>
          </m:e>
        </m:rad>
        <m:r>
          <w:rPr>
            <w:rFonts w:ascii="Cambria Math" w:hAnsi="Cambria Math"/>
          </w:rPr>
          <m:t>×100</m:t>
        </m:r>
      </m:oMath>
      <w:r>
        <w:rPr>
          <w:rFonts w:hint="eastAsia"/>
        </w:rPr>
        <w:t xml:space="preserve"> </w:t>
      </w:r>
      <w:r>
        <w:t xml:space="preserve">                                                                   </w:t>
      </w:r>
      <w:r>
        <w:rPr>
          <w:rFonts w:hint="eastAsia"/>
        </w:rPr>
        <w:t>(</w:t>
      </w:r>
      <w:r>
        <w:t>3)</w:t>
      </w:r>
    </w:p>
    <w:p w14:paraId="466833C4" w14:textId="56C62214" w:rsidR="00624970" w:rsidRDefault="00624970" w:rsidP="00624970">
      <w:pPr>
        <w:spacing w:afterLines="60" w:after="144" w:line="360" w:lineRule="auto"/>
        <w:jc w:val="both"/>
      </w:pPr>
      <w:r>
        <w:t>One of the Hume Rothery rules proposed that once the difference in atomic size of components is larger than 14%, significant lattice distortion will increase local strain energy and form an inhomogeneous structure</w:t>
      </w:r>
      <w:r>
        <w:fldChar w:fldCharType="begin" w:fldLock="1"/>
      </w:r>
      <w:r>
        <w:instrText>ADDIN CSL_CITATION {"citationItems":[{"id":"ITEM-1","itemData":{"author":[{"dropping-particle":"","family":"W. Hume-Rothery, G.W. Mabbott","given":"K.M.C. Evans","non-dropping-particle":"","parse-names":false,"suffix":""}],"container-title":"Philos. Trans. R. Soc. Math. Phys. Eng. Sci.","id":"ITEM-1","issued":{"date-parts":[["1934"]]},"page":"1-97","title":"The Freezing Points, Melting Points, and Solid Solubility Limits of the Alloys of Silver, and Copper with the Elements of the B Sub-Groups","type":"article-journal","volume":"233"},"uris":["http://www.mendeley.com/documents/?uuid=151ce512-2207-409b-86b5-aaabf51d7c22","http://www.mendeley.com/documents/?uuid=2f661e7a-7e77-44cd-a39d-83bf26b497b6"]}],"mendeley":{"formattedCitation":"[29]","plainTextFormattedCitation":"[29]","previouslyFormattedCitation":"[29]"},"properties":{"noteIndex":0},"schema":"https://github.com/citation-style-language/schema/raw/master/csl-citation.json"}</w:instrText>
      </w:r>
      <w:r>
        <w:fldChar w:fldCharType="separate"/>
      </w:r>
      <w:r w:rsidRPr="003B39BC">
        <w:rPr>
          <w:noProof/>
        </w:rPr>
        <w:t>[29]</w:t>
      </w:r>
      <w:r>
        <w:fldChar w:fldCharType="end"/>
      </w:r>
      <w:r>
        <w:t>. Regarding the effect of significant lattice distortion and corresponding increased strain energy, Darken and Gurry</w:t>
      </w:r>
      <w:r>
        <w:fldChar w:fldCharType="begin" w:fldLock="1"/>
      </w:r>
      <w:r>
        <w:instrText>ADDIN CSL_CITATION {"citationItems":[{"id":"ITEM-1","itemData":{"author":[{"dropping-particle":"","family":"L.S. Darken, R.W. Gurry","given":"M.B. Bever","non-dropping-particle":"","parse-names":false,"suffix":""}],"id":"ITEM-1","issued":{"date-parts":[["2002"]]},"title":"Physical chemistry of metals","type":"book"},"uris":["http://www.mendeley.com/documents/?uuid=0ebe2c6c-9f69-4895-8ad6-6da0ef305aac","http://www.mendeley.com/documents/?uuid=79a5f5ec-2f0f-4e3e-b3d6-fd8d22d8150f"]}],"mendeley":{"formattedCitation":"[30]","plainTextFormattedCitation":"[30]","previouslyFormattedCitation":"[30]"},"properties":{"noteIndex":0},"schema":"https://github.com/citation-style-language/schema/raw/master/csl-citation.json"}</w:instrText>
      </w:r>
      <w:r>
        <w:fldChar w:fldCharType="separate"/>
      </w:r>
      <w:r w:rsidRPr="003B39BC">
        <w:rPr>
          <w:noProof/>
        </w:rPr>
        <w:t>[30]</w:t>
      </w:r>
      <w:r>
        <w:fldChar w:fldCharType="end"/>
      </w:r>
      <w:r>
        <w:t xml:space="preserve"> showed the relationship of solid solubility with strain energy and proved th</w:t>
      </w:r>
      <w:r w:rsidR="00E5609A">
        <w:t>at</w:t>
      </w:r>
      <w:r>
        <w:t xml:space="preserve"> solubility can also be greatly affected by temperatures. It was found that a high strain energy m</w:t>
      </w:r>
      <w:r w:rsidRPr="008C71F2">
        <w:rPr>
          <w:noProof/>
        </w:rPr>
        <w:t xml:space="preserve">ismatch </w:t>
      </w:r>
      <w:r>
        <w:rPr>
          <w:noProof/>
        </w:rPr>
        <w:t xml:space="preserve">existed </w:t>
      </w:r>
      <w:r>
        <w:t>between solute and solvent lattice, which prevented the accommodation between solute and solvent atoms during cooling. The increased strain energy in the a</w:t>
      </w:r>
      <w:r w:rsidRPr="00993DA1">
        <w:rPr>
          <w:noProof/>
        </w:rPr>
        <w:t xml:space="preserve">lloy </w:t>
      </w:r>
      <w:r>
        <w:t xml:space="preserve">system will further </w:t>
      </w:r>
      <w:r>
        <w:rPr>
          <w:rFonts w:hint="eastAsia"/>
        </w:rPr>
        <w:t>l</w:t>
      </w:r>
      <w:r>
        <w:t>ead to n</w:t>
      </w:r>
      <w:r w:rsidRPr="008C71F2">
        <w:rPr>
          <w:noProof/>
        </w:rPr>
        <w:t xml:space="preserve">ucleation </w:t>
      </w:r>
      <w:r>
        <w:t>of other phases, hence affecting the type of deformation mechanisms involved during deformation</w:t>
      </w:r>
      <w:r>
        <w:fldChar w:fldCharType="begin" w:fldLock="1"/>
      </w:r>
      <w:r>
        <w:instrText>ADDIN CSL_CITATION {"citationItems":[{"id":"ITEM-1","itemData":{"DOI":"10.1088/0031-9120/15/2/102","ISBN":"9780769537177","ISSN":"00319120","PMID":"30233435","abstract":"This book represents a detailed and systematic account of the basic principles, developments and applications of the theory of nucleation.","author":[{"dropping-particle":"","family":"Kashchiev","given":"Dimo","non-dropping-particle":"","parse-names":false,"suffix":""}],"container-title":"Chemphyschem : a European journal of chemical physics and physical chemistry","id":"ITEM-1","issued":{"date-parts":[["2003"]]},"title":"Nucleation --- Basic Theory with Applications","type":"book"},"uris":["http://www.mendeley.com/documents/?uuid=2fd5fbaa-c2ee-4556-9d86-9a74fd98f875","http://www.mendeley.com/documents/?uuid=f3323fe6-b6e1-46f6-8481-fa0305699338"]}],"mendeley":{"formattedCitation":"[31]","plainTextFormattedCitation":"[31]","previouslyFormattedCitation":"[31]"},"properties":{"noteIndex":0},"schema":"https://github.com/citation-style-language/schema/raw/master/csl-citation.json"}</w:instrText>
      </w:r>
      <w:r>
        <w:fldChar w:fldCharType="separate"/>
      </w:r>
      <w:r w:rsidRPr="003B39BC">
        <w:rPr>
          <w:noProof/>
        </w:rPr>
        <w:t>[31]</w:t>
      </w:r>
      <w:r>
        <w:fldChar w:fldCharType="end"/>
      </w:r>
      <w:r>
        <w:t xml:space="preserve">. The selection of the type of atomic radius type, is also related to the effectiveness of phase formation prediction. Generally, five </w:t>
      </w:r>
      <w:r w:rsidRPr="008C71F2">
        <w:rPr>
          <w:noProof/>
        </w:rPr>
        <w:t>types</w:t>
      </w:r>
      <w:r>
        <w:rPr>
          <w:noProof/>
        </w:rPr>
        <w:t xml:space="preserve"> of</w:t>
      </w:r>
      <w:r>
        <w:t xml:space="preserve"> </w:t>
      </w:r>
      <w:bookmarkStart w:id="34" w:name="_Hlk5894667"/>
      <w:r>
        <w:t xml:space="preserve">atomic radius </w:t>
      </w:r>
      <w:bookmarkEnd w:id="34"/>
      <w:r w:rsidRPr="003B6CA7">
        <w:rPr>
          <w:noProof/>
        </w:rPr>
        <w:t>are considered</w:t>
      </w:r>
      <w:r>
        <w:t xml:space="preserve">, these being Van der </w:t>
      </w:r>
      <w:r>
        <w:rPr>
          <w:noProof/>
        </w:rPr>
        <w:t>W</w:t>
      </w:r>
      <w:r w:rsidRPr="00993DA1">
        <w:rPr>
          <w:noProof/>
        </w:rPr>
        <w:t>aals</w:t>
      </w:r>
      <w:r>
        <w:t xml:space="preserve"> radius, Ionic radius, Covalent radius, Metallic radius and Bohr radius. </w:t>
      </w:r>
      <w:r w:rsidRPr="00D36703">
        <w:t xml:space="preserve">Apart from the Bohr radius, the other four atomic radii are defined as half the distance between the atom and the nearest bonding atom, </w:t>
      </w:r>
      <w:r>
        <w:t xml:space="preserve">with </w:t>
      </w:r>
      <w:r w:rsidRPr="00D36703">
        <w:t>the only difference being the bonding state</w:t>
      </w:r>
      <w:r>
        <w:t xml:space="preserve">. </w:t>
      </w:r>
      <w:r w:rsidRPr="000D0FD8">
        <w:t xml:space="preserve">The metallic radius is more suitable for </w:t>
      </w:r>
      <w:r>
        <w:t xml:space="preserve">the </w:t>
      </w:r>
      <w:r w:rsidRPr="000D0FD8">
        <w:t xml:space="preserve">application in phase formation prediction of HEAs, as </w:t>
      </w:r>
      <w:r>
        <w:t>these materials</w:t>
      </w:r>
      <w:r w:rsidRPr="000D0FD8">
        <w:t xml:space="preserve"> tends to form the simple solid </w:t>
      </w:r>
      <w:r w:rsidRPr="000D0FD8">
        <w:lastRenderedPageBreak/>
        <w:t>solution phase</w:t>
      </w:r>
      <w:r>
        <w:t xml:space="preserve">. In most cases, besides </w:t>
      </w:r>
      <w:r w:rsidRPr="008C71F2">
        <w:rPr>
          <w:noProof/>
        </w:rPr>
        <w:t>atomic</w:t>
      </w:r>
      <w:r>
        <w:t xml:space="preserve"> radius difference, other parameters were required to increase the precision of the phase forming prediction of</w:t>
      </w:r>
      <w:r w:rsidRPr="00BE3B3B">
        <w:t xml:space="preserve"> </w:t>
      </w:r>
      <w:r>
        <w:t xml:space="preserve">HEAs. Zhang proposed a new parameter </w:t>
      </w:r>
      <m:oMath>
        <m:r>
          <m:rPr>
            <m:sty m:val="p"/>
          </m:rPr>
          <w:rPr>
            <w:rFonts w:ascii="Cambria Math" w:hAnsi="Cambria Math"/>
          </w:rPr>
          <m:t>Ω</m:t>
        </m:r>
      </m:oMath>
      <w:r>
        <w:t xml:space="preserve"> by transformation of </w:t>
      </w:r>
      <w:r w:rsidRPr="008C71F2">
        <w:rPr>
          <w:i/>
          <w:noProof/>
        </w:rPr>
        <w:t>eq</w:t>
      </w:r>
      <w:r>
        <w:t xml:space="preserve">. (2), setting the equivalent states at </w:t>
      </w:r>
      <w:r w:rsidRPr="004E2B03">
        <w:rPr>
          <w:i/>
        </w:rPr>
        <w:t>G</w:t>
      </w:r>
      <w:r>
        <w:t>=0</w:t>
      </w:r>
      <w:r>
        <w:fldChar w:fldCharType="begin" w:fldLock="1"/>
      </w:r>
      <w:r>
        <w:instrText>ADDIN CSL_CITATION {"citationItems":[{"id":"ITEM-1","itemData":{"DOI":"10.1038/srep32146","ISSN":"20452322","PMID":"27562023","abstract":"Materials performance is central to the satisfactory operation of current and future nuclear energy systems due to the severe irradiation environment in reactors. Searching for structural materials with excellent irradiation tolerance is crucial for developing the next generation nuclear reactors. Here, we report the irradiation responses of a novel multi-component alloy system, high entropy alloy (HEA) AlxCoCrFeNi (x = 0.1, 0.75 and 1.5), focusing on their precipitation behavior. It is found that the single phase system, Al 0.1 CoCrFeNi, exhibits a great phase stability against ion irradiation. No precipitate is observed even at the highest fluence. In contrast, numerous coherent precipitates are present in both multi-phase HEAs. Based on the irradiation-induced/enhanced precipitation theory, the excellent structural stability against precipitation of Al 0.1 CoCrFeNi is attributed to the high configurational entropy and low atomic diffusion, which reduces the thermodynamic driving force and kinetically restrains the formation of precipitate, respectively. For the multiphase HEAs, the phase separations and formation of ordered phases reduce the system configurational entropy, resulting in the similar precipitation behavior with corresponding binary or ternary conventional alloys. This study demonstrates the structural stability of single-phase HEAs under irradiation and provides important implications for searching for HEAs with higher irradiation tolerance.","author":[{"dropping-particle":"","family":"Yang","given":"Tengfei","non-dropping-particle":"","parse-names":false,"suffix":""},{"dropping-particle":"","family":"Xia","given":"Songqin","non-dropping-particle":"","parse-names":false,"suffix":""},{"dropping-particle":"","family":"Liu","given":"Shi","non-dropping-particle":"","parse-names":false,"suffix":""},{"dropping-particle":"","family":"Wang","given":"Chenxu","non-dropping-particle":"","parse-names":false,"suffix":""},{"dropping-particle":"","family":"Liu","given":"Shaoshuai","non-dropping-particle":"","parse-names":false,"suffix":""},{"dropping-particle":"","family":"Fang","given":"Yuan","non-dropping-particle":"","parse-names":false,"suffix":""},{"dropping-particle":"","family":"Zhang","given":"Yong","non-dropping-particle":"","parse-names":false,"suffix":""},{"dropping-particle":"","family":"Xue","given":"Jianming","non-dropping-particle":"","parse-names":false,"suffix":""},{"dropping-particle":"","family":"Yan","given":"Sha","non-dropping-particle":"","parse-names":false,"suffix":""},{"dropping-particle":"","family":"Wang","given":"Yugang","non-dropping-particle":"","parse-names":false,"suffix":""}],"container-title":"Scientific Reports","id":"ITEM-1","issued":{"date-parts":[["2016"]]},"title":"Precipitation behavior of AlxCoCrFeNi high entropy alloys under ion irradiation","type":"article-journal"},"uris":["http://www.mendeley.com/documents/?uuid=83d1878c-7a0d-4c3f-9954-846612ef2dec"]},{"id":"ITEM-2","itemData":{"DOI":"10.1007/s11837-012-0366-5","ISBN":"1047-4838","ISSN":"10474838","PMID":"20528867","abstract":"This article reviews the recent work on the high-entropy alloys (HEAs)\\nin our group and others. HEAs usually contain five or more elements, and\\nthus, the phase diagram of HEAs is often not available to be used to\\ndesign the alloys. We have proposed that the parameters of delta and\\nOmega can be used to predict the phase formation of HEAs, namely Omega a\\nparts per thousand yen 1.1 and delta a parts per thousand currency sign\\n6.6%, which are required to form solid-solution phases. To test this\\ncriterion, alloys of TiZrNbMoV (x) and CoCrFeNiAlNb (x) were prepared.\\nTheir microstructures mainly consist of simple body-centered cubic solid\\nsolutions at low Nb contents. TiZrNbMoV (x) alloys possess excellent\\nmechanical properties. Bridgman solidification was also used to control\\nthe microstructure of the CoCrFeNiAl alloy, and its plasticity was\\nimproved to be about 30%. To our surprise, the CoCrFeNiAl HEAs exhibit\\nno apparent ductile-to-brittle transition even when the temperatures are\\nlowered from 298 K to 77 K.","author":[{"dropping-particle":"","family":"Zhang","given":"Y.","non-dropping-particle":"","parse-names":false,"suffix":""},{"dropping-particle":"","family":"Yang","given":"X.","non-dropping-particle":"","parse-names":false,"suffix":""},{"dropping-particle":"","family":"Liaw","given":"P. K.","non-dropping-particle":"","parse-names":false,"suffix":""}],"container-title":"JOM","id":"ITEM-2","issued":{"date-parts":[["2012"]]},"title":"Alloy design and properties optimization of high-entropy alloys","type":"article"},"uris":["http://www.mendeley.com/documents/?uuid=df915709-160d-4df6-ad32-e4f9ba4caf47","http://www.mendeley.com/documents/?uuid=2f2aebb7-c165-44b0-bf21-478b9414fa4a"]}],"mendeley":{"formattedCitation":"[11,32]","plainTextFormattedCitation":"[11,32]","previouslyFormattedCitation":"[11,32]"},"properties":{"noteIndex":0},"schema":"https://github.com/citation-style-language/schema/raw/master/csl-citation.json"}</w:instrText>
      </w:r>
      <w:r>
        <w:fldChar w:fldCharType="separate"/>
      </w:r>
      <w:r w:rsidRPr="003B39BC">
        <w:rPr>
          <w:noProof/>
        </w:rPr>
        <w:t>[11,32]</w:t>
      </w:r>
      <w:r>
        <w:fldChar w:fldCharType="end"/>
      </w:r>
      <w:r>
        <w:t xml:space="preserve"> as expressed in </w:t>
      </w:r>
      <w:r w:rsidRPr="008C71F2">
        <w:rPr>
          <w:i/>
          <w:noProof/>
        </w:rPr>
        <w:t>eq</w:t>
      </w:r>
      <w:r w:rsidRPr="00993DA1">
        <w:rPr>
          <w:noProof/>
        </w:rPr>
        <w:t>.</w:t>
      </w:r>
      <w:r>
        <w:rPr>
          <w:noProof/>
        </w:rPr>
        <w:t xml:space="preserve"> </w:t>
      </w:r>
      <w:r w:rsidRPr="00993DA1">
        <w:rPr>
          <w:noProof/>
        </w:rPr>
        <w:t>(</w:t>
      </w:r>
      <w:r>
        <w:t xml:space="preserve">4): </w:t>
      </w:r>
    </w:p>
    <w:p w14:paraId="2696B0C2" w14:textId="77777777" w:rsidR="00624970" w:rsidRPr="00A867DD" w:rsidRDefault="00624970" w:rsidP="00624970">
      <w:pPr>
        <w:spacing w:afterLines="60" w:after="144" w:line="360" w:lineRule="auto"/>
        <w:jc w:val="right"/>
      </w:pPr>
      <w:bookmarkStart w:id="35" w:name="_Hlk5894760"/>
      <m:oMath>
        <m:r>
          <m:rPr>
            <m:sty m:val="p"/>
          </m:rPr>
          <w:rPr>
            <w:rFonts w:ascii="Cambria Math" w:hAnsi="Cambria Math"/>
          </w:rPr>
          <m:t>Ω</m:t>
        </m:r>
        <w:bookmarkEnd w:id="35"/>
        <m:r>
          <m:rPr>
            <m:sty m:val="p"/>
          </m:rP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T</m:t>
                </m:r>
              </m:e>
              <m:sub>
                <m:r>
                  <w:rPr>
                    <w:rFonts w:ascii="Cambria Math" w:hAnsi="Cambria Math"/>
                  </w:rPr>
                  <m:t>m</m:t>
                </m:r>
              </m:sub>
            </m:sSub>
            <m:sSub>
              <m:sSubPr>
                <m:ctrlPr>
                  <w:rPr>
                    <w:rFonts w:ascii="Cambria Math" w:hAnsi="Cambria Math"/>
                    <w:i/>
                  </w:rPr>
                </m:ctrlPr>
              </m:sSubPr>
              <m:e>
                <m:r>
                  <w:rPr>
                    <w:rFonts w:ascii="Cambria Math" w:hAnsi="Cambria Math"/>
                  </w:rPr>
                  <m:t>ΔS</m:t>
                </m:r>
              </m:e>
              <m:sub>
                <m:r>
                  <w:rPr>
                    <w:rFonts w:ascii="Cambria Math" w:hAnsi="Cambria Math"/>
                  </w:rPr>
                  <m:t>conf</m:t>
                </m:r>
              </m:sub>
            </m:sSub>
          </m:num>
          <m:den>
            <m:d>
              <m:dPr>
                <m:begChr m:val="|"/>
                <m:endChr m:val="|"/>
                <m:ctrlPr>
                  <w:rPr>
                    <w:rFonts w:ascii="Cambria Math" w:hAnsi="Cambria Math"/>
                    <w:i/>
                  </w:rPr>
                </m:ctrlPr>
              </m:dPr>
              <m:e>
                <m:sSub>
                  <m:sSubPr>
                    <m:ctrlPr>
                      <w:rPr>
                        <w:rFonts w:ascii="Cambria Math" w:hAnsi="Cambria Math"/>
                        <w:i/>
                      </w:rPr>
                    </m:ctrlPr>
                  </m:sSubPr>
                  <m:e>
                    <m:r>
                      <w:rPr>
                        <w:rFonts w:ascii="Cambria Math" w:hAnsi="Cambria Math"/>
                      </w:rPr>
                      <m:t>ΔH</m:t>
                    </m:r>
                  </m:e>
                  <m:sub>
                    <m:r>
                      <w:rPr>
                        <w:rFonts w:ascii="Cambria Math" w:hAnsi="Cambria Math"/>
                      </w:rPr>
                      <m:t>conf</m:t>
                    </m:r>
                  </m:sub>
                </m:sSub>
              </m:e>
            </m:d>
          </m:den>
        </m:f>
        <m:r>
          <m:rPr>
            <m:sty m:val="p"/>
          </m:rP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T</m:t>
                </m:r>
              </m:e>
              <m:sub>
                <m:r>
                  <w:rPr>
                    <w:rFonts w:ascii="Cambria Math" w:hAnsi="Cambria Math"/>
                  </w:rPr>
                  <m:t>m</m:t>
                </m:r>
              </m:sub>
            </m:sSub>
          </m:num>
          <m:den>
            <m:sSub>
              <m:sSubPr>
                <m:ctrlPr>
                  <w:rPr>
                    <w:rFonts w:ascii="Cambria Math" w:hAnsi="Cambria Math"/>
                    <w:i/>
                  </w:rPr>
                </m:ctrlPr>
              </m:sSubPr>
              <m:e>
                <m:r>
                  <w:rPr>
                    <w:rFonts w:ascii="Cambria Math" w:hAnsi="Cambria Math"/>
                  </w:rPr>
                  <m:t>T</m:t>
                </m:r>
              </m:e>
              <m:sub>
                <m:r>
                  <w:rPr>
                    <w:rFonts w:ascii="Cambria Math" w:hAnsi="Cambria Math"/>
                  </w:rPr>
                  <m:t>crit</m:t>
                </m:r>
              </m:sub>
            </m:sSub>
          </m:den>
        </m:f>
      </m:oMath>
      <w:r>
        <w:t xml:space="preserve">                                                                          (4)</w:t>
      </w:r>
    </w:p>
    <w:bookmarkStart w:id="36" w:name="_Hlk5894733"/>
    <w:p w14:paraId="7E07D20C" w14:textId="0A163522" w:rsidR="00624970" w:rsidRDefault="00077961" w:rsidP="00624970">
      <w:pPr>
        <w:spacing w:afterLines="60" w:after="144" w:line="360" w:lineRule="auto"/>
        <w:jc w:val="both"/>
      </w:pPr>
      <m:oMath>
        <m:sSub>
          <m:sSubPr>
            <m:ctrlPr>
              <w:rPr>
                <w:rFonts w:ascii="Cambria Math" w:hAnsi="Cambria Math"/>
                <w:i/>
                <w:sz w:val="18"/>
              </w:rPr>
            </m:ctrlPr>
          </m:sSubPr>
          <m:e>
            <m:r>
              <w:rPr>
                <w:rFonts w:ascii="Cambria Math" w:hAnsi="Cambria Math"/>
                <w:sz w:val="18"/>
              </w:rPr>
              <m:t>T</m:t>
            </m:r>
          </m:e>
          <m:sub>
            <m:r>
              <w:rPr>
                <w:rFonts w:ascii="Cambria Math" w:hAnsi="Cambria Math"/>
                <w:sz w:val="18"/>
              </w:rPr>
              <m:t>m</m:t>
            </m:r>
          </m:sub>
        </m:sSub>
      </m:oMath>
      <w:bookmarkEnd w:id="36"/>
      <w:r w:rsidR="00624970">
        <w:rPr>
          <w:rFonts w:hint="eastAsia"/>
        </w:rPr>
        <w:t xml:space="preserve"> i</w:t>
      </w:r>
      <w:r w:rsidR="00624970">
        <w:t>s the approximate melting temperature of the alloy by a sum weighted average of the melting temperature</w:t>
      </w:r>
      <w:r w:rsidR="009F3B54">
        <w:t>s</w:t>
      </w:r>
      <w:r w:rsidR="00624970">
        <w:t xml:space="preserve"> of </w:t>
      </w:r>
      <w:r w:rsidR="009F3B54">
        <w:t>the</w:t>
      </w:r>
      <w:r w:rsidR="00624970">
        <w:t xml:space="preserve"> component</w:t>
      </w:r>
      <w:r w:rsidR="009F3B54">
        <w:t>s</w:t>
      </w:r>
      <w:r w:rsidR="00624970">
        <w:t xml:space="preserve">. </w:t>
      </w:r>
      <m:oMath>
        <m:sSub>
          <m:sSubPr>
            <m:ctrlPr>
              <w:rPr>
                <w:rFonts w:ascii="Cambria Math" w:hAnsi="Cambria Math"/>
                <w:i/>
                <w:sz w:val="18"/>
              </w:rPr>
            </m:ctrlPr>
          </m:sSubPr>
          <m:e>
            <m:r>
              <w:rPr>
                <w:rFonts w:ascii="Cambria Math" w:hAnsi="Cambria Math"/>
                <w:sz w:val="18"/>
              </w:rPr>
              <m:t>T</m:t>
            </m:r>
          </m:e>
          <m:sub>
            <m:r>
              <w:rPr>
                <w:rFonts w:ascii="Cambria Math" w:hAnsi="Cambria Math"/>
                <w:sz w:val="18"/>
              </w:rPr>
              <m:t>crit</m:t>
            </m:r>
          </m:sub>
        </m:sSub>
      </m:oMath>
      <w:r w:rsidR="00624970" w:rsidRPr="00A867DD">
        <w:rPr>
          <w:rFonts w:hint="eastAsia"/>
          <w:sz w:val="20"/>
        </w:rPr>
        <w:t xml:space="preserve"> </w:t>
      </w:r>
      <w:r w:rsidR="00624970">
        <w:t xml:space="preserve">is defined as </w:t>
      </w:r>
      <m:oMath>
        <m:sSub>
          <m:sSubPr>
            <m:ctrlPr>
              <w:rPr>
                <w:rFonts w:ascii="Cambria Math" w:hAnsi="Cambria Math"/>
                <w:i/>
                <w:sz w:val="18"/>
              </w:rPr>
            </m:ctrlPr>
          </m:sSubPr>
          <m:e>
            <m:r>
              <w:rPr>
                <w:rFonts w:ascii="Cambria Math" w:hAnsi="Cambria Math"/>
                <w:sz w:val="18"/>
              </w:rPr>
              <m:t>T</m:t>
            </m:r>
          </m:e>
          <m:sub>
            <m:r>
              <w:rPr>
                <w:rFonts w:ascii="Cambria Math" w:hAnsi="Cambria Math"/>
                <w:sz w:val="18"/>
              </w:rPr>
              <m:t>crit</m:t>
            </m:r>
          </m:sub>
        </m:sSub>
        <m:r>
          <w:rPr>
            <w:rFonts w:ascii="Cambria Math" w:hAnsi="Cambria Math"/>
            <w:sz w:val="18"/>
          </w:rPr>
          <m:t>=</m:t>
        </m:r>
        <m:f>
          <m:fPr>
            <m:ctrlPr>
              <w:rPr>
                <w:rFonts w:ascii="Cambria Math" w:hAnsi="Cambria Math"/>
                <w:sz w:val="18"/>
              </w:rPr>
            </m:ctrlPr>
          </m:fPr>
          <m:num>
            <m:d>
              <m:dPr>
                <m:begChr m:val="|"/>
                <m:endChr m:val="|"/>
                <m:ctrlPr>
                  <w:rPr>
                    <w:rFonts w:ascii="Cambria Math" w:hAnsi="Cambria Math"/>
                    <w:i/>
                    <w:sz w:val="18"/>
                  </w:rPr>
                </m:ctrlPr>
              </m:dPr>
              <m:e>
                <m:sSub>
                  <m:sSubPr>
                    <m:ctrlPr>
                      <w:rPr>
                        <w:rFonts w:ascii="Cambria Math" w:hAnsi="Cambria Math"/>
                        <w:i/>
                        <w:sz w:val="18"/>
                      </w:rPr>
                    </m:ctrlPr>
                  </m:sSubPr>
                  <m:e>
                    <m:r>
                      <w:rPr>
                        <w:rFonts w:ascii="Cambria Math" w:hAnsi="Cambria Math"/>
                        <w:sz w:val="18"/>
                      </w:rPr>
                      <m:t>ΔH</m:t>
                    </m:r>
                  </m:e>
                  <m:sub>
                    <m:r>
                      <w:rPr>
                        <w:rFonts w:ascii="Cambria Math" w:hAnsi="Cambria Math"/>
                        <w:sz w:val="18"/>
                      </w:rPr>
                      <m:t>conf</m:t>
                    </m:r>
                  </m:sub>
                </m:sSub>
              </m:e>
            </m:d>
          </m:num>
          <m:den>
            <m:sSub>
              <m:sSubPr>
                <m:ctrlPr>
                  <w:rPr>
                    <w:rFonts w:ascii="Cambria Math" w:hAnsi="Cambria Math"/>
                    <w:i/>
                    <w:sz w:val="18"/>
                  </w:rPr>
                </m:ctrlPr>
              </m:sSubPr>
              <m:e>
                <m:r>
                  <w:rPr>
                    <w:rFonts w:ascii="Cambria Math" w:hAnsi="Cambria Math"/>
                    <w:sz w:val="18"/>
                  </w:rPr>
                  <m:t>ΔS</m:t>
                </m:r>
              </m:e>
              <m:sub>
                <m:r>
                  <w:rPr>
                    <w:rFonts w:ascii="Cambria Math" w:hAnsi="Cambria Math"/>
                    <w:sz w:val="18"/>
                  </w:rPr>
                  <m:t>conf</m:t>
                </m:r>
              </m:sub>
            </m:sSub>
          </m:den>
        </m:f>
      </m:oMath>
      <w:r w:rsidR="00624970" w:rsidRPr="00A867DD">
        <w:rPr>
          <w:sz w:val="18"/>
        </w:rPr>
        <w:t xml:space="preserve"> </w:t>
      </w:r>
      <w:r w:rsidR="00624970" w:rsidRPr="00A867DD">
        <w:t>a</w:t>
      </w:r>
      <w:r w:rsidR="00624970">
        <w:t xml:space="preserve">nd </w:t>
      </w:r>
      <w:bookmarkStart w:id="37" w:name="_Hlk5894696"/>
      <m:oMath>
        <m:sSub>
          <m:sSubPr>
            <m:ctrlPr>
              <w:rPr>
                <w:rFonts w:ascii="Cambria Math" w:hAnsi="Cambria Math"/>
                <w:i/>
              </w:rPr>
            </m:ctrlPr>
          </m:sSubPr>
          <m:e>
            <m:r>
              <w:rPr>
                <w:rFonts w:ascii="Cambria Math" w:hAnsi="Cambria Math"/>
              </w:rPr>
              <m:t>ΔH</m:t>
            </m:r>
          </m:e>
          <m:sub>
            <m:r>
              <w:rPr>
                <w:rFonts w:ascii="Cambria Math" w:hAnsi="Cambria Math"/>
              </w:rPr>
              <m:t>conf</m:t>
            </m:r>
          </m:sub>
        </m:sSub>
      </m:oMath>
      <w:bookmarkEnd w:id="37"/>
      <w:r w:rsidR="00624970">
        <w:rPr>
          <w:rFonts w:hint="eastAsia"/>
        </w:rPr>
        <w:t xml:space="preserve"> </w:t>
      </w:r>
      <w:r w:rsidR="00624970">
        <w:t xml:space="preserve">is the ideal mixing enthalpy which is calculated by applying the Miedema model which will be discussed in the following section. Following the biplot in </w:t>
      </w:r>
      <w:r w:rsidR="00624970">
        <w:rPr>
          <w:noProof/>
        </w:rPr>
        <w:t xml:space="preserve">Fig. 2-2, which compares </w:t>
      </w:r>
      <w:r w:rsidR="00624970" w:rsidRPr="008C71F2">
        <w:rPr>
          <w:noProof/>
        </w:rPr>
        <w:t xml:space="preserve">the </w:t>
      </w:r>
      <w:r w:rsidR="00624970" w:rsidRPr="00993DA1">
        <w:rPr>
          <w:noProof/>
        </w:rPr>
        <w:t>atom</w:t>
      </w:r>
      <w:r w:rsidR="00624970">
        <w:t>ic size difference (</w:t>
      </w:r>
      <m:oMath>
        <m:r>
          <m:rPr>
            <m:sty m:val="p"/>
          </m:rPr>
          <w:rPr>
            <w:rFonts w:ascii="Cambria Math" w:hAnsi="Cambria Math"/>
          </w:rPr>
          <m:t>δ</m:t>
        </m:r>
      </m:oMath>
      <w:r w:rsidR="00624970">
        <w:t xml:space="preserve">) and </w:t>
      </w:r>
      <m:oMath>
        <m:r>
          <m:rPr>
            <m:sty m:val="p"/>
          </m:rPr>
          <w:rPr>
            <w:rFonts w:ascii="Cambria Math" w:hAnsi="Cambria Math"/>
          </w:rPr>
          <m:t>Ω</m:t>
        </m:r>
      </m:oMath>
      <w:r w:rsidR="00624970">
        <w:rPr>
          <w:rFonts w:hint="eastAsia"/>
        </w:rPr>
        <w:t xml:space="preserve"> </w:t>
      </w:r>
      <w:r w:rsidR="00624970">
        <w:t xml:space="preserve">values of </w:t>
      </w:r>
      <w:r w:rsidR="00624970" w:rsidRPr="008C71F2">
        <w:rPr>
          <w:noProof/>
        </w:rPr>
        <w:t>HEAs</w:t>
      </w:r>
      <w:r w:rsidR="00624970">
        <w:rPr>
          <w:noProof/>
        </w:rPr>
        <w:t xml:space="preserve">, </w:t>
      </w:r>
      <w:r w:rsidR="00624970">
        <w:t xml:space="preserve">a clear tendency of simple solid solution phases evolving to </w:t>
      </w:r>
      <w:r w:rsidR="00624970" w:rsidRPr="00480032">
        <w:rPr>
          <w:noProof/>
        </w:rPr>
        <w:t>complex</w:t>
      </w:r>
      <w:r w:rsidR="00624970">
        <w:rPr>
          <w:noProof/>
        </w:rPr>
        <w:t xml:space="preserve"> intermetallic phases</w:t>
      </w:r>
      <w:r w:rsidR="00624970">
        <w:t xml:space="preserve"> was observed. </w:t>
      </w:r>
      <w:r w:rsidR="00624970" w:rsidRPr="00480032">
        <w:rPr>
          <w:noProof/>
        </w:rPr>
        <w:t xml:space="preserve">As </w:t>
      </w:r>
      <w:r w:rsidR="00624970">
        <w:rPr>
          <w:noProof/>
        </w:rPr>
        <w:t>observed in Fig. 2-2</w:t>
      </w:r>
      <w:r w:rsidR="00624970" w:rsidRPr="00480032">
        <w:rPr>
          <w:noProof/>
        </w:rPr>
        <w:t xml:space="preserve">, with </w:t>
      </w:r>
      <w:r w:rsidR="00624970">
        <w:rPr>
          <w:noProof/>
        </w:rPr>
        <w:t xml:space="preserve">an </w:t>
      </w:r>
      <w:r w:rsidR="00624970" w:rsidRPr="00480032">
        <w:rPr>
          <w:noProof/>
        </w:rPr>
        <w:t xml:space="preserve">increase </w:t>
      </w:r>
      <w:r w:rsidR="00624970">
        <w:rPr>
          <w:noProof/>
        </w:rPr>
        <w:t>in</w:t>
      </w:r>
      <w:r w:rsidR="00624970" w:rsidRPr="00480032">
        <w:rPr>
          <w:noProof/>
        </w:rPr>
        <w:t xml:space="preserve"> atomic size differ</w:t>
      </w:r>
      <w:r w:rsidR="00624970" w:rsidRPr="008C71F2">
        <w:rPr>
          <w:noProof/>
        </w:rPr>
        <w:t>ence, th</w:t>
      </w:r>
      <w:r w:rsidR="00624970" w:rsidRPr="00480032">
        <w:rPr>
          <w:noProof/>
        </w:rPr>
        <w:t>e system favo</w:t>
      </w:r>
      <w:r w:rsidR="00624970">
        <w:rPr>
          <w:noProof/>
        </w:rPr>
        <w:t>u</w:t>
      </w:r>
      <w:r w:rsidR="00624970" w:rsidRPr="00480032">
        <w:rPr>
          <w:noProof/>
        </w:rPr>
        <w:t>r</w:t>
      </w:r>
      <w:r w:rsidR="00624970">
        <w:rPr>
          <w:noProof/>
        </w:rPr>
        <w:t>s</w:t>
      </w:r>
      <w:r w:rsidR="00624970" w:rsidRPr="00480032">
        <w:rPr>
          <w:noProof/>
        </w:rPr>
        <w:t xml:space="preserve"> </w:t>
      </w:r>
      <w:r w:rsidR="00624970">
        <w:rPr>
          <w:noProof/>
        </w:rPr>
        <w:t xml:space="preserve">the </w:t>
      </w:r>
      <w:r w:rsidR="00624970" w:rsidRPr="00480032">
        <w:rPr>
          <w:noProof/>
        </w:rPr>
        <w:t>form</w:t>
      </w:r>
      <w:r w:rsidR="00624970">
        <w:rPr>
          <w:noProof/>
        </w:rPr>
        <w:t>ation</w:t>
      </w:r>
      <w:r w:rsidR="00624970" w:rsidRPr="00480032">
        <w:rPr>
          <w:noProof/>
        </w:rPr>
        <w:t xml:space="preserve"> </w:t>
      </w:r>
      <w:r w:rsidR="00624970">
        <w:rPr>
          <w:noProof/>
        </w:rPr>
        <w:t xml:space="preserve">of </w:t>
      </w:r>
      <w:r w:rsidR="00624970" w:rsidRPr="00480032">
        <w:rPr>
          <w:noProof/>
        </w:rPr>
        <w:t>amorphous or solid solution phase</w:t>
      </w:r>
      <w:r w:rsidR="00624970">
        <w:rPr>
          <w:noProof/>
        </w:rPr>
        <w:t>s instead of complex intermetallic phases.</w:t>
      </w:r>
      <w:r w:rsidR="00624970" w:rsidRPr="00480032">
        <w:rPr>
          <w:noProof/>
        </w:rPr>
        <w:t xml:space="preserve"> </w:t>
      </w:r>
      <w:r w:rsidR="00624970">
        <w:rPr>
          <w:noProof/>
        </w:rPr>
        <w:t>S</w:t>
      </w:r>
      <w:r w:rsidR="00624970" w:rsidRPr="00480032">
        <w:rPr>
          <w:noProof/>
        </w:rPr>
        <w:t>uch</w:t>
      </w:r>
      <w:r w:rsidR="00624970">
        <w:rPr>
          <w:noProof/>
        </w:rPr>
        <w:t xml:space="preserve"> a</w:t>
      </w:r>
      <w:r w:rsidR="00624970" w:rsidRPr="00480032">
        <w:rPr>
          <w:noProof/>
        </w:rPr>
        <w:t xml:space="preserve"> phenomenon is mainly attribute</w:t>
      </w:r>
      <w:r w:rsidR="00624970">
        <w:rPr>
          <w:noProof/>
        </w:rPr>
        <w:t>d</w:t>
      </w:r>
      <w:r w:rsidR="00624970" w:rsidRPr="00480032">
        <w:rPr>
          <w:noProof/>
        </w:rPr>
        <w:t xml:space="preserve"> to </w:t>
      </w:r>
      <w:r w:rsidR="00624970">
        <w:rPr>
          <w:noProof/>
        </w:rPr>
        <w:t xml:space="preserve">the </w:t>
      </w:r>
      <w:r w:rsidR="00624970" w:rsidRPr="00480032">
        <w:rPr>
          <w:noProof/>
        </w:rPr>
        <w:t>large mismatch of atomic size</w:t>
      </w:r>
      <w:r w:rsidR="00624970">
        <w:rPr>
          <w:noProof/>
        </w:rPr>
        <w:t>,</w:t>
      </w:r>
      <w:r w:rsidR="00624970" w:rsidRPr="00480032">
        <w:rPr>
          <w:noProof/>
        </w:rPr>
        <w:t xml:space="preserve"> </w:t>
      </w:r>
      <w:r w:rsidR="00624970">
        <w:rPr>
          <w:noProof/>
        </w:rPr>
        <w:t xml:space="preserve">which </w:t>
      </w:r>
      <w:r w:rsidR="00624970" w:rsidRPr="00480032">
        <w:rPr>
          <w:noProof/>
        </w:rPr>
        <w:t>prevent</w:t>
      </w:r>
      <w:r w:rsidR="00624970">
        <w:rPr>
          <w:noProof/>
        </w:rPr>
        <w:t>s the</w:t>
      </w:r>
      <w:r w:rsidR="00624970" w:rsidRPr="00480032">
        <w:rPr>
          <w:noProof/>
        </w:rPr>
        <w:t xml:space="preserve"> diffusion of </w:t>
      </w:r>
      <w:r w:rsidR="00624970">
        <w:rPr>
          <w:noProof/>
        </w:rPr>
        <w:t xml:space="preserve">solute </w:t>
      </w:r>
      <w:r w:rsidR="00624970" w:rsidRPr="00480032">
        <w:rPr>
          <w:noProof/>
        </w:rPr>
        <w:t>atom</w:t>
      </w:r>
      <w:r w:rsidR="00624970">
        <w:rPr>
          <w:noProof/>
        </w:rPr>
        <w:t>s</w:t>
      </w:r>
      <w:r w:rsidR="00624970" w:rsidRPr="00480032">
        <w:rPr>
          <w:noProof/>
        </w:rPr>
        <w:t xml:space="preserve"> and further </w:t>
      </w:r>
      <w:r w:rsidR="00624970">
        <w:rPr>
          <w:noProof/>
        </w:rPr>
        <w:t>isolates</w:t>
      </w:r>
      <w:r w:rsidR="00624970" w:rsidRPr="00480032">
        <w:rPr>
          <w:noProof/>
        </w:rPr>
        <w:t xml:space="preserve"> the</w:t>
      </w:r>
      <w:r w:rsidR="00624970">
        <w:rPr>
          <w:noProof/>
        </w:rPr>
        <w:t>ir</w:t>
      </w:r>
      <w:r w:rsidR="00624970" w:rsidRPr="00480032">
        <w:rPr>
          <w:noProof/>
        </w:rPr>
        <w:t xml:space="preserve"> movement</w:t>
      </w:r>
      <w:r w:rsidR="00624970">
        <w:rPr>
          <w:noProof/>
        </w:rPr>
        <w:t>s.</w:t>
      </w:r>
      <w:r w:rsidR="00624970" w:rsidRPr="00480032">
        <w:rPr>
          <w:noProof/>
        </w:rPr>
        <w:t xml:space="preserve"> </w:t>
      </w:r>
      <w:r w:rsidR="00624970">
        <w:rPr>
          <w:noProof/>
        </w:rPr>
        <w:t>T</w:t>
      </w:r>
      <w:r w:rsidR="00624970" w:rsidRPr="00480032">
        <w:rPr>
          <w:noProof/>
        </w:rPr>
        <w:t>hus</w:t>
      </w:r>
      <w:r w:rsidR="00624970">
        <w:rPr>
          <w:noProof/>
        </w:rPr>
        <w:t>,</w:t>
      </w:r>
      <w:r w:rsidR="00624970" w:rsidRPr="00480032">
        <w:rPr>
          <w:noProof/>
        </w:rPr>
        <w:t xml:space="preserve"> amorphous and solid solution phases which </w:t>
      </w:r>
      <w:r w:rsidR="00624970">
        <w:rPr>
          <w:noProof/>
        </w:rPr>
        <w:t>are thermally stable at</w:t>
      </w:r>
      <w:r w:rsidR="00624970" w:rsidRPr="00480032">
        <w:rPr>
          <w:noProof/>
        </w:rPr>
        <w:t xml:space="preserve"> high temperature</w:t>
      </w:r>
      <w:r w:rsidR="00624970">
        <w:rPr>
          <w:noProof/>
        </w:rPr>
        <w:t>s,</w:t>
      </w:r>
      <w:r w:rsidR="00624970" w:rsidRPr="00480032">
        <w:rPr>
          <w:noProof/>
        </w:rPr>
        <w:t xml:space="preserve"> </w:t>
      </w:r>
      <w:r w:rsidR="00624970">
        <w:rPr>
          <w:noProof/>
        </w:rPr>
        <w:t>can be</w:t>
      </w:r>
      <w:r w:rsidR="00624970" w:rsidRPr="00480032">
        <w:rPr>
          <w:noProof/>
        </w:rPr>
        <w:t xml:space="preserve"> retained to low temperature</w:t>
      </w:r>
      <w:r w:rsidR="00624970">
        <w:rPr>
          <w:noProof/>
        </w:rPr>
        <w:t>s</w:t>
      </w:r>
      <w:r w:rsidR="00624970" w:rsidRPr="00480032">
        <w:rPr>
          <w:noProof/>
        </w:rPr>
        <w:t>.</w:t>
      </w:r>
      <w:r w:rsidR="00624970">
        <w:t xml:space="preserve"> A range of values to form solid solution phases is </w:t>
      </w:r>
      <w:r w:rsidR="00624970" w:rsidRPr="00480032">
        <w:rPr>
          <w:noProof/>
        </w:rPr>
        <w:t>summari</w:t>
      </w:r>
      <w:r w:rsidR="00624970">
        <w:rPr>
          <w:noProof/>
        </w:rPr>
        <w:t>s</w:t>
      </w:r>
      <w:r w:rsidR="00624970" w:rsidRPr="00480032">
        <w:rPr>
          <w:noProof/>
        </w:rPr>
        <w:t>ed</w:t>
      </w:r>
      <w:r w:rsidR="00624970">
        <w:t xml:space="preserve"> as Ω</w:t>
      </w:r>
      <w:r w:rsidR="00624970" w:rsidRPr="00AB1ED9">
        <w:rPr>
          <w:rFonts w:cs="Times New Roman"/>
        </w:rPr>
        <w:t>≥</w:t>
      </w:r>
      <w:r w:rsidR="00624970">
        <w:t xml:space="preserve">1.1 and </w:t>
      </w:r>
      <m:oMath>
        <m:r>
          <m:rPr>
            <m:sty m:val="p"/>
          </m:rPr>
          <w:rPr>
            <w:rFonts w:ascii="Cambria Math" w:hAnsi="Cambria Math"/>
          </w:rPr>
          <m:t>δ</m:t>
        </m:r>
      </m:oMath>
      <w:r w:rsidR="00624970">
        <w:rPr>
          <w:rFonts w:ascii="Times New Roman" w:hAnsi="Times New Roman" w:cs="Times New Roman"/>
        </w:rPr>
        <w:t>≤</w:t>
      </w:r>
      <w:r w:rsidR="00624970">
        <w:t>6.6% and used to guide the design of HEAs.</w:t>
      </w:r>
    </w:p>
    <w:p w14:paraId="0D1212D2" w14:textId="77777777" w:rsidR="00624970" w:rsidRPr="008844E5" w:rsidRDefault="00624970" w:rsidP="00624970">
      <w:pPr>
        <w:keepNext/>
        <w:spacing w:afterLines="60" w:after="144" w:line="360" w:lineRule="auto"/>
        <w:jc w:val="center"/>
      </w:pPr>
      <w:r w:rsidRPr="00A03FC4">
        <w:rPr>
          <w:noProof/>
          <w:sz w:val="20"/>
          <w:lang w:val="en-US" w:eastAsia="en-US"/>
        </w:rPr>
        <w:drawing>
          <wp:inline distT="0" distB="0" distL="0" distR="0" wp14:anchorId="0431ADCE" wp14:editId="00E56805">
            <wp:extent cx="2948940" cy="2270760"/>
            <wp:effectExtent l="0" t="0" r="3810" b="0"/>
            <wp:docPr id="24" name="图片 24" descr="C:\Users\Yuhe\Downloads\1-s2.0-S0254058411009357-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he\Downloads\1-s2.0-S0254058411009357-gr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48940" cy="2270760"/>
                    </a:xfrm>
                    <a:prstGeom prst="rect">
                      <a:avLst/>
                    </a:prstGeom>
                    <a:noFill/>
                    <a:ln>
                      <a:noFill/>
                    </a:ln>
                  </pic:spPr>
                </pic:pic>
              </a:graphicData>
            </a:graphic>
          </wp:inline>
        </w:drawing>
      </w:r>
    </w:p>
    <w:p w14:paraId="0968AA87" w14:textId="77777777" w:rsidR="00624970" w:rsidRDefault="00624970" w:rsidP="00624970">
      <w:pPr>
        <w:spacing w:afterLines="60" w:after="144" w:line="360" w:lineRule="auto"/>
      </w:pPr>
      <w:bookmarkStart w:id="38" w:name="_Toc39312671"/>
      <w:bookmarkStart w:id="39" w:name="_Toc5617624"/>
      <w:bookmarkStart w:id="40" w:name="_Toc7364557"/>
      <w:r w:rsidRPr="00A03FC4">
        <w:rPr>
          <w:b/>
          <w:sz w:val="20"/>
        </w:rPr>
        <w:t>Figure</w:t>
      </w:r>
      <w:r>
        <w:rPr>
          <w:b/>
          <w:sz w:val="20"/>
        </w:rPr>
        <w:t xml:space="preserve"> 2</w:t>
      </w:r>
      <w:r w:rsidRPr="008844E5">
        <w:rPr>
          <w:b/>
        </w:rPr>
        <w:t>-</w:t>
      </w:r>
      <w:r w:rsidRPr="008844E5">
        <w:rPr>
          <w:b/>
          <w:sz w:val="20"/>
        </w:rPr>
        <w:fldChar w:fldCharType="begin"/>
      </w:r>
      <w:r w:rsidRPr="008844E5">
        <w:rPr>
          <w:b/>
          <w:sz w:val="20"/>
        </w:rPr>
        <w:instrText xml:space="preserve"> SEQ Figure \* ARABIC </w:instrText>
      </w:r>
      <w:r w:rsidRPr="008844E5">
        <w:rPr>
          <w:b/>
          <w:sz w:val="20"/>
        </w:rPr>
        <w:fldChar w:fldCharType="separate"/>
      </w:r>
      <w:r>
        <w:rPr>
          <w:b/>
          <w:noProof/>
          <w:sz w:val="20"/>
        </w:rPr>
        <w:t>2</w:t>
      </w:r>
      <w:r w:rsidRPr="008844E5">
        <w:rPr>
          <w:b/>
          <w:sz w:val="20"/>
        </w:rPr>
        <w:fldChar w:fldCharType="end"/>
      </w:r>
      <w:r w:rsidRPr="00A03FC4">
        <w:rPr>
          <w:b/>
          <w:sz w:val="20"/>
        </w:rPr>
        <w:t xml:space="preserve"> Biplot of atomic size difference</w:t>
      </w:r>
      <w:r>
        <w:rPr>
          <w:b/>
          <w:sz w:val="20"/>
        </w:rPr>
        <w:t xml:space="preserve"> </w:t>
      </w:r>
      <w:r>
        <w:t>(</w:t>
      </w:r>
      <m:oMath>
        <m:r>
          <m:rPr>
            <m:sty m:val="p"/>
          </m:rPr>
          <w:rPr>
            <w:rFonts w:ascii="Cambria Math" w:hAnsi="Cambria Math"/>
          </w:rPr>
          <m:t>δ</m:t>
        </m:r>
      </m:oMath>
      <w:r>
        <w:t>)</w:t>
      </w:r>
      <w:r w:rsidRPr="00A03FC4">
        <w:rPr>
          <w:b/>
          <w:sz w:val="20"/>
        </w:rPr>
        <w:t xml:space="preserve"> against Ω</w:t>
      </w:r>
      <w:r>
        <w:rPr>
          <w:b/>
          <w:sz w:val="20"/>
        </w:rPr>
        <w:t>.</w:t>
      </w:r>
      <w:r w:rsidRPr="00A03FC4">
        <w:rPr>
          <w:b/>
          <w:sz w:val="20"/>
        </w:rPr>
        <w:t xml:space="preserve"> </w:t>
      </w:r>
      <w:r>
        <w:rPr>
          <w:b/>
          <w:noProof/>
          <w:sz w:val="20"/>
        </w:rPr>
        <w:t>S</w:t>
      </w:r>
      <w:r w:rsidRPr="003B6CA7">
        <w:rPr>
          <w:b/>
          <w:noProof/>
          <w:sz w:val="20"/>
        </w:rPr>
        <w:t>olid</w:t>
      </w:r>
      <w:r w:rsidRPr="00A03FC4">
        <w:rPr>
          <w:b/>
          <w:sz w:val="20"/>
        </w:rPr>
        <w:t xml:space="preserve"> solution, intermetallic, complex and amorphous phases are represented by</w:t>
      </w:r>
      <w:r>
        <w:rPr>
          <w:b/>
          <w:sz w:val="20"/>
        </w:rPr>
        <w:t xml:space="preserve"> </w:t>
      </w:r>
      <w:r w:rsidRPr="008C71F2">
        <w:rPr>
          <w:b/>
          <w:noProof/>
          <w:sz w:val="20"/>
        </w:rPr>
        <w:t>cubic</w:t>
      </w:r>
      <w:r w:rsidRPr="00A03FC4">
        <w:rPr>
          <w:b/>
          <w:sz w:val="20"/>
        </w:rPr>
        <w:t xml:space="preserve">, circle, </w:t>
      </w:r>
      <w:r w:rsidRPr="00993DA1">
        <w:rPr>
          <w:b/>
          <w:noProof/>
          <w:sz w:val="20"/>
        </w:rPr>
        <w:t>tri</w:t>
      </w:r>
      <w:r>
        <w:rPr>
          <w:b/>
          <w:noProof/>
          <w:sz w:val="20"/>
        </w:rPr>
        <w:t>a</w:t>
      </w:r>
      <w:r w:rsidRPr="00993DA1">
        <w:rPr>
          <w:b/>
          <w:noProof/>
          <w:sz w:val="20"/>
        </w:rPr>
        <w:t>ngle</w:t>
      </w:r>
      <w:r w:rsidRPr="00A03FC4">
        <w:rPr>
          <w:b/>
          <w:sz w:val="20"/>
        </w:rPr>
        <w:t xml:space="preserve"> and nabla</w:t>
      </w:r>
      <w:r>
        <w:rPr>
          <w:b/>
          <w:sz w:val="20"/>
        </w:rPr>
        <w:t xml:space="preserve"> symbols,</w:t>
      </w:r>
      <w:r w:rsidRPr="00A03FC4">
        <w:rPr>
          <w:b/>
          <w:sz w:val="20"/>
        </w:rPr>
        <w:t xml:space="preserve"> respectively. </w:t>
      </w:r>
      <w:r>
        <w:rPr>
          <w:b/>
          <w:sz w:val="20"/>
        </w:rPr>
        <w:fldChar w:fldCharType="begin" w:fldLock="1"/>
      </w:r>
      <w:r>
        <w:rPr>
          <w:b/>
          <w:sz w:val="20"/>
        </w:rPr>
        <w:instrText>ADDIN CSL_CITATION {"citationItems":[{"id":"ITEM-1","itemData":{"DOI":"10.1016/j.matchemphys.2011.11.021","ISBN":"0254-0584","ISSN":"02540584","PMID":"23580514","abstract":"Phase formation for the multi-component alloys has been predicted by calculating parameter. and i for typical multi-component alloys reported. Here, σ is defined as a parameter of the entropy of mixing timing the average melting temperature of the elements over the enthalpy of mixing, i is the mean square deviation of the atomic size o</w:instrText>
      </w:r>
      <w:r>
        <w:rPr>
          <w:rFonts w:hint="eastAsia"/>
          <w:b/>
          <w:sz w:val="20"/>
        </w:rPr>
        <w:instrText xml:space="preserve">f elements. It shows that the high-entropy (HE) stabilized solid-solution is located at </w:instrText>
      </w:r>
      <w:r>
        <w:rPr>
          <w:rFonts w:hint="eastAsia"/>
          <w:b/>
          <w:sz w:val="20"/>
        </w:rPr>
        <w:instrText>σ</w:instrText>
      </w:r>
      <w:r>
        <w:rPr>
          <w:rFonts w:hint="eastAsia"/>
          <w:b/>
          <w:sz w:val="20"/>
        </w:rPr>
        <w:instrText xml:space="preserve"> </w:instrText>
      </w:r>
      <w:r>
        <w:rPr>
          <w:rFonts w:hint="eastAsia"/>
          <w:b/>
          <w:sz w:val="20"/>
        </w:rPr>
        <w:instrText>≥</w:instrText>
      </w:r>
      <w:r>
        <w:rPr>
          <w:rFonts w:hint="eastAsia"/>
          <w:b/>
          <w:sz w:val="20"/>
        </w:rPr>
        <w:instrText xml:space="preserve"> 1.1 and </w:instrText>
      </w:r>
      <w:r>
        <w:rPr>
          <w:rFonts w:hint="eastAsia"/>
          <w:b/>
          <w:sz w:val="20"/>
        </w:rPr>
        <w:instrText>δ</w:instrText>
      </w:r>
      <w:r>
        <w:rPr>
          <w:rFonts w:hint="eastAsia"/>
          <w:b/>
          <w:sz w:val="20"/>
        </w:rPr>
        <w:instrText xml:space="preserve"> </w:instrText>
      </w:r>
      <w:r>
        <w:rPr>
          <w:rFonts w:hint="eastAsia"/>
          <w:b/>
          <w:sz w:val="20"/>
        </w:rPr>
        <w:instrText>≤</w:instrText>
      </w:r>
      <w:r>
        <w:rPr>
          <w:rFonts w:hint="eastAsia"/>
          <w:b/>
          <w:sz w:val="20"/>
        </w:rPr>
        <w:instrText xml:space="preserve"> 6.6%. © 2011 Elsevier B.V. All rights reserved.","author":[{"dropping-particle":"","family":"Yang","given":"X.","non-dropping-particle":"","parse-names</w:instrText>
      </w:r>
      <w:r>
        <w:rPr>
          <w:b/>
          <w:sz w:val="20"/>
        </w:rPr>
        <w:instrText>":false,"suffix":""},{"dropping-particle":"","family":"Zhang","given":"Y.","non-dropping-particle":"","parse-names":false,"suffix":""}],"container-title":"Materials Chemistry and Physics","id":"ITEM-1","issued":{"date-parts":[["2012"]]},"title":"Prediction of high-entropy stabilized solid-solution in multi-component alloys","type":"article-journal"},"uris":["http://www.mendeley.com/documents/?uuid=f3e7e2f1-6ba2-4ad9-a474-4fc24e1902b8"]}],"mendeley":{"formattedCitation":"[33]","plainTextFormattedCitation":"[33]","previouslyFormattedCitation":"[33]"},"properties":{"noteIndex":0},"schema":"https://github.com/citation-style-language/schema/raw/master/csl-citation.json"}</w:instrText>
      </w:r>
      <w:r>
        <w:rPr>
          <w:b/>
          <w:sz w:val="20"/>
        </w:rPr>
        <w:fldChar w:fldCharType="separate"/>
      </w:r>
      <w:bookmarkEnd w:id="39"/>
      <w:bookmarkEnd w:id="40"/>
      <w:r w:rsidRPr="003B39BC">
        <w:rPr>
          <w:noProof/>
          <w:sz w:val="20"/>
        </w:rPr>
        <w:t>[33]</w:t>
      </w:r>
      <w:bookmarkEnd w:id="38"/>
      <w:r>
        <w:rPr>
          <w:b/>
          <w:sz w:val="20"/>
        </w:rPr>
        <w:fldChar w:fldCharType="end"/>
      </w:r>
      <w:r>
        <w:rPr>
          <w:b/>
        </w:rPr>
        <w:t xml:space="preserve"> </w:t>
      </w:r>
      <w:r w:rsidRPr="00A5305F">
        <w:rPr>
          <w:b/>
        </w:rPr>
        <w:t xml:space="preserve"> </w:t>
      </w:r>
    </w:p>
    <w:p w14:paraId="0F62C547" w14:textId="77777777" w:rsidR="00624970" w:rsidRDefault="00624970" w:rsidP="00624970">
      <w:pPr>
        <w:spacing w:afterLines="60" w:after="144" w:line="360" w:lineRule="auto"/>
        <w:jc w:val="both"/>
        <w:rPr>
          <w:noProof/>
        </w:rPr>
      </w:pPr>
      <w:r>
        <w:t xml:space="preserve">Although the tendency to form complex phases and </w:t>
      </w:r>
      <w:r w:rsidRPr="003B6CA7">
        <w:rPr>
          <w:noProof/>
        </w:rPr>
        <w:t>simple</w:t>
      </w:r>
      <w:r>
        <w:t xml:space="preserve"> solid solution phases </w:t>
      </w:r>
      <w:r>
        <w:rPr>
          <w:noProof/>
        </w:rPr>
        <w:t>is</w:t>
      </w:r>
      <w:r>
        <w:t xml:space="preserve"> </w:t>
      </w:r>
      <w:r>
        <w:rPr>
          <w:noProof/>
        </w:rPr>
        <w:t>distinguished</w:t>
      </w:r>
      <w:r>
        <w:t xml:space="preserve"> in the biplot in </w:t>
      </w:r>
      <w:r>
        <w:rPr>
          <w:noProof/>
        </w:rPr>
        <w:t>Fig. 2-2</w:t>
      </w:r>
      <w:r w:rsidRPr="00480032">
        <w:rPr>
          <w:noProof/>
        </w:rPr>
        <w:t>,</w:t>
      </w:r>
      <w:r>
        <w:t xml:space="preserve"> there still exist large intersections between </w:t>
      </w:r>
      <w:r w:rsidRPr="003B6CA7">
        <w:rPr>
          <w:noProof/>
        </w:rPr>
        <w:t>complex</w:t>
      </w:r>
      <w:r>
        <w:t xml:space="preserve"> phases and </w:t>
      </w:r>
      <w:r w:rsidRPr="003B6CA7">
        <w:rPr>
          <w:noProof/>
        </w:rPr>
        <w:t>simple</w:t>
      </w:r>
      <w:r>
        <w:t xml:space="preserve"> phases. Several factors may need to </w:t>
      </w:r>
      <w:r w:rsidRPr="003B6CA7">
        <w:rPr>
          <w:noProof/>
        </w:rPr>
        <w:t>be considered</w:t>
      </w:r>
      <w:r>
        <w:rPr>
          <w:noProof/>
        </w:rPr>
        <w:t xml:space="preserve"> to</w:t>
      </w:r>
      <w:r>
        <w:t xml:space="preserve"> </w:t>
      </w:r>
      <w:r w:rsidRPr="008C71F2">
        <w:rPr>
          <w:noProof/>
        </w:rPr>
        <w:t>influence</w:t>
      </w:r>
      <w:r>
        <w:t xml:space="preserve"> the </w:t>
      </w:r>
      <w:r>
        <w:rPr>
          <w:noProof/>
        </w:rPr>
        <w:t>accuracy</w:t>
      </w:r>
      <w:r>
        <w:t xml:space="preserve"> of the prediction. Regarding the atomic </w:t>
      </w:r>
      <w:r w:rsidRPr="008C71F2">
        <w:rPr>
          <w:noProof/>
        </w:rPr>
        <w:lastRenderedPageBreak/>
        <w:t>radius</w:t>
      </w:r>
      <w:r>
        <w:t xml:space="preserve"> difference is </w:t>
      </w:r>
      <w:r w:rsidRPr="003B6CA7">
        <w:rPr>
          <w:noProof/>
        </w:rPr>
        <w:t>a comprehensive</w:t>
      </w:r>
      <w:r>
        <w:t xml:space="preserve"> effect of the </w:t>
      </w:r>
      <w:r w:rsidRPr="00993DA1">
        <w:rPr>
          <w:noProof/>
        </w:rPr>
        <w:t>electronic</w:t>
      </w:r>
      <w:r>
        <w:t xml:space="preserve"> structure together with the </w:t>
      </w:r>
      <w:r w:rsidRPr="003B6CA7">
        <w:rPr>
          <w:noProof/>
        </w:rPr>
        <w:t>coordinat</w:t>
      </w:r>
      <w:r>
        <w:rPr>
          <w:noProof/>
        </w:rPr>
        <w:t>ion</w:t>
      </w:r>
      <w:r>
        <w:t xml:space="preserve"> number, bond type and atom number. A </w:t>
      </w:r>
      <w:r>
        <w:rPr>
          <w:noProof/>
        </w:rPr>
        <w:t>s</w:t>
      </w:r>
      <w:r w:rsidRPr="008C71F2">
        <w:rPr>
          <w:noProof/>
        </w:rPr>
        <w:t>emi-empirical</w:t>
      </w:r>
      <w:r>
        <w:t xml:space="preserve"> parameter that </w:t>
      </w:r>
      <w:r w:rsidRPr="008C71F2">
        <w:rPr>
          <w:noProof/>
        </w:rPr>
        <w:t>correlate</w:t>
      </w:r>
      <w:r>
        <w:rPr>
          <w:noProof/>
        </w:rPr>
        <w:t>s</w:t>
      </w:r>
      <w:r>
        <w:t xml:space="preserve"> to </w:t>
      </w:r>
      <w:r w:rsidRPr="008C71F2">
        <w:rPr>
          <w:noProof/>
        </w:rPr>
        <w:t>electronic</w:t>
      </w:r>
      <w:r>
        <w:t xml:space="preserve"> structure may be more effective in predicting the phase formation of HEAs.</w:t>
      </w:r>
      <w:r>
        <w:rPr>
          <w:noProof/>
        </w:rPr>
        <w:t xml:space="preserve"> </w:t>
      </w:r>
    </w:p>
    <w:p w14:paraId="5B36EC2A" w14:textId="77777777" w:rsidR="00624970" w:rsidRDefault="00624970" w:rsidP="00624970">
      <w:pPr>
        <w:spacing w:afterLines="60" w:after="144" w:line="360" w:lineRule="auto"/>
        <w:jc w:val="both"/>
        <w:rPr>
          <w:noProof/>
        </w:rPr>
      </w:pPr>
      <w:r>
        <w:t xml:space="preserve">Owing to the nature and limits of </w:t>
      </w:r>
      <w:r w:rsidRPr="00993DA1">
        <w:rPr>
          <w:noProof/>
        </w:rPr>
        <w:t>utili</w:t>
      </w:r>
      <w:r>
        <w:rPr>
          <w:noProof/>
        </w:rPr>
        <w:t>s</w:t>
      </w:r>
      <w:r w:rsidRPr="00993DA1">
        <w:rPr>
          <w:noProof/>
        </w:rPr>
        <w:t>ing</w:t>
      </w:r>
      <w:r>
        <w:t xml:space="preserve"> atomic radius difference, the electronegativity </w:t>
      </w:r>
      <w:r w:rsidRPr="003B6CA7">
        <w:rPr>
          <w:noProof/>
        </w:rPr>
        <w:t>was taken</w:t>
      </w:r>
      <w:r>
        <w:t xml:space="preserve"> into consideration in phase formation predictions of</w:t>
      </w:r>
      <w:r w:rsidRPr="00836962">
        <w:t xml:space="preserve"> </w:t>
      </w:r>
      <w:r>
        <w:t xml:space="preserve">HEAs. According to a </w:t>
      </w:r>
      <w:r w:rsidRPr="00993DA1">
        <w:rPr>
          <w:noProof/>
        </w:rPr>
        <w:t>general</w:t>
      </w:r>
      <w:r>
        <w:rPr>
          <w:noProof/>
        </w:rPr>
        <w:t>ly</w:t>
      </w:r>
      <w:r>
        <w:t xml:space="preserve"> accepted assumption in metallic </w:t>
      </w:r>
      <w:r w:rsidRPr="008C71F2">
        <w:rPr>
          <w:noProof/>
        </w:rPr>
        <w:t>materials</w:t>
      </w:r>
      <w:r>
        <w:rPr>
          <w:noProof/>
        </w:rPr>
        <w:t>, that</w:t>
      </w:r>
      <w:r>
        <w:t xml:space="preserve"> the electronic structure which is determined by </w:t>
      </w:r>
      <w:r w:rsidRPr="00993DA1">
        <w:rPr>
          <w:noProof/>
        </w:rPr>
        <w:t>electro</w:t>
      </w:r>
      <w:r>
        <w:rPr>
          <w:noProof/>
        </w:rPr>
        <w:t>nic</w:t>
      </w:r>
      <w:r>
        <w:t xml:space="preserve"> interactions between different components, can </w:t>
      </w:r>
      <w:r w:rsidRPr="003B6CA7">
        <w:rPr>
          <w:noProof/>
        </w:rPr>
        <w:t>be</w:t>
      </w:r>
      <w:r>
        <w:rPr>
          <w:noProof/>
        </w:rPr>
        <w:t xml:space="preserve"> approximately</w:t>
      </w:r>
      <w:r w:rsidRPr="003B6CA7">
        <w:rPr>
          <w:noProof/>
        </w:rPr>
        <w:t xml:space="preserve"> deduced</w:t>
      </w:r>
      <w:r>
        <w:t xml:space="preserve"> from their electronegativity</w:t>
      </w:r>
      <w:r>
        <w:fldChar w:fldCharType="begin" w:fldLock="1"/>
      </w:r>
      <w:r>
        <w:instrText>ADDIN CSL_CITATION {"citationItems":[{"id":"ITEM-1","itemData":{"DOI":"10.1557/mrs.2012.45","ISBN":"9780874216561","ISSN":"0883-7694","PMID":"15003161","abstract":"The objective of this case study was to obtain some first-hand information about the functional consequences of a cosmetic tongue split operation for speech and tongue motility. One male patient who had performed the operation on himself was interviewed and underwent a tongue motility assessment, as well as an ultrasound examination. Tongue motility was mildly reduced as a result of tissue scarring. Speech was rated to be fully intelligible and highly acceptable by 4 raters, although 2 raters noticed slight distortions of the sibilants /s/ and /z/. The 3-dimensional ultrasound demonstrated that the synergy of the 2 sides of the tongue was preserved. A notably deep posterior genioglossus furrow indicated compensation for the reduced length of the tongue blade. It is concluded that the tongue split procedure did not significantly affect the participant's speech intelligibility and tongue motility.","author":[{"dropping-particle":"","family":"Mizutani","given":"Uichiro","non-dropping-particle":"","parse-names":false,"suffix":""}],"container-title":"MRS Bulletin","id":"ITEM-1","issued":{"date-parts":[["2012"]]},"title":"Hume-Rothery rules for structurally complex alloy phases","type":"article-journal"},"uris":["http://www.mendeley.com/documents/?uuid=ab373764-0c21-437e-b071-31f5a0b5f49b","http://www.mendeley.com/documents/?uuid=be581dbe-1495-409f-9200-8448c78b6e4e"]}],"mendeley":{"formattedCitation":"[34]","plainTextFormattedCitation":"[34]","previouslyFormattedCitation":"[34]"},"properties":{"noteIndex":0},"schema":"https://github.com/citation-style-language/schema/raw/master/csl-citation.json"}</w:instrText>
      </w:r>
      <w:r>
        <w:fldChar w:fldCharType="separate"/>
      </w:r>
      <w:r w:rsidRPr="003B39BC">
        <w:rPr>
          <w:noProof/>
        </w:rPr>
        <w:t>[34]</w:t>
      </w:r>
      <w:r>
        <w:fldChar w:fldCharType="end"/>
      </w:r>
      <w:r>
        <w:t xml:space="preserve">. Pauling electronegativity difference </w:t>
      </w:r>
      <w:r w:rsidRPr="003B6CA7">
        <w:rPr>
          <w:noProof/>
        </w:rPr>
        <w:t>was first taken</w:t>
      </w:r>
      <w:r>
        <w:t xml:space="preserve"> into consideration, to </w:t>
      </w:r>
      <w:r w:rsidRPr="00993DA1">
        <w:rPr>
          <w:noProof/>
        </w:rPr>
        <w:t>appro</w:t>
      </w:r>
      <w:r>
        <w:rPr>
          <w:noProof/>
        </w:rPr>
        <w:t>xim</w:t>
      </w:r>
      <w:r w:rsidRPr="00993DA1">
        <w:rPr>
          <w:noProof/>
        </w:rPr>
        <w:t>ate</w:t>
      </w:r>
      <w:r>
        <w:rPr>
          <w:noProof/>
        </w:rPr>
        <w:t xml:space="preserve"> the interation between</w:t>
      </w:r>
      <w:r>
        <w:t xml:space="preserve"> solute and solvent elements in binary alloy systems. Pauling electronegativity is a comprehensive measure which considers both </w:t>
      </w:r>
      <w:r w:rsidRPr="00993DA1">
        <w:rPr>
          <w:noProof/>
        </w:rPr>
        <w:t>ioni</w:t>
      </w:r>
      <w:r>
        <w:rPr>
          <w:noProof/>
        </w:rPr>
        <w:t>s</w:t>
      </w:r>
      <w:r w:rsidRPr="00993DA1">
        <w:rPr>
          <w:noProof/>
        </w:rPr>
        <w:t>ation</w:t>
      </w:r>
      <w:r>
        <w:t xml:space="preserve"> energy and electron affinity</w:t>
      </w:r>
      <w:r>
        <w:fldChar w:fldCharType="begin" w:fldLock="1"/>
      </w:r>
      <w:r>
        <w:instrText>ADDIN CSL_CITATION {"citationItems":[{"id":"ITEM-1","itemData":{"DOI":"10.1021/ja01348a011","ISBN":"0002-7863","ISSN":"15205126","PMID":"25246403","abstract":"Recent deveropments in the application of the quantum mechanics to problems of molecular structure1 have indicated that the properties of a bond between two atoms often are determined mainly by one single-electron orbital wave function for each atom, and are not strongly affected by the other atoms in the molecule; for when the wave function for a molecule containing single covalent bonds is set up with the use of single-electron orbital wave functions, it is found that each bond function tends to overlap to the maximum extent the other function involved in one bond, and to avoid overlapping all others, so that the resonance integrals other than those characteristic of the bonds are small. The empirical evidence of interatomic distances supports this view; it has been possible to formulate a set of covalent radii for use in purely covalent molecules (in which each atom forms covalent bonds to a number determined by its position in the periodic system) which accounts satisfactorily for observed distances in molecules to which a single Lewis electronic structure can be assigned.2 It has also been found that changing the covalence of an atom, and hence the nature of the bond function, produces a change in the radius.3","author":[{"dropping-particle":"","family":"Pauling","given":"Linus","non-dropping-particle":"","parse-names":false,"suffix":""}],"container-title":"Journal of the American Chemical Society","id":"ITEM-1","issued":{"date-parts":[["1932"]]},"title":"The nature of the chemical bond. IV. The energy of single bonds and the relative electronegativity of atoms","type":"article-journal"},"uris":["http://www.mendeley.com/documents/?uuid=91cdf6ed-81d5-404a-8ab1-6aa69a3ae50a","http://www.mendeley.com/documents/?uuid=a72a12fc-9f9a-4fc8-96c2-4f61a8fac28b"]}],"mendeley":{"formattedCitation":"[35]","plainTextFormattedCitation":"[35]","previouslyFormattedCitation":"[35]"},"properties":{"noteIndex":0},"schema":"https://github.com/citation-style-language/schema/raw/master/csl-citation.json"}</w:instrText>
      </w:r>
      <w:r>
        <w:fldChar w:fldCharType="separate"/>
      </w:r>
      <w:r w:rsidRPr="003B39BC">
        <w:rPr>
          <w:noProof/>
        </w:rPr>
        <w:t>[35]</w:t>
      </w:r>
      <w:r>
        <w:fldChar w:fldCharType="end"/>
      </w:r>
      <w:r>
        <w:t xml:space="preserve">. For low electronegativity difference, the two pairing atoms have a </w:t>
      </w:r>
      <w:r w:rsidRPr="00993DA1">
        <w:rPr>
          <w:noProof/>
        </w:rPr>
        <w:t>similar</w:t>
      </w:r>
      <w:r>
        <w:t xml:space="preserve"> attraction to the bonding pair electrons</w:t>
      </w:r>
      <w:r>
        <w:rPr>
          <w:noProof/>
        </w:rPr>
        <w:t>;</w:t>
      </w:r>
      <w:r w:rsidRPr="00993DA1">
        <w:rPr>
          <w:noProof/>
        </w:rPr>
        <w:t xml:space="preserve"> the</w:t>
      </w:r>
      <w:r>
        <w:t xml:space="preserve"> bonding </w:t>
      </w:r>
      <w:r>
        <w:rPr>
          <w:noProof/>
        </w:rPr>
        <w:t>does not</w:t>
      </w:r>
      <w:r w:rsidRPr="008C71F2">
        <w:rPr>
          <w:noProof/>
        </w:rPr>
        <w:t xml:space="preserve"> exhibit</w:t>
      </w:r>
      <w:r>
        <w:t xml:space="preserve"> high </w:t>
      </w:r>
      <w:r w:rsidRPr="00993DA1">
        <w:rPr>
          <w:noProof/>
        </w:rPr>
        <w:t>polari</w:t>
      </w:r>
      <w:r>
        <w:rPr>
          <w:noProof/>
        </w:rPr>
        <w:t>s</w:t>
      </w:r>
      <w:r w:rsidRPr="00993DA1">
        <w:rPr>
          <w:noProof/>
        </w:rPr>
        <w:t>ation</w:t>
      </w:r>
      <w:r>
        <w:t xml:space="preserve">. For high electronegativity difference, the tendency to attract a bonding pair electron is increased and will result in a </w:t>
      </w:r>
      <w:r w:rsidRPr="008C71F2">
        <w:rPr>
          <w:noProof/>
        </w:rPr>
        <w:t>high</w:t>
      </w:r>
      <w:r>
        <w:t xml:space="preserve"> </w:t>
      </w:r>
      <w:r w:rsidRPr="00993DA1">
        <w:rPr>
          <w:noProof/>
        </w:rPr>
        <w:t>polari</w:t>
      </w:r>
      <w:r>
        <w:rPr>
          <w:noProof/>
        </w:rPr>
        <w:t>s</w:t>
      </w:r>
      <w:r w:rsidRPr="00993DA1">
        <w:rPr>
          <w:noProof/>
        </w:rPr>
        <w:t>ation</w:t>
      </w:r>
      <w:r>
        <w:t xml:space="preserve"> of the chemical bond between pairing atoms. In such </w:t>
      </w:r>
      <w:r w:rsidRPr="008C71F2">
        <w:rPr>
          <w:noProof/>
        </w:rPr>
        <w:t>case</w:t>
      </w:r>
      <w:r>
        <w:rPr>
          <w:noProof/>
        </w:rPr>
        <w:t>s</w:t>
      </w:r>
      <w:r>
        <w:t>, the relationship between electronegativity and bond type becomes clear.  For metallic materials,</w:t>
      </w:r>
      <w:r w:rsidRPr="00CC0CF6">
        <w:t xml:space="preserve"> the metallic bond always refers to a less polarised linkage between bonding pair atoms, which relates to relatively lower electronegativity</w:t>
      </w:r>
      <w:r>
        <w:t xml:space="preserve">. In instances of high electronegativity, however, the chemical bond becomes more </w:t>
      </w:r>
      <w:r w:rsidRPr="00993DA1">
        <w:rPr>
          <w:noProof/>
        </w:rPr>
        <w:t>polari</w:t>
      </w:r>
      <w:r>
        <w:rPr>
          <w:noProof/>
        </w:rPr>
        <w:t>s</w:t>
      </w:r>
      <w:r w:rsidRPr="00993DA1">
        <w:rPr>
          <w:noProof/>
        </w:rPr>
        <w:t>ed</w:t>
      </w:r>
      <w:r>
        <w:t xml:space="preserve"> owing to increased </w:t>
      </w:r>
      <w:r w:rsidRPr="00993DA1">
        <w:rPr>
          <w:noProof/>
        </w:rPr>
        <w:t>polari</w:t>
      </w:r>
      <w:r>
        <w:rPr>
          <w:noProof/>
        </w:rPr>
        <w:t>s</w:t>
      </w:r>
      <w:r w:rsidRPr="00993DA1">
        <w:rPr>
          <w:noProof/>
        </w:rPr>
        <w:t>ation</w:t>
      </w:r>
      <w:r>
        <w:t xml:space="preserve"> among components of the chemical bond, which indicates the formation of intermetallic phases. </w:t>
      </w:r>
      <w:r>
        <w:rPr>
          <w:noProof/>
        </w:rPr>
        <w:t>Pauling presented the first version of electronegativity</w:t>
      </w:r>
      <w:r>
        <w:t xml:space="preserve"> which was mainly used to describe the </w:t>
      </w:r>
      <w:r w:rsidRPr="003B6CA7">
        <w:rPr>
          <w:noProof/>
        </w:rPr>
        <w:t>formation</w:t>
      </w:r>
      <w:r>
        <w:t xml:space="preserve"> of </w:t>
      </w:r>
      <w:r w:rsidRPr="008C71F2">
        <w:rPr>
          <w:noProof/>
        </w:rPr>
        <w:t>covalent</w:t>
      </w:r>
      <w:r>
        <w:t xml:space="preserve"> bonds, through the calculation of the </w:t>
      </w:r>
      <w:r w:rsidRPr="00993DA1">
        <w:rPr>
          <w:noProof/>
        </w:rPr>
        <w:t>dissociation</w:t>
      </w:r>
      <w:r>
        <w:t xml:space="preserve"> energy of two bonded atoms</w:t>
      </w:r>
      <w:r>
        <w:fldChar w:fldCharType="begin" w:fldLock="1"/>
      </w:r>
      <w:r>
        <w:instrText>ADDIN CSL_CITATION {"citationItems":[{"id":"ITEM-1","itemData":{"DOI":"10.1021/ja01348a011","ISBN":"0002-7863","ISSN":"15205126","PMID":"25246403","abstract":"Recent deveropments in the application of the quantum mechanics to problems of molecular structure1 have indicated that the properties of a bond between two atoms often are determined mainly by one single-electron orbital wave function for each atom, and are not strongly affected by the other atoms in the molecule; for when the wave function for a molecule containing single covalent bonds is set up with the use of single-electron orbital wave functions, it is found that each bond function tends to overlap to the maximum extent the other function involved in one bond, and to avoid overlapping all others, so that the resonance integrals other than those characteristic of the bonds are small. The empirical evidence of interatomic distances supports this view; it has been possible to formulate a set of covalent radii for use in purely covalent molecules (in which each atom forms covalent bonds to a number determined by its position in the periodic system) which accounts satisfactorily for observed distances in molecules to which a single Lewis electronic structure can be assigned.2 It has also been found that changing the covalence of an atom, and hence the nature of the bond function, produces a change in the radius.3","author":[{"dropping-particle":"","family":"Pauling","given":"Linus","non-dropping-particle":"","parse-names":false,"suffix":""}],"container-title":"Journal of the American Chemical Society","id":"ITEM-1","issued":{"date-parts":[["1932"]]},"title":"The nature of the chemical bond. IV. The energy of single bonds and the relative electronegativity of atoms","type":"article-journal"},"uris":["http://www.mendeley.com/documents/?uuid=a72a12fc-9f9a-4fc8-96c2-4f61a8fac28b","http://www.mendeley.com/documents/?uuid=91cdf6ed-81d5-404a-8ab1-6aa69a3ae50a"]}],"mendeley":{"formattedCitation":"[35]","plainTextFormattedCitation":"[35]","previouslyFormattedCitation":"[35]"},"properties":{"noteIndex":0},"schema":"https://github.com/citation-style-language/schema/raw/master/csl-citation.json"}</w:instrText>
      </w:r>
      <w:r>
        <w:fldChar w:fldCharType="separate"/>
      </w:r>
      <w:r w:rsidRPr="003B39BC">
        <w:rPr>
          <w:noProof/>
        </w:rPr>
        <w:t>[35]</w:t>
      </w:r>
      <w:r>
        <w:fldChar w:fldCharType="end"/>
      </w:r>
      <w:r>
        <w:t xml:space="preserve">. As a dimensionless measure of electronegativity, the limitation of Pauling’s version of electronegativity is clear. Taking H-Br 3.79 as </w:t>
      </w:r>
      <w:r w:rsidRPr="008C71F2">
        <w:rPr>
          <w:noProof/>
        </w:rPr>
        <w:t>reference</w:t>
      </w:r>
      <w:r>
        <w:t xml:space="preserve">, the Pauling method </w:t>
      </w:r>
      <w:r>
        <w:rPr>
          <w:noProof/>
        </w:rPr>
        <w:t>requires</w:t>
      </w:r>
      <w:r>
        <w:t xml:space="preserve"> data for at least three bond types, AA AB and BB among two elements A and B as shown in </w:t>
      </w:r>
      <w:r w:rsidRPr="008C71F2">
        <w:rPr>
          <w:i/>
          <w:noProof/>
        </w:rPr>
        <w:t>eq</w:t>
      </w:r>
      <w:r>
        <w:t>. (5), to determine the calculation.</w:t>
      </w:r>
    </w:p>
    <w:p w14:paraId="650EEA03" w14:textId="77777777" w:rsidR="00624970" w:rsidRPr="00C81B3B" w:rsidRDefault="00077961" w:rsidP="00624970">
      <w:pPr>
        <w:spacing w:afterLines="60" w:after="144" w:line="360" w:lineRule="auto"/>
        <w:jc w:val="right"/>
      </w:pPr>
      <m:oMath>
        <m:sSub>
          <m:sSubPr>
            <m:ctrlPr>
              <w:rPr>
                <w:rFonts w:ascii="Cambria Math" w:hAnsi="Cambria Math"/>
              </w:rPr>
            </m:ctrlPr>
          </m:sSubPr>
          <m:e>
            <w:bookmarkStart w:id="41" w:name="_Hlk5894828"/>
            <m:r>
              <w:rPr>
                <w:rFonts w:ascii="Cambria Math" w:hAnsi="Cambria Math"/>
              </w:rPr>
              <m:t>X</m:t>
            </m:r>
            <w:bookmarkEnd w:id="41"/>
          </m:e>
          <m:sub>
            <m:r>
              <w:rPr>
                <w:rFonts w:ascii="Cambria Math" w:hAnsi="Cambria Math"/>
              </w:rPr>
              <m:t>pauling</m:t>
            </m:r>
          </m:sub>
        </m:sSub>
        <m:r>
          <w:rPr>
            <w:rFonts w:ascii="Cambria Math" w:hAnsi="Cambria Math"/>
          </w:rPr>
          <m:t>=(eV</m:t>
        </m:r>
        <m:sSup>
          <m:sSupPr>
            <m:ctrlPr>
              <w:rPr>
                <w:rFonts w:ascii="Cambria Math" w:hAnsi="Cambria Math"/>
                <w:i/>
              </w:rPr>
            </m:ctrlPr>
          </m:sSupPr>
          <m:e>
            <m:r>
              <w:rPr>
                <w:rFonts w:ascii="Cambria Math" w:hAnsi="Cambria Math"/>
              </w:rPr>
              <m:t>)</m:t>
            </m:r>
          </m:e>
          <m:sup>
            <m:r>
              <w:rPr>
                <w:rFonts w:ascii="Cambria Math" w:hAnsi="Cambria Math"/>
              </w:rPr>
              <m:t>-1/2</m:t>
            </m:r>
          </m:sup>
        </m:sSup>
        <m:rad>
          <m:radPr>
            <m:degHide m:val="1"/>
            <m:ctrlPr>
              <w:rPr>
                <w:rFonts w:ascii="Cambria Math" w:hAnsi="Cambria Math"/>
                <w:i/>
              </w:rPr>
            </m:ctrlPr>
          </m:radPr>
          <m:deg/>
          <m:e>
            <m:sSub>
              <m:sSubPr>
                <m:ctrlPr>
                  <w:rPr>
                    <w:rFonts w:ascii="Cambria Math" w:hAnsi="Cambria Math"/>
                    <w:i/>
                  </w:rPr>
                </m:ctrlPr>
              </m:sSubPr>
              <m:e>
                <m:r>
                  <w:rPr>
                    <w:rFonts w:ascii="Cambria Math" w:hAnsi="Cambria Math"/>
                  </w:rPr>
                  <m:t>E</m:t>
                </m:r>
              </m:e>
              <m:sub>
                <m:r>
                  <w:rPr>
                    <w:rFonts w:ascii="Cambria Math" w:hAnsi="Cambria Math"/>
                  </w:rPr>
                  <m:t>d</m:t>
                </m:r>
              </m:sub>
            </m:sSub>
            <m:d>
              <m:dPr>
                <m:ctrlPr>
                  <w:rPr>
                    <w:rFonts w:ascii="Cambria Math" w:hAnsi="Cambria Math"/>
                    <w:i/>
                  </w:rPr>
                </m:ctrlPr>
              </m:dPr>
              <m:e>
                <m:r>
                  <w:rPr>
                    <w:rFonts w:ascii="Cambria Math" w:hAnsi="Cambria Math"/>
                  </w:rPr>
                  <m:t>AB</m:t>
                </m:r>
              </m:e>
            </m:d>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d</m:t>
                </m:r>
              </m:sub>
            </m:sSub>
            <m:d>
              <m:dPr>
                <m:ctrlPr>
                  <w:rPr>
                    <w:rFonts w:ascii="Cambria Math" w:hAnsi="Cambria Math"/>
                    <w:i/>
                  </w:rPr>
                </m:ctrlPr>
              </m:dPr>
              <m:e>
                <m:r>
                  <w:rPr>
                    <w:rFonts w:ascii="Cambria Math" w:hAnsi="Cambria Math"/>
                  </w:rPr>
                  <m:t>AA</m:t>
                </m:r>
              </m:e>
            </m:d>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d</m:t>
                </m:r>
              </m:sub>
            </m:sSub>
            <m:d>
              <m:dPr>
                <m:ctrlPr>
                  <w:rPr>
                    <w:rFonts w:ascii="Cambria Math" w:hAnsi="Cambria Math"/>
                    <w:i/>
                  </w:rPr>
                </m:ctrlPr>
              </m:dPr>
              <m:e>
                <m:r>
                  <w:rPr>
                    <w:rFonts w:ascii="Cambria Math" w:hAnsi="Cambria Math"/>
                  </w:rPr>
                  <m:t>BB</m:t>
                </m:r>
              </m:e>
            </m:d>
            <m:r>
              <w:rPr>
                <w:rFonts w:ascii="Cambria Math" w:hAnsi="Cambria Math"/>
              </w:rPr>
              <m:t>]/2</m:t>
            </m:r>
          </m:e>
        </m:rad>
      </m:oMath>
      <w:r w:rsidR="00624970">
        <w:t xml:space="preserve">                                         (5)</w:t>
      </w:r>
    </w:p>
    <w:p w14:paraId="08345E5E" w14:textId="662C8E29" w:rsidR="00624970" w:rsidRDefault="00624970" w:rsidP="00624970">
      <w:pPr>
        <w:spacing w:afterLines="60" w:after="144" w:line="360" w:lineRule="auto"/>
        <w:jc w:val="both"/>
      </w:pPr>
      <w:r>
        <w:t xml:space="preserve">Here </w:t>
      </w:r>
      <m:oMath>
        <m:sSub>
          <m:sSubPr>
            <m:ctrlPr>
              <w:rPr>
                <w:rFonts w:ascii="Cambria Math" w:hAnsi="Cambria Math"/>
                <w:i/>
              </w:rPr>
            </m:ctrlPr>
          </m:sSubPr>
          <m:e>
            <m:r>
              <w:rPr>
                <w:rFonts w:ascii="Cambria Math" w:hAnsi="Cambria Math"/>
              </w:rPr>
              <m:t>E</m:t>
            </m:r>
          </m:e>
          <m:sub>
            <m:r>
              <w:rPr>
                <w:rFonts w:ascii="Cambria Math" w:hAnsi="Cambria Math"/>
              </w:rPr>
              <m:t>d</m:t>
            </m:r>
          </m:sub>
        </m:sSub>
      </m:oMath>
      <w:r>
        <w:t xml:space="preserve"> is dissociation energy and </w:t>
      </w:r>
      <m:oMath>
        <m:r>
          <w:rPr>
            <w:rFonts w:ascii="Cambria Math" w:hAnsi="Cambria Math"/>
            <w:sz w:val="18"/>
          </w:rPr>
          <m:t>(eV</m:t>
        </m:r>
        <m:sSup>
          <m:sSupPr>
            <m:ctrlPr>
              <w:rPr>
                <w:rFonts w:ascii="Cambria Math" w:hAnsi="Cambria Math"/>
                <w:i/>
                <w:sz w:val="18"/>
              </w:rPr>
            </m:ctrlPr>
          </m:sSupPr>
          <m:e>
            <m:r>
              <w:rPr>
                <w:rFonts w:ascii="Cambria Math" w:hAnsi="Cambria Math"/>
                <w:sz w:val="18"/>
              </w:rPr>
              <m:t>)</m:t>
            </m:r>
          </m:e>
          <m:sup>
            <m:r>
              <w:rPr>
                <w:rFonts w:ascii="Cambria Math" w:hAnsi="Cambria Math"/>
                <w:sz w:val="18"/>
              </w:rPr>
              <m:t>-1/2</m:t>
            </m:r>
          </m:sup>
        </m:sSup>
      </m:oMath>
      <w:r>
        <w:t xml:space="preserve"> is a factor to ensure the dime</w:t>
      </w:r>
      <w:r w:rsidRPr="00993DA1">
        <w:rPr>
          <w:noProof/>
        </w:rPr>
        <w:t>nsionless res</w:t>
      </w:r>
      <w:r>
        <w:t>ult. Regarding the limitation of Pauling’s electronegativity, Mulliken</w:t>
      </w:r>
      <w:r>
        <w:fldChar w:fldCharType="begin" w:fldLock="1"/>
      </w:r>
      <w:r>
        <w:instrText>ADDIN CSL_CITATION {"citationItems":[{"id":"ITEM-1","itemData":{"DOI":"10.1063/1.1749394","ISBN":"00219606 (ISSN)","ISSN":"0021-9606","PMID":"743","abstract":"A new approximate ``absolute&amp;apos;&amp;apos; scale of electronegativity, or electroaffinity, is set up. The absolute electroaffinity on this scale is equal to the average of ionization potential and electron affinity. These quantities must, however, in general, be calculated not in the ordinary way, but for suitable ``valence states&amp;apos;&amp;apos; of the positive and negative ion. Also, the electroaffinity of an atom has different values for different values of its valence; in general the electroaffinity as here calculated (in agreement with chemical facts) is larger for higher valences. Electroaffinity values have been calculated here for H, Li, B, C, N, O, F, Cl, Br, I. They show good agreement in known cases with Pauling&amp;apos;s electronegativity scale based on thermal data, and with the dipole moment scale. The present electronegativity scale (like the others) is rather largely empirical, especially as to its quantitative validity; and it remains to be seen whether or not the latter will be more than very rough when tested for a wider range of cases. Nevertheless the new scale has a degree of theoretica</w:instrText>
      </w:r>
      <w:r>
        <w:rPr>
          <w:rFonts w:hint="eastAsia"/>
        </w:rPr>
        <w:instrText>l background and foundation which throws some new light on the physical meaning of the concept of electronegativity (or electro</w:instrText>
      </w:r>
      <w:r>
        <w:rPr>
          <w:rFonts w:hint="eastAsia"/>
        </w:rPr>
        <w:instrText>‐</w:instrText>
      </w:r>
      <w:r>
        <w:rPr>
          <w:rFonts w:hint="eastAsia"/>
        </w:rPr>
        <w:instrText>affinity). The basis of the present scale, it should be mentioned, is simpler and more certain for univalent than for polyvalen</w:instrText>
      </w:r>
      <w:r>
        <w:instrText>t atoms.—The nature of valence states of atoms is briefly discussed. It is hoped that the tabulations of atomic valence state energies and valence state ionization potentials and electron affinities given at the end of this paper may be useful in problems of molecular structure.","author":[{"dropping-particle":"","family":"Mulliken","given":"Robert S.","non-dropping-particle":"","parse-names":false,"suffix":""}],"container-title":"The Journal of Chemical Physics","id":"ITEM-1","issued":{"date-parts":[["1934"]]},"title":"A New Electroaffinity Scale; Together with Data on Valence States and on Valence Ionization Potentials and Electron Affinities","type":"article-journal"},"uris":["http://www.mendeley.com/documents/?uuid=bf77a2ea-6279-4240-8d62-214d4b92937e","http://www.mendeley.com/documents/?uuid=79ef93be-2b10-497e-926b-b8d4f7a3c883"]}],"mendeley":{"formattedCitation":"[36]","plainTextFormattedCitation":"[36]","previouslyFormattedCitation":"[36]"},"properties":{"noteIndex":0},"schema":"https://github.com/citation-style-language/schema/raw/master/csl-citation.json"}</w:instrText>
      </w:r>
      <w:r>
        <w:fldChar w:fldCharType="separate"/>
      </w:r>
      <w:r w:rsidRPr="003B39BC">
        <w:rPr>
          <w:noProof/>
        </w:rPr>
        <w:t>[36]</w:t>
      </w:r>
      <w:r>
        <w:fldChar w:fldCharType="end"/>
      </w:r>
      <w:r>
        <w:t xml:space="preserve"> proposed a new method to measure atom electron attraction. Mulliken electronegativity is </w:t>
      </w:r>
      <w:r w:rsidRPr="00480032">
        <w:rPr>
          <w:noProof/>
        </w:rPr>
        <w:t>a</w:t>
      </w:r>
      <w:r>
        <w:rPr>
          <w:noProof/>
        </w:rPr>
        <w:t>n</w:t>
      </w:r>
      <w:r w:rsidRPr="00480032">
        <w:rPr>
          <w:noProof/>
        </w:rPr>
        <w:t xml:space="preserve"> independent</w:t>
      </w:r>
      <w:r>
        <w:t xml:space="preserve"> value used to describe the ability of an atom to attract electrons to form </w:t>
      </w:r>
      <w:r w:rsidR="00C24D9B">
        <w:t xml:space="preserve">of </w:t>
      </w:r>
      <w:r>
        <w:t xml:space="preserve">chemical </w:t>
      </w:r>
      <w:r w:rsidRPr="00480032">
        <w:rPr>
          <w:noProof/>
        </w:rPr>
        <w:t>bond</w:t>
      </w:r>
      <w:r>
        <w:rPr>
          <w:noProof/>
        </w:rPr>
        <w:t>s, deduced</w:t>
      </w:r>
      <w:r w:rsidDel="007E01AC">
        <w:t xml:space="preserve"> </w:t>
      </w:r>
      <w:r>
        <w:t xml:space="preserve">by the arithmetic average of the first </w:t>
      </w:r>
      <w:r w:rsidRPr="00480032">
        <w:rPr>
          <w:noProof/>
        </w:rPr>
        <w:t>ionization</w:t>
      </w:r>
      <w:r>
        <w:t xml:space="preserve"> energy (</w:t>
      </w:r>
      <w:r w:rsidRPr="00D12521">
        <w:rPr>
          <w:i/>
          <w:noProof/>
        </w:rPr>
        <w:t>E</w:t>
      </w:r>
      <w:r w:rsidRPr="00D12521">
        <w:rPr>
          <w:i/>
          <w:noProof/>
          <w:vertAlign w:val="subscript"/>
        </w:rPr>
        <w:t>i</w:t>
      </w:r>
      <w:r>
        <w:t>) and electron affinity (</w:t>
      </w:r>
      <w:r w:rsidRPr="00D12521">
        <w:rPr>
          <w:i/>
          <w:noProof/>
        </w:rPr>
        <w:t>E</w:t>
      </w:r>
      <w:r w:rsidRPr="00D12521">
        <w:rPr>
          <w:i/>
          <w:noProof/>
          <w:vertAlign w:val="subscript"/>
        </w:rPr>
        <w:t>ea</w:t>
      </w:r>
      <w:r>
        <w:t>)</w:t>
      </w:r>
      <w:r>
        <w:rPr>
          <w:noProof/>
        </w:rPr>
        <w:t>. It is</w:t>
      </w:r>
      <w:r>
        <w:t xml:space="preserve"> generally accepted as an absolute form </w:t>
      </w:r>
      <w:r w:rsidRPr="00480032">
        <w:rPr>
          <w:noProof/>
        </w:rPr>
        <w:t>electronegativity</w:t>
      </w:r>
      <w:r>
        <w:rPr>
          <w:noProof/>
        </w:rPr>
        <w:t xml:space="preserve"> as presented in </w:t>
      </w:r>
      <w:r w:rsidRPr="00D12521">
        <w:rPr>
          <w:i/>
          <w:noProof/>
        </w:rPr>
        <w:t>eq</w:t>
      </w:r>
      <w:r>
        <w:rPr>
          <w:noProof/>
        </w:rPr>
        <w:t>. (6)</w:t>
      </w:r>
      <w:r>
        <w:t xml:space="preserve">. To some extent, Mulliken electronegativity can also </w:t>
      </w:r>
      <w:r w:rsidRPr="00480032">
        <w:rPr>
          <w:noProof/>
        </w:rPr>
        <w:t>be regard</w:t>
      </w:r>
      <w:r>
        <w:rPr>
          <w:noProof/>
        </w:rPr>
        <w:t>ed</w:t>
      </w:r>
      <w:r>
        <w:t xml:space="preserve"> as negative chemical potential and used to present approximation of </w:t>
      </w:r>
      <w:r w:rsidRPr="00480032">
        <w:rPr>
          <w:noProof/>
        </w:rPr>
        <w:t>electronic</w:t>
      </w:r>
      <w:r>
        <w:t xml:space="preserve"> energy</w:t>
      </w:r>
      <w:r>
        <w:fldChar w:fldCharType="begin" w:fldLock="1"/>
      </w:r>
      <w:r>
        <w:instrText>ADDIN CSL_CITATION {"citationItems":[{"id":"ITEM-1","itemData":{"DOI":"10.1016/j.scriptamat.2017.11.002","ISSN":"13596462","abstract":"The interplay between semi-empirical parameters for multi-principle-component alloy (or High-entropy alloy) phase prediction may be partly attributed to deviations in the Miedema mixing enthalpy from quantum principles. Thus, the electron density, n(rws) is investigated using a Runge-Kutta solution of the Thomas-Fermi-Dirac equation from Wigner-Seitz radius values approximated experimentally from the weighted mean volume-per-atom, following the fraction of each phase present. The results show that 1) Phase stability may be affected by alloy periodicity; and 2) A rapid drop of n(rws) is observed even when small amounts of the complex phase are detected, &lt; 1%), indicating the importance of understanding electronic effects.","author":[{"dropping-particle":"","family":"Leong","given":"Zhaoyuan","non-dropping-particle":"","parse-names":false,"suffix":""},{"dropping-particle":"","family":"Todd","given":"Iain","non-dropping-particle":"","parse-names":false,"suffix":""},{"dropping-particle":"","family":"Goodall","given":"Russell","non-dropping-particle":"","parse-names":false,"suffix":""}],"container-title":"Scripta Materialia","id":"ITEM-1","issued":{"date-parts":[["2018"]]},"title":"Structural dependency of some multiple principal component alloys with the Thomas-Fermi-Dirac electron density","type":"article-journal"},"uris":["http://www.mendeley.com/documents/?uuid=ebf9aaae-499f-4761-a9ce-effbb9bb97f1"]}],"mendeley":{"formattedCitation":"[37]","plainTextFormattedCitation":"[37]","previouslyFormattedCitation":"[37]"},"properties":{"noteIndex":0},"schema":"https://github.com/citation-style-language/schema/raw/master/csl-citation.json"}</w:instrText>
      </w:r>
      <w:r>
        <w:fldChar w:fldCharType="separate"/>
      </w:r>
      <w:r w:rsidRPr="003B39BC">
        <w:rPr>
          <w:noProof/>
        </w:rPr>
        <w:t>[37]</w:t>
      </w:r>
      <w:r>
        <w:fldChar w:fldCharType="end"/>
      </w:r>
      <w:r>
        <w:t xml:space="preserve">.  </w:t>
      </w:r>
    </w:p>
    <w:p w14:paraId="5C14F77E" w14:textId="77777777" w:rsidR="00624970" w:rsidRPr="00C81B3B" w:rsidRDefault="00624970" w:rsidP="00624970">
      <w:pPr>
        <w:spacing w:afterLines="60" w:after="144" w:line="360" w:lineRule="auto"/>
        <w:jc w:val="right"/>
      </w:pPr>
      <m:oMath>
        <m:r>
          <w:rPr>
            <w:rFonts w:ascii="Cambria Math" w:hAnsi="Cambria Math"/>
          </w:rPr>
          <w:lastRenderedPageBreak/>
          <m:t>μ</m:t>
        </m:r>
        <m:d>
          <m:dPr>
            <m:ctrlPr>
              <w:rPr>
                <w:rFonts w:ascii="Cambria Math" w:hAnsi="Cambria Math"/>
              </w:rPr>
            </m:ctrlPr>
          </m:dPr>
          <m:e>
            <m:r>
              <w:rPr>
                <w:rFonts w:ascii="Cambria Math" w:hAnsi="Cambria Math"/>
              </w:rPr>
              <m:t>Mulliken</m:t>
            </m:r>
          </m:e>
        </m:d>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Mulliken</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ea</m:t>
            </m:r>
          </m:sub>
        </m:sSub>
        <m:r>
          <w:rPr>
            <w:rFonts w:ascii="Cambria Math" w:hAnsi="Cambria Math"/>
          </w:rPr>
          <m:t>)/2</m:t>
        </m:r>
      </m:oMath>
      <w:r>
        <w:t xml:space="preserve">                                                  (6)</w:t>
      </w:r>
    </w:p>
    <w:p w14:paraId="2B677138" w14:textId="110100FE" w:rsidR="00624970" w:rsidRDefault="00624970" w:rsidP="00624970">
      <w:pPr>
        <w:spacing w:afterLines="60" w:after="144" w:line="360" w:lineRule="auto"/>
        <w:jc w:val="both"/>
      </w:pPr>
      <w:r>
        <w:t xml:space="preserve">While </w:t>
      </w:r>
      <w:r w:rsidRPr="00993DA1">
        <w:rPr>
          <w:noProof/>
        </w:rPr>
        <w:t>Mulliken</w:t>
      </w:r>
      <w:r>
        <w:t xml:space="preserve"> focused on the </w:t>
      </w:r>
      <w:r w:rsidRPr="00993DA1">
        <w:rPr>
          <w:noProof/>
        </w:rPr>
        <w:t>first</w:t>
      </w:r>
      <w:r>
        <w:t xml:space="preserve"> </w:t>
      </w:r>
      <w:r w:rsidRPr="00993DA1">
        <w:rPr>
          <w:noProof/>
        </w:rPr>
        <w:t>ioni</w:t>
      </w:r>
      <w:r>
        <w:rPr>
          <w:noProof/>
        </w:rPr>
        <w:t>s</w:t>
      </w:r>
      <w:r w:rsidRPr="00993DA1">
        <w:rPr>
          <w:noProof/>
        </w:rPr>
        <w:t>ation</w:t>
      </w:r>
      <w:r>
        <w:t xml:space="preserve"> energy of the atom, Allred and </w:t>
      </w:r>
      <w:r w:rsidRPr="00993DA1">
        <w:rPr>
          <w:noProof/>
        </w:rPr>
        <w:t>Rochow</w:t>
      </w:r>
      <w:r>
        <w:rPr>
          <w:noProof/>
        </w:rPr>
        <w:t xml:space="preserve"> focussed</w:t>
      </w:r>
      <w:r>
        <w:t xml:space="preserve"> on the influence of the charge of the atom on the atom surface, which </w:t>
      </w:r>
      <w:r w:rsidRPr="008C71F2">
        <w:rPr>
          <w:noProof/>
        </w:rPr>
        <w:t>correlate</w:t>
      </w:r>
      <w:r>
        <w:rPr>
          <w:noProof/>
        </w:rPr>
        <w:t>s</w:t>
      </w:r>
      <w:r>
        <w:t xml:space="preserve"> to the atom radius. Using average </w:t>
      </w:r>
      <w:r w:rsidRPr="003B6CA7">
        <w:rPr>
          <w:noProof/>
        </w:rPr>
        <w:t>charge</w:t>
      </w:r>
      <w:r>
        <w:t xml:space="preserve"> on the atom surface area to measure electronegativity, Al</w:t>
      </w:r>
      <w:r w:rsidR="00C24D9B">
        <w:t>l</w:t>
      </w:r>
      <w:r>
        <w:t xml:space="preserve">red and Rochow </w:t>
      </w:r>
      <w:r>
        <w:rPr>
          <w:noProof/>
        </w:rPr>
        <w:t>postulated that</w:t>
      </w:r>
      <w:r>
        <w:t xml:space="preserve"> </w:t>
      </w:r>
      <w:r w:rsidRPr="00993DA1">
        <w:rPr>
          <w:noProof/>
        </w:rPr>
        <w:t>with</w:t>
      </w:r>
      <w:r>
        <w:rPr>
          <w:noProof/>
        </w:rPr>
        <w:t xml:space="preserve"> a</w:t>
      </w:r>
      <w:r w:rsidRPr="00993DA1">
        <w:rPr>
          <w:noProof/>
        </w:rPr>
        <w:t xml:space="preserve"> </w:t>
      </w:r>
      <w:r w:rsidRPr="008C71F2">
        <w:rPr>
          <w:noProof/>
        </w:rPr>
        <w:t>higher</w:t>
      </w:r>
      <w:r w:rsidRPr="00993DA1">
        <w:rPr>
          <w:noProof/>
        </w:rPr>
        <w:t xml:space="preserve"> nuclear </w:t>
      </w:r>
      <w:r w:rsidRPr="003B6CA7">
        <w:rPr>
          <w:noProof/>
        </w:rPr>
        <w:t>charge</w:t>
      </w:r>
      <w:r>
        <w:rPr>
          <w:noProof/>
        </w:rPr>
        <w:t>,</w:t>
      </w:r>
      <w:r>
        <w:t xml:space="preserve"> the atom </w:t>
      </w:r>
      <w:r>
        <w:rPr>
          <w:noProof/>
        </w:rPr>
        <w:t>forms a tendency</w:t>
      </w:r>
      <w:r>
        <w:t xml:space="preserve"> to attract more electrons</w:t>
      </w:r>
      <w:r>
        <w:fldChar w:fldCharType="begin" w:fldLock="1"/>
      </w:r>
      <w:r>
        <w:instrText>ADDIN CSL_CITATION {"citationItems":[{"id":"ITEM-1","itemData":{"DOI":"10.1016/0022-1902(58)80003-2","ISBN":"0022-1902","ISSN":"00221902","PMID":"18331007","abstract":"An equation is presented for the evaluation of electronegativity from the force of attraction between a nucleus and an electron from a bonded atom. From this simple electrostatic approach, the electronegativities of forty-four elements are calculated. The results are compared with certain previously proposed scales of electronegativity. © 1958.","author":[{"dropping-particle":"","family":"Allred","given":"A. L.","non-dropping-particle":"","parse-names":false,"suffix":""},{"dropping-particle":"","family":"Rochow","given":"E. G.","non-dropping-particle":"","parse-names":false,"suffix":""}],"container-title":"Journal of Inorganic and Nuclear Chemistry","id":"ITEM-1","issued":{"date-parts":[["1958"]]},"title":"A scale of electronegativity based on electrostatic force","type":"article-journal"},"uris":["http://www.mendeley.com/documents/?uuid=64a06c49-17db-4db7-9053-cedf4b8cae4d","http://www.mendeley.com/documents/?uuid=9e9d5219-f8f5-4fec-97bc-a36bfb382ea5"]}],"mendeley":{"formattedCitation":"[38]","plainTextFormattedCitation":"[38]","previouslyFormattedCitation":"[38]"},"properties":{"noteIndex":0},"schema":"https://github.com/citation-style-language/schema/raw/master/csl-citation.json"}</w:instrText>
      </w:r>
      <w:r>
        <w:fldChar w:fldCharType="separate"/>
      </w:r>
      <w:r w:rsidRPr="003B39BC">
        <w:rPr>
          <w:noProof/>
        </w:rPr>
        <w:t>[38]</w:t>
      </w:r>
      <w:r>
        <w:fldChar w:fldCharType="end"/>
      </w:r>
      <w:r>
        <w:t xml:space="preserve">. As shown in </w:t>
      </w:r>
      <w:r w:rsidRPr="008C71F2">
        <w:rPr>
          <w:i/>
          <w:noProof/>
        </w:rPr>
        <w:t>eq</w:t>
      </w:r>
      <w:r>
        <w:t xml:space="preserve">. (7), the parameters involved in this method are the </w:t>
      </w:r>
      <w:r w:rsidRPr="00993DA1">
        <w:rPr>
          <w:noProof/>
        </w:rPr>
        <w:t>valence</w:t>
      </w:r>
      <w:r>
        <w:t xml:space="preserve"> electron and atomic radius, here </w:t>
      </w:r>
      <m:oMath>
        <m:sSub>
          <m:sSubPr>
            <m:ctrlPr>
              <w:rPr>
                <w:rFonts w:ascii="Cambria Math" w:hAnsi="Cambria Math"/>
                <w:i/>
              </w:rPr>
            </m:ctrlPr>
          </m:sSubPr>
          <m:e>
            <m:r>
              <w:rPr>
                <w:rFonts w:ascii="Cambria Math" w:hAnsi="Cambria Math"/>
              </w:rPr>
              <m:t>Z</m:t>
            </m:r>
          </m:e>
          <m:sub>
            <m:r>
              <w:rPr>
                <w:rFonts w:ascii="Cambria Math" w:hAnsi="Cambria Math"/>
              </w:rPr>
              <m:t>eff</m:t>
            </m:r>
          </m:sub>
        </m:sSub>
      </m:oMath>
      <w:r>
        <w:t xml:space="preserve"> is effe</w:t>
      </w:r>
      <w:r w:rsidRPr="008C71F2">
        <w:rPr>
          <w:noProof/>
        </w:rPr>
        <w:t>ctive nuc</w:t>
      </w:r>
      <w:r>
        <w:t xml:space="preserve">lear charge and </w:t>
      </w:r>
      <m:oMath>
        <m:sSub>
          <m:sSubPr>
            <m:ctrlPr>
              <w:rPr>
                <w:rFonts w:ascii="Cambria Math" w:hAnsi="Cambria Math"/>
              </w:rPr>
            </m:ctrlPr>
          </m:sSubPr>
          <m:e>
            <m:r>
              <w:rPr>
                <w:rFonts w:ascii="Cambria Math" w:hAnsi="Cambria Math"/>
              </w:rPr>
              <m:t>r</m:t>
            </m:r>
          </m:e>
          <m:sub>
            <m:r>
              <w:rPr>
                <w:rFonts w:ascii="Cambria Math" w:hAnsi="Cambria Math"/>
              </w:rPr>
              <m:t>cov</m:t>
            </m:r>
          </m:sub>
        </m:sSub>
      </m:oMath>
      <w:r>
        <w:t xml:space="preserve"> is the covalent</w:t>
      </w:r>
      <w:r w:rsidRPr="003B6CA7">
        <w:rPr>
          <w:noProof/>
        </w:rPr>
        <w:t xml:space="preserve"> radius.</w:t>
      </w:r>
      <w:r>
        <w:t xml:space="preserve">       </w:t>
      </w:r>
    </w:p>
    <w:p w14:paraId="3A6F4005" w14:textId="77777777" w:rsidR="00624970" w:rsidRPr="00C81B3B" w:rsidRDefault="00077961" w:rsidP="00624970">
      <w:pPr>
        <w:spacing w:afterLines="60" w:after="144" w:line="360" w:lineRule="auto"/>
        <w:jc w:val="right"/>
      </w:pPr>
      <m:oMath>
        <m:sSub>
          <m:sSubPr>
            <m:ctrlPr>
              <w:rPr>
                <w:rFonts w:ascii="Cambria Math" w:hAnsi="Cambria Math"/>
              </w:rPr>
            </m:ctrlPr>
          </m:sSubPr>
          <m:e>
            <m:r>
              <w:rPr>
                <w:rFonts w:ascii="Cambria Math" w:hAnsi="Cambria Math"/>
              </w:rPr>
              <m:t>X</m:t>
            </m:r>
          </m:e>
          <m:sub>
            <m:r>
              <w:rPr>
                <w:rFonts w:ascii="Cambria Math" w:hAnsi="Cambria Math"/>
              </w:rPr>
              <m:t>Allred-Rochow</m:t>
            </m:r>
          </m:sub>
        </m:sSub>
        <m:r>
          <w:rPr>
            <w:rFonts w:ascii="Cambria Math" w:hAnsi="Cambria Math"/>
          </w:rPr>
          <m:t>=3590</m:t>
        </m:r>
        <m:f>
          <m:fPr>
            <m:ctrlPr>
              <w:rPr>
                <w:rFonts w:ascii="Cambria Math" w:hAnsi="Cambria Math"/>
                <w:i/>
              </w:rPr>
            </m:ctrlPr>
          </m:fPr>
          <m:num>
            <m:sSub>
              <m:sSubPr>
                <m:ctrlPr>
                  <w:rPr>
                    <w:rFonts w:ascii="Cambria Math" w:hAnsi="Cambria Math"/>
                    <w:i/>
                  </w:rPr>
                </m:ctrlPr>
              </m:sSubPr>
              <m:e>
                <m:r>
                  <w:rPr>
                    <w:rFonts w:ascii="Cambria Math" w:hAnsi="Cambria Math"/>
                  </w:rPr>
                  <m:t>Z</m:t>
                </m:r>
              </m:e>
              <m:sub>
                <m:r>
                  <w:rPr>
                    <w:rFonts w:ascii="Cambria Math" w:hAnsi="Cambria Math"/>
                  </w:rPr>
                  <m:t>eff</m:t>
                </m:r>
              </m:sub>
            </m:sSub>
          </m:num>
          <m:den>
            <m:sSubSup>
              <m:sSubSupPr>
                <m:ctrlPr>
                  <w:rPr>
                    <w:rFonts w:ascii="Cambria Math" w:hAnsi="Cambria Math"/>
                    <w:i/>
                  </w:rPr>
                </m:ctrlPr>
              </m:sSubSupPr>
              <m:e>
                <m:r>
                  <w:rPr>
                    <w:rFonts w:ascii="Cambria Math" w:hAnsi="Cambria Math"/>
                  </w:rPr>
                  <m:t>r</m:t>
                </m:r>
              </m:e>
              <m:sub>
                <m:r>
                  <w:rPr>
                    <w:rFonts w:ascii="Cambria Math" w:hAnsi="Cambria Math"/>
                  </w:rPr>
                  <m:t>cov</m:t>
                </m:r>
              </m:sub>
              <m:sup>
                <m:r>
                  <w:rPr>
                    <w:rFonts w:ascii="Cambria Math" w:hAnsi="Cambria Math"/>
                  </w:rPr>
                  <m:t>2</m:t>
                </m:r>
              </m:sup>
            </m:sSubSup>
          </m:den>
        </m:f>
        <m:r>
          <m:rPr>
            <m:sty m:val="p"/>
          </m:rPr>
          <w:rPr>
            <w:rFonts w:ascii="Cambria Math" w:hAnsi="Cambria Math"/>
          </w:rPr>
          <m:t>+0.744</m:t>
        </m:r>
      </m:oMath>
      <w:r w:rsidR="00624970">
        <w:t xml:space="preserve">                                                             (7)</w:t>
      </w:r>
    </w:p>
    <w:p w14:paraId="58F7CF04" w14:textId="1CD6C89B" w:rsidR="00624970" w:rsidRPr="00AC1175" w:rsidRDefault="00624970" w:rsidP="00624970">
      <w:pPr>
        <w:spacing w:afterLines="60" w:after="144" w:line="360" w:lineRule="auto"/>
        <w:jc w:val="both"/>
      </w:pPr>
      <w:r>
        <w:t xml:space="preserve">In contrast to the methods of </w:t>
      </w:r>
      <w:r w:rsidRPr="00993DA1">
        <w:rPr>
          <w:noProof/>
        </w:rPr>
        <w:t>Mullik</w:t>
      </w:r>
      <w:r>
        <w:rPr>
          <w:noProof/>
        </w:rPr>
        <w:t>en</w:t>
      </w:r>
      <w:r>
        <w:t xml:space="preserve"> and Allred-Rochow, Allen </w:t>
      </w:r>
      <w:r>
        <w:rPr>
          <w:noProof/>
        </w:rPr>
        <w:t>reported</w:t>
      </w:r>
      <w:r>
        <w:t xml:space="preserve"> that the energy of a valence electron that is </w:t>
      </w:r>
      <w:r w:rsidRPr="003B6CA7">
        <w:rPr>
          <w:noProof/>
        </w:rPr>
        <w:t>involved</w:t>
      </w:r>
      <w:r w:rsidRPr="5FE900FE">
        <w:t xml:space="preserve"> </w:t>
      </w:r>
      <w:r>
        <w:rPr>
          <w:noProof/>
        </w:rPr>
        <w:t>in</w:t>
      </w:r>
      <w:r>
        <w:t xml:space="preserve"> forming </w:t>
      </w:r>
      <w:r w:rsidRPr="008C71F2">
        <w:rPr>
          <w:noProof/>
        </w:rPr>
        <w:t>bond</w:t>
      </w:r>
      <w:r>
        <w:rPr>
          <w:noProof/>
        </w:rPr>
        <w:t>s</w:t>
      </w:r>
      <w:r>
        <w:t xml:space="preserve"> may have greater influence </w:t>
      </w:r>
      <w:r w:rsidR="00C24D9B">
        <w:t>on</w:t>
      </w:r>
      <w:r>
        <w:rPr>
          <w:noProof/>
        </w:rPr>
        <w:t xml:space="preserve"> </w:t>
      </w:r>
      <w:r>
        <w:t>the electron attraction ability of the atom</w:t>
      </w:r>
      <w:r>
        <w:fldChar w:fldCharType="begin" w:fldLock="1"/>
      </w:r>
      <w:r>
        <w:instrText>ADDIN CSL_CITATION {"citationItems":[{"id":"ITEM-1","itemData":{"DOI":"10.1021/ja00207a003","ISBN":"0002-7863","ISSN":"15205126","abstract":"It is argued that electronegativity is the third dimension of the Periodic table, and that cspec - (mep + nes)/(m + n), for representative elements where ep, es are the p, s ionization energies, m, # the no. of p, s electrons. Values of spectroscopic c are obtained to high accuracy from the National Bureau of Stds. at. energy level tables and closely match the widely accepted Pauling and Aalred + Rochow scales. The cspec rationalizes the diagonal sepn. between metals and non-metals in the Periodic Table, the formation of noble gas mols., metalization of the elements as one descends a p-block column, and the force definition used by Allred + Rochow. Dcspec == cspecA - cspecB, The energy difference of an av. electron in atom A and in atom B, is able to systematize properties of the vast array of known materials: ionic solids, covalent mols., metals, minerals, inorg. and org. polymers, semiconductors, etc. Transition-metal electronegativity cannot be simply detd. because of the nature of d-orbital radial distributions and this is reflected in its paucity of use among transition-metal chemists. Upper limit ests. for first transition series cspec are obtained and a computational method to address this problem is given. It also proves possible to translate free atom, ground-state cspec into the in situ MO definition of av. one-electron energy for orbitals localized on an at. center. This leads to an improved definition of group (or substituent) electronegativity, extension and refinements in the use of electronegativity perturbations in qual. and semiquant. MO theory, and understanding of hybrid orbital electronegativity ordering rules such as sp &gt; sp2 &gt; sp3. [on SciFinder (R)]","author":[{"dropping-particle":"","family":"Allen","given":"Leland C.","non-dropping-particle":"","parse-names":false,"suffix":""}],"container-title":"Journal of the American Chemical Society","id":"ITEM-1","issued":{"date-parts":[["1989"]]},"title":"Electronegativity Is the Average One-Electron Energy of the Valence-Shell Electrons in Ground-State Free Atoms","type":"article-journal"},"uris":["http://www.mendeley.com/documents/?uuid=6436f9a3-0f9c-4a9d-8d0d-db27a758dc66","http://www.mendeley.com/documents/?uuid=d1ab8a21-380b-4deb-b180-4b68775ee597"]}],"mendeley":{"formattedCitation":"[39]","plainTextFormattedCitation":"[39]","previouslyFormattedCitation":"[39]"},"properties":{"noteIndex":0},"schema":"https://github.com/citation-style-language/schema/raw/master/csl-citation.json"}</w:instrText>
      </w:r>
      <w:r>
        <w:fldChar w:fldCharType="separate"/>
      </w:r>
      <w:r w:rsidRPr="003B39BC">
        <w:rPr>
          <w:noProof/>
        </w:rPr>
        <w:t>[39]</w:t>
      </w:r>
      <w:r>
        <w:fldChar w:fldCharType="end"/>
      </w:r>
      <w:r>
        <w:t xml:space="preserve">. Thus, the average </w:t>
      </w:r>
      <w:r w:rsidRPr="003B6CA7">
        <w:rPr>
          <w:noProof/>
        </w:rPr>
        <w:t>energy</w:t>
      </w:r>
      <w:r>
        <w:t xml:space="preserve"> retained by a valence electron </w:t>
      </w:r>
      <w:r w:rsidRPr="003B6CA7">
        <w:rPr>
          <w:noProof/>
        </w:rPr>
        <w:t>was calculated</w:t>
      </w:r>
      <w:r>
        <w:t xml:space="preserve"> to </w:t>
      </w:r>
      <w:r w:rsidRPr="00993DA1">
        <w:rPr>
          <w:noProof/>
        </w:rPr>
        <w:t>represent</w:t>
      </w:r>
      <w:r>
        <w:t xml:space="preserve"> the</w:t>
      </w:r>
      <w:r w:rsidRPr="5FE900FE">
        <w:t xml:space="preserve"> </w:t>
      </w:r>
      <w:r w:rsidRPr="00993DA1">
        <w:rPr>
          <w:noProof/>
        </w:rPr>
        <w:t>electronegativity</w:t>
      </w:r>
      <w:r>
        <w:rPr>
          <w:noProof/>
        </w:rPr>
        <w:t xml:space="preserve"> of the atom</w:t>
      </w:r>
      <w:r>
        <w:t>. The advantage of the method proposed by Allen, is that</w:t>
      </w:r>
      <w:r w:rsidRPr="5FE900FE">
        <w:t xml:space="preserve"> </w:t>
      </w:r>
      <w:r>
        <w:t xml:space="preserve">electronegativity can </w:t>
      </w:r>
      <w:r w:rsidRPr="003B6CA7">
        <w:rPr>
          <w:noProof/>
        </w:rPr>
        <w:t>be derived</w:t>
      </w:r>
      <w:r>
        <w:t xml:space="preserve"> from a single dataset measured from experimental spectroscopic data. As shown in </w:t>
      </w:r>
      <w:r w:rsidRPr="006B2891">
        <w:rPr>
          <w:i/>
        </w:rPr>
        <w:t>eq</w:t>
      </w:r>
      <w:r>
        <w:t xml:space="preserve">. (8), only the valence electron of </w:t>
      </w:r>
      <w:r w:rsidRPr="006B2891">
        <w:rPr>
          <w:i/>
        </w:rPr>
        <w:t>s</w:t>
      </w:r>
      <w:r w:rsidRPr="008C71F2">
        <w:rPr>
          <w:noProof/>
        </w:rPr>
        <w:t xml:space="preserve"> and</w:t>
      </w:r>
      <w:r w:rsidRPr="5FE900FE">
        <w:t xml:space="preserve"> </w:t>
      </w:r>
      <w:r w:rsidRPr="006B2891">
        <w:rPr>
          <w:i/>
        </w:rPr>
        <w:t>p</w:t>
      </w:r>
      <w:r>
        <w:t xml:space="preserve"> orbital are taken into consideration</w:t>
      </w:r>
      <w:r w:rsidRPr="5FE900FE">
        <w:t xml:space="preserve">. </w:t>
      </w:r>
      <w:r>
        <w:t>Here</w:t>
      </w:r>
      <w:r w:rsidRPr="5FE900FE">
        <w:t xml:space="preserve">, </w:t>
      </w:r>
      <m:oMath>
        <m:sSub>
          <m:sSubPr>
            <m:ctrlPr>
              <w:rPr>
                <w:rFonts w:ascii="Cambria Math" w:hAnsi="Cambria Math"/>
                <w:i/>
              </w:rPr>
            </m:ctrlPr>
          </m:sSubPr>
          <m:e>
            <m:r>
              <w:rPr>
                <w:rFonts w:ascii="Cambria Math" w:hAnsi="Cambria Math"/>
              </w:rPr>
              <m:t>E</m:t>
            </m:r>
          </m:e>
          <m:sub>
            <m:r>
              <w:rPr>
                <w:rFonts w:ascii="Cambria Math" w:hAnsi="Cambria Math"/>
              </w:rPr>
              <m:t>s,p</m:t>
            </m:r>
          </m:sub>
        </m:sSub>
      </m:oMath>
      <w:r>
        <w:t xml:space="preserve"> are the energies of a sin</w:t>
      </w:r>
      <w:r w:rsidRPr="008C71F2">
        <w:rPr>
          <w:noProof/>
        </w:rPr>
        <w:t>gle el</w:t>
      </w:r>
      <w:r>
        <w:t xml:space="preserve">ectron in a free </w:t>
      </w:r>
      <w:r w:rsidRPr="006B2891">
        <w:rPr>
          <w:i/>
        </w:rPr>
        <w:t>s</w:t>
      </w:r>
      <w:r>
        <w:t xml:space="preserve"> and </w:t>
      </w:r>
      <w:r w:rsidRPr="006B2891">
        <w:rPr>
          <w:i/>
        </w:rPr>
        <w:t>p</w:t>
      </w:r>
      <w:r>
        <w:t xml:space="preserve"> orbital of the free atom and </w:t>
      </w:r>
      <m:oMath>
        <m:sSub>
          <m:sSubPr>
            <m:ctrlPr>
              <w:rPr>
                <w:rFonts w:ascii="Cambria Math" w:hAnsi="Cambria Math"/>
                <w:i/>
              </w:rPr>
            </m:ctrlPr>
          </m:sSubPr>
          <m:e>
            <m:r>
              <w:rPr>
                <w:rFonts w:ascii="Cambria Math" w:hAnsi="Cambria Math"/>
              </w:rPr>
              <m:t>n</m:t>
            </m:r>
          </m:e>
          <m:sub>
            <m:r>
              <w:rPr>
                <w:rFonts w:ascii="Cambria Math" w:hAnsi="Cambria Math"/>
              </w:rPr>
              <m:t>s,p</m:t>
            </m:r>
          </m:sub>
        </m:sSub>
      </m:oMath>
      <w:r>
        <w:t xml:space="preserve"> are the numbers of electrons in </w:t>
      </w:r>
      <w:r w:rsidRPr="006B2891">
        <w:rPr>
          <w:i/>
        </w:rPr>
        <w:t>s</w:t>
      </w:r>
      <w:r>
        <w:t xml:space="preserve"> and </w:t>
      </w:r>
      <w:r w:rsidRPr="006B2891">
        <w:rPr>
          <w:i/>
        </w:rPr>
        <w:t>p</w:t>
      </w:r>
      <w:r>
        <w:t xml:space="preserve"> orbitals. However, though the advantages of Allen’s method of electronegativity are clear</w:t>
      </w:r>
      <w:r w:rsidRPr="5FE900FE">
        <w:t xml:space="preserve">, </w:t>
      </w:r>
      <w:r>
        <w:t>so to are its limitations, that is, when considering transition elements whose valence electron</w:t>
      </w:r>
      <w:r w:rsidR="00C24D9B">
        <w:t>s</w:t>
      </w:r>
      <w:r>
        <w:t xml:space="preserve"> may include electrons in the </w:t>
      </w:r>
      <w:r w:rsidRPr="006B2891">
        <w:rPr>
          <w:i/>
        </w:rPr>
        <w:t>d</w:t>
      </w:r>
      <w:r>
        <w:t xml:space="preserve"> orbital, the weight factor of electrons in the </w:t>
      </w:r>
      <w:r w:rsidRPr="006B2891">
        <w:rPr>
          <w:i/>
        </w:rPr>
        <w:t>d</w:t>
      </w:r>
      <w:r w:rsidRPr="5FE900FE">
        <w:t xml:space="preserve"> </w:t>
      </w:r>
      <w:r>
        <w:t>orbi</w:t>
      </w:r>
      <w:r w:rsidRPr="008C71F2">
        <w:rPr>
          <w:noProof/>
        </w:rPr>
        <w:t>t</w:t>
      </w:r>
      <w:r>
        <w:t xml:space="preserve">al remains unclear. </w:t>
      </w:r>
    </w:p>
    <w:p w14:paraId="35CDA611" w14:textId="77777777" w:rsidR="00624970" w:rsidRPr="00C81B3B" w:rsidRDefault="00624970" w:rsidP="00624970">
      <w:pPr>
        <w:spacing w:afterLines="60" w:after="144" w:line="360" w:lineRule="auto"/>
        <w:jc w:val="right"/>
      </w:pPr>
      <w:r>
        <w:t xml:space="preserve">  </w:t>
      </w:r>
      <m:oMath>
        <m:sSub>
          <m:sSubPr>
            <m:ctrlPr>
              <w:rPr>
                <w:rFonts w:ascii="Cambria Math" w:hAnsi="Cambria Math"/>
              </w:rPr>
            </m:ctrlPr>
          </m:sSubPr>
          <m:e>
            <m:r>
              <w:rPr>
                <w:rFonts w:ascii="Cambria Math" w:hAnsi="Cambria Math"/>
              </w:rPr>
              <m:t>X</m:t>
            </m:r>
          </m:e>
          <m:sub>
            <m:r>
              <w:rPr>
                <w:rFonts w:ascii="Cambria Math" w:hAnsi="Cambria Math"/>
              </w:rPr>
              <m:t>Allen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s</m:t>
                </m:r>
              </m:sub>
            </m:sSub>
            <m:sSub>
              <m:sSubPr>
                <m:ctrlPr>
                  <w:rPr>
                    <w:rFonts w:ascii="Cambria Math" w:hAnsi="Cambria Math"/>
                    <w:i/>
                  </w:rPr>
                </m:ctrlPr>
              </m:sSubPr>
              <m:e>
                <m:r>
                  <w:rPr>
                    <w:rFonts w:ascii="Cambria Math" w:hAnsi="Cambria Math"/>
                  </w:rPr>
                  <m:t>E</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p</m:t>
                </m:r>
              </m:sub>
            </m:sSub>
            <m:sSub>
              <m:sSubPr>
                <m:ctrlPr>
                  <w:rPr>
                    <w:rFonts w:ascii="Cambria Math" w:hAnsi="Cambria Math"/>
                    <w:i/>
                  </w:rPr>
                </m:ctrlPr>
              </m:sSubPr>
              <m:e>
                <m:r>
                  <w:rPr>
                    <w:rFonts w:ascii="Cambria Math" w:hAnsi="Cambria Math"/>
                  </w:rPr>
                  <m:t>E</m:t>
                </m:r>
              </m:e>
              <m:sub>
                <m:r>
                  <w:rPr>
                    <w:rFonts w:ascii="Cambria Math" w:hAnsi="Cambria Math"/>
                  </w:rPr>
                  <m:t>p</m:t>
                </m:r>
              </m:sub>
            </m:sSub>
          </m:num>
          <m:den>
            <m:sSub>
              <m:sSubPr>
                <m:ctrlPr>
                  <w:rPr>
                    <w:rFonts w:ascii="Cambria Math" w:hAnsi="Cambria Math"/>
                    <w:i/>
                  </w:rPr>
                </m:ctrlPr>
              </m:sSubPr>
              <m:e>
                <m:r>
                  <w:rPr>
                    <w:rFonts w:ascii="Cambria Math" w:hAnsi="Cambria Math"/>
                  </w:rPr>
                  <m:t>n</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p</m:t>
                </m:r>
              </m:sub>
            </m:sSub>
          </m:den>
        </m:f>
      </m:oMath>
      <w:r>
        <w:t xml:space="preserve">                                                                          (8)</w:t>
      </w:r>
    </w:p>
    <w:p w14:paraId="2D68BD4F" w14:textId="77777777" w:rsidR="00624970" w:rsidRDefault="00624970" w:rsidP="00624970">
      <w:pPr>
        <w:spacing w:afterLines="60" w:after="144" w:line="360" w:lineRule="auto"/>
        <w:jc w:val="both"/>
      </w:pPr>
      <w:r>
        <w:t xml:space="preserve">Based on the </w:t>
      </w:r>
      <w:r w:rsidRPr="00993DA1">
        <w:rPr>
          <w:noProof/>
        </w:rPr>
        <w:t>different</w:t>
      </w:r>
      <w:r>
        <w:t xml:space="preserve"> type of electronegativity parameters discussed above, it is apparent that these electronegativities </w:t>
      </w:r>
      <w:r w:rsidRPr="003B6CA7">
        <w:rPr>
          <w:noProof/>
        </w:rPr>
        <w:t xml:space="preserve">either </w:t>
      </w:r>
      <w:r>
        <w:t xml:space="preserve">can be </w:t>
      </w:r>
      <w:r w:rsidRPr="003B6CA7">
        <w:rPr>
          <w:noProof/>
        </w:rPr>
        <w:t>conclude</w:t>
      </w:r>
      <w:r>
        <w:rPr>
          <w:noProof/>
        </w:rPr>
        <w:t>d</w:t>
      </w:r>
      <w:r w:rsidRPr="003B6CA7">
        <w:rPr>
          <w:noProof/>
        </w:rPr>
        <w:t xml:space="preserve"> as an absolute value</w:t>
      </w:r>
      <w:r>
        <w:rPr>
          <w:noProof/>
        </w:rPr>
        <w:t>,</w:t>
      </w:r>
      <w:r w:rsidRPr="003B6CA7">
        <w:rPr>
          <w:noProof/>
        </w:rPr>
        <w:t xml:space="preserve"> or</w:t>
      </w:r>
      <w:r>
        <w:t xml:space="preserve"> relative value depending on the calculation method and definition. The usage of different </w:t>
      </w:r>
      <w:r w:rsidRPr="008C71F2">
        <w:rPr>
          <w:noProof/>
        </w:rPr>
        <w:t>type</w:t>
      </w:r>
      <w:r>
        <w:rPr>
          <w:noProof/>
        </w:rPr>
        <w:t>s of</w:t>
      </w:r>
      <w:r>
        <w:t xml:space="preserve"> electronegativity </w:t>
      </w:r>
      <w:r w:rsidRPr="003B6CA7">
        <w:rPr>
          <w:noProof/>
        </w:rPr>
        <w:t>depen</w:t>
      </w:r>
      <w:r>
        <w:rPr>
          <w:noProof/>
        </w:rPr>
        <w:t>ds</w:t>
      </w:r>
      <w:r>
        <w:t xml:space="preserve"> on </w:t>
      </w:r>
      <w:r>
        <w:rPr>
          <w:noProof/>
        </w:rPr>
        <w:t>their</w:t>
      </w:r>
      <w:r>
        <w:t xml:space="preserve"> </w:t>
      </w:r>
      <w:r w:rsidRPr="003B6CA7">
        <w:rPr>
          <w:noProof/>
        </w:rPr>
        <w:t>definition</w:t>
      </w:r>
      <w:r>
        <w:rPr>
          <w:noProof/>
        </w:rPr>
        <w:t>s</w:t>
      </w:r>
      <w:r>
        <w:t xml:space="preserve">. Considering the </w:t>
      </w:r>
      <w:r w:rsidRPr="00993DA1">
        <w:rPr>
          <w:noProof/>
        </w:rPr>
        <w:t>metallic</w:t>
      </w:r>
      <w:r>
        <w:t xml:space="preserve"> system for which the electron in the </w:t>
      </w:r>
      <w:r w:rsidRPr="00E47175">
        <w:rPr>
          <w:i/>
        </w:rPr>
        <w:t>d</w:t>
      </w:r>
      <w:r>
        <w:t xml:space="preserve">-orbital plays an essential role in forming a </w:t>
      </w:r>
      <w:r w:rsidRPr="008C71F2">
        <w:rPr>
          <w:noProof/>
        </w:rPr>
        <w:t>chemical</w:t>
      </w:r>
      <w:r>
        <w:t xml:space="preserve"> bond, electronegativities which only consider valence electrons on </w:t>
      </w:r>
      <w:r w:rsidRPr="008C71F2">
        <w:rPr>
          <w:i/>
          <w:noProof/>
        </w:rPr>
        <w:t>s</w:t>
      </w:r>
      <w:r w:rsidRPr="008C71F2">
        <w:rPr>
          <w:noProof/>
        </w:rPr>
        <w:t xml:space="preserve"> and</w:t>
      </w:r>
      <w:r>
        <w:t xml:space="preserve"> </w:t>
      </w:r>
      <w:r w:rsidRPr="00E47175">
        <w:rPr>
          <w:i/>
        </w:rPr>
        <w:t>p</w:t>
      </w:r>
      <w:r>
        <w:t xml:space="preserve"> orbitals may </w:t>
      </w:r>
      <w:r>
        <w:rPr>
          <w:noProof/>
        </w:rPr>
        <w:t>be insufficient</w:t>
      </w:r>
      <w:r>
        <w:t xml:space="preserve">. </w:t>
      </w:r>
    </w:p>
    <w:p w14:paraId="26333F17" w14:textId="76DA9BC7" w:rsidR="00624970" w:rsidRDefault="00624970" w:rsidP="00624970">
      <w:pPr>
        <w:spacing w:afterLines="60" w:after="144" w:line="360" w:lineRule="auto"/>
        <w:jc w:val="both"/>
        <w:rPr>
          <w:noProof/>
        </w:rPr>
      </w:pPr>
      <w:r w:rsidRPr="524BBB7E">
        <w:rPr>
          <w:noProof/>
        </w:rPr>
        <w:t>Early attempts at utilising electronegativity on the phase formation predictions of HEAs</w:t>
      </w:r>
      <w:r>
        <w:rPr>
          <w:noProof/>
        </w:rPr>
        <w:t>,</w:t>
      </w:r>
      <w:r w:rsidRPr="524BBB7E">
        <w:rPr>
          <w:noProof/>
        </w:rPr>
        <w:t xml:space="preserve"> focus</w:t>
      </w:r>
      <w:r>
        <w:rPr>
          <w:noProof/>
        </w:rPr>
        <w:t>sed</w:t>
      </w:r>
      <w:r w:rsidRPr="524BBB7E">
        <w:rPr>
          <w:noProof/>
        </w:rPr>
        <w:t xml:space="preserve"> on </w:t>
      </w:r>
      <w:r>
        <w:rPr>
          <w:noProof/>
        </w:rPr>
        <w:t>considering</w:t>
      </w:r>
      <w:r w:rsidRPr="524BBB7E">
        <w:rPr>
          <w:noProof/>
        </w:rPr>
        <w:t xml:space="preserve"> the solid solution phase stability between different lattice structures</w:t>
      </w:r>
      <w:r w:rsidR="00C24D9B">
        <w:rPr>
          <w:noProof/>
        </w:rPr>
        <w:t>,</w:t>
      </w:r>
      <w:r>
        <w:rPr>
          <w:noProof/>
        </w:rPr>
        <w:t xml:space="preserve"> for example </w:t>
      </w:r>
      <w:r w:rsidRPr="524BBB7E">
        <w:rPr>
          <w:noProof/>
        </w:rPr>
        <w:t>FCC</w:t>
      </w:r>
      <w:r>
        <w:rPr>
          <w:noProof/>
        </w:rPr>
        <w:t xml:space="preserve"> and </w:t>
      </w:r>
      <w:r w:rsidRPr="524BBB7E">
        <w:rPr>
          <w:noProof/>
        </w:rPr>
        <w:t>BC</w:t>
      </w:r>
      <w:r>
        <w:rPr>
          <w:noProof/>
        </w:rPr>
        <w:t>C</w:t>
      </w:r>
      <w:r w:rsidRPr="524BBB7E">
        <w:rPr>
          <w:rFonts w:hint="eastAsia"/>
          <w:noProof/>
        </w:rPr>
        <w:t>）</w:t>
      </w:r>
      <w:r w:rsidRPr="524BBB7E">
        <w:rPr>
          <w:noProof/>
        </w:rPr>
        <w:t>[32,47,49,50]</w:t>
      </w:r>
      <w:r>
        <w:t xml:space="preserve">. Yong proposed the effectiveness of using </w:t>
      </w:r>
      <w:r>
        <w:rPr>
          <w:noProof/>
        </w:rPr>
        <w:t>P</w:t>
      </w:r>
      <w:r w:rsidRPr="00497F55">
        <w:rPr>
          <w:noProof/>
        </w:rPr>
        <w:t>auling</w:t>
      </w:r>
      <w:r>
        <w:t xml:space="preserve"> electronegativity difference to predict the formation tendency of </w:t>
      </w:r>
      <w:bookmarkStart w:id="42" w:name="_Hlk5894934"/>
      <w:r>
        <w:t xml:space="preserve">topological close-packed </w:t>
      </w:r>
      <w:bookmarkEnd w:id="42"/>
      <w:r>
        <w:t>(</w:t>
      </w:r>
      <w:bookmarkStart w:id="43" w:name="_Hlk5894926"/>
      <w:r>
        <w:t>TCP</w:t>
      </w:r>
      <w:bookmarkEnd w:id="43"/>
      <w:r>
        <w:t>) phases</w:t>
      </w:r>
      <w:r>
        <w:fldChar w:fldCharType="begin" w:fldLock="1"/>
      </w:r>
      <w:r>
        <w:instrText>ADDIN CSL_CITATION {"citationItems":[{"id":"ITEM-1","itemData":{"DOI":"10.1016/j.intermet.2014.04.001","ISBN":"09669795","ISSN":"09669795","abstract":"Topologically close-packed (TCP) phases with complex structures are often observed in high entropy alloys (HEAs). Currently, these TCP phases are garnering significant interest from both theoretical and experimental perspectives due to the ductility deterioration of the high strength HEAs. Alternatively, there are instances when TCP phases can actually benefit the mechanical performances of alloys, such as the wear resistance. Therefore, the stability of TCP phases should be taken into consideration in the alloy design. In this paper, the relationship between the TCP phase stability and the physicochemical/thermodynamic properties of alloying components in HEAs was systematically studied. The stability of TCP phases was found to correlate well with the electro-negativity difference (ΔX) for most of the reported HEAs. The stability of TCP phases is well delineated by the electro-negativity difference (ΔX): i.e., TCP phases are stable at ΔX &gt; 0.133 except for some HEAs that contain a significant amount of aluminum. © 2014 Elsevier Ltd. All rights reserved.","author":[{"dropping-particle":"","family":"Dong","given":"Yong","non-dropping-particle":"","parse-names":false,"suffix":""},{"dropping-particle":"","family":"Lu","given":"Yiping","non-dropping-particle":"","parse-names":false,"suffix":""},{"dropping-particle":"","family":"Jiang","given":"Li","non-dropping-particle":"","parse-names":false,"suffix":""},{"dropping-particle":"","family":"Wang","given":"Tongmin","non-dropping-particle":"","parse-names":false,"suffix":""},{"dropping-particle":"","family":"Li","given":"Tingju","non-dropping-particle":"","parse-names":false,"suffix":""}],"container-title":"Intermetallics","id":"ITEM-1","issued":{"date-parts":[["2014"]]},"title":"Effects of electro-negativity on the stability of topologically close-packed phase in high entropy alloys","type":"article-journal"},"uris":["http://www.mendeley.com/documents/?uuid=cb3eef7e-f184-4a23-88ac-ae8e5fac7c54","http://www.mendeley.com/documents/?uuid=3168a98e-c428-4073-a784-731439706f28"]}],"mendeley":{"formattedCitation":"[40]","plainTextFormattedCitation":"[40]","previouslyFormattedCitation":"[40]"},"properties":{"noteIndex":0},"schema":"https://github.com/citation-style-language/schema/raw/master/csl-citation.json"}</w:instrText>
      </w:r>
      <w:r>
        <w:fldChar w:fldCharType="separate"/>
      </w:r>
      <w:r w:rsidRPr="003B39BC">
        <w:rPr>
          <w:noProof/>
        </w:rPr>
        <w:t>[40]</w:t>
      </w:r>
      <w:r>
        <w:fldChar w:fldCharType="end"/>
      </w:r>
      <w:r>
        <w:t xml:space="preserve"> as shown in Fig.2-3. In </w:t>
      </w:r>
      <w:r>
        <w:lastRenderedPageBreak/>
        <w:t>comparison with mixing enthalpy, valence electron concentration (</w:t>
      </w:r>
      <w:r w:rsidRPr="00634B67">
        <w:rPr>
          <w:i/>
        </w:rPr>
        <w:t>VEC</w:t>
      </w:r>
      <w:r>
        <w:t xml:space="preserve">) and atomic difference, the TCP phase formation tendency is more distinguishable when </w:t>
      </w:r>
      <w:r w:rsidRPr="008C71F2">
        <w:rPr>
          <w:noProof/>
        </w:rPr>
        <w:t>plo</w:t>
      </w:r>
      <w:r>
        <w:rPr>
          <w:noProof/>
        </w:rPr>
        <w:t>t</w:t>
      </w:r>
      <w:r w:rsidRPr="008C71F2">
        <w:rPr>
          <w:noProof/>
        </w:rPr>
        <w:t>t</w:t>
      </w:r>
      <w:r>
        <w:rPr>
          <w:noProof/>
        </w:rPr>
        <w:t>ed</w:t>
      </w:r>
      <w:r>
        <w:t xml:space="preserve"> against the electronegativity difference. As shown in Fig. 2-3, TCP phases </w:t>
      </w:r>
      <w:r>
        <w:rPr>
          <w:noProof/>
        </w:rPr>
        <w:t>appear</w:t>
      </w:r>
      <w:r>
        <w:t xml:space="preserve"> to form when the electronegativity difference </w:t>
      </w:r>
      <w:r>
        <w:rPr>
          <w:rFonts w:ascii="Times New Roman" w:hAnsi="Times New Roman" w:cs="Times New Roman"/>
        </w:rPr>
        <w:t>Δ</w:t>
      </w:r>
      <w:r>
        <w:t xml:space="preserve">X&gt; 0.133. </w:t>
      </w:r>
      <w:r>
        <w:rPr>
          <w:noProof/>
        </w:rPr>
        <w:t>The c</w:t>
      </w:r>
      <w:r w:rsidRPr="00497F55">
        <w:rPr>
          <w:noProof/>
        </w:rPr>
        <w:t>lear</w:t>
      </w:r>
      <w:r>
        <w:t xml:space="preserve"> boundary between the </w:t>
      </w:r>
      <w:r w:rsidRPr="008C71F2">
        <w:rPr>
          <w:noProof/>
        </w:rPr>
        <w:t>solid</w:t>
      </w:r>
      <w:r>
        <w:t xml:space="preserve"> solution phase zone and TCP zone is denoted by the </w:t>
      </w:r>
      <w:r w:rsidRPr="00497F55">
        <w:rPr>
          <w:noProof/>
        </w:rPr>
        <w:t>dashed</w:t>
      </w:r>
      <w:r>
        <w:t xml:space="preserve"> line at 0.133 in Fig.2-3.  Moreover, owing to the limitations of </w:t>
      </w:r>
      <w:r>
        <w:rPr>
          <w:rFonts w:ascii="Times New Roman" w:hAnsi="Times New Roman" w:cs="Times New Roman"/>
        </w:rPr>
        <w:t>Δ</w:t>
      </w:r>
      <m:oMath>
        <m:sSub>
          <m:sSubPr>
            <m:ctrlPr>
              <w:rPr>
                <w:rFonts w:ascii="Cambria Math" w:hAnsi="Cambria Math" w:cs="Times New Roman"/>
              </w:rPr>
            </m:ctrlPr>
          </m:sSubPr>
          <m:e>
            <m:r>
              <w:rPr>
                <w:rFonts w:ascii="Cambria Math" w:hAnsi="Cambria Math" w:cs="Times New Roman"/>
              </w:rPr>
              <m:t>X</m:t>
            </m:r>
          </m:e>
          <m:sub>
            <m:r>
              <w:rPr>
                <w:rFonts w:ascii="Cambria Math" w:hAnsi="Cambria Math" w:cs="Times New Roman"/>
              </w:rPr>
              <m:t>pauling</m:t>
            </m:r>
          </m:sub>
        </m:sSub>
      </m:oMath>
      <w:r>
        <w:rPr>
          <w:rFonts w:ascii="Times New Roman" w:hAnsi="Times New Roman" w:cs="Times New Roman"/>
        </w:rPr>
        <w:t xml:space="preserve"> </w:t>
      </w:r>
      <w:r w:rsidRPr="00365A4F">
        <w:rPr>
          <w:rFonts w:cs="Times New Roman"/>
        </w:rPr>
        <w:t>and</w:t>
      </w:r>
      <w:r>
        <w:rPr>
          <w:rFonts w:ascii="Times New Roman" w:hAnsi="Times New Roman" w:cs="Times New Roman"/>
        </w:rPr>
        <w:t xml:space="preserve"> Δ</w:t>
      </w:r>
      <m:oMath>
        <m:sSub>
          <m:sSubPr>
            <m:ctrlPr>
              <w:rPr>
                <w:rFonts w:ascii="Cambria Math" w:hAnsi="Cambria Math" w:cs="Times New Roman"/>
              </w:rPr>
            </m:ctrlPr>
          </m:sSubPr>
          <m:e>
            <m:r>
              <w:rPr>
                <w:rFonts w:ascii="Cambria Math" w:hAnsi="Cambria Math" w:cs="Times New Roman"/>
              </w:rPr>
              <m:t>X</m:t>
            </m:r>
          </m:e>
          <m:sub>
            <m:r>
              <w:rPr>
                <w:rFonts w:ascii="Cambria Math" w:hAnsi="Cambria Math" w:cs="Times New Roman"/>
              </w:rPr>
              <m:t>allen</m:t>
            </m:r>
          </m:sub>
        </m:sSub>
      </m:oMath>
      <w:r>
        <w:t xml:space="preserve">, </w:t>
      </w:r>
      <w:r w:rsidRPr="007A10C7">
        <w:t>which can</w:t>
      </w:r>
      <w:r>
        <w:t>not</w:t>
      </w:r>
      <w:r w:rsidRPr="007A10C7">
        <w:t xml:space="preserve"> precisely express the delocali</w:t>
      </w:r>
      <w:r>
        <w:t>s</w:t>
      </w:r>
      <w:r w:rsidRPr="007A10C7">
        <w:t>ed electronic environment of transitional metal elements</w:t>
      </w:r>
      <w:r>
        <w:t xml:space="preserve">, </w:t>
      </w:r>
      <m:oMath>
        <m:sSub>
          <m:sSubPr>
            <m:ctrlPr>
              <w:rPr>
                <w:rFonts w:ascii="Cambria Math" w:hAnsi="Cambria Math"/>
              </w:rPr>
            </m:ctrlPr>
          </m:sSubPr>
          <m:e>
            <m:r>
              <w:rPr>
                <w:rFonts w:ascii="Cambria Math" w:hAnsi="Cambria Math"/>
              </w:rPr>
              <m:t>X</m:t>
            </m:r>
          </m:e>
          <m:sub>
            <m:r>
              <w:rPr>
                <w:rFonts w:ascii="Cambria Math" w:hAnsi="Cambria Math"/>
              </w:rPr>
              <m:t>Mulliken</m:t>
            </m:r>
          </m:sub>
        </m:sSub>
      </m:oMath>
      <w:r>
        <w:t xml:space="preserve"> which is a good approximation of the electronic chemical potential, was considered as a better absolute scale to distinguish the phase formation tendency of</w:t>
      </w:r>
      <w:r w:rsidRPr="0044023C">
        <w:t xml:space="preserve"> </w:t>
      </w:r>
      <w:r>
        <w:t xml:space="preserve">HEAs </w:t>
      </w:r>
      <w:r>
        <w:fldChar w:fldCharType="begin" w:fldLock="1"/>
      </w:r>
      <w:r>
        <w:instrText>ADDIN CSL_CITATION {"citationItems":[{"id":"ITEM-1","itemData":{"DOI":"10.1016/j.matchemphys.2017.09.001","ISSN":"02540584","abstract":"Analysis of the applicability of different electronegativity scales (XAllen, XPauling, and XMulliken) as a replacement for the empirical valence electron concentration (VEC) parameter to determine High Entropy Alloy (HEA) solid-solution stability is performed, using statistical methods (via cluster analysis and probability density function). The analysis is conducted on a dataset consisting of 617 entries. The results show that XAllenis better suited to predict solid-solution stability when utilising only one parameter. However, substituting XAllenfor XMullikenoffers better prediction in a biplot with the enthalpy of mixing (ΔH). An analysis of the VEC-ΔH biplot shows that phase separation in the biplots can be attributed to changes in the electronic structure.","author":[{"dropping-particle":"","family":"Leong","given":"Zhaoyuan","non-dropping-particle":"","parse-names":false,"suffix":""},{"dropping-particle":"","family":"Huang","given":"Yuhe","non-dropping-particle":"","parse-names":false,"suffix":""},{"dropping-particle":"","family":"Goodall","given":"Russell","non-dropping-particle":"","parse-names":false,"suffix":""},{"dropping-particle":"","family":"Todd","given":"Iain","non-dropping-particle":"","parse-names":false,"suffix":""}],"container-title":"Materials Chemistry and Physics","id":"ITEM-1","issued":{"date-parts":[["2018"]]},"title":"Electronegativity and enthalpy of mixing biplots for High Entropy Alloy solid solution prediction","type":"article-journal"},"uris":["http://www.mendeley.com/documents/?uuid=462b6ed7-2749-42d0-b81f-0fd257dd4a74"]}],"mendeley":{"formattedCitation":"[41]","plainTextFormattedCitation":"[41]","previouslyFormattedCitation":"[41]"},"properties":{"noteIndex":0},"schema":"https://github.com/citation-style-language/schema/raw/master/csl-citation.json"}</w:instrText>
      </w:r>
      <w:r>
        <w:fldChar w:fldCharType="separate"/>
      </w:r>
      <w:r w:rsidRPr="003B39BC">
        <w:rPr>
          <w:noProof/>
        </w:rPr>
        <w:t>[41]</w:t>
      </w:r>
      <w:r>
        <w:fldChar w:fldCharType="end"/>
      </w:r>
      <w:r>
        <w:t xml:space="preserve">. </w:t>
      </w:r>
      <w:r w:rsidRPr="00481C17">
        <w:t xml:space="preserve">Using </w:t>
      </w:r>
      <m:oMath>
        <m:sSub>
          <m:sSubPr>
            <m:ctrlPr>
              <w:rPr>
                <w:rFonts w:ascii="Cambria Math" w:hAnsi="Cambria Math"/>
              </w:rPr>
            </m:ctrlPr>
          </m:sSubPr>
          <m:e>
            <m:r>
              <w:rPr>
                <w:rFonts w:ascii="Cambria Math" w:hAnsi="Cambria Math"/>
              </w:rPr>
              <m:t>X</m:t>
            </m:r>
          </m:e>
          <m:sub>
            <m:r>
              <w:rPr>
                <w:rFonts w:ascii="Cambria Math" w:hAnsi="Cambria Math"/>
              </w:rPr>
              <m:t>Mulliken</m:t>
            </m:r>
          </m:sub>
        </m:sSub>
      </m:oMath>
      <w:r w:rsidRPr="00481C17">
        <w:t xml:space="preserve"> to represent the stability of </w:t>
      </w:r>
      <w:r>
        <w:t xml:space="preserve">the phases at </w:t>
      </w:r>
      <w:r w:rsidRPr="00481C17">
        <w:t>ground state</w:t>
      </w:r>
      <w:r>
        <w:t>s</w:t>
      </w:r>
      <w:r w:rsidRPr="00481C17">
        <w:t xml:space="preserve">, Leong </w:t>
      </w:r>
      <w:r w:rsidRPr="00AC1175">
        <w:rPr>
          <w:i/>
        </w:rPr>
        <w:t>et al.</w:t>
      </w:r>
      <w:r w:rsidRPr="00481C17">
        <w:t xml:space="preserve"> </w:t>
      </w:r>
      <w:r>
        <w:fldChar w:fldCharType="begin" w:fldLock="1"/>
      </w:r>
      <w:r>
        <w:instrText>ADDIN CSL_CITATION {"citationItems":[{"id":"ITEM-1","itemData":{"DOI":"10.1016/j.matchemphys.2017.09.001","ISSN":"02540584","abstract":"Analysis of the applicability of different electronegativity scales (XAllen, XPauling, and XMulliken) as a replacement for the empirical valence electron concentration (VEC) parameter to determine High Entropy Alloy (HEA) solid-solution stability is performed, using statistical methods (via cluster analysis and probability density function). The analysis is conducted on a dataset consisting of 617 entries. The results show that XAllenis better suited to predict solid-solution stability when utilising only one parameter. However, substituting XAllenfor XMullikenoffers better prediction in a biplot with the enthalpy of mixing (ΔH). An analysis of the VEC-ΔH biplot shows that phase separation in the biplots can be attributed to changes in the electronic structure.","author":[{"dropping-particle":"","family":"Leong","given":"Zhaoyuan","non-dropping-particle":"","parse-names":false,"suffix":""},{"dropping-particle":"","family":"Huang","given":"Yuhe","non-dropping-particle":"","parse-names":false,"suffix":""},{"dropping-particle":"","family":"Goodall","given":"Russell","non-dropping-particle":"","parse-names":false,"suffix":""},{"dropping-particle":"","family":"Todd","given":"Iain","non-dropping-particle":"","parse-names":false,"suffix":""}],"container-title":"Materials Chemistry and Physics","id":"ITEM-1","issued":{"date-parts":[["2018"]]},"title":"Electronegativity and enthalpy of mixing biplots for High Entropy Alloy solid solution prediction","type":"article-journal"},"uris":["http://www.mendeley.com/documents/?uuid=20186aec-9f86-4746-bf69-f32e7380926d","http://www.mendeley.com/documents/?uuid=0b7d90eb-8060-4d23-a119-25c9d626e6dd"]}],"mendeley":{"formattedCitation":"[41]","plainTextFormattedCitation":"[41]","previouslyFormattedCitation":"[41]"},"properties":{"noteIndex":0},"schema":"https://github.com/citation-style-language/schema/raw/master/csl-citation.json"}</w:instrText>
      </w:r>
      <w:r>
        <w:fldChar w:fldCharType="separate"/>
      </w:r>
      <w:r w:rsidRPr="003B39BC">
        <w:rPr>
          <w:noProof/>
        </w:rPr>
        <w:t>[41]</w:t>
      </w:r>
      <w:r>
        <w:fldChar w:fldCharType="end"/>
      </w:r>
      <w:r>
        <w:t xml:space="preserve"> </w:t>
      </w:r>
      <w:r w:rsidRPr="00481C17">
        <w:t xml:space="preserve">compared </w:t>
      </w:r>
      <m:oMath>
        <m:sSub>
          <m:sSubPr>
            <m:ctrlPr>
              <w:rPr>
                <w:rFonts w:ascii="Cambria Math" w:hAnsi="Cambria Math"/>
              </w:rPr>
            </m:ctrlPr>
          </m:sSubPr>
          <m:e>
            <m:r>
              <m:rPr>
                <m:sty m:val="p"/>
              </m:rPr>
              <w:rPr>
                <w:rFonts w:ascii="Cambria Math" w:hAnsi="Cambria Math" w:cs="Times New Roman"/>
              </w:rPr>
              <m:t>Δ</m:t>
            </m:r>
            <m:r>
              <w:rPr>
                <w:rFonts w:ascii="Cambria Math" w:hAnsi="Cambria Math"/>
              </w:rPr>
              <m:t>X</m:t>
            </m:r>
          </m:e>
          <m:sub>
            <m:r>
              <w:rPr>
                <w:rFonts w:ascii="Cambria Math" w:hAnsi="Cambria Math"/>
              </w:rPr>
              <m:t>Pauling</m:t>
            </m:r>
          </m:sub>
        </m:sSub>
      </m:oMath>
      <w:r w:rsidRPr="00481C17">
        <w:t xml:space="preserve">, </w:t>
      </w:r>
      <m:oMath>
        <m:r>
          <m:rPr>
            <m:sty m:val="p"/>
          </m:rPr>
          <w:rPr>
            <w:rFonts w:ascii="Cambria Math" w:hAnsi="Cambria Math" w:cs="Times New Roman"/>
          </w:rPr>
          <m:t>Δ</m:t>
        </m:r>
        <m:sSub>
          <m:sSubPr>
            <m:ctrlPr>
              <w:rPr>
                <w:rFonts w:ascii="Cambria Math" w:hAnsi="Cambria Math"/>
              </w:rPr>
            </m:ctrlPr>
          </m:sSubPr>
          <m:e>
            <m:r>
              <w:rPr>
                <w:rFonts w:ascii="Cambria Math" w:hAnsi="Cambria Math"/>
              </w:rPr>
              <m:t>X</m:t>
            </m:r>
          </m:e>
          <m:sub>
            <m:r>
              <w:rPr>
                <w:rFonts w:ascii="Cambria Math" w:hAnsi="Cambria Math"/>
              </w:rPr>
              <m:t>Allen</m:t>
            </m:r>
          </m:sub>
        </m:sSub>
      </m:oMath>
      <w:r w:rsidRPr="00481C17">
        <w:t xml:space="preserve"> and </w:t>
      </w:r>
      <m:oMath>
        <m:sSub>
          <m:sSubPr>
            <m:ctrlPr>
              <w:rPr>
                <w:rFonts w:ascii="Cambria Math" w:hAnsi="Cambria Math"/>
              </w:rPr>
            </m:ctrlPr>
          </m:sSubPr>
          <m:e>
            <m:r>
              <m:rPr>
                <m:sty m:val="p"/>
              </m:rPr>
              <w:rPr>
                <w:rFonts w:ascii="Cambria Math" w:hAnsi="Cambria Math" w:cs="Times New Roman"/>
              </w:rPr>
              <m:t>Δ</m:t>
            </m:r>
            <m:r>
              <w:rPr>
                <w:rFonts w:ascii="Cambria Math" w:hAnsi="Cambria Math"/>
              </w:rPr>
              <m:t>X</m:t>
            </m:r>
          </m:e>
          <m:sub>
            <m:r>
              <w:rPr>
                <w:rFonts w:ascii="Cambria Math" w:hAnsi="Cambria Math"/>
              </w:rPr>
              <m:t>Mulliken</m:t>
            </m:r>
          </m:sub>
        </m:sSub>
      </m:oMath>
      <w:r w:rsidRPr="00481C17">
        <w:t xml:space="preserve"> against mixing enthalpy </w:t>
      </w:r>
      <w:r>
        <w:t>for a significantly large dataset</w:t>
      </w:r>
      <w:r w:rsidRPr="00481C17">
        <w:t xml:space="preserve"> </w:t>
      </w:r>
      <w:r>
        <w:t>(</w:t>
      </w:r>
      <w:r w:rsidRPr="00481C17">
        <w:t>617</w:t>
      </w:r>
      <w:r>
        <w:t>) of</w:t>
      </w:r>
      <w:r w:rsidRPr="00481C17">
        <w:t xml:space="preserve"> HEA compositions</w:t>
      </w:r>
      <w:r>
        <w:t xml:space="preserve">. From the biplot and distribution function results, </w:t>
      </w:r>
      <m:oMath>
        <m:r>
          <m:rPr>
            <m:sty m:val="p"/>
          </m:rPr>
          <w:rPr>
            <w:rFonts w:ascii="Cambria Math" w:hAnsi="Cambria Math" w:cs="Times New Roman"/>
          </w:rPr>
          <m:t>Δ</m:t>
        </m:r>
        <m:sSub>
          <m:sSubPr>
            <m:ctrlPr>
              <w:rPr>
                <w:rFonts w:ascii="Cambria Math" w:hAnsi="Cambria Math"/>
              </w:rPr>
            </m:ctrlPr>
          </m:sSubPr>
          <m:e>
            <m:r>
              <w:rPr>
                <w:rFonts w:ascii="Cambria Math" w:hAnsi="Cambria Math"/>
              </w:rPr>
              <m:t>X</m:t>
            </m:r>
          </m:e>
          <m:sub>
            <m:r>
              <w:rPr>
                <w:rFonts w:ascii="Cambria Math" w:hAnsi="Cambria Math"/>
              </w:rPr>
              <m:t>Mulliken</m:t>
            </m:r>
          </m:sub>
        </m:sSub>
      </m:oMath>
      <w:r>
        <w:t xml:space="preserve"> is concluded as more accurate in distinguishing the formation of complex and simple phases, which indicates new possibilities for research into the design of HEAs. However, most research on the viability of using electronegativity to predict HEA phase formation tendency, focused on HEAs composed of 4</w:t>
      </w:r>
      <w:r w:rsidRPr="00E45E27">
        <w:rPr>
          <w:vertAlign w:val="superscript"/>
        </w:rPr>
        <w:t>th</w:t>
      </w:r>
      <w:r>
        <w:rPr>
          <w:vertAlign w:val="superscript"/>
        </w:rPr>
        <w:t xml:space="preserve"> </w:t>
      </w:r>
      <w:r>
        <w:t>and 5</w:t>
      </w:r>
      <w:r w:rsidRPr="00E45E27">
        <w:rPr>
          <w:vertAlign w:val="superscript"/>
        </w:rPr>
        <w:t>th</w:t>
      </w:r>
      <w:r>
        <w:t xml:space="preserve"> period transitional group element. Investigations of HEA systems focused on Al, Si, Ga or 6</w:t>
      </w:r>
      <w:r w:rsidRPr="00E45E27">
        <w:rPr>
          <w:vertAlign w:val="superscript"/>
        </w:rPr>
        <w:t>th</w:t>
      </w:r>
      <w:r>
        <w:t xml:space="preserve"> period group elements additions are still requiring further research</w:t>
      </w:r>
      <w:r w:rsidRPr="003B6CA7">
        <w:rPr>
          <w:noProof/>
        </w:rPr>
        <w:t xml:space="preserve">.  </w:t>
      </w:r>
    </w:p>
    <w:p w14:paraId="17082276" w14:textId="77777777" w:rsidR="00624970" w:rsidRDefault="00624970" w:rsidP="00624970">
      <w:pPr>
        <w:keepNext/>
        <w:spacing w:afterLines="60" w:after="144" w:line="360" w:lineRule="auto"/>
        <w:jc w:val="center"/>
      </w:pPr>
      <w:r w:rsidRPr="00D04EDA">
        <w:rPr>
          <w:noProof/>
          <w:lang w:val="en-US" w:eastAsia="en-US"/>
        </w:rPr>
        <w:drawing>
          <wp:inline distT="0" distB="0" distL="0" distR="0" wp14:anchorId="7BD4336C" wp14:editId="16C5AB80">
            <wp:extent cx="5970253" cy="2510287"/>
            <wp:effectExtent l="0" t="0" r="0" b="4445"/>
            <wp:docPr id="23" name="图片 23" descr="C:\Users\Yuhe\Downloads\1-s2.0-S0966979514001095-gr1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he\Downloads\1-s2.0-S0966979514001095-gr1_lrg.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00623" cy="2523057"/>
                    </a:xfrm>
                    <a:prstGeom prst="rect">
                      <a:avLst/>
                    </a:prstGeom>
                    <a:noFill/>
                    <a:ln>
                      <a:noFill/>
                    </a:ln>
                  </pic:spPr>
                </pic:pic>
              </a:graphicData>
            </a:graphic>
          </wp:inline>
        </w:drawing>
      </w:r>
    </w:p>
    <w:p w14:paraId="2E1EB8D3" w14:textId="77777777" w:rsidR="00624970" w:rsidRPr="0061147B" w:rsidRDefault="00624970" w:rsidP="00624970">
      <w:pPr>
        <w:spacing w:afterLines="60" w:after="144" w:line="360" w:lineRule="auto"/>
        <w:rPr>
          <w:b/>
          <w:sz w:val="20"/>
        </w:rPr>
      </w:pPr>
      <w:bookmarkStart w:id="44" w:name="_Toc39312672"/>
      <w:bookmarkStart w:id="45" w:name="_Toc5617625"/>
      <w:bookmarkStart w:id="46" w:name="_Toc7364558"/>
      <w:r w:rsidRPr="00A03FC4">
        <w:rPr>
          <w:b/>
          <w:sz w:val="20"/>
        </w:rPr>
        <w:t>Figure</w:t>
      </w:r>
      <w:r>
        <w:rPr>
          <w:b/>
          <w:sz w:val="20"/>
        </w:rPr>
        <w:t xml:space="preserve"> 2-</w:t>
      </w:r>
      <w:r w:rsidRPr="008B6028">
        <w:rPr>
          <w:b/>
          <w:sz w:val="20"/>
        </w:rPr>
        <w:fldChar w:fldCharType="begin"/>
      </w:r>
      <w:r w:rsidRPr="008B6028">
        <w:rPr>
          <w:b/>
          <w:sz w:val="20"/>
        </w:rPr>
        <w:instrText xml:space="preserve"> SEQ Figure \* ARABIC </w:instrText>
      </w:r>
      <w:r w:rsidRPr="008B6028">
        <w:rPr>
          <w:b/>
          <w:sz w:val="20"/>
        </w:rPr>
        <w:fldChar w:fldCharType="separate"/>
      </w:r>
      <w:r>
        <w:rPr>
          <w:b/>
          <w:noProof/>
          <w:sz w:val="20"/>
        </w:rPr>
        <w:t>3</w:t>
      </w:r>
      <w:r w:rsidRPr="008B6028">
        <w:rPr>
          <w:b/>
          <w:sz w:val="20"/>
        </w:rPr>
        <w:fldChar w:fldCharType="end"/>
      </w:r>
      <w:r w:rsidRPr="00A03FC4">
        <w:rPr>
          <w:b/>
          <w:sz w:val="20"/>
        </w:rPr>
        <w:t xml:space="preserve"> Topological close-packed HEAs phase stability dependence with electronegativity difference value.</w:t>
      </w:r>
      <w:r w:rsidRPr="00A03FC4">
        <w:rPr>
          <w:rFonts w:ascii="Arial" w:hAnsi="Arial" w:cs="Arial"/>
          <w:color w:val="737373"/>
          <w:sz w:val="16"/>
          <w:szCs w:val="20"/>
        </w:rPr>
        <w:t xml:space="preserve"> </w:t>
      </w:r>
      <w:r w:rsidRPr="00EC3AB1">
        <w:rPr>
          <w:sz w:val="20"/>
        </w:rPr>
        <w:t xml:space="preserve">Closed polygons for TCP solid solution phases; </w:t>
      </w:r>
      <w:r>
        <w:rPr>
          <w:sz w:val="20"/>
        </w:rPr>
        <w:t>o</w:t>
      </w:r>
      <w:r w:rsidRPr="00EC3AB1">
        <w:rPr>
          <w:sz w:val="20"/>
        </w:rPr>
        <w:t xml:space="preserve">pen polygons for simple single solid solution phases; </w:t>
      </w:r>
      <w:r>
        <w:rPr>
          <w:sz w:val="20"/>
        </w:rPr>
        <w:t xml:space="preserve">and </w:t>
      </w:r>
      <w:r w:rsidRPr="00EC3AB1">
        <w:rPr>
          <w:sz w:val="20"/>
        </w:rPr>
        <w:t xml:space="preserve">half closed polygons for dual-phase solid solution phases. </w:t>
      </w:r>
      <w:r w:rsidRPr="00EC3AB1">
        <w:rPr>
          <w:sz w:val="20"/>
        </w:rPr>
        <w:fldChar w:fldCharType="begin" w:fldLock="1"/>
      </w:r>
      <w:r>
        <w:rPr>
          <w:sz w:val="20"/>
        </w:rPr>
        <w:instrText>ADDIN CSL_CITATION {"citationItems":[{"id":"ITEM-1","itemData":{"DOI":"10.1016/j.intermet.2014.04.001","ISBN":"09669795","ISSN":"09669795","abstract":"Topologically close-packed (TCP) phases with complex structures are often observed in high entropy alloys (HEAs). Currently, these TCP phases are garnering significant interest from both theoretical and experimental perspectives due to the ductility deterioration of the high strength HEAs. Alternatively, there are instances when TCP phases can actually benefit the mechanical performances of alloys, such as the wear resistance. Therefore, the stability of TCP phases should be taken into consideration in the alloy design. In this paper, the relationship between the TCP phase stability and the physicochemical/thermodynamic properties of alloying components in HEAs was systematically studied. The stability of TCP phases was found to correlate well with the electro-negativity difference (ΔX) for most of the reported HEAs. The stability of TCP phases is well delineated by the electro-negativity difference (ΔX): i.e., TCP phases are stable at ΔX &gt; 0.133 except for some HEAs that contain a significant amount of aluminum. © 2014 Elsevier Ltd. All rights reserved.","author":[{"dropping-particle":"","family":"Dong","given":"Yong","non-dropping-particle":"","parse-names":false,"suffix":""},{"dropping-particle":"","family":"Lu","given":"Yiping","non-dropping-particle":"","parse-names":false,"suffix":""},{"dropping-particle":"","family":"Jiang","given":"Li","non-dropping-particle":"","parse-names":false,"suffix":""},{"dropping-particle":"","family":"Wang","given":"Tongmin","non-dropping-particle":"","parse-names":false,"suffix":""},{"dropping-particle":"","family":"Li","given":"Tingju","non-dropping-particle":"","parse-names":false,"suffix":""}],"container-title":"Intermetallics","id":"ITEM-1","issued":{"date-parts":[["2014"]]},"title":"Effects of electro-negativity on the stability of topologically close-packed phase in high entropy alloys","type":"article-journal"},"uris":["http://www.mendeley.com/documents/?uuid=3168a98e-c428-4073-a784-731439706f28","http://www.mendeley.com/documents/?uuid=cb3eef7e-f184-4a23-88ac-ae8e5fac7c54"]}],"mendeley":{"formattedCitation":"[40]","plainTextFormattedCitation":"[40]","previouslyFormattedCitation":"[40]"},"properties":{"noteIndex":0},"schema":"https://github.com/citation-style-language/schema/raw/master/csl-citation.json"}</w:instrText>
      </w:r>
      <w:r w:rsidRPr="00EC3AB1">
        <w:rPr>
          <w:sz w:val="20"/>
        </w:rPr>
        <w:fldChar w:fldCharType="separate"/>
      </w:r>
      <w:bookmarkEnd w:id="45"/>
      <w:bookmarkEnd w:id="46"/>
      <w:r w:rsidRPr="003B39BC">
        <w:rPr>
          <w:noProof/>
          <w:sz w:val="20"/>
        </w:rPr>
        <w:t>[40]</w:t>
      </w:r>
      <w:bookmarkEnd w:id="44"/>
      <w:r w:rsidRPr="00EC3AB1">
        <w:rPr>
          <w:sz w:val="20"/>
        </w:rPr>
        <w:fldChar w:fldCharType="end"/>
      </w:r>
      <w:r w:rsidRPr="003B6CA7">
        <w:rPr>
          <w:noProof/>
        </w:rPr>
        <w:t xml:space="preserve"> </w:t>
      </w:r>
    </w:p>
    <w:p w14:paraId="6BA533B7" w14:textId="3B970759" w:rsidR="00624970" w:rsidRDefault="00624970" w:rsidP="00624970">
      <w:pPr>
        <w:spacing w:afterLines="60" w:after="144" w:line="360" w:lineRule="auto"/>
        <w:jc w:val="both"/>
      </w:pPr>
      <w:r w:rsidRPr="000279CC">
        <w:rPr>
          <w:i/>
        </w:rPr>
        <w:t>VEC</w:t>
      </w:r>
      <w:r>
        <w:t xml:space="preserve"> has been used as another variable to predict phase formation under the Hume-Rothery rules,</w:t>
      </w:r>
      <w:r w:rsidRPr="003E3ADC">
        <w:rPr>
          <w:noProof/>
        </w:rPr>
        <w:t xml:space="preserve"> </w:t>
      </w:r>
      <w:r>
        <w:rPr>
          <w:noProof/>
        </w:rPr>
        <w:t>with regard to</w:t>
      </w:r>
      <w:r w:rsidRPr="00480032">
        <w:rPr>
          <w:noProof/>
        </w:rPr>
        <w:t xml:space="preserve"> the importance of electronic structure in predicting phase formation</w:t>
      </w:r>
      <w:r>
        <w:rPr>
          <w:noProof/>
        </w:rPr>
        <w:t xml:space="preserve"> in </w:t>
      </w:r>
      <w:r w:rsidRPr="00480032">
        <w:rPr>
          <w:noProof/>
        </w:rPr>
        <w:t>metallic materials</w:t>
      </w:r>
      <w:r>
        <w:rPr>
          <w:noProof/>
        </w:rPr>
        <w:t>.</w:t>
      </w:r>
      <w:r w:rsidRPr="00480032">
        <w:rPr>
          <w:noProof/>
        </w:rPr>
        <w:t xml:space="preserve"> </w:t>
      </w:r>
      <w:r w:rsidRPr="000279CC">
        <w:rPr>
          <w:i/>
        </w:rPr>
        <w:t>VEC</w:t>
      </w:r>
      <w:r>
        <w:rPr>
          <w:noProof/>
        </w:rPr>
        <w:t xml:space="preserve"> is d</w:t>
      </w:r>
      <w:r w:rsidRPr="00480032">
        <w:rPr>
          <w:noProof/>
        </w:rPr>
        <w:t>efined</w:t>
      </w:r>
      <w:r>
        <w:t xml:space="preserve"> as the electrons in the outer shell of an atom, which are involved in forming </w:t>
      </w:r>
      <w:r w:rsidRPr="008C71F2">
        <w:rPr>
          <w:noProof/>
        </w:rPr>
        <w:t>bond</w:t>
      </w:r>
      <w:r>
        <w:rPr>
          <w:noProof/>
        </w:rPr>
        <w:t>s</w:t>
      </w:r>
      <w:r>
        <w:t xml:space="preserve"> in a </w:t>
      </w:r>
      <w:r w:rsidRPr="00993DA1">
        <w:rPr>
          <w:noProof/>
        </w:rPr>
        <w:t>stabili</w:t>
      </w:r>
      <w:r>
        <w:rPr>
          <w:noProof/>
        </w:rPr>
        <w:t>s</w:t>
      </w:r>
      <w:r w:rsidRPr="00993DA1">
        <w:rPr>
          <w:noProof/>
        </w:rPr>
        <w:t>ed</w:t>
      </w:r>
      <w:r>
        <w:t xml:space="preserve"> </w:t>
      </w:r>
      <w:r>
        <w:lastRenderedPageBreak/>
        <w:t xml:space="preserve">structure. </w:t>
      </w:r>
      <w:r w:rsidRPr="00634B67">
        <w:rPr>
          <w:i/>
        </w:rPr>
        <w:t>VEC</w:t>
      </w:r>
      <w:r>
        <w:t xml:space="preserve"> is more relevant to phase formation in comparison with the differences in atomic size and electronegativity </w:t>
      </w:r>
      <w:r>
        <w:fldChar w:fldCharType="begin" w:fldLock="1"/>
      </w:r>
      <w:r>
        <w:instrText>ADDIN CSL_CITATION {"citationItems":[{"id":"ITEM-1","itemData":{"DOI":"10.1557/mrs.2012.45","ISBN":"9780874216561","ISSN":"0883-7694","PMID":"15003161","abstract":"The objective of this case study was to obtain some first-hand information about the functional consequences of a cosmetic tongue split operation for speech and tongue motility. One male patient who had performed the operation on himself was interviewed and underwent a tongue motility assessment, as well as an ultrasound examination. Tongue motility was mildly reduced as a result of tissue scarring. Speech was rated to be fully intelligible and highly acceptable by 4 raters, although 2 raters noticed slight distortions of the sibilants /s/ and /z/. The 3-dimensional ultrasound demonstrated that the synergy of the 2 sides of the tongue was preserved. A notably deep posterior genioglossus furrow indicated compensation for the reduced length of the tongue blade. It is concluded that the tongue split procedure did not significantly affect the participant's speech intelligibility and tongue motility.","author":[{"dropping-particle":"","family":"Mizutani","given":"Uichiro","non-dropping-particle":"","parse-names":false,"suffix":""}],"container-title":"MRS Bulletin","id":"ITEM-1","issued":{"date-parts":[["2012"]]},"title":"Hume-Rothery rules for structurally complex alloy phases","type":"article-journal"},"uris":["http://www.mendeley.com/documents/?uuid=be581dbe-1495-409f-9200-8448c78b6e4e","http://www.mendeley.com/documents/?uuid=ab373764-0c21-437e-b071-31f5a0b5f49b"]}],"mendeley":{"formattedCitation":"[34]","plainTextFormattedCitation":"[34]","previouslyFormattedCitation":"[34]"},"properties":{"noteIndex":0},"schema":"https://github.com/citation-style-language/schema/raw/master/csl-citation.json"}</w:instrText>
      </w:r>
      <w:r>
        <w:fldChar w:fldCharType="separate"/>
      </w:r>
      <w:r w:rsidRPr="003B39BC">
        <w:rPr>
          <w:noProof/>
        </w:rPr>
        <w:t>[34]</w:t>
      </w:r>
      <w:r>
        <w:fldChar w:fldCharType="end"/>
      </w:r>
      <w:r>
        <w:t xml:space="preserve">. The observed phase formation tendency with temperature directly relates to the electron concentration (known as the e/a ratio) in different elements as shown in </w:t>
      </w:r>
      <w:r>
        <w:rPr>
          <w:noProof/>
        </w:rPr>
        <w:t>Fig. 2-4</w:t>
      </w:r>
      <w:r>
        <w:t xml:space="preserve">. Although the definition and scale </w:t>
      </w:r>
      <w:r w:rsidRPr="003B6CA7">
        <w:rPr>
          <w:noProof/>
        </w:rPr>
        <w:t>are changed</w:t>
      </w:r>
      <w:r>
        <w:t xml:space="preserve">, the e/a ratio can </w:t>
      </w:r>
      <w:r w:rsidRPr="003B6CA7">
        <w:rPr>
          <w:noProof/>
        </w:rPr>
        <w:t>be regarded</w:t>
      </w:r>
      <w:r>
        <w:t xml:space="preserve"> as </w:t>
      </w:r>
      <w:r w:rsidRPr="00993DA1">
        <w:rPr>
          <w:noProof/>
        </w:rPr>
        <w:t>an appro</w:t>
      </w:r>
      <w:r>
        <w:rPr>
          <w:noProof/>
        </w:rPr>
        <w:t>xim</w:t>
      </w:r>
      <w:r w:rsidRPr="00993DA1">
        <w:rPr>
          <w:noProof/>
        </w:rPr>
        <w:t>ation</w:t>
      </w:r>
      <w:r>
        <w:t xml:space="preserve"> of the magnitude of </w:t>
      </w:r>
      <w:r w:rsidRPr="00634B67">
        <w:rPr>
          <w:i/>
        </w:rPr>
        <w:t>VEC</w:t>
      </w:r>
      <w:r>
        <w:t xml:space="preserve">. In the specific e/a ratio range, the lattice </w:t>
      </w:r>
      <w:r>
        <w:rPr>
          <w:noProof/>
        </w:rPr>
        <w:t>tends</w:t>
      </w:r>
      <w:r>
        <w:t xml:space="preserve"> to stabilise in </w:t>
      </w:r>
      <w:r w:rsidRPr="00993DA1">
        <w:rPr>
          <w:noProof/>
        </w:rPr>
        <w:t>different</w:t>
      </w:r>
      <w:r>
        <w:t xml:space="preserve"> structures so as to </w:t>
      </w:r>
      <w:r w:rsidRPr="00993DA1">
        <w:rPr>
          <w:noProof/>
        </w:rPr>
        <w:t>minimi</w:t>
      </w:r>
      <w:r>
        <w:rPr>
          <w:noProof/>
        </w:rPr>
        <w:t>s</w:t>
      </w:r>
      <w:r w:rsidRPr="00993DA1">
        <w:rPr>
          <w:noProof/>
        </w:rPr>
        <w:t>e</w:t>
      </w:r>
      <w:r>
        <w:t xml:space="preserve"> the total energy. To some extent, </w:t>
      </w:r>
      <w:r w:rsidRPr="00634B67">
        <w:rPr>
          <w:i/>
        </w:rPr>
        <w:t>VEC</w:t>
      </w:r>
      <w:r>
        <w:t xml:space="preserve"> can be used to describe the electronic structure of alloys, as compared with the e/a ratio. Moreover, according to the band theory, </w:t>
      </w:r>
      <w:r w:rsidRPr="00634B67">
        <w:rPr>
          <w:i/>
        </w:rPr>
        <w:t>VEC</w:t>
      </w:r>
      <w:r>
        <w:t xml:space="preserve"> </w:t>
      </w:r>
      <w:r w:rsidRPr="00993DA1">
        <w:rPr>
          <w:noProof/>
        </w:rPr>
        <w:t>include</w:t>
      </w:r>
      <w:r>
        <w:rPr>
          <w:noProof/>
        </w:rPr>
        <w:t>s</w:t>
      </w:r>
      <w:r>
        <w:t xml:space="preserve"> the electrons involved in the valence band, which is a </w:t>
      </w:r>
      <w:r w:rsidRPr="003B6CA7">
        <w:rPr>
          <w:noProof/>
        </w:rPr>
        <w:t>key</w:t>
      </w:r>
      <w:r>
        <w:t xml:space="preserve"> parameter to simulate the precise electronic structure by the </w:t>
      </w:r>
      <w:r w:rsidRPr="003B6CA7">
        <w:rPr>
          <w:noProof/>
        </w:rPr>
        <w:t>first</w:t>
      </w:r>
      <w:r>
        <w:t xml:space="preserve"> </w:t>
      </w:r>
      <w:r w:rsidRPr="00993DA1">
        <w:rPr>
          <w:noProof/>
        </w:rPr>
        <w:t>princip</w:t>
      </w:r>
      <w:r>
        <w:rPr>
          <w:noProof/>
        </w:rPr>
        <w:t>le</w:t>
      </w:r>
      <w:r>
        <w:t xml:space="preserve"> method. According to </w:t>
      </w:r>
      <w:r w:rsidRPr="00993DA1">
        <w:rPr>
          <w:noProof/>
        </w:rPr>
        <w:t>molecul</w:t>
      </w:r>
      <w:r>
        <w:rPr>
          <w:noProof/>
        </w:rPr>
        <w:t>ar</w:t>
      </w:r>
      <w:r>
        <w:t xml:space="preserve"> orbital theory and electronic band theory, when </w:t>
      </w:r>
      <w:r w:rsidRPr="003B6CA7">
        <w:rPr>
          <w:noProof/>
        </w:rPr>
        <w:t>atoms</w:t>
      </w:r>
      <w:r>
        <w:t xml:space="preserve"> form a crystal, the </w:t>
      </w:r>
      <w:r w:rsidRPr="00993DA1">
        <w:rPr>
          <w:noProof/>
        </w:rPr>
        <w:t>ioni</w:t>
      </w:r>
      <w:r>
        <w:rPr>
          <w:noProof/>
        </w:rPr>
        <w:t>s</w:t>
      </w:r>
      <w:r w:rsidRPr="00993DA1">
        <w:rPr>
          <w:noProof/>
        </w:rPr>
        <w:t>ed</w:t>
      </w:r>
      <w:r>
        <w:rPr>
          <w:noProof/>
        </w:rPr>
        <w:t>,</w:t>
      </w:r>
      <w:r>
        <w:t xml:space="preserve"> isolated valence electrons </w:t>
      </w:r>
      <w:r>
        <w:rPr>
          <w:noProof/>
        </w:rPr>
        <w:t>appear</w:t>
      </w:r>
      <w:r>
        <w:t xml:space="preserve"> to be shared by </w:t>
      </w:r>
      <w:r w:rsidRPr="00993DA1">
        <w:rPr>
          <w:noProof/>
        </w:rPr>
        <w:t>neighbo</w:t>
      </w:r>
      <w:r>
        <w:rPr>
          <w:noProof/>
        </w:rPr>
        <w:t>u</w:t>
      </w:r>
      <w:r w:rsidRPr="00993DA1">
        <w:rPr>
          <w:noProof/>
        </w:rPr>
        <w:t>ring</w:t>
      </w:r>
      <w:r>
        <w:t xml:space="preserve"> </w:t>
      </w:r>
      <w:r w:rsidRPr="003B6CA7">
        <w:rPr>
          <w:noProof/>
        </w:rPr>
        <w:t>atoms</w:t>
      </w:r>
      <w:r>
        <w:t xml:space="preserve"> and occupy discrete energy levels (0K). These are determined by solving the Sch</w:t>
      </w:r>
      <w:r w:rsidR="00C24D9B">
        <w:t>ro</w:t>
      </w:r>
      <w:r>
        <w:t>d</w:t>
      </w:r>
      <w:r w:rsidR="00C24D9B">
        <w:t>in</w:t>
      </w:r>
      <w:r>
        <w:t xml:space="preserve">ger equation under </w:t>
      </w:r>
      <w:r w:rsidRPr="003B6CA7">
        <w:rPr>
          <w:noProof/>
        </w:rPr>
        <w:t>certain</w:t>
      </w:r>
      <w:r>
        <w:t xml:space="preserve"> </w:t>
      </w:r>
      <w:r w:rsidRPr="00970863">
        <w:rPr>
          <w:rFonts w:hint="eastAsia"/>
        </w:rPr>
        <w:t>periodicity condition</w:t>
      </w:r>
      <w:r>
        <w:t xml:space="preserve">s. Depending on the coordination number, the magnitude of sharing valence electrons </w:t>
      </w:r>
      <w:r w:rsidRPr="003B6CA7">
        <w:rPr>
          <w:noProof/>
        </w:rPr>
        <w:t>directly</w:t>
      </w:r>
      <w:r>
        <w:t xml:space="preserve"> relates to the degree of bond </w:t>
      </w:r>
      <w:r w:rsidRPr="00993DA1">
        <w:rPr>
          <w:noProof/>
        </w:rPr>
        <w:t>delocali</w:t>
      </w:r>
      <w:r>
        <w:rPr>
          <w:noProof/>
        </w:rPr>
        <w:t>s</w:t>
      </w:r>
      <w:r w:rsidRPr="00993DA1">
        <w:rPr>
          <w:noProof/>
        </w:rPr>
        <w:t>ation</w:t>
      </w:r>
      <w:r>
        <w:t xml:space="preserve">. </w:t>
      </w:r>
    </w:p>
    <w:p w14:paraId="3BBDF51B" w14:textId="77777777" w:rsidR="00624970" w:rsidRDefault="00624970" w:rsidP="00624970">
      <w:pPr>
        <w:keepNext/>
        <w:spacing w:afterLines="60" w:after="144" w:line="360" w:lineRule="auto"/>
        <w:jc w:val="center"/>
      </w:pPr>
      <w:r>
        <w:rPr>
          <w:noProof/>
          <w:lang w:val="en-US" w:eastAsia="en-US"/>
        </w:rPr>
        <w:drawing>
          <wp:inline distT="0" distB="0" distL="0" distR="0" wp14:anchorId="385116DB" wp14:editId="19E6A2BB">
            <wp:extent cx="2494940" cy="2535758"/>
            <wp:effectExtent l="0" t="0" r="635" b="0"/>
            <wp:docPr id="5" name="图片 5" descr="图片包含 文字, 地图&#10;&#10;已生成极高可信度的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78759C.tmp"/>
                    <pic:cNvPicPr/>
                  </pic:nvPicPr>
                  <pic:blipFill>
                    <a:blip r:embed="rId17">
                      <a:biLevel thresh="75000"/>
                      <a:extLst>
                        <a:ext uri="{28A0092B-C50C-407E-A947-70E740481C1C}">
                          <a14:useLocalDpi xmlns:a14="http://schemas.microsoft.com/office/drawing/2010/main" val="0"/>
                        </a:ext>
                      </a:extLst>
                    </a:blip>
                    <a:stretch>
                      <a:fillRect/>
                    </a:stretch>
                  </pic:blipFill>
                  <pic:spPr>
                    <a:xfrm>
                      <a:off x="0" y="0"/>
                      <a:ext cx="2517981" cy="2559176"/>
                    </a:xfrm>
                    <a:prstGeom prst="rect">
                      <a:avLst/>
                    </a:prstGeom>
                  </pic:spPr>
                </pic:pic>
              </a:graphicData>
            </a:graphic>
          </wp:inline>
        </w:drawing>
      </w:r>
    </w:p>
    <w:p w14:paraId="0170EFF1" w14:textId="77777777" w:rsidR="00624970" w:rsidRPr="006C3E3D" w:rsidRDefault="00624970" w:rsidP="00624970">
      <w:pPr>
        <w:spacing w:afterLines="60" w:after="144" w:line="360" w:lineRule="auto"/>
        <w:rPr>
          <w:b/>
          <w:sz w:val="20"/>
        </w:rPr>
      </w:pPr>
      <w:bookmarkStart w:id="47" w:name="_Toc39312673"/>
      <w:bookmarkStart w:id="48" w:name="_Toc5617626"/>
      <w:bookmarkStart w:id="49" w:name="_Toc7364559"/>
      <w:r w:rsidRPr="00A03FC4">
        <w:rPr>
          <w:b/>
          <w:sz w:val="20"/>
        </w:rPr>
        <w:t>Figure</w:t>
      </w:r>
      <w:r>
        <w:rPr>
          <w:b/>
          <w:sz w:val="20"/>
        </w:rPr>
        <w:t xml:space="preserve"> 2-</w:t>
      </w:r>
      <w:r w:rsidRPr="008B6028">
        <w:rPr>
          <w:b/>
          <w:sz w:val="20"/>
        </w:rPr>
        <w:fldChar w:fldCharType="begin"/>
      </w:r>
      <w:r w:rsidRPr="008B6028">
        <w:rPr>
          <w:b/>
          <w:sz w:val="20"/>
        </w:rPr>
        <w:instrText xml:space="preserve"> SEQ Figure \* ARABIC </w:instrText>
      </w:r>
      <w:r w:rsidRPr="008B6028">
        <w:rPr>
          <w:b/>
          <w:sz w:val="20"/>
        </w:rPr>
        <w:fldChar w:fldCharType="separate"/>
      </w:r>
      <w:r>
        <w:rPr>
          <w:b/>
          <w:noProof/>
          <w:sz w:val="20"/>
        </w:rPr>
        <w:t>4</w:t>
      </w:r>
      <w:r w:rsidRPr="008B6028">
        <w:rPr>
          <w:b/>
          <w:sz w:val="20"/>
        </w:rPr>
        <w:fldChar w:fldCharType="end"/>
      </w:r>
      <w:r w:rsidRPr="00A03FC4">
        <w:rPr>
          <w:b/>
          <w:sz w:val="20"/>
        </w:rPr>
        <w:t xml:space="preserve"> Biplot</w:t>
      </w:r>
      <w:r w:rsidRPr="00993DA1">
        <w:rPr>
          <w:b/>
          <w:noProof/>
          <w:sz w:val="20"/>
        </w:rPr>
        <w:t xml:space="preserve"> of</w:t>
      </w:r>
      <w:r w:rsidRPr="00A03FC4">
        <w:rPr>
          <w:b/>
          <w:sz w:val="20"/>
        </w:rPr>
        <w:t xml:space="preserve"> temperature against the electron concentration</w:t>
      </w:r>
      <w:r>
        <w:rPr>
          <w:b/>
          <w:sz w:val="20"/>
        </w:rPr>
        <w:t xml:space="preserve"> and </w:t>
      </w:r>
      <w:r w:rsidRPr="00A03FC4">
        <w:rPr>
          <w:b/>
          <w:sz w:val="20"/>
        </w:rPr>
        <w:t xml:space="preserve">phase formation tendency of various </w:t>
      </w:r>
      <w:r>
        <w:rPr>
          <w:b/>
          <w:sz w:val="20"/>
        </w:rPr>
        <w:t xml:space="preserve">alloys </w:t>
      </w:r>
      <w:r w:rsidRPr="00A03FC4">
        <w:rPr>
          <w:b/>
          <w:sz w:val="20"/>
        </w:rPr>
        <w:t xml:space="preserve">showing </w:t>
      </w:r>
      <w:r>
        <w:rPr>
          <w:b/>
          <w:noProof/>
          <w:sz w:val="20"/>
        </w:rPr>
        <w:t>apparent</w:t>
      </w:r>
      <w:r w:rsidRPr="00A03FC4">
        <w:rPr>
          <w:b/>
          <w:sz w:val="20"/>
        </w:rPr>
        <w:t xml:space="preserve"> dependen</w:t>
      </w:r>
      <w:r>
        <w:rPr>
          <w:b/>
          <w:sz w:val="20"/>
        </w:rPr>
        <w:t>ce</w:t>
      </w:r>
      <w:r w:rsidRPr="00A03FC4">
        <w:rPr>
          <w:b/>
          <w:sz w:val="20"/>
        </w:rPr>
        <w:t xml:space="preserve"> </w:t>
      </w:r>
      <w:r>
        <w:rPr>
          <w:b/>
          <w:sz w:val="20"/>
        </w:rPr>
        <w:t>on</w:t>
      </w:r>
      <w:r w:rsidRPr="00A03FC4">
        <w:rPr>
          <w:b/>
          <w:sz w:val="20"/>
        </w:rPr>
        <w:t xml:space="preserve"> e/a</w:t>
      </w:r>
      <w:r>
        <w:rPr>
          <w:b/>
          <w:sz w:val="20"/>
        </w:rPr>
        <w:t xml:space="preserve">. </w:t>
      </w:r>
      <w:r w:rsidRPr="00A03FC4">
        <w:rPr>
          <w:b/>
          <w:sz w:val="20"/>
        </w:rPr>
        <w:fldChar w:fldCharType="begin" w:fldLock="1"/>
      </w:r>
      <w:r>
        <w:rPr>
          <w:b/>
          <w:sz w:val="20"/>
        </w:rPr>
        <w:instrText>ADDIN CSL_CITATION {"citationItems":[{"id":"ITEM-1","itemData":{"DOI":"10.1557/mrs.2012.45","ISBN":"9780874216561","ISSN":"0883-7694","PMID":"15003161","abstract":"The objective of this case study was to obtain some first-hand information about the functional consequences of a cosmetic tongue split operation for speech and tongue motility. One male patient who had performed the operation on himself was interviewed and underwent a tongue motility assessment, as well as an ultrasound examination. Tongue motility was mildly reduced as a result of tissue scarring. Speech was rated to be fully intelligible and highly acceptable by 4 raters, although 2 raters noticed slight distortions of the sibilants /s/ and /z/. The 3-dimensional ultrasound demonstrated that the synergy of the 2 sides of the tongue was preserved. A notably deep posterior genioglossus furrow indicated compensation for the reduced length of the tongue blade. It is concluded that the tongue split procedure did not significantly affect the participant's speech intelligibility and tongue motility.","author":[{"dropping-particle":"","family":"Mizutani","given":"Uichiro","non-dropping-particle":"","parse-names":false,"suffix":""}],"container-title":"MRS Bulletin","id":"ITEM-1","issued":{"date-parts":[["2012"]]},"title":"Hume-Rothery rules for structurally complex alloy phases","type":"article-journal"},"uris":["http://www.mendeley.com/documents/?uuid=be581dbe-1495-409f-9200-8448c78b6e4e","http://www.mendeley.com/documents/?uuid=ab373764-0c21-437e-b071-31f5a0b5f49b"]}],"mendeley":{"formattedCitation":"[34]","plainTextFormattedCitation":"[34]","previouslyFormattedCitation":"[34]"},"properties":{"noteIndex":0},"schema":"https://github.com/citation-style-language/schema/raw/master/csl-citation.json"}</w:instrText>
      </w:r>
      <w:r w:rsidRPr="00A03FC4">
        <w:rPr>
          <w:b/>
          <w:sz w:val="20"/>
        </w:rPr>
        <w:fldChar w:fldCharType="separate"/>
      </w:r>
      <w:bookmarkEnd w:id="48"/>
      <w:bookmarkEnd w:id="49"/>
      <w:r w:rsidRPr="003B39BC">
        <w:rPr>
          <w:noProof/>
          <w:sz w:val="20"/>
        </w:rPr>
        <w:t>[34]</w:t>
      </w:r>
      <w:bookmarkEnd w:id="47"/>
      <w:r w:rsidRPr="00A03FC4">
        <w:rPr>
          <w:b/>
          <w:sz w:val="20"/>
        </w:rPr>
        <w:fldChar w:fldCharType="end"/>
      </w:r>
    </w:p>
    <w:p w14:paraId="64B1AFF0" w14:textId="7E98F172" w:rsidR="00624970" w:rsidRDefault="00624970" w:rsidP="00624970">
      <w:pPr>
        <w:spacing w:afterLines="60" w:after="144" w:line="360" w:lineRule="auto"/>
        <w:jc w:val="both"/>
      </w:pPr>
      <w:r>
        <w:t xml:space="preserve">Therefore, the </w:t>
      </w:r>
      <w:r w:rsidRPr="006B2891">
        <w:rPr>
          <w:i/>
        </w:rPr>
        <w:t>VEC</w:t>
      </w:r>
      <w:r>
        <w:t xml:space="preserve"> number can be considered to predict the stable lattice structure from the approximate energy state. While in different lattice structures the periodicity condition is different, leading to a </w:t>
      </w:r>
      <w:r w:rsidRPr="008C71F2">
        <w:rPr>
          <w:noProof/>
        </w:rPr>
        <w:t>difference</w:t>
      </w:r>
      <w:r>
        <w:t xml:space="preserve"> in the solution of energy states for </w:t>
      </w:r>
      <w:r w:rsidRPr="003B6CA7">
        <w:rPr>
          <w:noProof/>
        </w:rPr>
        <w:t>valence</w:t>
      </w:r>
      <w:r>
        <w:t xml:space="preserve"> electrons. Thus, by comparing phase stability, the phase formation tendency can be derived</w:t>
      </w:r>
      <w:r>
        <w:fldChar w:fldCharType="begin" w:fldLock="1"/>
      </w:r>
      <w:r>
        <w:instrText>ADDIN CSL_CITATION {"citationItems":[{"id":"ITEM-1","itemData":{"DOI":"10.1016/j.jallcom.2014.09.145","ISBN":"0925-8388","ISSN":"09258388","abstract":"High entropy alloys, i.e. solid solution phases, are sought in the X-NbTaTiZr equiatomic system where the X element was chosen as Al, Cr, V and Sn by applying recent criteria based on size and electronegativity mismatch of alloy components, number of itinerant and total valence electrons, and the temperature at which the free energy of mixing changes at the alloy composition. The alloys containing V and Al are mostly constituted by solid solutions in good agreement with prediction.","author":[{"dropping-particle":"","family":"Poletti","given":"Marco Gabriele","non-dropping-particle":"","parse-names":false,"suffix":""},{"dropping-particle":"","family":"Fiore","given":"Gianluca","non-dropping-particle":"","parse-names":false,"suffix":""},{"dropping-particle":"","family":"Szost","given":"Blanka A.","non-dropping-particle":"","parse-names":false,"suffix":""},{"dropping-particle":"","family":"Battezzati","given":"Livio","non-dropping-particle":"","parse-names":false,"suffix":""}],"container-title":"Journal of Alloys and Compounds","id":"ITEM-1","issued":{"date-parts":[["2015"]]},"title":"Search for high entropy alloys in the X-NbTaTiZr systems (X = Al, Cr, V, Sn)","type":"article-journal"},"uris":["http://www.mendeley.com/documents/?uuid=bb5d7938-9567-46a7-9440-cfab8656e56e","http://www.mendeley.com/documents/?uuid=d0841aab-78b9-4e0c-ad62-b638bbfce888"]}],"mendeley":{"formattedCitation":"[42]","plainTextFormattedCitation":"[42]","previouslyFormattedCitation":"[42]"},"properties":{"noteIndex":0},"schema":"https://github.com/citation-style-language/schema/raw/master/csl-citation.json"}</w:instrText>
      </w:r>
      <w:r>
        <w:fldChar w:fldCharType="separate"/>
      </w:r>
      <w:r w:rsidRPr="003B39BC">
        <w:rPr>
          <w:noProof/>
        </w:rPr>
        <w:t>[42]</w:t>
      </w:r>
      <w:r>
        <w:fldChar w:fldCharType="end"/>
      </w:r>
      <w:r w:rsidRPr="04806F1F">
        <w:t xml:space="preserve">. </w:t>
      </w:r>
      <w:r w:rsidRPr="00993DA1">
        <w:rPr>
          <w:noProof/>
        </w:rPr>
        <w:t>Reali</w:t>
      </w:r>
      <w:r>
        <w:rPr>
          <w:noProof/>
        </w:rPr>
        <w:t>s</w:t>
      </w:r>
      <w:r w:rsidRPr="00993DA1">
        <w:rPr>
          <w:noProof/>
        </w:rPr>
        <w:t>ing</w:t>
      </w:r>
      <w:r>
        <w:t xml:space="preserve"> the relationship of </w:t>
      </w:r>
      <w:r w:rsidRPr="006B2891">
        <w:rPr>
          <w:i/>
        </w:rPr>
        <w:t>VEC</w:t>
      </w:r>
      <w:r>
        <w:t xml:space="preserve"> with phase stability, previous research has produced </w:t>
      </w:r>
      <w:r w:rsidRPr="00993DA1">
        <w:rPr>
          <w:noProof/>
        </w:rPr>
        <w:t>vari</w:t>
      </w:r>
      <w:r>
        <w:rPr>
          <w:noProof/>
        </w:rPr>
        <w:t>ous</w:t>
      </w:r>
      <w:r>
        <w:t xml:space="preserve"> experiments and theoretical simulations based on density functional theory (DFT), in order to aid the explanation of phase formation tendency dependent on </w:t>
      </w:r>
      <w:r w:rsidRPr="006B2891">
        <w:rPr>
          <w:i/>
        </w:rPr>
        <w:t>VEC</w:t>
      </w:r>
      <w:r>
        <w:t xml:space="preserve"> </w:t>
      </w:r>
      <w:r>
        <w:lastRenderedPageBreak/>
        <w:t>in certain alloy systems</w:t>
      </w:r>
      <w:r>
        <w:fldChar w:fldCharType="begin" w:fldLock="1"/>
      </w:r>
      <w:r>
        <w:instrText xml:space="preserve">ADDIN CSL_CITATION {"citationItems":[{"id":"ITEM-1","itemData":{"DOI":"10.1098/rspa.1997.0080","ISBN":"1364-5021","ISSN":"13645021","abstract":"The stability of Hume-Rothery's electron phases is studied using modern bandstructure techniques. For these alloys, empirical evidence has shown a strong correlation between the number of valence electrons per atom and the adopted crystal structure. The generally accepted explanation traces the phenomenon to prominent structure in the electron density of states which arises when the free-electron Fermi sphere encounters the Bragg planes at the surface of the Brillouin zone. By applying a rigid band model on the basis of density functional theory to the archetypal system Cu-Zn, we obtain accurate density-of-states functions which are used to critically evaluate the popular models due to Mott and Jones. We also are able to account for the stability of the gamma-phase.","author":[{"dropping-particle":"","family":"Paxton","given":"A. T.","non-dropping-particle":"","parse-names":false,"suffix":""},{"dropping-particle":"","family":"Methfessel","given":"M.","non-dropping-particle":"","parse-names":false,"suffix":""},{"dropping-particle":"","family":"Pettifor","given":"D. G.","non-dropping-particle":"","parse-names":false,"suffix":""}],"container-title":"Proceedings of the Royal Society A: Mathematical, Physical and Engineering Sciences","id":"ITEM-1","issued":{"date-parts":[["1997"]]},"title":"A bandstructure view of the Hume-Rothery electron phases","type":"article-journal"},"uris":["http://www.mendeley.com/documents/?uuid=0b4ba31b-4b22-48f2-b78f-60cdf8533cb4","http://www.mendeley.com/documents/?uuid=360fc5c1-41be-4ae8-ba2a-0c310c7984ec"]},{"id":"ITEM-2","itemData":{"DOI":"10.1088/0022-3719/3/2/018","ISSN":"00223719","abstract":"The structure trend that is observed across the transition metal series as the number of valence electrons N increases 3 to 11 is explained quantitatively. The difference in the total one-electron band structure energy between the close-packed structures face-centred cubic and hexagonal close-packed is shown to determine completely which structure is favoured, whereas an additional hard-core repulsive contribution is necessary when comparing the body-centred cubic and close-packed structures at the noble metal end of the series. The calculations were performed assuming a model transition metal characterized by only the two d-resonance parameters epsilon d and Gamma , from which the densities of states for the three structures were obtained using energy levels calculated by the hybrid nearly- free-electron tight-binding scheme of Pettifor.","author":[{"dropping-particle":"","family":"Pettifor","given":"D. G.","non-dropping-particle":"","parse-names":false,"suffix":""}],"container-title":"Journal of Physics C: Solid State Physics","id":"ITEM-2","issued":{"date-parts":[["1970"]]},"title":"Theory of the crystal structures of transition metals","type":"article-journal"},"uris":["http://www.mendeley.com/documents/?uuid=d12049ab-72ef-49ee-87de-b8dd0ea5a494","http://www.mendeley.com/documents/?uuid=1149ed65-8b3a-4b27-a2f7-c9919351aa59"]},{"id":"ITEM-3","itemData":{"DOI":"10.1016/S0966-9795(99)00040-0","ISBN":"0966-9795","ISSN":"09669795","abstract":"Binding energy curves for the 4d transition metal TM aluminides TMAl with respect to 12 different AB-structure types have been computed using the full-potential linear muffin-tin orbitals (FP-LMTO) method within local-density-functional approximation (LDA). Combining with our previous calculations for the 3d TMAl, we find that the observed ground state structures are predicted correctly for all the AB transition metal aluminides including the low-temperature monoclinic C2/m phase of CuAl. Moreover, the B32 phase is predicted to be the most stable amongst competing metastable phases for CrAl, MoAl, TcAl, whereas for VAl and NbAl the most stable phases are L10and Ω, respectively. The calculated heats for formation are in good agreement with available experimental data. The critical roles played by the average </w:instrText>
      </w:r>
      <w:r>
        <w:rPr>
          <w:rFonts w:hint="eastAsia"/>
        </w:rPr>
        <w:instrText xml:space="preserve">number of valence electrons per atom and the angular character of the valence orbitals are emphasized in explaining the structural phase stability across the TMAl series. In particular, it is shown that the structural trend going from B2 (bcc-like) </w:instrText>
      </w:r>
      <w:r>
        <w:rPr>
          <w:rFonts w:hint="eastAsia"/>
        </w:rPr>
        <w:instrText>→</w:instrText>
      </w:r>
      <w:r>
        <w:rPr>
          <w:rFonts w:hint="eastAsia"/>
        </w:rPr>
        <w:instrText xml:space="preserve"> L10(fcc-like) </w:instrText>
      </w:r>
      <w:r>
        <w:rPr>
          <w:rFonts w:hint="eastAsia"/>
        </w:rPr>
        <w:instrText>→</w:instrText>
      </w:r>
      <w:r>
        <w:rPr>
          <w:rFonts w:hint="eastAsia"/>
        </w:rPr>
        <w:instrText xml:space="preserve"> B19 (hcp-like) </w:instrText>
      </w:r>
      <w:r>
        <w:rPr>
          <w:rFonts w:hint="eastAsia"/>
        </w:rPr>
        <w:instrText>→</w:instrText>
      </w:r>
      <w:r>
        <w:rPr>
          <w:rFonts w:hint="eastAsia"/>
        </w:rPr>
        <w:instrText xml:space="preserve"> B2 as a function of electron concentration, can be understood from a band structure energy analysis. The calculated electronic structure for all the stable phases of both the 3d and 4d TMAl demonstrates a correlation between s</w:instrText>
      </w:r>
      <w:r>
        <w:instrText>tructural stability and the shape of the density of states due to the strong directional bonding between the sp(Al) and d(TM) orbitals. Finally, the elastic moduli have been computed for all observed ground states of TMAl with new results for ScAl and RhAl (in the B2 structure), YAl and ZrAl (in the B33 structure) and for PdAl (in the B20 structure).","author":[{"dropping-particle":"","family":"Nguyen-Manh","given":"D.","non-dropping-particle":"","parse-names":false,"suffix":""},{"dropping-particle":"","family":"Pettifor","given":"D. G.","non-dropping-particle":"","parse-names":false,"suffix":""}],"container-title":"Intermetallics","id":"ITEM-3","issued":{"date-parts":[["1999"]]},"title":"Electronic structure, phase stability and elastic moduli of AB transition metal aluminides","type":"article-journal"},"uris":["http://www.mendeley.com/documents/?uuid=e8bf4acf-79c3-46ae-82e5-9c340a6f7906","http://www.mendeley.com/documents/?uuid=96ffb59c-bcc5-4d9c-b4cf-f4db0e516acc"]}],"mendeley":{"formattedCitation":"[43–45]","plainTextFormattedCitation":"[43–45]","previouslyFormattedCitation":"[43–45]"},"properties":{"noteIndex":0},"schema":"https://github.com/citation-style-language/schema/raw/master/csl-citation.json"}</w:instrText>
      </w:r>
      <w:r>
        <w:fldChar w:fldCharType="separate"/>
      </w:r>
      <w:r w:rsidRPr="003B39BC">
        <w:rPr>
          <w:noProof/>
        </w:rPr>
        <w:t>[43–45]</w:t>
      </w:r>
      <w:r>
        <w:fldChar w:fldCharType="end"/>
      </w:r>
      <w:r>
        <w:t xml:space="preserve">. Successful examples have </w:t>
      </w:r>
      <w:r w:rsidRPr="00993DA1">
        <w:rPr>
          <w:noProof/>
        </w:rPr>
        <w:t>include</w:t>
      </w:r>
      <w:r>
        <w:rPr>
          <w:noProof/>
        </w:rPr>
        <w:t>d</w:t>
      </w:r>
      <w:r>
        <w:t xml:space="preserve"> the martensite phase transformation tendency in </w:t>
      </w:r>
      <w:r w:rsidRPr="006B2891">
        <w:t xml:space="preserve">α </w:t>
      </w:r>
      <w:r w:rsidRPr="04806F1F">
        <w:t>(</w:t>
      </w:r>
      <w:r>
        <w:t>HCP</w:t>
      </w:r>
      <w:r w:rsidRPr="04806F1F">
        <w:t>)-</w:t>
      </w:r>
      <w:r w:rsidRPr="006B2891">
        <w:t xml:space="preserve">β </w:t>
      </w:r>
      <w:r w:rsidRPr="04806F1F">
        <w:t>(</w:t>
      </w:r>
      <w:r>
        <w:t>BCC</w:t>
      </w:r>
      <w:r w:rsidRPr="04806F1F">
        <w:t xml:space="preserve">) </w:t>
      </w:r>
      <w:r>
        <w:t>Ti alloy</w:t>
      </w:r>
      <w:r>
        <w:fldChar w:fldCharType="begin" w:fldLock="1"/>
      </w:r>
      <w:r>
        <w:instrText>ADDIN CSL_CITATION {"citationItems":[{"id":"ITEM-1","itemData":{"DOI":"10.1016/j.scriptamat.2012.03.020","ISBN":"1359-6462","ISSN":"13596462","abstract":"Six kinds of alloys in Ti-Nb-Zr alloy system were designed using d electrons alloy theory, and the re</w:instrText>
      </w:r>
      <w:r>
        <w:rPr>
          <w:rFonts w:hint="eastAsia"/>
        </w:rPr>
        <w:instrText>lations between their Young</w:instrText>
      </w:r>
      <w:r>
        <w:rPr>
          <w:rFonts w:hint="eastAsia"/>
        </w:rPr>
        <w:instrText>′</w:instrText>
      </w:r>
      <w:r>
        <w:rPr>
          <w:rFonts w:hint="eastAsia"/>
        </w:rPr>
        <w:instrText>s modulus and electron parameters were investigated. The results show that the Young</w:instrText>
      </w:r>
      <w:r>
        <w:rPr>
          <w:rFonts w:hint="eastAsia"/>
        </w:rPr>
        <w:instrText>′</w:instrText>
      </w:r>
      <w:r>
        <w:rPr>
          <w:rFonts w:hint="eastAsia"/>
        </w:rPr>
        <w:instrText>s moduli of the designed alloys are low, with a minimum of 38.8 GPa. A formula was proposed to represent the interatomic bonding force of these alloys, which showed good agreement with the Young</w:instrText>
      </w:r>
      <w:r>
        <w:rPr>
          <w:rFonts w:hint="eastAsia"/>
        </w:rPr>
        <w:instrText>′</w:instrText>
      </w:r>
      <w:r>
        <w:rPr>
          <w:rFonts w:hint="eastAsia"/>
        </w:rPr>
        <w:instrText>s modulus. Low Young</w:instrText>
      </w:r>
      <w:r>
        <w:rPr>
          <w:rFonts w:hint="eastAsia"/>
        </w:rPr>
        <w:instrText>′</w:instrText>
      </w:r>
      <w:r>
        <w:rPr>
          <w:rFonts w:hint="eastAsia"/>
        </w:rPr>
        <w:instrText xml:space="preserve">s modulus </w:instrText>
      </w:r>
      <w:r>
        <w:rPr>
          <w:rFonts w:hint="eastAsia"/>
        </w:rPr>
        <w:instrText>β</w:instrText>
      </w:r>
      <w:r>
        <w:rPr>
          <w:rFonts w:hint="eastAsia"/>
        </w:rPr>
        <w:instrText>-Ti alloys can be designed by evaluating their interatomic bonding force. © 2012 Published by Elsevier Ltd. on behalf of Acta Materialia Inc. All rights reserved.","autho</w:instrText>
      </w:r>
      <w:r>
        <w:instrText>r":[{"dropping-particle":"","family":"You","given":"Li","non-dropping-particle":"","parse-names":false,"suffix":""},{"dropping-particle":"","family":"Song","given":"Xiping","non-dropping-particle":"","parse-names":false,"suffix":""}],"container-title":"Sc</w:instrText>
      </w:r>
      <w:r>
        <w:rPr>
          <w:rFonts w:hint="eastAsia"/>
        </w:rPr>
        <w:instrText>ripta Materialia","id":"ITEM-1","issued":{"date-parts":[["2012"]]},"title":"A study of low Young</w:instrText>
      </w:r>
      <w:r>
        <w:rPr>
          <w:rFonts w:hint="eastAsia"/>
        </w:rPr>
        <w:instrText>′</w:instrText>
      </w:r>
      <w:r>
        <w:rPr>
          <w:rFonts w:hint="eastAsia"/>
        </w:rPr>
        <w:instrText>s modulus Ti-Nb-Zr alloys using d electrons alloy theory","type":"article-journal"},"uris":["http://www.mendeley.com/documents/?uuid=f25ba095-4edc-4096-8a69-b</w:instrText>
      </w:r>
      <w:r>
        <w:instrText>33a68179a1a","http://www.mendeley.com/documents/?uuid=0d8e05af-9336-43ce-8255-a97d55c25381"]},{"id":"ITEM-2","itemData":{"DOI":"10.1016/j.matlet.2012.01.145","ISBN":"0167-577X","ISSN":"0167577X","abstract":"The Young's moduli of Ti-Nb-Zr alloy system with the nominal compositions of Ti24Nb, Ti20Nb12Zr, Ti17Nb21Zr, Ti11Nb38Zr, Ti6Nb53Zr and Ti70Zr were investigated by using first principles calculations and experimental measurements. The results show that, as the valence electron concentration of these alloys decreases, the calculated Young's modulus steadily decrease, but the experimental Young's modulus first decreases and then increases. This increase is attributed to the β phase stability of these alloys, which can be estimated by the modified Born sta</w:instrText>
      </w:r>
      <w:r>
        <w:rPr>
          <w:rFonts w:hint="eastAsia"/>
        </w:rPr>
        <w:instrText xml:space="preserve">bility criteria. From these results guidelines are provided for the development of low Young's modulus </w:instrText>
      </w:r>
      <w:r>
        <w:rPr>
          <w:rFonts w:hint="eastAsia"/>
        </w:rPr>
        <w:instrText>β</w:instrText>
      </w:r>
      <w:r>
        <w:rPr>
          <w:rFonts w:hint="eastAsia"/>
        </w:rPr>
        <w:instrText>-phase Ti alloys: the tetragonal shear constant C</w:instrText>
      </w:r>
      <w:r>
        <w:rPr>
          <w:rFonts w:hint="eastAsia"/>
        </w:rPr>
        <w:instrText>′</w:instrText>
      </w:r>
      <w:r>
        <w:rPr>
          <w:rFonts w:hint="eastAsia"/>
        </w:rPr>
        <w:instrText xml:space="preserve"> should be around 2.44 GPa and the valence electron concentration should be in the range of 4.06-4.17</w:instrText>
      </w:r>
      <w:r>
        <w:instrText>. © 2012 Elsevier B.V. All rights reserved.","author":[{"dropping-particle":"","family":"You","given":"Li","non-dropping-particle":"","parse-names":false,"suffix":""},{"dropping-particle":"","family":"Song","given":"Xiping","non-dropping-particle":"","parse-names":false,"suffix":""}],"container-title":"Materials Letters","id":"ITEM-2","issued":{"date-parts":[["2012"]]},"title":"First principles study of low Young's modulus Ti-Nb-Zr alloy system","type":"article-journal"},"uris":["http://www.mendeley.com/documents/?uuid=c58b0f39-1903-4129-967a-6749a7fcee4b","http://www.mendeley.com/documents/?uuid=9855e8ad-9806-4585-b4ae-18c795a406af"]},{"id":"ITEM-3","itemData":{"DOI":"10.1016/S1003-6326(07)60287-8","ISBN":"10036326","ISSN":"10036326","abstract":"The energetic, electronic structure and elastic property of β-type Ti1-xXx, (X=Nb and Mo, x = 0.041 7, 0.062 5, 0.125 0, 0.187 5, 0.250 0, 0.312 5 and 0.375) binary alloys were calculated by the method of supercell and augmented plane waves plus local orbitals within generalized gradient approximation. The elastic moduli of the polycrystals for these Ti1-xXx alloys were calculated from the elastic constants of the single crystal by the Voigt-Reuss-Hill averaging method. Based on the calculated results, the influence of X content on the phase stability and elastic property of β-type Ti1-xXx alloys was investigated. The results show that the phase stability, tetragonal shear constant C', bulk modulus, elastic modulus and shear modulus of β-type Ti1-xXx alloys increase with an increase of X content monotonously. When the valence electron number of β-type Ti1-xXx alloys is around 4.10, i.e. the content of Nb is 9.87% (molar fraction) in the Ti-Nb alloy and Mo is 4.77% (molar fraction) in Ti-Mo alloy, the tetragonal shear constant is nearly zero. The Ti1-xXx, alloys achieve low phase stability and low elastic modulus when the tetragonal shear constant reaches nearly zero. In addition, the phase stability of β-type Ti1-xXx alloys was discussed together with the calculated electronic structure. © 2007 The Nonferrous Metals Society of China.","author":[{"dropping-particle":"","family":"YAO","given":"Qiang","non-dropping-particle":"","parse-names":false,"suffix":""},{"dropping-particle":"","family":"SUN","given":"Jian","non-dropping-particle":"","parse-names":false,"suffix":""},{"dropping-particle":"","family":"XING","given":"Hui","non-dropping-particle":"","parse-names":false,"suffix":""},{"dropping-particle":"","family":"GUO","given":"Wen yuan","non-dropping-particle":"","parse-names":false,"suffix":""}],"container-title":"Transactions of Nonferrous Metals Society of China (English Edition)","id":"ITEM-3","issued":{"date-parts":[["2007"]]},"title":"Influence of Nb and Mo contents on phase stability and elastic property of β-type Ti-X alloys","type":"article-journal"},"uris":["http://www.mendeley.com/documents/?uuid=a668f779-d396-4920-8b4c-b05121ae0d01","http://www.mendeley.com/documents/?uuid=d7b87b1e-30ea-40bd-ae40-562f51ab7a95"]},{"id":"ITEM-4","itemData":{"DOI":"10.1016/j.scriptamat.2016.08.008","ISBN":"8629884606","ISSN":"13596462","abstract":"CoCrFeNi alloy is an exemplary stable base for high entropy alloys (HEAs), but its phase stability is still suspicious. Here, the CoCrFeNi HEA was firstly identified to be thermally metastable at 750 °C. Composition decomposition occurred after annealed at 750 °C for 800 h. The minor addition of Al accelerated the composition decomposition and a second fcc phase with a different lattice constant occurred in the long time annealed CoCrFeNiAl0.1HEA. The CoCrFeNi HEA cannot be seen as stable alloys anymore and researchers should be very careful when using the current phase selection models to predict stability of HEAs at intermediate temperatures.","author":[{"dropping-particle":"","family":"He","given":"Feng","non-dropping-particle":"","parse-names":false,"suffix":""},{"dropping-particle":"","family":"Wang","given":"Zhijun","non-dropping-particle":"","parse-names":false,"suffix":""},{"dropping-particle":"","family":"Wu","given":"Qingfeng","non-dropping-particle":"","parse-names":false,"suffix":""},{"dropping-particle":"","family":"Li","given":"Junjie","non-dropping-particle":"","parse-names":false,"suffix":""},{"dropping-particle":"","family":"Wang","given":"Jincheng","non-dropping-particle":"","parse-names":false,"suffix":""},{"dropping-particle":"","family":"Liu","given":"C. T.","non-dropping-particle":"","parse-names":false,"suffix":""}],"container-title":"Scripta Materialia","id":"ITEM-4","issued":{"date-parts":[["2017"]]},"title":"Phase separation of metastable CoCrFeNi high entropy alloy at intermediate temperatures","type":"article-journal"},"uris":["http://www.mendeley.com/documents/?uuid=95bc5437-20fa-42f9-817d-f0d5139da04c"]}],"mendeley":{"formattedCitation":"[21,46–48]","plainTextFormattedCitation":"[21,46–48]","previouslyFormattedCitation":"[21,46–48]"},"properties":{"noteIndex":0},"schema":"https://github.com/citation-style-language/schema/raw/master/csl-citation.json"}</w:instrText>
      </w:r>
      <w:r>
        <w:fldChar w:fldCharType="separate"/>
      </w:r>
      <w:r w:rsidRPr="003B39BC">
        <w:rPr>
          <w:noProof/>
        </w:rPr>
        <w:t>[21,46–48]</w:t>
      </w:r>
      <w:r>
        <w:fldChar w:fldCharType="end"/>
      </w:r>
      <w:r>
        <w:t>, as well as the phase transition in NiMnGa shape memory alloys</w:t>
      </w:r>
      <w:r>
        <w:fldChar w:fldCharType="begin" w:fldLock="1"/>
      </w:r>
      <w:r>
        <w:instrText>ADDIN CSL_CITATION {"citationItems":[{"id":"ITEM-1","itemData":{"DOI":"10.1007/s10948-012-1849-x","ISBN":"958334721-3","ISSN":"15571947","abstract":"The phase transition, Curie temperature and mag-netic properties of NiMnGa alloys represented by S1, S2, S3, and S4 in different atomic percentage were investigated from TG/DTA and PPMS measurements. It was found that the electron concentration (e/a) ratio of S1 and S4 as well as S2 and S3 are equal to each other. The transformation temperatures and magnetization values are similar for these alloys having the same e/a. Results show that room temper-ature magnetization depends on valence electron concentra-tion of alloys and saturation of alloys increases with the de-crease of e/a ratio. The measured coercivity values for all alloys were above 125 Oe and they had a long saturation field, i.e., above 10000 Oe, by exhibiting, the characteristics of hard magnetic materials.","author":[{"dropping-particle":"","family":"Kök","given":"Mediha","non-dropping-particle":"","parse-names":false,"suffix":""},{"dropping-particle":"","family":"Aydoǧdu","given":"Yıldırım","non-dropping-particle":"","parse-names":false,"suffix":""}],"container-title":"Journal of Superconductivity and Novel Magnetism","id":"ITEM-1","issued":{"date-parts":[["2013"]]},"title":"Electron concentration dependence of phase transition and magnetic properties in NiMnGa alloys","type":"article-journal"},"uris":["http://www.mendeley.com/documents/?uuid=2aa51a10-88f2-4440-8203-b08d95e0efb2","http://www.mendeley.com/documents/?uuid=b0a9ec9a-7543-40a8-b80b-ddd6e11587af"]}],"mendeley":{"formattedCitation":"[49]","plainTextFormattedCitation":"[49]","previouslyFormattedCitation":"[49]"},"properties":{"noteIndex":0},"schema":"https://github.com/citation-style-language/schema/raw/master/csl-citation.json"}</w:instrText>
      </w:r>
      <w:r>
        <w:fldChar w:fldCharType="separate"/>
      </w:r>
      <w:r w:rsidRPr="003B39BC">
        <w:rPr>
          <w:noProof/>
        </w:rPr>
        <w:t>[49]</w:t>
      </w:r>
      <w:r>
        <w:fldChar w:fldCharType="end"/>
      </w:r>
      <w:r w:rsidRPr="04806F1F">
        <w:t xml:space="preserve">. </w:t>
      </w:r>
      <w:r w:rsidRPr="2439E998">
        <w:t>E</w:t>
      </w:r>
      <w:r>
        <w:t xml:space="preserve">arly works </w:t>
      </w:r>
      <w:r>
        <w:fldChar w:fldCharType="begin" w:fldLock="1"/>
      </w:r>
      <w:r>
        <w:instrText>ADDIN CSL_CITATION {"citationItems":[{"id":"ITEM-1","itemData":{"DOI":"10.1016/S1002-0071(12)60080-X","ISBN":"1002-0071","ISSN":"10020071","PMID":"26830651","abstract":"The alloy design for equiatomic multi-component alloys was rationalized by statistically analyzing the atomic size difference, mixing enthalpy, mixing entropy, electronegativity, valence electron concentration among constituent elements in solid solutions forming high entropy alloys and amorphous alloys. Solid solution phases form and only form when the requirements of the atomic size difference, mixing enthalpy and mixing entropy are all met. The most significant difference between the solid solution forming high entropy alloys and bulk metallic glasses lies in the atomic size difference. These rules provide valuable guidance for the future development of high entropy alloys and bulk metallic glasses.","author":[{"dropping-particle":"","family":"Guo","given":"Sheng","non-dropping-particle":"","parse-names":false,"suffix":""},{"dropping-particle":"","family":"Liu","given":"C. T.","non-dropping-particle":"","parse-names":false,"suffix":""}],"container-title":"Progress in Natural Science: Materials International","id":"ITEM-1","issued":{"date-parts":[["2011"]]},"title":"Phase stability in high entropy alloys: Formation of solid-solution phase or amorphous phase","type":"article-journal"},"uris":["http://www.mendeley.com/documents/?uuid=3cf24bf9-28b8-4f01-bb91-02fa0ed4c6aa"]},{"id":"ITEM-2","itemData":{"DOI":"10.1063/1.3587228","ISBN":"0021-8979","ISSN":"00218979","PMID":"1162496","abstract":"Phase stability is an important topic for high entropy alloys (HEAs), but the understanding to it is very limited. The capability to predict phase stability from fundamental properties of constituent elements would benefit the alloy design greatly. The relationship between phase stability and properties of alloying components in HEAs was studied systematically. The mixing enthalpy is found to be the key factor controlling the formation of solid solutions or compounds. The stability of fcc and bcc solid solutions is well delineated by the valance electron concentration (VEC). The revealing of the effect of the VEC on the phase stability is vitally important for alloy design and for controlling the mechanical behavior of HEAs.","author":[{"dropping-particle":"","family":"Guo","given":"Sheng","non-dropping-particle":"","parse-names":false,"suffix":""},{"dropping-particle":"","family":"Ng","given":"Chun","non-dropping-particle":"","parse-names":false,"suffix":""},{"dropping-particle":"","family":"Lu","given":"Jian","non-dropping-particle":"","parse-names":false,"suffix":""},{"dropping-particle":"","family":"Liu","given":"C. T.","non-dropping-particle":"","parse-names":false,"suffix":""}],"container-title":"Journal of Applied Physics","id":"ITEM-2","issued":{"date-parts":[["2011"]]},"title":"Effect of valence electron concentration on stability of fcc or bcc phase in high entropy alloys","type":"paper-conference"},"uris":["http://www.mendeley.com/documents/?uuid=0b09d460-a8a5-4876-826c-fec1d042d120","http://www.mendeley.com/documents/?uuid=250fa8a5-50b9-4996-8ed5-690e90fdf719"]}],"mendeley":{"formattedCitation":"[28,50]","plainTextFormattedCitation":"[28,50]","previouslyFormattedCitation":"[28,50]"},"properties":{"noteIndex":0},"schema":"https://github.com/citation-style-language/schema/raw/master/csl-citation.json"}</w:instrText>
      </w:r>
      <w:r>
        <w:fldChar w:fldCharType="separate"/>
      </w:r>
      <w:r w:rsidRPr="003B39BC">
        <w:rPr>
          <w:noProof/>
        </w:rPr>
        <w:t>[28,50]</w:t>
      </w:r>
      <w:r>
        <w:fldChar w:fldCharType="end"/>
      </w:r>
      <w:r w:rsidRPr="0051034C">
        <w:rPr>
          <w:color w:val="FF0000"/>
        </w:rPr>
        <w:t xml:space="preserve"> </w:t>
      </w:r>
      <w:r>
        <w:t xml:space="preserve">on applying </w:t>
      </w:r>
      <w:r w:rsidRPr="006B2891">
        <w:rPr>
          <w:i/>
        </w:rPr>
        <w:t>VEC</w:t>
      </w:r>
      <w:r>
        <w:t xml:space="preserve"> in predicting phase stability of HEAs </w:t>
      </w:r>
      <w:r w:rsidRPr="003B6CA7">
        <w:rPr>
          <w:noProof/>
        </w:rPr>
        <w:t>mainly</w:t>
      </w:r>
      <w:r>
        <w:t xml:space="preserve"> focussed on HEAs composed of 4</w:t>
      </w:r>
      <w:r w:rsidRPr="00E45E27">
        <w:rPr>
          <w:vertAlign w:val="superscript"/>
        </w:rPr>
        <w:t>th</w:t>
      </w:r>
      <w:r w:rsidRPr="008C71F2" w:rsidDel="00B95A3A">
        <w:rPr>
          <w:noProof/>
        </w:rPr>
        <w:t xml:space="preserve"> </w:t>
      </w:r>
      <w:r w:rsidRPr="008C71F2">
        <w:rPr>
          <w:noProof/>
        </w:rPr>
        <w:t>period</w:t>
      </w:r>
      <w:r>
        <w:t xml:space="preserve"> elements and proved</w:t>
      </w:r>
      <w:r w:rsidRPr="04806F1F">
        <w:t xml:space="preserve"> </w:t>
      </w:r>
      <w:r w:rsidRPr="003B6CA7">
        <w:rPr>
          <w:noProof/>
        </w:rPr>
        <w:t>an effective</w:t>
      </w:r>
      <w:r>
        <w:t xml:space="preserve"> tool to depict the stabilities of BCC and FCC phases</w:t>
      </w:r>
      <w:r w:rsidR="00C24D9B">
        <w:t>,</w:t>
      </w:r>
      <w:r>
        <w:t xml:space="preserve"> as presented in Fig. 2-5. </w:t>
      </w:r>
      <w:r w:rsidRPr="0037408D">
        <w:t xml:space="preserve">In </w:t>
      </w:r>
      <w:r w:rsidRPr="00A32F30">
        <w:rPr>
          <w:noProof/>
        </w:rPr>
        <w:t>multi-component</w:t>
      </w:r>
      <w:r w:rsidRPr="0037408D">
        <w:t xml:space="preserve"> alloy</w:t>
      </w:r>
      <w:r>
        <w:t xml:space="preserve">s, with the assumption that </w:t>
      </w:r>
      <w:r w:rsidRPr="008C71F2">
        <w:rPr>
          <w:noProof/>
        </w:rPr>
        <w:t>HEA</w:t>
      </w:r>
      <w:r>
        <w:t xml:space="preserve"> phases are mainly composed of ideal disordered solid solution phases, the </w:t>
      </w:r>
      <w:r w:rsidRPr="006B2891">
        <w:rPr>
          <w:i/>
        </w:rPr>
        <w:t>VEC</w:t>
      </w:r>
      <w:r>
        <w:t xml:space="preserve"> of HEA systems were approximated as the weighted average </w:t>
      </w:r>
      <w:r w:rsidRPr="006B2891">
        <w:rPr>
          <w:i/>
        </w:rPr>
        <w:t>VEC</w:t>
      </w:r>
      <w:r>
        <w:t xml:space="preserve"> values of different components. In addition, they were solely considered</w:t>
      </w:r>
      <w:r w:rsidRPr="04806F1F">
        <w:t xml:space="preserve"> </w:t>
      </w:r>
      <w:r>
        <w:t>to judge the phase stability of different HEA systems</w:t>
      </w:r>
      <w:r w:rsidR="00C24D9B">
        <w:t>,</w:t>
      </w:r>
      <w:r>
        <w:t xml:space="preserve"> as shown in Fig. 2-5.</w:t>
      </w:r>
    </w:p>
    <w:p w14:paraId="0FB77DA8" w14:textId="77777777" w:rsidR="00624970" w:rsidRDefault="00624970" w:rsidP="00624970">
      <w:pPr>
        <w:keepNext/>
        <w:spacing w:afterLines="60" w:after="144" w:line="360" w:lineRule="auto"/>
      </w:pPr>
      <w:r>
        <w:rPr>
          <w:noProof/>
          <w:color w:val="FF0000"/>
          <w:lang w:val="en-US" w:eastAsia="en-US"/>
        </w:rPr>
        <w:drawing>
          <wp:inline distT="0" distB="0" distL="0" distR="0" wp14:anchorId="3FFDAB3D" wp14:editId="019F0BB2">
            <wp:extent cx="5943600" cy="2870200"/>
            <wp:effectExtent l="0" t="0" r="0"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50FCD7.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2870200"/>
                    </a:xfrm>
                    <a:prstGeom prst="rect">
                      <a:avLst/>
                    </a:prstGeom>
                  </pic:spPr>
                </pic:pic>
              </a:graphicData>
            </a:graphic>
          </wp:inline>
        </w:drawing>
      </w:r>
    </w:p>
    <w:p w14:paraId="0D5C5174" w14:textId="77777777" w:rsidR="00624970" w:rsidRPr="00A03FC4" w:rsidRDefault="00624970" w:rsidP="00624970">
      <w:pPr>
        <w:spacing w:afterLines="60" w:after="144" w:line="360" w:lineRule="auto"/>
        <w:rPr>
          <w:b/>
          <w:sz w:val="20"/>
        </w:rPr>
      </w:pPr>
      <w:bookmarkStart w:id="50" w:name="_Toc39312674"/>
      <w:bookmarkStart w:id="51" w:name="_Toc5617627"/>
      <w:bookmarkStart w:id="52" w:name="_Toc7364560"/>
      <w:r w:rsidRPr="00A03FC4">
        <w:rPr>
          <w:b/>
          <w:sz w:val="20"/>
        </w:rPr>
        <w:t>Figure</w:t>
      </w:r>
      <w:r w:rsidRPr="008B6028">
        <w:rPr>
          <w:b/>
          <w:sz w:val="20"/>
          <w:szCs w:val="20"/>
        </w:rPr>
        <w:t xml:space="preserve"> 2-</w:t>
      </w:r>
      <w:r w:rsidRPr="008B6028">
        <w:rPr>
          <w:b/>
          <w:sz w:val="20"/>
          <w:szCs w:val="20"/>
        </w:rPr>
        <w:fldChar w:fldCharType="begin"/>
      </w:r>
      <w:r w:rsidRPr="008B6028">
        <w:rPr>
          <w:b/>
          <w:sz w:val="20"/>
          <w:szCs w:val="20"/>
        </w:rPr>
        <w:instrText xml:space="preserve"> SEQ Figure \* ARABIC </w:instrText>
      </w:r>
      <w:r w:rsidRPr="008B6028">
        <w:rPr>
          <w:b/>
          <w:sz w:val="20"/>
          <w:szCs w:val="20"/>
        </w:rPr>
        <w:fldChar w:fldCharType="separate"/>
      </w:r>
      <w:r>
        <w:rPr>
          <w:b/>
          <w:noProof/>
          <w:sz w:val="20"/>
          <w:szCs w:val="20"/>
        </w:rPr>
        <w:t>5</w:t>
      </w:r>
      <w:r w:rsidRPr="008B6028">
        <w:rPr>
          <w:b/>
          <w:sz w:val="20"/>
          <w:szCs w:val="20"/>
        </w:rPr>
        <w:fldChar w:fldCharType="end"/>
      </w:r>
      <w:r w:rsidRPr="008B6028">
        <w:rPr>
          <w:b/>
          <w:sz w:val="20"/>
          <w:szCs w:val="20"/>
        </w:rPr>
        <w:t xml:space="preserve"> Phase</w:t>
      </w:r>
      <w:r w:rsidRPr="00A03FC4">
        <w:rPr>
          <w:b/>
          <w:sz w:val="20"/>
        </w:rPr>
        <w:t xml:space="preserve"> stability</w:t>
      </w:r>
      <w:r>
        <w:rPr>
          <w:b/>
          <w:sz w:val="20"/>
        </w:rPr>
        <w:t xml:space="preserve"> </w:t>
      </w:r>
      <w:r w:rsidRPr="00A03FC4">
        <w:rPr>
          <w:b/>
          <w:sz w:val="20"/>
        </w:rPr>
        <w:t>(BCC,</w:t>
      </w:r>
      <w:r>
        <w:rPr>
          <w:b/>
          <w:sz w:val="20"/>
        </w:rPr>
        <w:t xml:space="preserve"> </w:t>
      </w:r>
      <w:r w:rsidRPr="00A03FC4">
        <w:rPr>
          <w:b/>
          <w:sz w:val="20"/>
        </w:rPr>
        <w:t xml:space="preserve">FCC) dependence with </w:t>
      </w:r>
      <w:r w:rsidRPr="005A4352">
        <w:rPr>
          <w:b/>
          <w:i/>
          <w:sz w:val="20"/>
        </w:rPr>
        <w:t xml:space="preserve">VEC </w:t>
      </w:r>
      <w:r w:rsidRPr="00A03FC4">
        <w:rPr>
          <w:b/>
          <w:sz w:val="20"/>
        </w:rPr>
        <w:t xml:space="preserve">value. </w:t>
      </w:r>
      <w:r w:rsidRPr="00EC3AB1">
        <w:rPr>
          <w:sz w:val="20"/>
        </w:rPr>
        <w:t xml:space="preserve">Closed polygons for single FCC solid solution; </w:t>
      </w:r>
      <w:r>
        <w:rPr>
          <w:sz w:val="20"/>
        </w:rPr>
        <w:t>o</w:t>
      </w:r>
      <w:r w:rsidRPr="00EC3AB1">
        <w:rPr>
          <w:sz w:val="20"/>
        </w:rPr>
        <w:t xml:space="preserve">pen polygons for single BCC solid solution; </w:t>
      </w:r>
      <w:r>
        <w:rPr>
          <w:sz w:val="20"/>
        </w:rPr>
        <w:t xml:space="preserve">and </w:t>
      </w:r>
      <w:r w:rsidRPr="00EC3AB1">
        <w:rPr>
          <w:sz w:val="20"/>
        </w:rPr>
        <w:t>half closed polygons for dual-phase simple solid solution phases.</w:t>
      </w:r>
      <w:r>
        <w:rPr>
          <w:b/>
          <w:sz w:val="20"/>
        </w:rPr>
        <w:t xml:space="preserve"> </w:t>
      </w:r>
      <w:r w:rsidRPr="00A03FC4">
        <w:rPr>
          <w:b/>
          <w:sz w:val="20"/>
        </w:rPr>
        <w:fldChar w:fldCharType="begin" w:fldLock="1"/>
      </w:r>
      <w:r>
        <w:rPr>
          <w:b/>
          <w:sz w:val="20"/>
        </w:rPr>
        <w:instrText>ADDIN CSL_CITATION {"citationItems":[{"id":"ITEM-1","itemData":{"DOI":"10.1063/1.3587228","ISBN":"0021-8979","ISSN":"00218979","PMID":"1162496","abstract":"Phase stability is an important topic for high entropy alloys (HEAs), but the understanding to it is very limited. The capability to predict phase stability from fundamental properties of constituent elements would benefit the alloy design greatly. The relationship between phase stability and properties of alloying components in HEAs was studied systematically. The mixing enthalpy is found to be the key factor controlling the formation of solid solutions or compounds. The stability of fcc and bcc solid solutions is well delineated by the valance electron concentration (VEC). The revealing of the effect of the VEC on the phase stability is vitally important for alloy design and for controlling the mechanical behavior of HEAs.","author":[{"dropping-particle":"","family":"Guo","given":"Sheng","non-dropping-particle":"","parse-names":false,"suffix":""},{"dropping-particle":"","family":"Ng","given":"Chun","non-dropping-particle":"","parse-names":false,"suffix":""},{"dropping-particle":"","family":"Lu","given":"Jian","non-dropping-particle":"","parse-names":false,"suffix":""},{"dropping-particle":"","family":"Liu","given":"C. T.","non-dropping-particle":"","parse-names":false,"suffix":""}],"container-title":"Journal of Applied Physics","id":"ITEM-1","issued":{"date-parts":[["2011"]]},"title":"Effect of valence electron concentration on stability of fcc or bcc phase in high entropy alloys","type":"paper-conference"},"uris":["http://www.mendeley.com/documents/?uuid=0b09d460-a8a5-4876-826c-fec1d042d120","http://www.mendeley.com/documents/?uuid=250fa8a5-50b9-4996-8ed5-690e90fdf719"]}],"mendeley":{"formattedCitation":"[50]","plainTextFormattedCitation":"[50]","previouslyFormattedCitation":"[50]"},"properties":{"noteIndex":0},"schema":"https://github.com/citation-style-language/schema/raw/master/csl-citation.json"}</w:instrText>
      </w:r>
      <w:r w:rsidRPr="00A03FC4">
        <w:rPr>
          <w:b/>
          <w:sz w:val="20"/>
        </w:rPr>
        <w:fldChar w:fldCharType="separate"/>
      </w:r>
      <w:bookmarkEnd w:id="51"/>
      <w:bookmarkEnd w:id="52"/>
      <w:r w:rsidRPr="003B39BC">
        <w:rPr>
          <w:noProof/>
          <w:sz w:val="20"/>
        </w:rPr>
        <w:t>[50]</w:t>
      </w:r>
      <w:bookmarkEnd w:id="50"/>
      <w:r w:rsidRPr="00A03FC4">
        <w:rPr>
          <w:b/>
          <w:sz w:val="20"/>
        </w:rPr>
        <w:fldChar w:fldCharType="end"/>
      </w:r>
    </w:p>
    <w:p w14:paraId="29AD8431" w14:textId="2C01A418" w:rsidR="00624970" w:rsidRDefault="00624970" w:rsidP="00624970">
      <w:pPr>
        <w:spacing w:afterLines="60" w:after="144" w:line="360" w:lineRule="auto"/>
        <w:jc w:val="both"/>
      </w:pPr>
      <w:r w:rsidRPr="00685CD3">
        <w:t xml:space="preserve">Guo </w:t>
      </w:r>
      <w:r>
        <w:fldChar w:fldCharType="begin" w:fldLock="1"/>
      </w:r>
      <w:r>
        <w:instrText>ADDIN CSL_CITATION {"citationItems":[{"id":"ITEM-1","itemData":{"DOI":"10.1063/1.3587228","ISBN":"0021-8979","ISSN":"00218979","PMID":"1162496","abstract":"Phase stability is an important topic for high entropy alloys (HEAs), but the understanding to it is very limited. The capability to predict phase stability from fundamental properties of constituent elements would benefit the alloy design greatly. The relationship between phase stability and properties of alloying components in HEAs was studied systematically. The mixing enthalpy is found to be the key factor controlling the formation of solid solutions or compounds. The stability of fcc and bcc solid solutions is well delineated by the valance electron concentration (VEC). The revealing of the effect of the VEC on the phase stability is vitally important for alloy design and for controlling the mechanical behavior of HEAs.","author":[{"dropping-particle":"","family":"Guo","given":"Sheng","non-dropping-particle":"","parse-names":false,"suffix":""},{"dropping-particle":"","family":"Ng","given":"Chun","non-dropping-particle":"","parse-names":false,"suffix":""},{"dropping-particle":"","family":"Lu","given":"Jian","non-dropping-particle":"","parse-names":false,"suffix":""},{"dropping-particle":"","family":"Liu","given":"C. T.","non-dropping-particle":"","parse-names":false,"suffix":""}],"container-title":"Journal of Applied Physics","id":"ITEM-1","issued":{"date-parts":[["2011"]]},"title":"Effect of valence electron concentration on stability of fcc or bcc phase in high entropy alloys","type":"paper-conference"},"uris":["http://www.mendeley.com/documents/?uuid=0b09d460-a8a5-4876-826c-fec1d042d120","http://www.mendeley.com/documents/?uuid=250fa8a5-50b9-4996-8ed5-690e90fdf719"]}],"mendeley":{"formattedCitation":"[50]","plainTextFormattedCitation":"[50]","previouslyFormattedCitation":"[50]"},"properties":{"noteIndex":0},"schema":"https://github.com/citation-style-language/schema/raw/master/csl-citation.json"}</w:instrText>
      </w:r>
      <w:r>
        <w:fldChar w:fldCharType="separate"/>
      </w:r>
      <w:r w:rsidRPr="003B39BC">
        <w:rPr>
          <w:noProof/>
        </w:rPr>
        <w:t>[50]</w:t>
      </w:r>
      <w:r>
        <w:fldChar w:fldCharType="end"/>
      </w:r>
      <w:r>
        <w:t xml:space="preserve"> utilised</w:t>
      </w:r>
      <w:r w:rsidRPr="00685CD3">
        <w:t xml:space="preserve"> previous research on traditional alloy systems that </w:t>
      </w:r>
      <w:r>
        <w:t>incorporate the</w:t>
      </w:r>
      <w:r w:rsidRPr="00685CD3">
        <w:t xml:space="preserve"> e/a ratio </w:t>
      </w:r>
      <w:r w:rsidR="00C24D9B">
        <w:t>i</w:t>
      </w:r>
      <w:r w:rsidRPr="00685CD3">
        <w:t xml:space="preserve">n phase formation predictions, to </w:t>
      </w:r>
      <w:r>
        <w:t>determine</w:t>
      </w:r>
      <w:r w:rsidRPr="00685CD3">
        <w:t xml:space="preserve"> phase formation predictions </w:t>
      </w:r>
      <w:r>
        <w:t>through</w:t>
      </w:r>
      <w:r w:rsidRPr="00685CD3">
        <w:t xml:space="preserve"> VEC.</w:t>
      </w:r>
      <w:r>
        <w:t xml:space="preserve"> By superimposing </w:t>
      </w:r>
      <w:r w:rsidRPr="008C71F2">
        <w:rPr>
          <w:noProof/>
        </w:rPr>
        <w:t>dash</w:t>
      </w:r>
      <w:r w:rsidR="00C24D9B">
        <w:rPr>
          <w:noProof/>
        </w:rPr>
        <w:t>ed</w:t>
      </w:r>
      <w:r>
        <w:t xml:space="preserve"> lines in Fig. 2-5, three separate </w:t>
      </w:r>
      <w:r w:rsidRPr="00A32F30">
        <w:rPr>
          <w:noProof/>
        </w:rPr>
        <w:t>zone</w:t>
      </w:r>
      <w:r>
        <w:rPr>
          <w:noProof/>
        </w:rPr>
        <w:t>s</w:t>
      </w:r>
      <w:r>
        <w:t xml:space="preserve">, are apparent and the formation tendency of FCC and BCC can </w:t>
      </w:r>
      <w:r w:rsidRPr="00A32F30">
        <w:rPr>
          <w:noProof/>
        </w:rPr>
        <w:t>be</w:t>
      </w:r>
      <w:r>
        <w:rPr>
          <w:noProof/>
        </w:rPr>
        <w:t xml:space="preserve"> distinguished</w:t>
      </w:r>
      <w:r w:rsidRPr="75096BDF">
        <w:t xml:space="preserve">. </w:t>
      </w:r>
      <w:r w:rsidRPr="10073047">
        <w:t>I</w:t>
      </w:r>
      <w:r>
        <w:t xml:space="preserve">n the left zone with lower </w:t>
      </w:r>
      <w:r w:rsidRPr="006B2891">
        <w:rPr>
          <w:i/>
        </w:rPr>
        <w:t>VEC</w:t>
      </w:r>
      <w:r w:rsidRPr="75096BDF">
        <w:t xml:space="preserve"> </w:t>
      </w:r>
      <w:r>
        <w:t xml:space="preserve">value, the HEAs form </w:t>
      </w:r>
      <w:r w:rsidRPr="008C71F2">
        <w:rPr>
          <w:noProof/>
        </w:rPr>
        <w:t>single</w:t>
      </w:r>
      <w:r>
        <w:t xml:space="preserve"> BCC solid solution phases, as is represented by open symbols; while in the </w:t>
      </w:r>
      <w:r w:rsidRPr="008C71F2">
        <w:rPr>
          <w:noProof/>
        </w:rPr>
        <w:t>right</w:t>
      </w:r>
      <w:r>
        <w:t xml:space="preserve"> zone, the closed symbols represent HEAs with single FCC solid solution phases; and HEAs listed in </w:t>
      </w:r>
      <w:r w:rsidR="00C24D9B">
        <w:t xml:space="preserve">the </w:t>
      </w:r>
      <w:r>
        <w:t xml:space="preserve">middle zone are compositions with mixed BCC and FCC solid solution phases. In general, for transitional group </w:t>
      </w:r>
      <w:r w:rsidRPr="00993DA1">
        <w:rPr>
          <w:noProof/>
        </w:rPr>
        <w:t>HEAs</w:t>
      </w:r>
      <w:r>
        <w:rPr>
          <w:noProof/>
        </w:rPr>
        <w:t>,</w:t>
      </w:r>
      <w:r>
        <w:t xml:space="preserve"> the lattice structure may favour being stabilised in the</w:t>
      </w:r>
      <w:r w:rsidRPr="75096BDF">
        <w:t xml:space="preserve"> </w:t>
      </w:r>
      <w:r>
        <w:t xml:space="preserve">FCC </w:t>
      </w:r>
      <w:r>
        <w:rPr>
          <w:noProof/>
        </w:rPr>
        <w:t>structure</w:t>
      </w:r>
      <w:r>
        <w:t xml:space="preserve"> when </w:t>
      </w:r>
      <w:r w:rsidRPr="006B2891">
        <w:rPr>
          <w:i/>
        </w:rPr>
        <w:t>VEC</w:t>
      </w:r>
      <w:r>
        <w:t xml:space="preserve">&gt;8, mixed phases including BCC/FCC and intermetallic sigma phase when 8&gt; </w:t>
      </w:r>
      <w:r w:rsidRPr="006B2891">
        <w:rPr>
          <w:i/>
        </w:rPr>
        <w:t xml:space="preserve">VEC </w:t>
      </w:r>
      <w:r>
        <w:t xml:space="preserve">&gt;7 and BCC </w:t>
      </w:r>
      <w:r>
        <w:rPr>
          <w:noProof/>
        </w:rPr>
        <w:t>dominant</w:t>
      </w:r>
      <w:r>
        <w:t xml:space="preserve"> if 7&gt;</w:t>
      </w:r>
      <w:r w:rsidRPr="006B2891">
        <w:rPr>
          <w:i/>
        </w:rPr>
        <w:t>VEC</w:t>
      </w:r>
      <w:r>
        <w:t xml:space="preserve">. The range of </w:t>
      </w:r>
      <w:r w:rsidRPr="006B2891">
        <w:rPr>
          <w:i/>
        </w:rPr>
        <w:t>VEC</w:t>
      </w:r>
      <w:r>
        <w:t xml:space="preserve"> listed above </w:t>
      </w:r>
      <w:r>
        <w:rPr>
          <w:noProof/>
        </w:rPr>
        <w:t>is</w:t>
      </w:r>
      <w:r>
        <w:t xml:space="preserve"> not dependent on component </w:t>
      </w:r>
      <w:r>
        <w:lastRenderedPageBreak/>
        <w:t xml:space="preserve">composition, which </w:t>
      </w:r>
      <w:r w:rsidRPr="008C71F2">
        <w:rPr>
          <w:noProof/>
        </w:rPr>
        <w:t>indicate</w:t>
      </w:r>
      <w:r>
        <w:rPr>
          <w:noProof/>
        </w:rPr>
        <w:t>s</w:t>
      </w:r>
      <w:r>
        <w:t xml:space="preserve"> the potential of using </w:t>
      </w:r>
      <w:r w:rsidRPr="006B2891">
        <w:rPr>
          <w:i/>
        </w:rPr>
        <w:t>VEC</w:t>
      </w:r>
      <w:r>
        <w:t xml:space="preserve"> as a </w:t>
      </w:r>
      <w:r w:rsidRPr="00993DA1">
        <w:rPr>
          <w:noProof/>
        </w:rPr>
        <w:t>universal</w:t>
      </w:r>
      <w:r>
        <w:t xml:space="preserve"> tool to guide the design of HEAs. </w:t>
      </w:r>
      <w:r w:rsidRPr="00CD056B">
        <w:t>However, i</w:t>
      </w:r>
      <w:r>
        <w:t>n the mixed phase zone, the tendency of mixed phases formation is not linear with the VEC number, which may be</w:t>
      </w:r>
      <w:r w:rsidRPr="00CD056B">
        <w:t xml:space="preserve"> attribute</w:t>
      </w:r>
      <w:r>
        <w:t>d</w:t>
      </w:r>
      <w:r w:rsidRPr="00CD056B">
        <w:t xml:space="preserve"> to the influence of different component elements</w:t>
      </w:r>
      <w:r>
        <w:fldChar w:fldCharType="begin" w:fldLock="1"/>
      </w:r>
      <w:r>
        <w:instrText>ADDIN CSL_CITATION {"citationItems":[{"id":"ITEM-1","itemData":{"DOI":"10.1063/1.3587228","ISBN":"0021-8979","ISSN":"00218979","PMID":"1162496","abstract":"Phase stability is an important topic for high entropy alloys (HEAs), but the understanding to it is very limited. The capability to predict phase stability from fundamental properties of constituent elements would benefit the alloy design greatly. The relationship between phase stability and properties of alloying components in HEAs was studied systematically. The mixing enthalpy is found to be the key factor controlling the formation of solid solutions or compounds. The stability of fcc and bcc solid solutions is well delineated by the valance electron concentration (VEC). The revealing of the effect of the VEC on the phase stability is vitally important for alloy design and for controlling the mechanical behavior of HEAs.","author":[{"dropping-particle":"","family":"Guo","given":"Sheng","non-dropping-particle":"","parse-names":false,"suffix":""},{"dropping-particle":"","family":"Ng","given":"Chun","non-dropping-particle":"","parse-names":false,"suffix":""},{"dropping-particle":"","family":"Lu","given":"Jian","non-dropping-particle":"","parse-names":false,"suffix":""},{"dropping-particle":"","family":"Liu","given":"C. T.","non-dropping-particle":"","parse-names":false,"suffix":""}],"container-title":"Journal of Applied Physics","id":"ITEM-1","issued":{"date-parts":[["2011"]]},"title":"Effect of valence electron concentration on stability of fcc or bcc phase in high entropy alloys","type":"paper-conference"},"uris":["http://www.mendeley.com/documents/?uuid=0b09d460-a8a5-4876-826c-fec1d042d120","http://www.mendeley.com/documents/?uuid=250fa8a5-50b9-4996-8ed5-690e90fdf719"]}],"mendeley":{"formattedCitation":"[50]","plainTextFormattedCitation":"[50]","previouslyFormattedCitation":"[50]"},"properties":{"noteIndex":0},"schema":"https://github.com/citation-style-language/schema/raw/master/csl-citation.json"}</w:instrText>
      </w:r>
      <w:r>
        <w:fldChar w:fldCharType="separate"/>
      </w:r>
      <w:r w:rsidRPr="003B39BC">
        <w:rPr>
          <w:noProof/>
        </w:rPr>
        <w:t>[50]</w:t>
      </w:r>
      <w:r>
        <w:fldChar w:fldCharType="end"/>
      </w:r>
      <w:r w:rsidRPr="75096BDF">
        <w:t xml:space="preserve">. </w:t>
      </w:r>
      <w:r w:rsidRPr="003B6CA7">
        <w:rPr>
          <w:noProof/>
        </w:rPr>
        <w:t>This</w:t>
      </w:r>
      <w:r>
        <w:t xml:space="preserve"> may </w:t>
      </w:r>
      <w:r w:rsidRPr="003B6CA7">
        <w:rPr>
          <w:noProof/>
        </w:rPr>
        <w:t>be associated</w:t>
      </w:r>
      <w:r>
        <w:rPr>
          <w:noProof/>
        </w:rPr>
        <w:t xml:space="preserve"> with</w:t>
      </w:r>
      <w:r>
        <w:t xml:space="preserve"> the change of electronic structure </w:t>
      </w:r>
      <w:r>
        <w:rPr>
          <w:rFonts w:hint="eastAsia"/>
        </w:rPr>
        <w:t>that</w:t>
      </w:r>
      <w:r>
        <w:t xml:space="preserve"> determines chemical bond properties.</w:t>
      </w:r>
    </w:p>
    <w:p w14:paraId="00B5165C" w14:textId="77777777" w:rsidR="00624970" w:rsidRPr="001E3029" w:rsidRDefault="00624970" w:rsidP="00624970">
      <w:pPr>
        <w:pStyle w:val="3"/>
        <w:spacing w:before="0" w:afterLines="60" w:after="144" w:line="360" w:lineRule="auto"/>
        <w:rPr>
          <w:rFonts w:asciiTheme="minorHAnsi" w:hAnsiTheme="minorHAnsi"/>
          <w:b/>
          <w:noProof/>
          <w:color w:val="000000" w:themeColor="text1"/>
          <w:sz w:val="32"/>
          <w:szCs w:val="32"/>
        </w:rPr>
      </w:pPr>
      <w:bookmarkStart w:id="53" w:name="_Toc5618280"/>
      <w:bookmarkStart w:id="54" w:name="_Toc22052508"/>
      <w:r w:rsidRPr="001E3029">
        <w:rPr>
          <w:rFonts w:asciiTheme="minorHAnsi" w:hAnsiTheme="minorHAnsi"/>
          <w:b/>
          <w:noProof/>
          <w:color w:val="000000" w:themeColor="text1"/>
          <w:sz w:val="32"/>
          <w:szCs w:val="32"/>
        </w:rPr>
        <w:t>2.3.2 Semi-empirical method</w:t>
      </w:r>
      <w:bookmarkEnd w:id="53"/>
      <w:r w:rsidRPr="001E3029">
        <w:rPr>
          <w:rFonts w:asciiTheme="minorHAnsi" w:hAnsiTheme="minorHAnsi"/>
          <w:b/>
          <w:noProof/>
          <w:color w:val="000000" w:themeColor="text1"/>
          <w:sz w:val="32"/>
          <w:szCs w:val="32"/>
        </w:rPr>
        <w:t>s</w:t>
      </w:r>
      <w:bookmarkEnd w:id="54"/>
      <w:r w:rsidRPr="001E3029">
        <w:rPr>
          <w:rFonts w:asciiTheme="minorHAnsi" w:hAnsiTheme="minorHAnsi"/>
          <w:b/>
          <w:noProof/>
          <w:color w:val="000000" w:themeColor="text1"/>
          <w:sz w:val="32"/>
          <w:szCs w:val="32"/>
        </w:rPr>
        <w:t xml:space="preserve"> </w:t>
      </w:r>
    </w:p>
    <w:p w14:paraId="3E2770A2" w14:textId="77069530" w:rsidR="00624970" w:rsidRDefault="00624970" w:rsidP="00624970">
      <w:pPr>
        <w:spacing w:afterLines="60" w:after="144" w:line="360" w:lineRule="auto"/>
        <w:jc w:val="both"/>
      </w:pPr>
      <w:r>
        <w:t xml:space="preserve">The </w:t>
      </w:r>
      <w:r w:rsidRPr="00DA60E8">
        <w:rPr>
          <w:noProof/>
        </w:rPr>
        <w:t>Hume</w:t>
      </w:r>
      <w:r>
        <w:t>-Rothery rules are empirical methods and parameters to estimate phase stability or ground state energy of a system. With the</w:t>
      </w:r>
      <w:r>
        <w:rPr>
          <w:noProof/>
        </w:rPr>
        <w:t xml:space="preserve"> use</w:t>
      </w:r>
      <w:r>
        <w:t xml:space="preserve"> of Hume-Rothery rules and thermodynamic parameters</w:t>
      </w:r>
      <w:r w:rsidRPr="00DA60E8">
        <w:rPr>
          <w:noProof/>
        </w:rPr>
        <w:t>, the</w:t>
      </w:r>
      <w:r>
        <w:t xml:space="preserve"> phase formation tendency of certain alloy systems becomes clearer. In the </w:t>
      </w:r>
      <w:r w:rsidRPr="00DA60E8">
        <w:rPr>
          <w:noProof/>
        </w:rPr>
        <w:t>previous</w:t>
      </w:r>
      <w:r>
        <w:t xml:space="preserve"> </w:t>
      </w:r>
      <w:r w:rsidRPr="008C71F2">
        <w:rPr>
          <w:noProof/>
        </w:rPr>
        <w:t>discussion</w:t>
      </w:r>
      <w:r>
        <w:rPr>
          <w:noProof/>
        </w:rPr>
        <w:t>,</w:t>
      </w:r>
      <w:r>
        <w:t xml:space="preserve"> the high entropy effect is fundamentally based on </w:t>
      </w:r>
      <w:r w:rsidRPr="00DA60E8">
        <w:rPr>
          <w:noProof/>
        </w:rPr>
        <w:t>thermodynamic</w:t>
      </w:r>
      <w:r>
        <w:rPr>
          <w:noProof/>
        </w:rPr>
        <w:t>s,</w:t>
      </w:r>
      <w:r>
        <w:t xml:space="preserve"> which </w:t>
      </w:r>
      <w:r w:rsidRPr="00DA60E8">
        <w:rPr>
          <w:noProof/>
        </w:rPr>
        <w:t>indicate</w:t>
      </w:r>
      <w:r>
        <w:rPr>
          <w:noProof/>
        </w:rPr>
        <w:t>s</w:t>
      </w:r>
      <w:r>
        <w:t xml:space="preserve"> enthalpy also plays </w:t>
      </w:r>
      <w:r w:rsidRPr="00DA60E8">
        <w:rPr>
          <w:noProof/>
        </w:rPr>
        <w:t>a very important</w:t>
      </w:r>
      <w:r>
        <w:t xml:space="preserve"> role</w:t>
      </w:r>
      <w:r w:rsidRPr="0043126B">
        <w:t xml:space="preserve"> </w:t>
      </w:r>
      <w:r>
        <w:t>in varying phase free energy,</w:t>
      </w:r>
      <w:r w:rsidRPr="003A364B">
        <w:rPr>
          <w:noProof/>
        </w:rPr>
        <w:t xml:space="preserve"> </w:t>
      </w:r>
      <w:r w:rsidRPr="00DA60E8">
        <w:rPr>
          <w:noProof/>
        </w:rPr>
        <w:t>in addition</w:t>
      </w:r>
      <w:r>
        <w:t xml:space="preserve"> </w:t>
      </w:r>
      <w:r>
        <w:rPr>
          <w:noProof/>
        </w:rPr>
        <w:t>to the</w:t>
      </w:r>
      <w:r>
        <w:t xml:space="preserve"> entropy term. Miedema </w:t>
      </w:r>
      <w:r>
        <w:fldChar w:fldCharType="begin" w:fldLock="1"/>
      </w:r>
      <w:r>
        <w:instrText>ADDIN CSL_CITATION {"citationItems":[{"id":"ITEM-1","itemData":{"DOI":"10.1103/PhysRevB.54.11169","ISBN":"1098-0121","ISSN":"1550235X","PMID":"9984901","abstract":"It is demonstrated that a cellular model gives an excellent account of the heat of formation of binary alloys of 27 transition metals. The energy effects are described by two terms, the first representing the difference in electronegativity between the two types of atoms in an alloy and the second term reflecting the discontinuity in the density of electrons at the boundary between dissimilar Wigner-Seitz atomic cells. The electronegativity is expressed in a scale which closely resembles that of the experimental work functions of pure metallic elements. The use of this scale also gives a clear insight into the heat effects which accompany the alloying of transition metals with non-transition metals. If the latter have p-electrons a negative term adds up to the heat of formation which apparently does not depend on the particular metals considered. As a result, simple rules for the alloying behaviour of transition metals are formulated which have an accuracy between 96 and 100%; the electronegativity concept is shown to apply also for hydrogen in metals. The relation between the charge transferred per atom, ΔZa, and the difference in electronegativity, Δφ*, is discussed quantitatively. As an example, the result for solid solutions of two transition metals is ΔZa = 1.2 (1 - ca)Δφ*, where ca is the concentration of metal A. Our analysis supports the idea that the work function of a metal is, in principle, proportional to the chemical potential for electrons in Wigner-Seitz atomic cells; the proportionality factor is found to be about 1·4. © 1973.","author":[{"dropping-particle":"","family":"Miedema","given":"A. R.","non-dropping-particle":"","parse-names":false,"suffix":""}],"container-title":"Journal of The Less-Common Metals","id":"ITEM-1","issued":{"date-parts":[["1973"]]},"title":"The electronegativity parameter for transition metals: Heat of formation and charge transfer in alloys","type":"article-journal"},"uris":["http://www.mendeley.com/documents/?uuid=2804e71c-436a-4437-9617-6691529ab031","http://www.mendeley.com/documents/?uuid=8b64738e-3b18-469d-9161-ac17541ad234"]}],"mendeley":{"formattedCitation":"[51]","plainTextFormattedCitation":"[51]","previouslyFormattedCitation":"[51]"},"properties":{"noteIndex":0},"schema":"https://github.com/citation-style-language/schema/raw/master/csl-citation.json"}</w:instrText>
      </w:r>
      <w:r>
        <w:fldChar w:fldCharType="separate"/>
      </w:r>
      <w:r w:rsidRPr="003B39BC">
        <w:rPr>
          <w:noProof/>
        </w:rPr>
        <w:t>[51]</w:t>
      </w:r>
      <w:r>
        <w:fldChar w:fldCharType="end"/>
      </w:r>
      <w:r>
        <w:t xml:space="preserve"> constructed a </w:t>
      </w:r>
      <w:r w:rsidRPr="008C71F2">
        <w:rPr>
          <w:noProof/>
        </w:rPr>
        <w:t>new</w:t>
      </w:r>
      <w:r>
        <w:t xml:space="preserve"> model to predict the formation enthalpy of ideal solid solution phases in binary alloys, based on empirical parameters </w:t>
      </w:r>
      <w:r>
        <w:rPr>
          <w:rFonts w:hint="eastAsia"/>
        </w:rPr>
        <w:t>derived</w:t>
      </w:r>
      <w:r>
        <w:t xml:space="preserve"> </w:t>
      </w:r>
      <w:r>
        <w:rPr>
          <w:rFonts w:hint="eastAsia"/>
        </w:rPr>
        <w:t>from</w:t>
      </w:r>
      <w:r>
        <w:t xml:space="preserve"> experimental results. The electronic redistribution necessary in forming new</w:t>
      </w:r>
      <w:r w:rsidRPr="008C71F2">
        <w:rPr>
          <w:noProof/>
        </w:rPr>
        <w:t xml:space="preserve"> bo</w:t>
      </w:r>
      <w:r>
        <w:t>nds of new lattice structures w</w:t>
      </w:r>
      <w:r w:rsidR="00C24D9B">
        <w:t xml:space="preserve">as </w:t>
      </w:r>
      <w:r>
        <w:t xml:space="preserve">presented, by considering the electronic charge density difference at the Wigner-Seitz boundary </w:t>
      </w:r>
      <m:oMath>
        <m:sSubSup>
          <m:sSubSupPr>
            <m:ctrlPr>
              <w:rPr>
                <w:rFonts w:ascii="Cambria Math" w:hAnsi="Cambria Math"/>
                <w:i/>
              </w:rPr>
            </m:ctrlPr>
          </m:sSubSupPr>
          <m:e>
            <m:r>
              <w:rPr>
                <w:rFonts w:ascii="Cambria Math" w:hAnsi="Cambria Math"/>
              </w:rPr>
              <m:t>∆n</m:t>
            </m:r>
          </m:e>
          <m:sub>
            <m:r>
              <w:rPr>
                <w:rFonts w:ascii="Cambria Math" w:hAnsi="Cambria Math"/>
              </w:rPr>
              <m:t>WS</m:t>
            </m:r>
          </m:sub>
          <m:sup>
            <m:r>
              <w:rPr>
                <w:rFonts w:ascii="Cambria Math" w:hAnsi="Cambria Math"/>
              </w:rPr>
              <m:t>1/3</m:t>
            </m:r>
          </m:sup>
        </m:sSubSup>
      </m:oMath>
      <w:r>
        <w:t>. Thus, the formation enthalpy of an ide</w:t>
      </w:r>
      <w:r w:rsidRPr="008C71F2">
        <w:rPr>
          <w:noProof/>
        </w:rPr>
        <w:t>al bi</w:t>
      </w:r>
      <w:r>
        <w:t xml:space="preserve">nary solid solution system was expressed as:  </w:t>
      </w:r>
    </w:p>
    <w:p w14:paraId="0A18CCF3" w14:textId="77777777" w:rsidR="00624970" w:rsidRPr="00E465DA" w:rsidRDefault="00624970" w:rsidP="00624970">
      <w:pPr>
        <w:spacing w:afterLines="60" w:after="144" w:line="360" w:lineRule="auto"/>
        <w:jc w:val="right"/>
      </w:pPr>
      <m:oMath>
        <m:r>
          <w:rPr>
            <w:rFonts w:ascii="Cambria Math" w:hAnsi="Cambria Math"/>
          </w:rPr>
          <m:t>∆H=</m:t>
        </m:r>
        <m:f>
          <m:fPr>
            <m:ctrlPr>
              <w:rPr>
                <w:rFonts w:ascii="Cambria Math" w:hAnsi="Cambria Math"/>
                <w:i/>
              </w:rPr>
            </m:ctrlPr>
          </m:fPr>
          <m:num>
            <m:r>
              <w:rPr>
                <w:rFonts w:ascii="Cambria Math" w:hAnsi="Cambria Math"/>
              </w:rPr>
              <m:t>f(c)P(</m:t>
            </m:r>
            <m:sSub>
              <m:sSubPr>
                <m:ctrlPr>
                  <w:rPr>
                    <w:rFonts w:ascii="Cambria Math" w:hAnsi="Cambria Math"/>
                    <w:i/>
                  </w:rPr>
                </m:ctrlPr>
              </m:sSubPr>
              <m:e>
                <m:r>
                  <w:rPr>
                    <w:rFonts w:ascii="Cambria Math" w:hAnsi="Cambria Math"/>
                  </w:rPr>
                  <m:t>c</m:t>
                </m:r>
              </m:e>
              <m:sub>
                <m:r>
                  <w:rPr>
                    <w:rFonts w:ascii="Cambria Math" w:hAnsi="Cambria Math"/>
                  </w:rPr>
                  <m:t>A</m:t>
                </m:r>
              </m:sub>
            </m:sSub>
            <m:sSubSup>
              <m:sSubSupPr>
                <m:ctrlPr>
                  <w:rPr>
                    <w:rFonts w:ascii="Cambria Math" w:hAnsi="Cambria Math"/>
                    <w:i/>
                  </w:rPr>
                </m:ctrlPr>
              </m:sSubSupPr>
              <m:e>
                <m:r>
                  <w:rPr>
                    <w:rFonts w:ascii="Cambria Math" w:hAnsi="Cambria Math"/>
                  </w:rPr>
                  <m:t>V</m:t>
                </m:r>
              </m:e>
              <m:sub>
                <m:r>
                  <w:rPr>
                    <w:rFonts w:ascii="Cambria Math" w:hAnsi="Cambria Math"/>
                  </w:rPr>
                  <m:t>A</m:t>
                </m:r>
              </m:sub>
              <m:sup>
                <m:r>
                  <w:rPr>
                    <w:rFonts w:ascii="Cambria Math" w:hAnsi="Cambria Math"/>
                  </w:rPr>
                  <m:t>2/3</m:t>
                </m:r>
              </m:sup>
            </m:sSubSup>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B</m:t>
                </m:r>
              </m:sub>
            </m:sSub>
            <m:sSubSup>
              <m:sSubSupPr>
                <m:ctrlPr>
                  <w:rPr>
                    <w:rFonts w:ascii="Cambria Math" w:hAnsi="Cambria Math"/>
                    <w:i/>
                  </w:rPr>
                </m:ctrlPr>
              </m:sSubSupPr>
              <m:e>
                <m:r>
                  <w:rPr>
                    <w:rFonts w:ascii="Cambria Math" w:hAnsi="Cambria Math"/>
                  </w:rPr>
                  <m:t>V</m:t>
                </m:r>
              </m:e>
              <m:sub>
                <m:r>
                  <w:rPr>
                    <w:rFonts w:ascii="Cambria Math" w:hAnsi="Cambria Math"/>
                  </w:rPr>
                  <m:t>B</m:t>
                </m:r>
              </m:sub>
              <m:sup>
                <m:r>
                  <w:rPr>
                    <w:rFonts w:ascii="Cambria Math" w:hAnsi="Cambria Math"/>
                  </w:rPr>
                  <m:t>2/3</m:t>
                </m:r>
              </m:sup>
            </m:sSub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n</m:t>
                </m:r>
              </m:e>
              <m:sub>
                <m:r>
                  <w:rPr>
                    <w:rFonts w:ascii="Cambria Math" w:hAnsi="Cambria Math"/>
                  </w:rPr>
                  <m:t>WS</m:t>
                </m:r>
              </m:sub>
              <m:sup>
                <m:r>
                  <w:rPr>
                    <w:rFonts w:ascii="Cambria Math" w:hAnsi="Cambria Math"/>
                  </w:rPr>
                  <m:t>-1/3</m:t>
                </m:r>
              </m:sup>
            </m:sSubSup>
            <m:sSub>
              <m:sSubPr>
                <m:ctrlPr>
                  <w:rPr>
                    <w:rFonts w:ascii="Cambria Math" w:hAnsi="Cambria Math"/>
                    <w:i/>
                  </w:rPr>
                </m:ctrlPr>
              </m:sSubPr>
              <m:e>
                <m:r>
                  <w:rPr>
                    <w:rFonts w:ascii="Cambria Math" w:hAnsi="Cambria Math"/>
                  </w:rPr>
                  <m:t>)</m:t>
                </m:r>
              </m:e>
              <m:sub>
                <m:r>
                  <w:rPr>
                    <w:rFonts w:ascii="Cambria Math" w:hAnsi="Cambria Math"/>
                  </w:rPr>
                  <m:t>average</m:t>
                </m:r>
              </m:sub>
            </m:sSub>
          </m:den>
        </m:f>
        <m:r>
          <m:rPr>
            <m:sty m:val="p"/>
          </m:rPr>
          <w:rPr>
            <w:rFonts w:ascii="Cambria Math" w:hAnsi="Cambria Math"/>
          </w:rPr>
          <m:t>×[- (∆σ</m:t>
        </m:r>
        <m:sSup>
          <m:sSupPr>
            <m:ctrlPr>
              <w:rPr>
                <w:rFonts w:ascii="Cambria Math" w:hAnsi="Cambria Math"/>
              </w:rPr>
            </m:ctrlPr>
          </m:sSupPr>
          <m:e>
            <m:r>
              <w:rPr>
                <w:rFonts w:ascii="Cambria Math" w:hAnsi="Cambria Math"/>
              </w:rPr>
              <m:t>)</m:t>
            </m:r>
          </m:e>
          <m:sup>
            <m:r>
              <w:rPr>
                <w:rFonts w:ascii="Cambria Math" w:hAnsi="Cambria Math"/>
              </w:rPr>
              <m:t>2</m:t>
            </m:r>
          </m:sup>
        </m:sSup>
        <m:r>
          <m:rPr>
            <m:sty m:val="p"/>
          </m:rPr>
          <w:rPr>
            <w:rFonts w:ascii="Cambria Math" w:hAnsi="Cambria Math"/>
          </w:rPr>
          <m:t>+</m:t>
        </m:r>
        <m:f>
          <m:fPr>
            <m:ctrlPr>
              <w:rPr>
                <w:rFonts w:ascii="Cambria Math" w:hAnsi="Cambria Math"/>
              </w:rPr>
            </m:ctrlPr>
          </m:fPr>
          <m:num>
            <m:r>
              <w:rPr>
                <w:rFonts w:ascii="Cambria Math" w:hAnsi="Cambria Math"/>
              </w:rPr>
              <m:t>Q</m:t>
            </m:r>
          </m:num>
          <m:den>
            <m:r>
              <w:rPr>
                <w:rFonts w:ascii="Cambria Math" w:hAnsi="Cambria Math"/>
              </w:rPr>
              <m:t>P</m:t>
            </m:r>
          </m:den>
        </m:f>
        <m:r>
          <w:rPr>
            <w:rFonts w:ascii="Cambria Math" w:hAnsi="Cambria Math"/>
          </w:rPr>
          <m:t xml:space="preserve"> (</m:t>
        </m:r>
        <m:sSubSup>
          <m:sSubSupPr>
            <m:ctrlPr>
              <w:rPr>
                <w:rFonts w:ascii="Cambria Math" w:hAnsi="Cambria Math"/>
                <w:i/>
              </w:rPr>
            </m:ctrlPr>
          </m:sSubSupPr>
          <m:e>
            <m:r>
              <w:rPr>
                <w:rFonts w:ascii="Cambria Math" w:hAnsi="Cambria Math"/>
              </w:rPr>
              <m:t>∆n</m:t>
            </m:r>
          </m:e>
          <m:sub>
            <m:r>
              <w:rPr>
                <w:rFonts w:ascii="Cambria Math" w:hAnsi="Cambria Math"/>
              </w:rPr>
              <m:t>WS</m:t>
            </m:r>
          </m:sub>
          <m:sup>
            <m:r>
              <w:rPr>
                <w:rFonts w:ascii="Cambria Math" w:hAnsi="Cambria Math"/>
              </w:rPr>
              <m:t>1/3</m:t>
            </m:r>
          </m:sup>
        </m:sSubSup>
        <m:sSup>
          <m:sSupPr>
            <m:ctrlPr>
              <w:rPr>
                <w:rFonts w:ascii="Cambria Math" w:hAnsi="Cambria Math"/>
              </w:rPr>
            </m:ctrlPr>
          </m:sSupPr>
          <m:e>
            <m:r>
              <w:rPr>
                <w:rFonts w:ascii="Cambria Math" w:hAnsi="Cambria Math"/>
              </w:rPr>
              <m:t>)</m:t>
            </m:r>
          </m:e>
          <m:sup>
            <m:r>
              <w:rPr>
                <w:rFonts w:ascii="Cambria Math" w:hAnsi="Cambria Math"/>
              </w:rPr>
              <m:t>2</m:t>
            </m:r>
          </m:sup>
        </m:sSup>
        <m:r>
          <m:rPr>
            <m:sty m:val="p"/>
          </m:rPr>
          <w:rPr>
            <w:rFonts w:ascii="Cambria Math" w:hAnsi="Cambria Math"/>
          </w:rPr>
          <m:t>-</m:t>
        </m:r>
        <m:f>
          <m:fPr>
            <m:ctrlPr>
              <w:rPr>
                <w:rFonts w:ascii="Cambria Math" w:hAnsi="Cambria Math"/>
              </w:rPr>
            </m:ctrlPr>
          </m:fPr>
          <m:num>
            <m:r>
              <w:rPr>
                <w:rFonts w:ascii="Cambria Math" w:hAnsi="Cambria Math"/>
              </w:rPr>
              <m:t>R</m:t>
            </m:r>
          </m:num>
          <m:den>
            <m:r>
              <w:rPr>
                <w:rFonts w:ascii="Cambria Math" w:hAnsi="Cambria Math"/>
              </w:rPr>
              <m:t>P</m:t>
            </m:r>
          </m:den>
        </m:f>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Btrans</m:t>
            </m:r>
          </m:sub>
        </m:sSub>
      </m:oMath>
      <w:r>
        <w:t xml:space="preserve">                  (9)</w:t>
      </w:r>
    </w:p>
    <w:p w14:paraId="747B39E6" w14:textId="2778F8BE" w:rsidR="00624970" w:rsidRDefault="00624970" w:rsidP="00624970">
      <w:pPr>
        <w:spacing w:afterLines="60" w:after="144" w:line="360" w:lineRule="auto"/>
        <w:jc w:val="both"/>
      </w:pPr>
      <w:r>
        <w:t xml:space="preserve">Here </w:t>
      </w:r>
      <m:oMath>
        <m:r>
          <m:rPr>
            <m:sty m:val="p"/>
          </m:rPr>
          <w:rPr>
            <w:rFonts w:ascii="Cambria Math" w:hAnsi="Cambria Math"/>
          </w:rPr>
          <m:t>σ</m:t>
        </m:r>
      </m:oMath>
      <w:r>
        <w:t xml:space="preserve"> is an experimental variable which was used to replace electronegativity; </w:t>
      </w:r>
      <w:r w:rsidRPr="00E465DA">
        <w:rPr>
          <w:rFonts w:ascii="Times New Roman" w:hAnsi="Times New Roman" w:cs="Times New Roman"/>
          <w:i/>
        </w:rPr>
        <w:t>P</w:t>
      </w:r>
      <w:r w:rsidRPr="00A32F30">
        <w:rPr>
          <w:noProof/>
        </w:rPr>
        <w:t>,</w:t>
      </w:r>
      <w:r>
        <w:rPr>
          <w:noProof/>
        </w:rPr>
        <w:t xml:space="preserve"> </w:t>
      </w:r>
      <w:r w:rsidRPr="00A32F30">
        <w:rPr>
          <w:rFonts w:ascii="Times New Roman" w:hAnsi="Times New Roman" w:cs="Times New Roman"/>
          <w:i/>
          <w:noProof/>
        </w:rPr>
        <w:t>Q</w:t>
      </w:r>
      <w:r w:rsidRPr="00E465DA">
        <w:rPr>
          <w:rFonts w:ascii="Times New Roman" w:hAnsi="Times New Roman" w:cs="Times New Roman"/>
          <w:i/>
        </w:rPr>
        <w:t xml:space="preserve"> </w:t>
      </w:r>
      <w:r>
        <w:t xml:space="preserve">and </w:t>
      </w:r>
      <w:r w:rsidRPr="00E465DA">
        <w:rPr>
          <w:rFonts w:ascii="Times New Roman" w:hAnsi="Times New Roman" w:cs="Times New Roman"/>
          <w:i/>
        </w:rPr>
        <w:t>R</w:t>
      </w:r>
      <w:r>
        <w:t xml:space="preserve"> are constants which depend on valence electrons of components A and B; </w:t>
      </w:r>
      <m:oMath>
        <m:sSub>
          <m:sSubPr>
            <m:ctrlPr>
              <w:rPr>
                <w:rFonts w:ascii="Cambria Math" w:hAnsi="Cambria Math"/>
              </w:rPr>
            </m:ctrlPr>
          </m:sSubPr>
          <m:e>
            <m:r>
              <w:rPr>
                <w:rFonts w:ascii="Cambria Math" w:hAnsi="Cambria Math"/>
              </w:rPr>
              <m:t>c</m:t>
            </m:r>
          </m:e>
          <m:sub>
            <m:r>
              <w:rPr>
                <w:rFonts w:ascii="Cambria Math" w:hAnsi="Cambria Math"/>
              </w:rPr>
              <m:t>x</m:t>
            </m:r>
          </m:sub>
        </m:sSub>
      </m:oMath>
      <w:r>
        <w:t xml:space="preserve"> is at</w:t>
      </w:r>
      <w:r w:rsidRPr="008C71F2">
        <w:rPr>
          <w:noProof/>
        </w:rPr>
        <w:t xml:space="preserve">omic </w:t>
      </w:r>
      <w:r>
        <w:t xml:space="preserve">concentration of element </w:t>
      </w:r>
      <w:r w:rsidRPr="0043126B">
        <w:rPr>
          <w:i/>
        </w:rPr>
        <w:t>x</w:t>
      </w:r>
      <w:r>
        <w:rPr>
          <w:i/>
        </w:rPr>
        <w:t>;</w:t>
      </w:r>
      <w:r>
        <w:t xml:space="preserve"> </w:t>
      </w:r>
      <m:oMath>
        <m:sSub>
          <m:sSubPr>
            <m:ctrlPr>
              <w:rPr>
                <w:rFonts w:ascii="Cambria Math" w:hAnsi="Cambria Math"/>
              </w:rPr>
            </m:ctrlPr>
          </m:sSubPr>
          <m:e>
            <m:r>
              <w:rPr>
                <w:rFonts w:ascii="Cambria Math" w:hAnsi="Cambria Math"/>
              </w:rPr>
              <m:t>V</m:t>
            </m:r>
          </m:e>
          <m:sub>
            <m:r>
              <w:rPr>
                <w:rFonts w:ascii="Cambria Math" w:hAnsi="Cambria Math"/>
              </w:rPr>
              <m:t>x</m:t>
            </m:r>
          </m:sub>
        </m:sSub>
      </m:oMath>
      <w:r>
        <w:t xml:space="preserve"> is the mola</w:t>
      </w:r>
      <w:r w:rsidRPr="008C71F2">
        <w:rPr>
          <w:noProof/>
        </w:rPr>
        <w:t>r vol</w:t>
      </w:r>
      <w:r>
        <w:t xml:space="preserve">ume of components </w:t>
      </w:r>
      <w:r w:rsidRPr="0043126B">
        <w:rPr>
          <w:i/>
        </w:rPr>
        <w:t>x</w:t>
      </w:r>
      <w:r>
        <w:t xml:space="preserve">; and </w:t>
      </w:r>
      <m:oMath>
        <m:r>
          <w:rPr>
            <w:rFonts w:ascii="Cambria Math" w:hAnsi="Cambria Math"/>
            <w:sz w:val="20"/>
          </w:rPr>
          <m:t>∆</m:t>
        </m:r>
        <m:sSub>
          <m:sSubPr>
            <m:ctrlPr>
              <w:rPr>
                <w:rFonts w:ascii="Cambria Math" w:hAnsi="Cambria Math"/>
                <w:i/>
                <w:sz w:val="20"/>
              </w:rPr>
            </m:ctrlPr>
          </m:sSubPr>
          <m:e>
            <m:r>
              <w:rPr>
                <w:rFonts w:ascii="Cambria Math" w:hAnsi="Cambria Math"/>
                <w:sz w:val="20"/>
              </w:rPr>
              <m:t>H</m:t>
            </m:r>
          </m:e>
          <m:sub>
            <m:r>
              <w:rPr>
                <w:rFonts w:ascii="Cambria Math" w:hAnsi="Cambria Math"/>
                <w:sz w:val="20"/>
              </w:rPr>
              <m:t>Xtrans</m:t>
            </m:r>
          </m:sub>
        </m:sSub>
      </m:oMath>
      <w:r>
        <w:t xml:space="preserve"> is the transition energy required to transfer components </w:t>
      </w:r>
      <w:r w:rsidRPr="0043126B">
        <w:rPr>
          <w:i/>
        </w:rPr>
        <w:t>x</w:t>
      </w:r>
      <w:r>
        <w:t xml:space="preserve"> to the metallic st</w:t>
      </w:r>
      <w:r w:rsidRPr="008C71F2">
        <w:rPr>
          <w:noProof/>
        </w:rPr>
        <w:t>ate. Whi</w:t>
      </w:r>
      <w:r>
        <w:t xml:space="preserve">le </w:t>
      </w:r>
      <m:oMath>
        <m:r>
          <w:rPr>
            <w:rFonts w:ascii="Cambria Math" w:hAnsi="Cambria Math"/>
            <w:sz w:val="16"/>
          </w:rPr>
          <m:t>f (c)</m:t>
        </m:r>
      </m:oMath>
      <w:r w:rsidRPr="00E465DA">
        <w:rPr>
          <w:sz w:val="16"/>
        </w:rPr>
        <w:t>=</w:t>
      </w:r>
      <m:oMath>
        <m:sSubSup>
          <m:sSubSupPr>
            <m:ctrlPr>
              <w:rPr>
                <w:rFonts w:ascii="Cambria Math" w:hAnsi="Cambria Math"/>
                <w:sz w:val="16"/>
              </w:rPr>
            </m:ctrlPr>
          </m:sSubSupPr>
          <m:e>
            <m:r>
              <w:rPr>
                <w:rFonts w:ascii="Cambria Math" w:hAnsi="Cambria Math"/>
                <w:sz w:val="16"/>
              </w:rPr>
              <m:t>c</m:t>
            </m:r>
          </m:e>
          <m:sub>
            <m:r>
              <w:rPr>
                <w:rFonts w:ascii="Cambria Math" w:hAnsi="Cambria Math"/>
                <w:sz w:val="16"/>
              </w:rPr>
              <m:t>A</m:t>
            </m:r>
          </m:sub>
          <m:sup>
            <m:r>
              <w:rPr>
                <w:rFonts w:ascii="Cambria Math" w:hAnsi="Cambria Math"/>
                <w:sz w:val="16"/>
              </w:rPr>
              <m:t>S</m:t>
            </m:r>
          </m:sup>
        </m:sSubSup>
        <m:sSubSup>
          <m:sSubSupPr>
            <m:ctrlPr>
              <w:rPr>
                <w:rFonts w:ascii="Cambria Math" w:hAnsi="Cambria Math"/>
                <w:sz w:val="16"/>
              </w:rPr>
            </m:ctrlPr>
          </m:sSubSupPr>
          <m:e>
            <m:r>
              <w:rPr>
                <w:rFonts w:ascii="Cambria Math" w:hAnsi="Cambria Math"/>
                <w:sz w:val="16"/>
              </w:rPr>
              <m:t>c</m:t>
            </m:r>
          </m:e>
          <m:sub>
            <m:r>
              <w:rPr>
                <w:rFonts w:ascii="Cambria Math" w:hAnsi="Cambria Math"/>
                <w:sz w:val="16"/>
              </w:rPr>
              <m:t>B</m:t>
            </m:r>
          </m:sub>
          <m:sup>
            <m:r>
              <w:rPr>
                <w:rFonts w:ascii="Cambria Math" w:hAnsi="Cambria Math"/>
                <w:sz w:val="16"/>
              </w:rPr>
              <m:t>S</m:t>
            </m:r>
          </m:sup>
        </m:sSubSup>
      </m:oMath>
      <w:r w:rsidRPr="00E465DA">
        <w:rPr>
          <w:sz w:val="16"/>
        </w:rPr>
        <w:t xml:space="preserve">= </w:t>
      </w:r>
      <m:oMath>
        <m:sSub>
          <m:sSubPr>
            <m:ctrlPr>
              <w:rPr>
                <w:rFonts w:ascii="Cambria Math" w:hAnsi="Cambria Math"/>
                <w:i/>
                <w:sz w:val="16"/>
              </w:rPr>
            </m:ctrlPr>
          </m:sSubPr>
          <m:e>
            <m:r>
              <w:rPr>
                <w:rFonts w:ascii="Cambria Math" w:hAnsi="Cambria Math"/>
                <w:sz w:val="16"/>
              </w:rPr>
              <m:t>c</m:t>
            </m:r>
          </m:e>
          <m:sub>
            <m:r>
              <w:rPr>
                <w:rFonts w:ascii="Cambria Math" w:hAnsi="Cambria Math"/>
                <w:sz w:val="16"/>
              </w:rPr>
              <m:t>A</m:t>
            </m:r>
          </m:sub>
        </m:sSub>
        <m:sSubSup>
          <m:sSubSupPr>
            <m:ctrlPr>
              <w:rPr>
                <w:rFonts w:ascii="Cambria Math" w:hAnsi="Cambria Math"/>
                <w:i/>
                <w:sz w:val="16"/>
              </w:rPr>
            </m:ctrlPr>
          </m:sSubSupPr>
          <m:e>
            <m:r>
              <w:rPr>
                <w:rFonts w:ascii="Cambria Math" w:hAnsi="Cambria Math"/>
                <w:sz w:val="16"/>
              </w:rPr>
              <m:t>V</m:t>
            </m:r>
          </m:e>
          <m:sub>
            <m:r>
              <w:rPr>
                <w:rFonts w:ascii="Cambria Math" w:hAnsi="Cambria Math"/>
                <w:sz w:val="16"/>
              </w:rPr>
              <m:t>A</m:t>
            </m:r>
          </m:sub>
          <m:sup>
            <m:f>
              <m:fPr>
                <m:ctrlPr>
                  <w:rPr>
                    <w:rFonts w:ascii="Cambria Math" w:hAnsi="Cambria Math"/>
                    <w:i/>
                    <w:sz w:val="16"/>
                  </w:rPr>
                </m:ctrlPr>
              </m:fPr>
              <m:num>
                <m:r>
                  <w:rPr>
                    <w:rFonts w:ascii="Cambria Math" w:hAnsi="Cambria Math"/>
                    <w:sz w:val="16"/>
                  </w:rPr>
                  <m:t>2</m:t>
                </m:r>
              </m:num>
              <m:den>
                <m:r>
                  <w:rPr>
                    <w:rFonts w:ascii="Cambria Math" w:hAnsi="Cambria Math"/>
                    <w:sz w:val="16"/>
                  </w:rPr>
                  <m:t>3</m:t>
                </m:r>
              </m:den>
            </m:f>
          </m:sup>
        </m:sSubSup>
        <m:sSub>
          <m:sSubPr>
            <m:ctrlPr>
              <w:rPr>
                <w:rFonts w:ascii="Cambria Math" w:hAnsi="Cambria Math"/>
                <w:i/>
                <w:sz w:val="16"/>
              </w:rPr>
            </m:ctrlPr>
          </m:sSubPr>
          <m:e>
            <m:r>
              <w:rPr>
                <w:rFonts w:ascii="Cambria Math" w:hAnsi="Cambria Math"/>
                <w:sz w:val="16"/>
              </w:rPr>
              <m:t>c</m:t>
            </m:r>
          </m:e>
          <m:sub>
            <m:r>
              <w:rPr>
                <w:rFonts w:ascii="Cambria Math" w:hAnsi="Cambria Math"/>
                <w:sz w:val="16"/>
              </w:rPr>
              <m:t>B</m:t>
            </m:r>
          </m:sub>
        </m:sSub>
        <m:sSubSup>
          <m:sSubSupPr>
            <m:ctrlPr>
              <w:rPr>
                <w:rFonts w:ascii="Cambria Math" w:hAnsi="Cambria Math"/>
                <w:i/>
                <w:sz w:val="16"/>
              </w:rPr>
            </m:ctrlPr>
          </m:sSubSupPr>
          <m:e>
            <m:r>
              <w:rPr>
                <w:rFonts w:ascii="Cambria Math" w:hAnsi="Cambria Math"/>
                <w:sz w:val="16"/>
              </w:rPr>
              <m:t>V</m:t>
            </m:r>
          </m:e>
          <m:sub>
            <m:r>
              <w:rPr>
                <w:rFonts w:ascii="Cambria Math" w:hAnsi="Cambria Math"/>
                <w:sz w:val="16"/>
              </w:rPr>
              <m:t>B</m:t>
            </m:r>
          </m:sub>
          <m:sup>
            <m:f>
              <m:fPr>
                <m:ctrlPr>
                  <w:rPr>
                    <w:rFonts w:ascii="Cambria Math" w:hAnsi="Cambria Math"/>
                    <w:i/>
                    <w:sz w:val="16"/>
                  </w:rPr>
                </m:ctrlPr>
              </m:fPr>
              <m:num>
                <m:r>
                  <w:rPr>
                    <w:rFonts w:ascii="Cambria Math" w:hAnsi="Cambria Math"/>
                    <w:sz w:val="16"/>
                  </w:rPr>
                  <m:t>2</m:t>
                </m:r>
              </m:num>
              <m:den>
                <m:r>
                  <w:rPr>
                    <w:rFonts w:ascii="Cambria Math" w:hAnsi="Cambria Math"/>
                    <w:sz w:val="16"/>
                  </w:rPr>
                  <m:t>3</m:t>
                </m:r>
              </m:den>
            </m:f>
          </m:sup>
        </m:sSubSup>
        <m:r>
          <m:rPr>
            <m:sty m:val="p"/>
          </m:rPr>
          <w:rPr>
            <w:rFonts w:ascii="Cambria Math" w:hAnsi="Cambria Math"/>
            <w:sz w:val="16"/>
          </w:rPr>
          <m:t>/  (</m:t>
        </m:r>
        <m:sSub>
          <m:sSubPr>
            <m:ctrlPr>
              <w:rPr>
                <w:rFonts w:ascii="Cambria Math" w:hAnsi="Cambria Math"/>
                <w:i/>
                <w:sz w:val="16"/>
              </w:rPr>
            </m:ctrlPr>
          </m:sSubPr>
          <m:e>
            <m:r>
              <w:rPr>
                <w:rFonts w:ascii="Cambria Math" w:hAnsi="Cambria Math"/>
                <w:sz w:val="16"/>
              </w:rPr>
              <m:t>c</m:t>
            </m:r>
          </m:e>
          <m:sub>
            <m:r>
              <w:rPr>
                <w:rFonts w:ascii="Cambria Math" w:hAnsi="Cambria Math"/>
                <w:sz w:val="16"/>
              </w:rPr>
              <m:t>A</m:t>
            </m:r>
          </m:sub>
        </m:sSub>
        <m:sSubSup>
          <m:sSubSupPr>
            <m:ctrlPr>
              <w:rPr>
                <w:rFonts w:ascii="Cambria Math" w:hAnsi="Cambria Math"/>
                <w:i/>
                <w:sz w:val="16"/>
              </w:rPr>
            </m:ctrlPr>
          </m:sSubSupPr>
          <m:e>
            <m:r>
              <w:rPr>
                <w:rFonts w:ascii="Cambria Math" w:hAnsi="Cambria Math"/>
                <w:sz w:val="16"/>
              </w:rPr>
              <m:t>V</m:t>
            </m:r>
          </m:e>
          <m:sub>
            <m:r>
              <w:rPr>
                <w:rFonts w:ascii="Cambria Math" w:hAnsi="Cambria Math"/>
                <w:sz w:val="16"/>
              </w:rPr>
              <m:t>A</m:t>
            </m:r>
          </m:sub>
          <m:sup>
            <m:f>
              <m:fPr>
                <m:ctrlPr>
                  <w:rPr>
                    <w:rFonts w:ascii="Cambria Math" w:hAnsi="Cambria Math"/>
                    <w:i/>
                    <w:sz w:val="16"/>
                  </w:rPr>
                </m:ctrlPr>
              </m:fPr>
              <m:num>
                <m:r>
                  <w:rPr>
                    <w:rFonts w:ascii="Cambria Math" w:hAnsi="Cambria Math"/>
                    <w:sz w:val="16"/>
                  </w:rPr>
                  <m:t>2</m:t>
                </m:r>
              </m:num>
              <m:den>
                <m:r>
                  <w:rPr>
                    <w:rFonts w:ascii="Cambria Math" w:hAnsi="Cambria Math"/>
                    <w:sz w:val="16"/>
                  </w:rPr>
                  <m:t>3</m:t>
                </m:r>
              </m:den>
            </m:f>
          </m:sup>
        </m:sSubSup>
        <m:r>
          <m:rPr>
            <m:sty m:val="p"/>
          </m:rPr>
          <w:rPr>
            <w:rFonts w:ascii="Cambria Math" w:hAnsi="Cambria Math"/>
            <w:sz w:val="16"/>
          </w:rPr>
          <m:t>+</m:t>
        </m:r>
        <m:sSub>
          <m:sSubPr>
            <m:ctrlPr>
              <w:rPr>
                <w:rFonts w:ascii="Cambria Math" w:hAnsi="Cambria Math"/>
                <w:i/>
                <w:sz w:val="16"/>
              </w:rPr>
            </m:ctrlPr>
          </m:sSubPr>
          <m:e>
            <m:r>
              <w:rPr>
                <w:rFonts w:ascii="Cambria Math" w:hAnsi="Cambria Math"/>
                <w:sz w:val="16"/>
              </w:rPr>
              <m:t>c</m:t>
            </m:r>
          </m:e>
          <m:sub>
            <m:r>
              <w:rPr>
                <w:rFonts w:ascii="Cambria Math" w:hAnsi="Cambria Math"/>
                <w:sz w:val="16"/>
              </w:rPr>
              <m:t>B</m:t>
            </m:r>
          </m:sub>
        </m:sSub>
        <m:sSubSup>
          <m:sSubSupPr>
            <m:ctrlPr>
              <w:rPr>
                <w:rFonts w:ascii="Cambria Math" w:hAnsi="Cambria Math"/>
                <w:i/>
                <w:sz w:val="16"/>
              </w:rPr>
            </m:ctrlPr>
          </m:sSubSupPr>
          <m:e>
            <m:r>
              <w:rPr>
                <w:rFonts w:ascii="Cambria Math" w:hAnsi="Cambria Math"/>
                <w:sz w:val="16"/>
              </w:rPr>
              <m:t>V</m:t>
            </m:r>
          </m:e>
          <m:sub>
            <m:r>
              <w:rPr>
                <w:rFonts w:ascii="Cambria Math" w:hAnsi="Cambria Math"/>
                <w:sz w:val="16"/>
              </w:rPr>
              <m:t>B</m:t>
            </m:r>
          </m:sub>
          <m:sup>
            <m:r>
              <w:rPr>
                <w:rFonts w:ascii="Cambria Math" w:hAnsi="Cambria Math"/>
                <w:sz w:val="16"/>
              </w:rPr>
              <m:t>2/3</m:t>
            </m:r>
          </m:sup>
        </m:sSubSup>
        <m:r>
          <m:rPr>
            <m:sty m:val="p"/>
          </m:rPr>
          <w:rPr>
            <w:rFonts w:ascii="Cambria Math" w:hAnsi="Cambria Math"/>
            <w:sz w:val="16"/>
          </w:rPr>
          <m:t>)</m:t>
        </m:r>
      </m:oMath>
      <w:r w:rsidRPr="00E465DA">
        <w:rPr>
          <w:sz w:val="16"/>
        </w:rPr>
        <w:t xml:space="preserve"> </w:t>
      </w:r>
      <w:r>
        <w:t xml:space="preserve">is a function used to approximate the contact surface of components </w:t>
      </w:r>
      <w:r w:rsidRPr="00CB0C59">
        <w:rPr>
          <w:i/>
        </w:rPr>
        <w:t>A</w:t>
      </w:r>
      <w:r>
        <w:t xml:space="preserve"> and </w:t>
      </w:r>
      <w:r w:rsidRPr="00CB0C59">
        <w:rPr>
          <w:i/>
        </w:rPr>
        <w:t>B</w:t>
      </w:r>
      <w:r>
        <w:t>. The model is successfully applied in calculating formation enthalpy of binary metallic systems and aids in the prediction of the formation of solid solution,</w:t>
      </w:r>
      <w:r w:rsidRPr="00A32F30">
        <w:rPr>
          <w:noProof/>
        </w:rPr>
        <w:t xml:space="preserve"> intermet</w:t>
      </w:r>
      <w:r>
        <w:t>allic and amorphous phases in various traditional alloy systems. To extend the application into complex alloy systems, the potential of utilising the Miedema model in predicting phase formation tendency of binary alloys should be considered. Akira and Aki</w:t>
      </w:r>
      <w:r w:rsidRPr="008C71F2">
        <w:rPr>
          <w:noProof/>
        </w:rPr>
        <w:t xml:space="preserve">hisa </w:t>
      </w:r>
      <w:r>
        <w:fldChar w:fldCharType="begin" w:fldLock="1"/>
      </w:r>
      <w:r>
        <w:instrText>ADDIN CSL_CITATION {"citationItems":[{"id":"ITEM-1","itemData":{"DOI":"10.2320/matertrans1989.41.1372","ISBN":"0916-1821","ISSN":"0916-1821","PMID":"16693","abstract":"Chemical mixing enthalpy (DeltaH(Chem)) and mismatch entropy normalized by Boltzmann constant (S-sigma/k(B)) corresponding to the three empirical rules for the achievement of high amorphous-forming ability (AFA) were calculated with thermodynamical functions for the gross number of 6450 alloys in 351 ternary amorphous systems. The ternary amorphous alloys have DeltaH(chem) Of -86 to 25 kJ/mol and S-sigma/k(B) of 1.8 x 10(-3) to 5.7. The average values of DeltaH(chem) and S-sigma/k(B) are calculated to be -33 J/mol and 0.33, respectively. The 30 alloys in 9 ternary amorphous systems including 10 alloys in Ag-Cu-Fe system have positive values of DeltaH(chem). Most of the ternary amorphous alloys have the values of DeltaH(chem) and S-sigma/k(B) inside a trapezoid region in DeltaH(chem) - log(S-sigma/k(B)) chart except mainly for the H- and the C-containing alloys, Si-W-Zr system and the 32 alleys having positive values of DeltaH(chem). The analysis of AFA was carried out for typical five ternary amorphous systems. The following four results are derived. 1)Al-La-Ni and B-Fe-Zr alloys have high AFA in accordance with the concept of the three empirical rules. 2) The further multiplication of alloy components causes an increase in the AFA of Al-B-Fe alloys. 3) Thermodynamical factors represented by melting temperature and viscosity at the melting temperature are required for evaluation of AFA for Mg- and Pd-based amorphous alloys. 4) A tendency for log(S-sigma/k(B)) to increase with decreasing DeltaH(chem) is recognized in each alloys system, implying the stabilization of an amorphous phase against solid solution and intermediate phase.","author":[{"dropping-particle":"","family":"Takeuchi","given":"Akira","non-dropping-particle":"","parse-names":false,"suffix":""},{"dropping-particle":"","family":"Inoue","given":"Akihisa","non-dropping-particle":"","parse-names":false,"suffix":""}],"container-title":"Materials Transactions, JIM","id":"ITEM-1","issued":{"date-parts":[["2000"]]},"title":"Calculations of Mixing Enthalpy and Mismatch Entropy for Ternary Amorphous Alloys","type":"article-journal"},"uris":["http://www.mendeley.com/documents/?uuid=f204a1ff-6452-4863-9be7-553691347e7b","http://www.mendeley.com/documents/?uuid=49ff5427-5774-4103-8e03-57b3d9219c9f"]},{"id":"ITEM-2","itemData":{"DOI":"10.1016/S1359-6454(99)00300-6","ISBN":"1359-6454","ISSN":"13596454","PMID":"782073","abstract":"Bulk metallic materials have ordinarily been produced by melting and solidification processes for the last several thousand years. However, metallic liquid is unstable at temperatures below the melting temperature and solidifies immediately into crystalline phases. Consequently, all bulk engineering alloys are composed of a crystalline structure. Recently, this common concept was exploded by the findings of the stabilization phenomenon of the supercooled liquid for a number of alloys in the Mg-, lanthanide-, Zr-, Ti-, Fe-, Co-, Pd-Cu- and Ni-based systems. The alloys with the stabilized supercooled liquid state have three features in their alloy components, i.e. multicomponent systems, significant atomic size ratios above 12%, and negative heats of mixing. The stabilization mechanism has also been investigated from experimental data of structure analyses and fundamental physical properties. The stabilization has enabled the production of bulk amorphous alloys in the thickness range of 1-100 mm by using various casting processes. Bulk amorphous Zr-based alloys exhibit high mechanical strength, high fracture toughness and good corrosion resistance and have been used for sporting goods materials. The stabilization also leads to the appearance of a large supercooled liquid region before crystallization and enables high-strain rate super-plasticity through Newtonian flow. The new Fe- and Co-based amorphous alloys exhibit a large super-cooled liquid region and good soft magnetic properties which are characterized by low coercive force and high permeability. Furthermore, homogeneous dispersion of nanoscale particles into Zr-based bulk amorphous alloys was found to cause an improvement of tensile strength without detriment to good ductility. The discovery of the stabilization phenomenon, followed by the clarification of the stabilization criteria of the supercooled liquid, will promise the future definite development of bulk amorphous alloys as new basic science and engineering materials.","author":[{"dropping-particle":"","family":"Inoue","given":"Akihisa","non-dropping-particle":"","parse-names":false,"suffix":""}],"container-title":"Acta Materialia","id":"ITEM-2","issued":{"date-parts":[["2000"]]},"title":"Stabilization of metallic supercooled liquid and bulk amorphous alloys","type":"article-journal"},"uris":["http://www.mendeley.com/documents/?uuid=986f0909-c7fe-4a24-999e-ac4bdd1643ec","http://www.mendeley.com/documents/?uuid=4e47911f-5777-47c0-8a8f-0dc2ebf0c9a9"]}],"mendeley":{"formattedCitation":"[52,53]","plainTextFormattedCitation":"[52,53]","previouslyFormattedCitation":"[52,53]"},"properties":{"noteIndex":0},"schema":"https://github.com/citation-style-language/schema/raw/master/csl-citation.json"}</w:instrText>
      </w:r>
      <w:r>
        <w:fldChar w:fldCharType="separate"/>
      </w:r>
      <w:r w:rsidRPr="003B39BC">
        <w:rPr>
          <w:noProof/>
        </w:rPr>
        <w:t>[52,53]</w:t>
      </w:r>
      <w:r>
        <w:fldChar w:fldCharType="end"/>
      </w:r>
      <w:r>
        <w:t xml:space="preserve"> </w:t>
      </w:r>
      <w:r w:rsidRPr="008C71F2">
        <w:rPr>
          <w:noProof/>
        </w:rPr>
        <w:t>fu</w:t>
      </w:r>
      <w:r>
        <w:t xml:space="preserve">rther developed the formation enthalpy calculated by the Miedema model to multi-component alloy systems. This was achieved by calculating mixing enthalpy as shown in </w:t>
      </w:r>
      <w:r w:rsidRPr="00071E18">
        <w:rPr>
          <w:i/>
        </w:rPr>
        <w:t>eq</w:t>
      </w:r>
      <w:r>
        <w:t>. 10 to aid the understand</w:t>
      </w:r>
      <w:r w:rsidR="00C24D9B">
        <w:t>ing</w:t>
      </w:r>
      <w:r>
        <w:t xml:space="preserve"> of the formation tendency of the amorphous phase. The application of using mixing enthalpy in predicting phase formation tendency </w:t>
      </w:r>
      <w:r w:rsidR="00C24D9B">
        <w:t xml:space="preserve">was </w:t>
      </w:r>
      <w:r>
        <w:t xml:space="preserve">then applied </w:t>
      </w:r>
      <w:r>
        <w:lastRenderedPageBreak/>
        <w:t xml:space="preserve">to HEAs. In simple solid solution phases, the configurational enthalpy is approximated by using </w:t>
      </w:r>
      <w:r w:rsidR="00C24D9B">
        <w:t xml:space="preserve">the </w:t>
      </w:r>
      <w:r>
        <w:t>binary formation enthalpy data derived from the Miedema model and shown as:</w:t>
      </w:r>
    </w:p>
    <w:p w14:paraId="36693287" w14:textId="77777777" w:rsidR="00624970" w:rsidRPr="0012501A" w:rsidRDefault="00624970" w:rsidP="00624970">
      <w:pPr>
        <w:spacing w:afterLines="60" w:after="144" w:line="360" w:lineRule="auto"/>
        <w:jc w:val="right"/>
      </w:pPr>
      <m:oMath>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mix</m:t>
            </m:r>
          </m:sub>
        </m:sSub>
        <m:r>
          <m:rPr>
            <m:sty m:val="p"/>
          </m:rPr>
          <w:rPr>
            <w:rFonts w:ascii="Cambria Math" w:hAnsi="Cambria Math"/>
          </w:rPr>
          <m:t>=</m:t>
        </m:r>
        <m:nary>
          <m:naryPr>
            <m:chr m:val="∑"/>
            <m:limLoc m:val="undOvr"/>
            <m:ctrlPr>
              <w:rPr>
                <w:rFonts w:ascii="Cambria Math" w:hAnsi="Cambria Math"/>
              </w:rPr>
            </m:ctrlPr>
          </m:naryPr>
          <m:sub>
            <m:r>
              <w:rPr>
                <w:rFonts w:ascii="Cambria Math" w:hAnsi="Cambria Math"/>
              </w:rPr>
              <m:t>i=1,i≠j</m:t>
            </m:r>
          </m:sub>
          <m:sup>
            <m:r>
              <w:rPr>
                <w:rFonts w:ascii="Cambria Math" w:hAnsi="Cambria Math"/>
              </w:rPr>
              <m:t>n</m:t>
            </m:r>
          </m:sup>
          <m:e>
            <m:sSub>
              <m:sSubPr>
                <m:ctrlPr>
                  <w:rPr>
                    <w:rFonts w:ascii="Cambria Math" w:hAnsi="Cambria Math"/>
                    <w:i/>
                  </w:rPr>
                </m:ctrlPr>
              </m:sSubPr>
              <m:e>
                <m:r>
                  <w:rPr>
                    <w:rFonts w:ascii="Cambria Math" w:hAnsi="Cambria Math"/>
                  </w:rPr>
                  <m:t>H</m:t>
                </m:r>
              </m:e>
              <m:sub>
                <m:r>
                  <w:rPr>
                    <w:rFonts w:ascii="Cambria Math" w:hAnsi="Cambria Math"/>
                  </w:rPr>
                  <m:t>ij</m:t>
                </m:r>
              </m:sub>
            </m:sSub>
            <m:sSub>
              <m:sSubPr>
                <m:ctrlPr>
                  <w:rPr>
                    <w:rFonts w:ascii="Cambria Math" w:hAnsi="Cambria Math"/>
                    <w:i/>
                  </w:rPr>
                </m:ctrlPr>
              </m:sSubPr>
              <m:e>
                <m:r>
                  <w:rPr>
                    <w:rFonts w:ascii="Cambria Math" w:hAnsi="Cambria Math"/>
                  </w:rPr>
                  <m:t>c</m:t>
                </m:r>
              </m:e>
              <m:sub>
                <m:r>
                  <w:rPr>
                    <w:rFonts w:ascii="Cambria Math" w:hAnsi="Cambria Math"/>
                  </w:rPr>
                  <m:t>i</m:t>
                </m:r>
              </m:sub>
            </m:sSub>
            <m:sSub>
              <m:sSubPr>
                <m:ctrlPr>
                  <w:rPr>
                    <w:rFonts w:ascii="Cambria Math" w:hAnsi="Cambria Math"/>
                    <w:i/>
                  </w:rPr>
                </m:ctrlPr>
              </m:sSubPr>
              <m:e>
                <m:r>
                  <w:rPr>
                    <w:rFonts w:ascii="Cambria Math" w:hAnsi="Cambria Math"/>
                  </w:rPr>
                  <m:t>c</m:t>
                </m:r>
              </m:e>
              <m:sub>
                <m:r>
                  <w:rPr>
                    <w:rFonts w:ascii="Cambria Math" w:hAnsi="Cambria Math"/>
                  </w:rPr>
                  <m:t>j</m:t>
                </m:r>
              </m:sub>
            </m:sSub>
          </m:e>
        </m:nary>
      </m:oMath>
      <w:r>
        <w:t xml:space="preserve">                                                            (10)</w:t>
      </w:r>
    </w:p>
    <w:p w14:paraId="7CC43630" w14:textId="7F7C9818" w:rsidR="00624970" w:rsidRDefault="00C24D9B" w:rsidP="00624970">
      <w:pPr>
        <w:spacing w:afterLines="60" w:after="144" w:line="360" w:lineRule="auto"/>
        <w:jc w:val="both"/>
      </w:pPr>
      <w:r>
        <w:t>w</w:t>
      </w:r>
      <w:r w:rsidR="00624970">
        <w:t xml:space="preserve">here </w:t>
      </w:r>
      <m:oMath>
        <m:sSub>
          <m:sSubPr>
            <m:ctrlPr>
              <w:rPr>
                <w:rFonts w:ascii="Cambria Math" w:hAnsi="Cambria Math"/>
                <w:i/>
              </w:rPr>
            </m:ctrlPr>
          </m:sSubPr>
          <m:e>
            <m:r>
              <w:rPr>
                <w:rFonts w:ascii="Cambria Math" w:hAnsi="Cambria Math"/>
              </w:rPr>
              <m:t>H</m:t>
            </m:r>
          </m:e>
          <m:sub>
            <m:r>
              <w:rPr>
                <w:rFonts w:ascii="Cambria Math" w:hAnsi="Cambria Math"/>
              </w:rPr>
              <m:t>ij</m:t>
            </m:r>
          </m:sub>
        </m:sSub>
        <m:r>
          <m:rPr>
            <m:sty m:val="p"/>
          </m:rPr>
          <w:rPr>
            <w:rFonts w:ascii="Cambria Math" w:hAnsi="Cambria Math"/>
          </w:rPr>
          <m:t>=4</m:t>
        </m:r>
        <m:r>
          <w:rPr>
            <w:rFonts w:ascii="Cambria Math" w:hAnsi="Cambria Math"/>
          </w:rPr>
          <m:t>∆</m:t>
        </m:r>
        <m:sSubSup>
          <m:sSubSupPr>
            <m:ctrlPr>
              <w:rPr>
                <w:rFonts w:ascii="Cambria Math" w:hAnsi="Cambria Math"/>
                <w:i/>
              </w:rPr>
            </m:ctrlPr>
          </m:sSubSupPr>
          <m:e>
            <m:r>
              <w:rPr>
                <w:rFonts w:ascii="Cambria Math" w:hAnsi="Cambria Math"/>
              </w:rPr>
              <m:t>H</m:t>
            </m:r>
          </m:e>
          <m:sub>
            <m:r>
              <w:rPr>
                <w:rFonts w:ascii="Cambria Math" w:hAnsi="Cambria Math"/>
              </w:rPr>
              <m:t>ij</m:t>
            </m:r>
          </m:sub>
          <m:sup>
            <m:r>
              <w:rPr>
                <w:rFonts w:ascii="Cambria Math" w:hAnsi="Cambria Math"/>
              </w:rPr>
              <m:t>mix</m:t>
            </m:r>
          </m:sup>
        </m:sSubSup>
      </m:oMath>
      <w:r w:rsidR="00624970">
        <w:t xml:space="preserve"> represents a normalised melting interaction parameter and equals to four times </w:t>
      </w:r>
      <w:r>
        <w:t>the</w:t>
      </w:r>
      <w:r w:rsidR="00624970">
        <w:t xml:space="preserve"> mixing enthalpy of component </w:t>
      </w:r>
      <w:r w:rsidR="00624970" w:rsidRPr="0012501A">
        <w:rPr>
          <w:rFonts w:ascii="Times New Roman" w:hAnsi="Times New Roman" w:cs="Times New Roman"/>
          <w:i/>
        </w:rPr>
        <w:t>i</w:t>
      </w:r>
      <w:r w:rsidR="00624970">
        <w:t xml:space="preserve"> and </w:t>
      </w:r>
      <w:r w:rsidR="00624970" w:rsidRPr="0012501A">
        <w:rPr>
          <w:rFonts w:ascii="Times New Roman" w:hAnsi="Times New Roman" w:cs="Times New Roman"/>
          <w:i/>
        </w:rPr>
        <w:t>j</w:t>
      </w:r>
      <w:r w:rsidR="00624970">
        <w:t xml:space="preserve">. </w:t>
      </w:r>
      <m:oMath>
        <m:sSub>
          <m:sSubPr>
            <m:ctrlPr>
              <w:rPr>
                <w:rFonts w:ascii="Cambria Math" w:hAnsi="Cambria Math"/>
                <w:i/>
              </w:rPr>
            </m:ctrlPr>
          </m:sSubPr>
          <m:e>
            <m:r>
              <w:rPr>
                <w:rFonts w:ascii="Cambria Math" w:hAnsi="Cambria Math"/>
              </w:rPr>
              <m:t>c</m:t>
            </m:r>
          </m:e>
          <m:sub>
            <m:r>
              <w:rPr>
                <w:rFonts w:ascii="Cambria Math" w:hAnsi="Cambria Math"/>
              </w:rPr>
              <m:t>i</m:t>
            </m:r>
          </m:sub>
        </m:sSub>
      </m:oMath>
      <w:r w:rsidR="00624970">
        <w:t xml:space="preserve"> is the mole fraction of component </w:t>
      </w:r>
      <w:r w:rsidR="00624970" w:rsidRPr="0012501A">
        <w:rPr>
          <w:rFonts w:ascii="Times New Roman" w:hAnsi="Times New Roman" w:cs="Times New Roman"/>
          <w:i/>
        </w:rPr>
        <w:t>i</w:t>
      </w:r>
      <w:r w:rsidR="00624970">
        <w:t>.</w:t>
      </w:r>
    </w:p>
    <w:p w14:paraId="0E5FC4C7" w14:textId="65663994" w:rsidR="00624970" w:rsidRDefault="00624970" w:rsidP="00624970">
      <w:pPr>
        <w:spacing w:afterLines="60" w:after="144" w:line="360" w:lineRule="auto"/>
        <w:jc w:val="both"/>
      </w:pPr>
      <w:r>
        <w:t xml:space="preserve">Zhang </w:t>
      </w:r>
      <w:r>
        <w:fldChar w:fldCharType="begin" w:fldLock="1"/>
      </w:r>
      <w:r>
        <w:instrText>ADDIN CSL_CITATION {"citationItems":[{"id":"ITEM-1","itemData":{"DOI":"10.1002/adem.200700240","ISBN":"1438-1656","ISSN":"14381656","abstract":"The purpose of this paper is, by summarizing the microstructure characteristics of the reported MHAs in terms of their atomic-size difference and enthalpy of mixing, to predict the solid-solution formation in various MHAs. From the thermodynamics of materials, solid solution generally forms at the terminal side of the phase diagram, while the ordered intermediate-phase forms at the center of the phase diagram.","author":[{"dropping-particle":"","family":"Zhang","given":"Yong","non-dropping-particle":"","parse-names":false,"suffix":""},{"dropping-particle":"","family":"Zhou","given":"Yun Jun","non-dropping-particle":"","parse-names":false,"suffix":""},{"dropping-particle":"","family":"Lin","given":"Jun Pin","non-dropping-particle":"","parse-names":false,"suffix":""},{"dropping-particle":"","family":"Chen","given":"Guo Liang","non-dropping-particle":"","parse-names":false,"suffix":""},{"dropping-particle":"","family":"Liaw","given":"Peter K.","non-dropping-particle":"","parse-names":false,"suffix":""}],"container-title":"Advanced Engineering Materials","id":"ITEM-1","issued":{"date-parts":[["2008"]]},"title":"Solid-solution phase formation rules for multi-component alloys","type":"article-journal"},"uris":["http://www.mendeley.com/documents/?uuid=6312a7eb-982e-4ec1-bff7-15ab4f9ad605","http://www.mendeley.com/documents/?uuid=1b5300ae-e65c-4d5c-845f-1275e142705d"]}],"mendeley":{"formattedCitation":"[54]","plainTextFormattedCitation":"[54]","previouslyFormattedCitation":"[54]"},"properties":{"noteIndex":0},"schema":"https://github.com/citation-style-language/schema/raw/master/csl-citation.json"}</w:instrText>
      </w:r>
      <w:r>
        <w:fldChar w:fldCharType="separate"/>
      </w:r>
      <w:r w:rsidRPr="003B39BC">
        <w:rPr>
          <w:noProof/>
        </w:rPr>
        <w:t>[54]</w:t>
      </w:r>
      <w:r>
        <w:fldChar w:fldCharType="end"/>
      </w:r>
      <w:r>
        <w:t xml:space="preserve"> proposed a 2-D plot (Fig. 2-6) of mixing enthalpy against atomic radius difference, which was first used in </w:t>
      </w:r>
      <w:r w:rsidRPr="008C71F2">
        <w:rPr>
          <w:noProof/>
        </w:rPr>
        <w:t>multi-component</w:t>
      </w:r>
      <w:r>
        <w:t xml:space="preserve"> alloys to aid in determining the formation tendencies of the amorphous and simple solid solution phases. In the plot, </w:t>
      </w:r>
      <w:r w:rsidRPr="008C71F2">
        <w:rPr>
          <w:noProof/>
        </w:rPr>
        <w:t>delta</w:t>
      </w:r>
      <w:r>
        <w:t xml:space="preserve"> is a refined dimensionless parameter to represent </w:t>
      </w:r>
      <w:r w:rsidRPr="008C71F2">
        <w:rPr>
          <w:noProof/>
        </w:rPr>
        <w:t>atomic</w:t>
      </w:r>
      <w:r>
        <w:t xml:space="preserve"> size difference in multi-component alloy systems. The judgement </w:t>
      </w:r>
      <w:r w:rsidRPr="008C71F2">
        <w:rPr>
          <w:noProof/>
        </w:rPr>
        <w:t>become</w:t>
      </w:r>
      <w:r>
        <w:rPr>
          <w:noProof/>
        </w:rPr>
        <w:t>s</w:t>
      </w:r>
      <w:r>
        <w:t xml:space="preserve"> evident after the phases of </w:t>
      </w:r>
      <w:r w:rsidRPr="008C71F2">
        <w:rPr>
          <w:noProof/>
        </w:rPr>
        <w:t>selected</w:t>
      </w:r>
      <w:r>
        <w:t xml:space="preserve"> alloy systems are classified into different groups as shown in Fig. 2-6. Owing to relatively positive mixing enthalpy, the compositions located in Zone </w:t>
      </w:r>
      <w:r w:rsidRPr="00577D86">
        <w:rPr>
          <w:b/>
        </w:rPr>
        <w:t>S</w:t>
      </w:r>
      <w:r>
        <w:t xml:space="preserve"> and </w:t>
      </w:r>
      <w:r w:rsidRPr="00577D86">
        <w:rPr>
          <w:b/>
        </w:rPr>
        <w:t>S’</w:t>
      </w:r>
      <w:r>
        <w:t xml:space="preserve"> </w:t>
      </w:r>
      <w:r>
        <w:rPr>
          <w:noProof/>
        </w:rPr>
        <w:t>tend</w:t>
      </w:r>
      <w:r>
        <w:t xml:space="preserve"> to form solid solution phases instead of intermetallic phases, within </w:t>
      </w:r>
      <w:r w:rsidR="00C24D9B">
        <w:t xml:space="preserve">which </w:t>
      </w:r>
      <w:r>
        <w:t xml:space="preserve">the mixing enthalpy and atomic size difference range from 5 to 20 and 0 to 6, respectively. The reason for this result is due to the energy required to form </w:t>
      </w:r>
      <w:r w:rsidRPr="008C71F2">
        <w:rPr>
          <w:noProof/>
        </w:rPr>
        <w:t>stable</w:t>
      </w:r>
      <w:r>
        <w:t xml:space="preserve"> localised bonds which are always lower than delocalized (metallic) bonds. However, with relatively lower mixing enthalpy and higher atomic size difference, in zone </w:t>
      </w:r>
      <w:r w:rsidRPr="00577D86">
        <w:rPr>
          <w:b/>
        </w:rPr>
        <w:t>S’</w:t>
      </w:r>
      <w:r>
        <w:t xml:space="preserve"> the ordered solid solution phase precipitated. This indicated that large atomic size difference may prevent the random substitution of component atoms, whilst mixing enthalpy is negative enough to form </w:t>
      </w:r>
      <w:r w:rsidRPr="008C71F2">
        <w:rPr>
          <w:noProof/>
        </w:rPr>
        <w:t>more</w:t>
      </w:r>
      <w:r>
        <w:t xml:space="preserve"> </w:t>
      </w:r>
      <w:r w:rsidRPr="00A32F30">
        <w:rPr>
          <w:noProof/>
        </w:rPr>
        <w:t>localized</w:t>
      </w:r>
      <w:r>
        <w:t xml:space="preserve"> bonds, hence forming an </w:t>
      </w:r>
      <w:r w:rsidRPr="00A32F30">
        <w:rPr>
          <w:noProof/>
        </w:rPr>
        <w:t>order</w:t>
      </w:r>
      <w:r>
        <w:rPr>
          <w:noProof/>
        </w:rPr>
        <w:t>ed</w:t>
      </w:r>
      <w:r>
        <w:t xml:space="preserve"> lattice structure. The amorphous zone </w:t>
      </w:r>
      <w:r w:rsidRPr="00A32F30">
        <w:rPr>
          <w:noProof/>
        </w:rPr>
        <w:t>w</w:t>
      </w:r>
      <w:r>
        <w:rPr>
          <w:noProof/>
        </w:rPr>
        <w:t>as</w:t>
      </w:r>
      <w:r>
        <w:t xml:space="preserve"> divided into </w:t>
      </w:r>
      <w:r w:rsidRPr="00577D86">
        <w:rPr>
          <w:b/>
        </w:rPr>
        <w:t>B1</w:t>
      </w:r>
      <w:r>
        <w:t xml:space="preserve"> and </w:t>
      </w:r>
      <w:r w:rsidRPr="00577D86">
        <w:rPr>
          <w:b/>
        </w:rPr>
        <w:t>B2</w:t>
      </w:r>
      <w:r>
        <w:t xml:space="preserve">. </w:t>
      </w:r>
      <w:r w:rsidRPr="00577D86">
        <w:rPr>
          <w:b/>
        </w:rPr>
        <w:t>B1</w:t>
      </w:r>
      <w:r>
        <w:t xml:space="preserve"> are mainly compositions with Cu and Mg as the </w:t>
      </w:r>
      <w:r w:rsidRPr="008C71F2">
        <w:rPr>
          <w:noProof/>
        </w:rPr>
        <w:t>principal</w:t>
      </w:r>
      <w:r>
        <w:t xml:space="preserve"> component, whereas </w:t>
      </w:r>
      <w:r w:rsidRPr="00577D86">
        <w:rPr>
          <w:b/>
        </w:rPr>
        <w:t xml:space="preserve">B2 </w:t>
      </w:r>
      <w:r w:rsidRPr="00A32F30">
        <w:rPr>
          <w:noProof/>
        </w:rPr>
        <w:t>is</w:t>
      </w:r>
      <w:r>
        <w:rPr>
          <w:noProof/>
        </w:rPr>
        <w:t xml:space="preserve"> mainly</w:t>
      </w:r>
      <w:r w:rsidRPr="00A32F30">
        <w:rPr>
          <w:noProof/>
        </w:rPr>
        <w:t xml:space="preserve"> based</w:t>
      </w:r>
      <w:r>
        <w:t xml:space="preserve"> on Zr.</w:t>
      </w:r>
    </w:p>
    <w:p w14:paraId="0B0CCB28" w14:textId="77777777" w:rsidR="00624970" w:rsidRDefault="00624970" w:rsidP="00624970">
      <w:pPr>
        <w:keepNext/>
        <w:spacing w:afterLines="60" w:after="144" w:line="360" w:lineRule="auto"/>
        <w:jc w:val="center"/>
      </w:pPr>
      <w:r>
        <w:rPr>
          <w:noProof/>
          <w:lang w:val="en-US" w:eastAsia="en-US"/>
        </w:rPr>
        <w:lastRenderedPageBreak/>
        <w:drawing>
          <wp:inline distT="0" distB="0" distL="0" distR="0" wp14:anchorId="4D90588C" wp14:editId="35A1C522">
            <wp:extent cx="3466756" cy="2666365"/>
            <wp:effectExtent l="0" t="0" r="635" b="635"/>
            <wp:docPr id="2" name="图片 2" descr="图片包含 地图, 文字&#10;&#10;已生成高可信度的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78C231.tmp"/>
                    <pic:cNvPicPr/>
                  </pic:nvPicPr>
                  <pic:blipFill>
                    <a:blip r:embed="rId19">
                      <a:extLst>
                        <a:ext uri="{28A0092B-C50C-407E-A947-70E740481C1C}">
                          <a14:useLocalDpi xmlns:a14="http://schemas.microsoft.com/office/drawing/2010/main" val="0"/>
                        </a:ext>
                      </a:extLst>
                    </a:blip>
                    <a:stretch>
                      <a:fillRect/>
                    </a:stretch>
                  </pic:blipFill>
                  <pic:spPr>
                    <a:xfrm>
                      <a:off x="0" y="0"/>
                      <a:ext cx="3474542" cy="2672353"/>
                    </a:xfrm>
                    <a:prstGeom prst="rect">
                      <a:avLst/>
                    </a:prstGeom>
                  </pic:spPr>
                </pic:pic>
              </a:graphicData>
            </a:graphic>
          </wp:inline>
        </w:drawing>
      </w:r>
    </w:p>
    <w:p w14:paraId="04DA6E3D" w14:textId="77777777" w:rsidR="00624970" w:rsidRPr="00A03FC4" w:rsidRDefault="00624970" w:rsidP="00624970">
      <w:pPr>
        <w:spacing w:afterLines="60" w:after="144" w:line="360" w:lineRule="auto"/>
        <w:rPr>
          <w:b/>
          <w:sz w:val="20"/>
        </w:rPr>
      </w:pPr>
      <w:bookmarkStart w:id="55" w:name="_Toc39312675"/>
      <w:bookmarkStart w:id="56" w:name="_Toc5617628"/>
      <w:bookmarkStart w:id="57" w:name="_Toc7364561"/>
      <w:r w:rsidRPr="00A03FC4">
        <w:rPr>
          <w:b/>
          <w:sz w:val="20"/>
        </w:rPr>
        <w:t>Figure</w:t>
      </w:r>
      <w:r>
        <w:rPr>
          <w:b/>
          <w:sz w:val="20"/>
        </w:rPr>
        <w:t xml:space="preserve"> 2-</w:t>
      </w:r>
      <w:r w:rsidRPr="008B6028">
        <w:rPr>
          <w:b/>
          <w:sz w:val="20"/>
        </w:rPr>
        <w:fldChar w:fldCharType="begin"/>
      </w:r>
      <w:r w:rsidRPr="008B6028">
        <w:rPr>
          <w:b/>
          <w:sz w:val="20"/>
        </w:rPr>
        <w:instrText xml:space="preserve"> SEQ Figure \* ARABIC </w:instrText>
      </w:r>
      <w:r w:rsidRPr="008B6028">
        <w:rPr>
          <w:b/>
          <w:sz w:val="20"/>
        </w:rPr>
        <w:fldChar w:fldCharType="separate"/>
      </w:r>
      <w:r>
        <w:rPr>
          <w:b/>
          <w:noProof/>
          <w:sz w:val="20"/>
        </w:rPr>
        <w:t>6</w:t>
      </w:r>
      <w:r w:rsidRPr="008B6028">
        <w:rPr>
          <w:b/>
          <w:sz w:val="20"/>
        </w:rPr>
        <w:fldChar w:fldCharType="end"/>
      </w:r>
      <w:r w:rsidRPr="00A03FC4">
        <w:rPr>
          <w:b/>
          <w:sz w:val="20"/>
        </w:rPr>
        <w:t xml:space="preserve"> Biplot of mixing enthalpy against the atomic size difference</w:t>
      </w:r>
      <w:r>
        <w:rPr>
          <w:b/>
          <w:sz w:val="20"/>
        </w:rPr>
        <w:t>.</w:t>
      </w:r>
      <w:r w:rsidRPr="00A03FC4">
        <w:rPr>
          <w:b/>
          <w:sz w:val="20"/>
        </w:rPr>
        <w:t xml:space="preserve"> </w:t>
      </w:r>
      <w:r w:rsidRPr="00A03FC4">
        <w:rPr>
          <w:b/>
          <w:sz w:val="20"/>
        </w:rPr>
        <w:fldChar w:fldCharType="begin" w:fldLock="1"/>
      </w:r>
      <w:r>
        <w:rPr>
          <w:b/>
          <w:sz w:val="20"/>
        </w:rPr>
        <w:instrText>ADDIN CSL_CITATION {"citationItems":[{"id":"ITEM-1","itemData":{"DOI":"10.1002/adem.200700240","ISBN":"1438-1656","ISSN":"14381656","abstract":"The purpose of this paper is, by summarizing the microstructure characteristics of the reported MHAs in terms of their atomic-size difference and enthalpy of mixing, to predict the solid-solution formation in various MHAs. From the thermodynamics of materials, solid solution generally forms at the terminal side of the phase diagram, while the ordered intermediate-phase forms at the center of the phase diagram.","author":[{"dropping-particle":"","family":"Zhang","given":"Yong","non-dropping-particle":"","parse-names":false,"suffix":""},{"dropping-particle":"","family":"Zhou","given":"Yun Jun","non-dropping-particle":"","parse-names":false,"suffix":""},{"dropping-particle":"","family":"Lin","given":"Jun Pin","non-dropping-particle":"","parse-names":false,"suffix":""},{"dropping-particle":"","family":"Chen","given":"Guo Liang","non-dropping-particle":"","parse-names":false,"suffix":""},{"dropping-particle":"","family":"Liaw","given":"Peter K.","non-dropping-particle":"","parse-names":false,"suffix":""}],"container-title":"Advanced Engineering Materials","id":"ITEM-1","issued":{"date-parts":[["2008"]]},"title":"Solid-solution phase formation rules for multi-component alloys","type":"article-journal"},"uris":["http://www.mendeley.com/documents/?uuid=1b5300ae-e65c-4d5c-845f-1275e142705d","http://www.mendeley.com/documents/?uuid=6312a7eb-982e-4ec1-bff7-15ab4f9ad605"]}],"mendeley":{"formattedCitation":"[54]","plainTextFormattedCitation":"[54]","previouslyFormattedCitation":"[54]"},"properties":{"noteIndex":0},"schema":"https://github.com/citation-style-language/schema/raw/master/csl-citation.json"}</w:instrText>
      </w:r>
      <w:r w:rsidRPr="00A03FC4">
        <w:rPr>
          <w:b/>
          <w:sz w:val="20"/>
        </w:rPr>
        <w:fldChar w:fldCharType="separate"/>
      </w:r>
      <w:bookmarkEnd w:id="56"/>
      <w:bookmarkEnd w:id="57"/>
      <w:r w:rsidRPr="003B39BC">
        <w:rPr>
          <w:noProof/>
          <w:sz w:val="20"/>
        </w:rPr>
        <w:t>[54]</w:t>
      </w:r>
      <w:bookmarkEnd w:id="55"/>
      <w:r w:rsidRPr="00A03FC4">
        <w:rPr>
          <w:b/>
          <w:sz w:val="20"/>
        </w:rPr>
        <w:fldChar w:fldCharType="end"/>
      </w:r>
    </w:p>
    <w:p w14:paraId="4AC3D02F" w14:textId="69E3C501" w:rsidR="00624970" w:rsidRDefault="00624970" w:rsidP="00624970">
      <w:pPr>
        <w:spacing w:afterLines="60" w:after="144" w:line="360" w:lineRule="auto"/>
        <w:jc w:val="both"/>
      </w:pPr>
      <w:r>
        <w:t xml:space="preserve">It is evident that the compositions in zone </w:t>
      </w:r>
      <w:r w:rsidRPr="00743C03">
        <w:rPr>
          <w:b/>
        </w:rPr>
        <w:t>B</w:t>
      </w:r>
      <w:r>
        <w:t xml:space="preserve"> have more negative mixing enthalpy (</w:t>
      </w:r>
      <w:r w:rsidRPr="00743C03">
        <w:rPr>
          <w:b/>
        </w:rPr>
        <w:t>B2</w:t>
      </w:r>
      <w:r>
        <w:t>) or higher atomic size difference (</w:t>
      </w:r>
      <w:r w:rsidRPr="00743C03">
        <w:rPr>
          <w:b/>
        </w:rPr>
        <w:t>B1</w:t>
      </w:r>
      <w:r>
        <w:rPr>
          <w:b/>
        </w:rPr>
        <w:t xml:space="preserve"> </w:t>
      </w:r>
      <w:r>
        <w:t xml:space="preserve">&amp; </w:t>
      </w:r>
      <w:r w:rsidRPr="00743C03">
        <w:rPr>
          <w:b/>
        </w:rPr>
        <w:t>B2</w:t>
      </w:r>
      <w:r>
        <w:t xml:space="preserve">). Zone </w:t>
      </w:r>
      <w:r w:rsidRPr="00743C03">
        <w:rPr>
          <w:b/>
        </w:rPr>
        <w:t>C</w:t>
      </w:r>
      <w:r>
        <w:t xml:space="preserve"> represent compositions with intermetallic phases, though the atomic size difference has not changed significantly, a more negative mixing enthalpy can </w:t>
      </w:r>
      <w:r w:rsidRPr="00A32F30">
        <w:rPr>
          <w:noProof/>
        </w:rPr>
        <w:t>be regarded</w:t>
      </w:r>
      <w:r>
        <w:t xml:space="preserve"> as an indication for the </w:t>
      </w:r>
      <w:r w:rsidRPr="00A32F30">
        <w:rPr>
          <w:noProof/>
        </w:rPr>
        <w:t>extensively</w:t>
      </w:r>
      <w:r>
        <w:t xml:space="preserve"> </w:t>
      </w:r>
      <w:r w:rsidRPr="00A32F30">
        <w:rPr>
          <w:noProof/>
        </w:rPr>
        <w:t>locali</w:t>
      </w:r>
      <w:r>
        <w:rPr>
          <w:noProof/>
        </w:rPr>
        <w:t>s</w:t>
      </w:r>
      <w:r w:rsidRPr="00A32F30">
        <w:rPr>
          <w:noProof/>
        </w:rPr>
        <w:t>ed</w:t>
      </w:r>
      <w:r>
        <w:t xml:space="preserve"> bond and result</w:t>
      </w:r>
      <w:r w:rsidR="00A5251D">
        <w:t>s</w:t>
      </w:r>
      <w:r>
        <w:t xml:space="preserve"> in the </w:t>
      </w:r>
      <w:r w:rsidRPr="008C71F2">
        <w:rPr>
          <w:noProof/>
        </w:rPr>
        <w:t>formation</w:t>
      </w:r>
      <w:r>
        <w:t xml:space="preserve"> of complex intermetallic phases. The judgement of phases cannot be explained by only considering mixing enthalpy </w:t>
      </w:r>
      <w:r w:rsidRPr="00A32F30">
        <w:rPr>
          <w:noProof/>
        </w:rPr>
        <w:t>and</w:t>
      </w:r>
      <w:r>
        <w:t xml:space="preserve"> </w:t>
      </w:r>
      <w:r>
        <w:rPr>
          <w:rFonts w:hint="eastAsia"/>
        </w:rPr>
        <w:t>atomic</w:t>
      </w:r>
      <w:r>
        <w:t xml:space="preserve"> size difference, but as the boundary where the </w:t>
      </w:r>
      <w:r w:rsidRPr="008C71F2">
        <w:rPr>
          <w:noProof/>
        </w:rPr>
        <w:t>simple</w:t>
      </w:r>
      <w:r>
        <w:t xml:space="preserve"> solid solution and intermetallic phase zones overlap. As shown in </w:t>
      </w:r>
      <w:r w:rsidRPr="006F074C">
        <w:t>Fig. 2-6</w:t>
      </w:r>
      <w:r>
        <w:t>, i</w:t>
      </w:r>
      <w:r w:rsidRPr="006F074C">
        <w:t xml:space="preserve">n some cases the trend of forming </w:t>
      </w:r>
      <w:r w:rsidR="00A5251D">
        <w:t>a</w:t>
      </w:r>
      <w:r w:rsidRPr="006F074C">
        <w:t xml:space="preserve"> complex intermetallic phase still exists</w:t>
      </w:r>
      <w:r>
        <w:t xml:space="preserve"> </w:t>
      </w:r>
      <w:r w:rsidRPr="006F074C">
        <w:t>with smaller atomic size difference and positive mixing enthalpy.</w:t>
      </w:r>
    </w:p>
    <w:p w14:paraId="5516737D" w14:textId="77777777" w:rsidR="00624970" w:rsidRDefault="00624970" w:rsidP="00624970">
      <w:pPr>
        <w:spacing w:afterLines="60" w:after="144" w:line="360" w:lineRule="auto"/>
      </w:pPr>
      <w:r w:rsidRPr="00936A8B">
        <w:t>Poletti</w:t>
      </w:r>
      <w:r>
        <w:t xml:space="preserve"> [47]</w:t>
      </w:r>
      <w:r w:rsidRPr="00936A8B">
        <w:t xml:space="preserve"> propose</w:t>
      </w:r>
      <w:r>
        <w:t>d</w:t>
      </w:r>
      <w:r w:rsidRPr="00936A8B">
        <w:t xml:space="preserve"> a new parameter </w:t>
      </w:r>
      <w:r w:rsidRPr="002E2DBB">
        <w:rPr>
          <w:i/>
          <w:iCs/>
        </w:rPr>
        <w:t>μ</w:t>
      </w:r>
      <w:r w:rsidRPr="00936A8B">
        <w:t xml:space="preserve"> </w:t>
      </w:r>
      <w:r>
        <w:t>together with r</w:t>
      </w:r>
      <w:r w:rsidRPr="00936A8B">
        <w:t xml:space="preserve">etaining atomic size difference as </w:t>
      </w:r>
      <w:r>
        <w:t>a</w:t>
      </w:r>
      <w:r w:rsidRPr="00936A8B">
        <w:t xml:space="preserve"> variable, to </w:t>
      </w:r>
      <w:r>
        <w:t>aid in the determination of</w:t>
      </w:r>
      <w:r w:rsidRPr="00936A8B">
        <w:t xml:space="preserve"> the phase formation tendency</w:t>
      </w:r>
      <w:r>
        <w:t xml:space="preserve"> </w:t>
      </w:r>
      <w:r w:rsidRPr="00936A8B">
        <w:t xml:space="preserve">as shown in Fig. 2-7. </w:t>
      </w:r>
      <w:r>
        <w:t>The parameter</w:t>
      </w:r>
      <w:r w:rsidRPr="007F74C1">
        <w:rPr>
          <w:rFonts w:ascii="Times New Roman" w:eastAsia="等线" w:hAnsi="Times New Roman" w:cs="Times New Roman"/>
          <w:i/>
        </w:rPr>
        <w:t xml:space="preserve"> μ</w:t>
      </w:r>
      <w:r>
        <w:t xml:space="preserve"> </w:t>
      </w:r>
      <w:r w:rsidRPr="00A32F30">
        <w:rPr>
          <w:noProof/>
        </w:rPr>
        <w:t>was defined</w:t>
      </w:r>
      <w:r>
        <w:t xml:space="preserve"> as:  </w:t>
      </w:r>
    </w:p>
    <w:p w14:paraId="59596923" w14:textId="77777777" w:rsidR="00624970" w:rsidRDefault="00624970" w:rsidP="00624970">
      <w:pPr>
        <w:spacing w:afterLines="60" w:after="144" w:line="360" w:lineRule="auto"/>
        <w:jc w:val="right"/>
      </w:pPr>
      <m:oMath>
        <m:r>
          <w:rPr>
            <w:rFonts w:ascii="Cambria Math" w:hAnsi="Cambria Math"/>
          </w:rPr>
          <m:t>μ</m:t>
        </m:r>
      </m:oMath>
      <w:r>
        <w:rPr>
          <w:rFonts w:hint="eastAsia"/>
        </w:rPr>
        <w:t>=</w:t>
      </w:r>
      <m:oMath>
        <m:sSub>
          <m:sSubPr>
            <m:ctrlPr>
              <w:rPr>
                <w:rFonts w:ascii="Cambria Math" w:hAnsi="Cambria Math"/>
              </w:rPr>
            </m:ctrlPr>
          </m:sSubPr>
          <m:e>
            <m:r>
              <w:rPr>
                <w:rFonts w:ascii="Cambria Math" w:hAnsi="Cambria Math"/>
              </w:rPr>
              <m:t>T</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SC</m:t>
            </m:r>
          </m:sub>
        </m:sSub>
      </m:oMath>
      <w:r>
        <w:t xml:space="preserve">                                                                         (11)</w:t>
      </w:r>
    </w:p>
    <w:p w14:paraId="56233EAD" w14:textId="119D0B6A" w:rsidR="00624970" w:rsidRDefault="00A5251D" w:rsidP="00624970">
      <w:pPr>
        <w:spacing w:afterLines="60" w:after="144" w:line="360" w:lineRule="auto"/>
      </w:pPr>
      <w:r>
        <w:t>w</w:t>
      </w:r>
      <w:r w:rsidR="00624970">
        <w:t xml:space="preserve">here </w:t>
      </w:r>
      <m:oMath>
        <m:sSub>
          <m:sSubPr>
            <m:ctrlPr>
              <w:rPr>
                <w:rFonts w:ascii="Cambria Math" w:hAnsi="Cambria Math"/>
              </w:rPr>
            </m:ctrlPr>
          </m:sSubPr>
          <m:e>
            <m:r>
              <w:rPr>
                <w:rFonts w:ascii="Cambria Math" w:hAnsi="Cambria Math"/>
              </w:rPr>
              <m:t>T</m:t>
            </m:r>
          </m:e>
          <m:sub>
            <m:r>
              <w:rPr>
                <w:rFonts w:ascii="Cambria Math" w:hAnsi="Cambria Math"/>
              </w:rPr>
              <m:t>m</m:t>
            </m:r>
          </m:sub>
        </m:sSub>
      </m:oMath>
      <w:r w:rsidR="00624970">
        <w:t xml:space="preserve"> is the approximated melting point of the alloy system and defined as:</w:t>
      </w:r>
    </w:p>
    <w:p w14:paraId="21286052" w14:textId="77777777" w:rsidR="00624970" w:rsidRPr="007F6130" w:rsidRDefault="00077961" w:rsidP="00624970">
      <w:pPr>
        <w:spacing w:afterLines="60" w:after="144" w:line="360" w:lineRule="auto"/>
        <w:jc w:val="right"/>
      </w:pPr>
      <m:oMath>
        <m:sSub>
          <m:sSubPr>
            <m:ctrlPr>
              <w:rPr>
                <w:rFonts w:ascii="Cambria Math" w:hAnsi="Cambria Math"/>
              </w:rPr>
            </m:ctrlPr>
          </m:sSubPr>
          <m:e>
            <m:r>
              <w:rPr>
                <w:rFonts w:ascii="Cambria Math" w:hAnsi="Cambria Math"/>
              </w:rPr>
              <m:t>T</m:t>
            </m:r>
          </m:e>
          <m:sub>
            <m:r>
              <w:rPr>
                <w:rFonts w:ascii="Cambria Math" w:hAnsi="Cambria Math"/>
              </w:rPr>
              <m:t>m</m:t>
            </m:r>
          </m:sub>
        </m:sSub>
        <m:r>
          <w:rPr>
            <w:rFonts w:ascii="Cambria Math" w:hAnsi="Cambria Math"/>
          </w:rPr>
          <m:t>=(</m:t>
        </m:r>
        <m:nary>
          <m:naryPr>
            <m:chr m:val="∑"/>
            <m:limLoc m:val="undOvr"/>
            <m:subHide m:val="1"/>
            <m:supHide m:val="1"/>
            <m:ctrlPr>
              <w:rPr>
                <w:rFonts w:ascii="Cambria Math" w:hAnsi="Cambria Math"/>
                <w:i/>
              </w:rPr>
            </m:ctrlPr>
          </m:naryPr>
          <m:sub/>
          <m:sup/>
          <m:e>
            <m:sSubSup>
              <m:sSubSupPr>
                <m:ctrlPr>
                  <w:rPr>
                    <w:rFonts w:ascii="Cambria Math" w:hAnsi="Cambria Math"/>
                    <w:i/>
                  </w:rPr>
                </m:ctrlPr>
              </m:sSubSupPr>
              <m:e>
                <m:r>
                  <w:rPr>
                    <w:rFonts w:ascii="Cambria Math" w:hAnsi="Cambria Math"/>
                  </w:rPr>
                  <m:t>∆H</m:t>
                </m:r>
              </m:e>
              <m:sub>
                <m:r>
                  <w:rPr>
                    <w:rFonts w:ascii="Cambria Math" w:hAnsi="Cambria Math"/>
                  </w:rPr>
                  <m:t>i</m:t>
                </m:r>
              </m:sub>
              <m:sup>
                <m:r>
                  <w:rPr>
                    <w:rFonts w:ascii="Cambria Math" w:hAnsi="Cambria Math"/>
                  </w:rPr>
                  <m:t>f</m:t>
                </m:r>
              </m:sup>
            </m:sSubSup>
            <m:sSub>
              <m:sSubPr>
                <m:ctrlPr>
                  <w:rPr>
                    <w:rFonts w:ascii="Cambria Math" w:hAnsi="Cambria Math"/>
                    <w:i/>
                  </w:rPr>
                </m:ctrlPr>
              </m:sSubPr>
              <m:e>
                <m:r>
                  <w:rPr>
                    <w:rFonts w:ascii="Cambria Math" w:hAnsi="Cambria Math"/>
                  </w:rPr>
                  <m:t>c</m:t>
                </m:r>
              </m:e>
              <m:sub>
                <m:r>
                  <w:rPr>
                    <w:rFonts w:ascii="Cambria Math" w:hAnsi="Cambria Math"/>
                  </w:rPr>
                  <m:t>i</m:t>
                </m:r>
              </m:sub>
            </m:sSub>
          </m:e>
        </m:nary>
        <m:r>
          <w:rPr>
            <w:rFonts w:ascii="Cambria Math" w:hAnsi="Cambria Math"/>
          </w:rPr>
          <m:t>)/(</m:t>
        </m:r>
        <m:nary>
          <m:naryPr>
            <m:chr m:val="∑"/>
            <m:limLoc m:val="undOvr"/>
            <m:subHide m:val="1"/>
            <m:supHide m:val="1"/>
            <m:ctrlPr>
              <w:rPr>
                <w:rFonts w:ascii="Cambria Math" w:hAnsi="Cambria Math"/>
                <w:i/>
              </w:rPr>
            </m:ctrlPr>
          </m:naryPr>
          <m:sub/>
          <m:sup/>
          <m:e>
            <m:sSubSup>
              <m:sSubSupPr>
                <m:ctrlPr>
                  <w:rPr>
                    <w:rFonts w:ascii="Cambria Math" w:hAnsi="Cambria Math"/>
                    <w:i/>
                  </w:rPr>
                </m:ctrlPr>
              </m:sSubSupPr>
              <m:e>
                <m:r>
                  <w:rPr>
                    <w:rFonts w:ascii="Cambria Math" w:hAnsi="Cambria Math"/>
                  </w:rPr>
                  <m:t>∆S</m:t>
                </m:r>
              </m:e>
              <m:sub>
                <m:r>
                  <w:rPr>
                    <w:rFonts w:ascii="Cambria Math" w:hAnsi="Cambria Math"/>
                  </w:rPr>
                  <m:t>i</m:t>
                </m:r>
              </m:sub>
              <m:sup>
                <m:r>
                  <w:rPr>
                    <w:rFonts w:ascii="Cambria Math" w:hAnsi="Cambria Math"/>
                  </w:rPr>
                  <m:t>f</m:t>
                </m:r>
              </m:sup>
            </m:sSubSup>
            <m:sSub>
              <m:sSubPr>
                <m:ctrlPr>
                  <w:rPr>
                    <w:rFonts w:ascii="Cambria Math" w:hAnsi="Cambria Math"/>
                    <w:i/>
                  </w:rPr>
                </m:ctrlPr>
              </m:sSubPr>
              <m:e>
                <m:r>
                  <w:rPr>
                    <w:rFonts w:ascii="Cambria Math" w:hAnsi="Cambria Math"/>
                  </w:rPr>
                  <m:t>c</m:t>
                </m:r>
              </m:e>
              <m:sub>
                <m:r>
                  <w:rPr>
                    <w:rFonts w:ascii="Cambria Math" w:hAnsi="Cambria Math"/>
                  </w:rPr>
                  <m:t>i</m:t>
                </m:r>
              </m:sub>
            </m:sSub>
          </m:e>
        </m:nary>
        <m:r>
          <w:rPr>
            <w:rFonts w:ascii="Cambria Math" w:hAnsi="Cambria Math"/>
          </w:rPr>
          <m:t>)</m:t>
        </m:r>
      </m:oMath>
      <w:r w:rsidR="00624970">
        <w:t xml:space="preserve">                                                           (12)</w:t>
      </w:r>
    </w:p>
    <w:p w14:paraId="2503EBBA" w14:textId="50CB8BFE" w:rsidR="00624970" w:rsidRDefault="00A5251D" w:rsidP="00624970">
      <w:pPr>
        <w:spacing w:afterLines="60" w:after="144" w:line="360" w:lineRule="auto"/>
        <w:jc w:val="both"/>
      </w:pPr>
      <w:r>
        <w:t>w</w:t>
      </w:r>
      <w:r w:rsidR="00624970">
        <w:t xml:space="preserve">here </w:t>
      </w:r>
      <m:oMath>
        <m:sSubSup>
          <m:sSubSupPr>
            <m:ctrlPr>
              <w:rPr>
                <w:rFonts w:ascii="Cambria Math" w:hAnsi="Cambria Math"/>
                <w:i/>
              </w:rPr>
            </m:ctrlPr>
          </m:sSubSupPr>
          <m:e>
            <m:r>
              <w:rPr>
                <w:rFonts w:ascii="Cambria Math" w:hAnsi="Cambria Math"/>
              </w:rPr>
              <m:t>∆H</m:t>
            </m:r>
          </m:e>
          <m:sub>
            <m:r>
              <w:rPr>
                <w:rFonts w:ascii="Cambria Math" w:hAnsi="Cambria Math"/>
              </w:rPr>
              <m:t>i</m:t>
            </m:r>
          </m:sub>
          <m:sup>
            <m:r>
              <w:rPr>
                <w:rFonts w:ascii="Cambria Math" w:hAnsi="Cambria Math"/>
              </w:rPr>
              <m:t>f</m:t>
            </m:r>
          </m:sup>
        </m:sSubSup>
      </m:oMath>
      <w:r w:rsidR="00624970">
        <w:rPr>
          <w:rFonts w:hint="eastAsia"/>
        </w:rPr>
        <w:t xml:space="preserve"> </w:t>
      </w:r>
      <w:r w:rsidR="00624970">
        <w:t xml:space="preserve">and </w:t>
      </w:r>
      <m:oMath>
        <m:sSubSup>
          <m:sSubSupPr>
            <m:ctrlPr>
              <w:rPr>
                <w:rFonts w:ascii="Cambria Math" w:hAnsi="Cambria Math"/>
                <w:i/>
              </w:rPr>
            </m:ctrlPr>
          </m:sSubSupPr>
          <m:e>
            <m:r>
              <w:rPr>
                <w:rFonts w:ascii="Cambria Math" w:hAnsi="Cambria Math"/>
              </w:rPr>
              <m:t>∆S</m:t>
            </m:r>
          </m:e>
          <m:sub>
            <m:r>
              <w:rPr>
                <w:rFonts w:ascii="Cambria Math" w:hAnsi="Cambria Math"/>
              </w:rPr>
              <m:t>i</m:t>
            </m:r>
          </m:sub>
          <m:sup>
            <m:r>
              <w:rPr>
                <w:rFonts w:ascii="Cambria Math" w:hAnsi="Cambria Math"/>
              </w:rPr>
              <m:t>f</m:t>
            </m:r>
          </m:sup>
        </m:sSubSup>
      </m:oMath>
      <w:r w:rsidR="00624970">
        <w:t xml:space="preserve"> represents fusion enthalpy and entropy; </w:t>
      </w:r>
      <m:oMath>
        <m:sSub>
          <m:sSubPr>
            <m:ctrlPr>
              <w:rPr>
                <w:rFonts w:ascii="Cambria Math" w:hAnsi="Cambria Math"/>
                <w:i/>
              </w:rPr>
            </m:ctrlPr>
          </m:sSubPr>
          <m:e>
            <m:r>
              <w:rPr>
                <w:rFonts w:ascii="Cambria Math" w:hAnsi="Cambria Math"/>
              </w:rPr>
              <m:t>c</m:t>
            </m:r>
          </m:e>
          <m:sub>
            <m:r>
              <w:rPr>
                <w:rFonts w:ascii="Cambria Math" w:hAnsi="Cambria Math"/>
              </w:rPr>
              <m:t>i</m:t>
            </m:r>
          </m:sub>
        </m:sSub>
      </m:oMath>
      <w:r w:rsidR="00624970">
        <w:rPr>
          <w:rFonts w:hint="eastAsia"/>
        </w:rPr>
        <w:t xml:space="preserve"> </w:t>
      </w:r>
      <w:r w:rsidR="00624970">
        <w:t xml:space="preserve">is the concentration of components </w:t>
      </w:r>
      <w:r w:rsidR="00624970" w:rsidRPr="005A4352">
        <w:rPr>
          <w:i/>
        </w:rPr>
        <w:t>i</w:t>
      </w:r>
      <w:r w:rsidR="00624970">
        <w:t xml:space="preserve">: and </w:t>
      </w:r>
      <m:oMath>
        <m:sSub>
          <m:sSubPr>
            <m:ctrlPr>
              <w:rPr>
                <w:rFonts w:ascii="Cambria Math" w:hAnsi="Cambria Math"/>
                <w:i/>
              </w:rPr>
            </m:ctrlPr>
          </m:sSubPr>
          <m:e>
            <m:r>
              <w:rPr>
                <w:rFonts w:ascii="Cambria Math" w:hAnsi="Cambria Math"/>
              </w:rPr>
              <m:t>T</m:t>
            </m:r>
          </m:e>
          <m:sub>
            <m:r>
              <w:rPr>
                <w:rFonts w:ascii="Cambria Math" w:hAnsi="Cambria Math"/>
              </w:rPr>
              <m:t>SC</m:t>
            </m:r>
          </m:sub>
        </m:sSub>
      </m:oMath>
      <w:r w:rsidR="00624970">
        <w:rPr>
          <w:rFonts w:hint="eastAsia"/>
        </w:rPr>
        <w:t xml:space="preserve"> </w:t>
      </w:r>
      <w:r w:rsidR="00624970">
        <w:t xml:space="preserve">is the temperature of the transform point for mixing free energy. HEAs possessing solid solution phases favour formation in the high </w:t>
      </w:r>
      <m:oMath>
        <m:r>
          <w:rPr>
            <w:rFonts w:ascii="Cambria Math" w:hAnsi="Cambria Math"/>
          </w:rPr>
          <m:t>μ</m:t>
        </m:r>
      </m:oMath>
      <w:r w:rsidR="00624970">
        <w:rPr>
          <w:rFonts w:hint="eastAsia"/>
        </w:rPr>
        <w:t xml:space="preserve"> </w:t>
      </w:r>
      <w:r w:rsidR="00624970">
        <w:t>area</w:t>
      </w:r>
      <w:r w:rsidR="00624970">
        <w:rPr>
          <w:noProof/>
        </w:rPr>
        <w:t xml:space="preserve"> and a</w:t>
      </w:r>
      <w:r w:rsidR="00624970" w:rsidRPr="008C71F2">
        <w:rPr>
          <w:noProof/>
        </w:rPr>
        <w:t xml:space="preserve"> si</w:t>
      </w:r>
      <w:r w:rsidR="00624970">
        <w:t>milar phe</w:t>
      </w:r>
      <w:r w:rsidR="00624970" w:rsidRPr="00A32F30">
        <w:rPr>
          <w:noProof/>
        </w:rPr>
        <w:t>n</w:t>
      </w:r>
      <w:r w:rsidR="00624970" w:rsidRPr="008C71F2">
        <w:rPr>
          <w:noProof/>
        </w:rPr>
        <w:t xml:space="preserve">omenon </w:t>
      </w:r>
      <w:r w:rsidR="00624970">
        <w:t xml:space="preserve">has also been observed in the formation of BCC HEAs. </w:t>
      </w:r>
      <w:r w:rsidR="00624970" w:rsidRPr="005241BD">
        <w:t xml:space="preserve">Beyond the clear phase formation tendency observed, the most important </w:t>
      </w:r>
      <w:r w:rsidR="00624970" w:rsidRPr="005241BD">
        <w:lastRenderedPageBreak/>
        <w:t>contribution of this work considers HEA systems as a non-ideal solid solution phase, utilising the parameter μ for phase formation prediction</w:t>
      </w:r>
      <w:r w:rsidR="00624970">
        <w:t>. Under such consideration, research can show the limitations of using simple ther</w:t>
      </w:r>
      <w:r w:rsidR="00624970" w:rsidRPr="00A32F30">
        <w:rPr>
          <w:noProof/>
        </w:rPr>
        <w:t>m</w:t>
      </w:r>
      <w:r w:rsidR="00624970" w:rsidRPr="008C71F2">
        <w:rPr>
          <w:noProof/>
        </w:rPr>
        <w:t>odynam</w:t>
      </w:r>
      <w:r w:rsidR="00624970">
        <w:t>ic parameters, as a semi-empiri</w:t>
      </w:r>
      <w:r w:rsidR="00624970" w:rsidRPr="00A32F30">
        <w:rPr>
          <w:noProof/>
        </w:rPr>
        <w:t>c</w:t>
      </w:r>
      <w:r w:rsidR="00624970" w:rsidRPr="008C71F2">
        <w:rPr>
          <w:noProof/>
        </w:rPr>
        <w:t>al method deri</w:t>
      </w:r>
      <w:r w:rsidR="00624970">
        <w:t>ved from the Hume-Rothery rule, to predict the phase formation tendency of HEAs.</w:t>
      </w:r>
      <w:r w:rsidR="00624970" w:rsidRPr="005D3CC3">
        <w:t xml:space="preserve"> </w:t>
      </w:r>
      <w:r w:rsidR="00624970">
        <w:t>Further</w:t>
      </w:r>
      <w:r w:rsidR="00624970" w:rsidRPr="005D3CC3">
        <w:t xml:space="preserve"> research was conducted </w:t>
      </w:r>
      <w:r w:rsidR="00624970">
        <w:t>in an attempt to</w:t>
      </w:r>
      <w:r w:rsidR="00624970" w:rsidRPr="005D3CC3">
        <w:t xml:space="preserve"> take the nature of phase formation in HEAs into consideration and the importance of considering electronic structure was recognised</w:t>
      </w:r>
      <w:r w:rsidR="00624970">
        <w:t>.</w:t>
      </w:r>
    </w:p>
    <w:p w14:paraId="2277126B" w14:textId="77777777" w:rsidR="00624970" w:rsidRDefault="00624970" w:rsidP="00624970">
      <w:pPr>
        <w:keepNext/>
        <w:spacing w:afterLines="60" w:after="144" w:line="360" w:lineRule="auto"/>
        <w:jc w:val="center"/>
      </w:pPr>
      <w:r w:rsidRPr="004A52A4">
        <w:rPr>
          <w:noProof/>
          <w:lang w:val="en-US" w:eastAsia="en-US"/>
        </w:rPr>
        <w:drawing>
          <wp:inline distT="0" distB="0" distL="0" distR="0" wp14:anchorId="1A14793A" wp14:editId="1E7B71AD">
            <wp:extent cx="2955341" cy="2143287"/>
            <wp:effectExtent l="0" t="0" r="0" b="9525"/>
            <wp:docPr id="8" name="图片 7">
              <a:extLst xmlns:a="http://schemas.openxmlformats.org/drawingml/2006/main">
                <a:ext uri="{FF2B5EF4-FFF2-40B4-BE49-F238E27FC236}">
                  <a16:creationId xmlns:a16="http://schemas.microsoft.com/office/drawing/2014/main" id="{3F03E669-603B-4DD7-AC05-1F7D4138AA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3F03E669-603B-4DD7-AC05-1F7D4138AAA5}"/>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2964278" cy="2149768"/>
                    </a:xfrm>
                    <a:prstGeom prst="rect">
                      <a:avLst/>
                    </a:prstGeom>
                  </pic:spPr>
                </pic:pic>
              </a:graphicData>
            </a:graphic>
          </wp:inline>
        </w:drawing>
      </w:r>
    </w:p>
    <w:p w14:paraId="4D0A5029" w14:textId="77777777" w:rsidR="00624970" w:rsidRDefault="00624970" w:rsidP="00624970">
      <w:pPr>
        <w:spacing w:afterLines="60" w:after="144" w:line="360" w:lineRule="auto"/>
        <w:rPr>
          <w:b/>
          <w:sz w:val="20"/>
        </w:rPr>
      </w:pPr>
      <w:bookmarkStart w:id="58" w:name="_Toc39312676"/>
      <w:bookmarkStart w:id="59" w:name="_Toc5617629"/>
      <w:bookmarkStart w:id="60" w:name="_Toc7364562"/>
      <w:r w:rsidRPr="00A03FC4">
        <w:rPr>
          <w:b/>
          <w:sz w:val="20"/>
        </w:rPr>
        <w:t>Figure</w:t>
      </w:r>
      <w:r>
        <w:rPr>
          <w:b/>
          <w:sz w:val="20"/>
        </w:rPr>
        <w:t xml:space="preserve"> </w:t>
      </w:r>
      <w:r w:rsidRPr="008B6028">
        <w:rPr>
          <w:b/>
          <w:sz w:val="20"/>
          <w:szCs w:val="20"/>
        </w:rPr>
        <w:t>2-</w:t>
      </w:r>
      <w:r w:rsidRPr="008B6028">
        <w:rPr>
          <w:b/>
          <w:sz w:val="20"/>
          <w:szCs w:val="20"/>
        </w:rPr>
        <w:fldChar w:fldCharType="begin"/>
      </w:r>
      <w:r w:rsidRPr="008B6028">
        <w:rPr>
          <w:b/>
          <w:sz w:val="20"/>
          <w:szCs w:val="20"/>
        </w:rPr>
        <w:instrText xml:space="preserve"> SEQ Figure \* ARABIC </w:instrText>
      </w:r>
      <w:r w:rsidRPr="008B6028">
        <w:rPr>
          <w:b/>
          <w:sz w:val="20"/>
          <w:szCs w:val="20"/>
        </w:rPr>
        <w:fldChar w:fldCharType="separate"/>
      </w:r>
      <w:r>
        <w:rPr>
          <w:b/>
          <w:noProof/>
          <w:sz w:val="20"/>
          <w:szCs w:val="20"/>
        </w:rPr>
        <w:t>7</w:t>
      </w:r>
      <w:r w:rsidRPr="008B6028">
        <w:rPr>
          <w:b/>
          <w:sz w:val="20"/>
          <w:szCs w:val="20"/>
        </w:rPr>
        <w:fldChar w:fldCharType="end"/>
      </w:r>
      <w:r w:rsidRPr="00A03FC4">
        <w:rPr>
          <w:b/>
          <w:sz w:val="20"/>
        </w:rPr>
        <w:t xml:space="preserve"> Biplot of </w:t>
      </w:r>
      <w:r w:rsidRPr="00A03FC4">
        <w:rPr>
          <w:rFonts w:ascii="Times New Roman" w:eastAsia="等线" w:hAnsi="Times New Roman" w:cs="Times New Roman"/>
          <w:b/>
          <w:i/>
          <w:sz w:val="20"/>
        </w:rPr>
        <w:t>μ</w:t>
      </w:r>
      <w:r w:rsidRPr="00A03FC4">
        <w:rPr>
          <w:b/>
          <w:sz w:val="20"/>
        </w:rPr>
        <w:t xml:space="preserve"> against the atomic size difference</w:t>
      </w:r>
      <w:r>
        <w:rPr>
          <w:b/>
          <w:sz w:val="20"/>
        </w:rPr>
        <w:t xml:space="preserve">. </w:t>
      </w:r>
      <w:r w:rsidRPr="00A03FC4">
        <w:rPr>
          <w:b/>
          <w:sz w:val="20"/>
        </w:rPr>
        <w:fldChar w:fldCharType="begin" w:fldLock="1"/>
      </w:r>
      <w:r>
        <w:rPr>
          <w:b/>
          <w:sz w:val="20"/>
        </w:rPr>
        <w:instrText>ADDIN CSL_CITATION {"citationItems":[{"id":"ITEM-1","itemData":{"DOI":"10.1016/j.jallcom.2014.09.145","ISBN":"0925-8388","ISSN":"09258388","abstract":"High entropy alloys, i.e. solid solution phases, are sought in the X-NbTaTiZr equiatomic system where the X element was chosen as Al, Cr, V and Sn by applying recent criteria based on size and electronegativity mismatch of alloy components, number of itinerant and total valence electrons, and the temperature at which the free energy of mixing changes at the alloy composition. The alloys containing V and Al are mostly constituted by solid solutions in good agreement with prediction.","author":[{"dropping-particle":"","family":"Poletti","given":"Marco Gabriele","non-dropping-particle":"","parse-names":false,"suffix":""},{"dropping-particle":"","family":"Fiore","given":"Gianluca","non-dropping-particle":"","parse-names":false,"suffix":""},{"dropping-particle":"","family":"Szost","given":"Blanka A.","non-dropping-particle":"","parse-names":false,"suffix":""},{"dropping-particle":"","family":"Battezzati","given":"Livio","non-dropping-particle":"","parse-names":false,"suffix":""}],"container-title":"Journal of Alloys and Compounds","id":"ITEM-1","issued":{"date-parts":[["2015"]]},"title":"Search for high entropy alloys in the X-NbTaTiZr systems (X = Al, Cr, V, Sn)","type":"article-journal"},"uris":["http://www.mendeley.com/documents/?uuid=bb5d7938-9567-46a7-9440-cfab8656e56e","http://www.mendeley.com/documents/?uuid=d0841aab-78b9-4e0c-ad62-b638bbfce888"]}],"mendeley":{"formattedCitation":"[42]","plainTextFormattedCitation":"[42]","previouslyFormattedCitation":"[42]"},"properties":{"noteIndex":0},"schema":"https://github.com/citation-style-language/schema/raw/master/csl-citation.json"}</w:instrText>
      </w:r>
      <w:r w:rsidRPr="00A03FC4">
        <w:rPr>
          <w:b/>
          <w:sz w:val="20"/>
        </w:rPr>
        <w:fldChar w:fldCharType="separate"/>
      </w:r>
      <w:bookmarkEnd w:id="59"/>
      <w:bookmarkEnd w:id="60"/>
      <w:r w:rsidRPr="003B39BC">
        <w:rPr>
          <w:noProof/>
          <w:sz w:val="20"/>
        </w:rPr>
        <w:t>[42]</w:t>
      </w:r>
      <w:bookmarkEnd w:id="58"/>
      <w:r w:rsidRPr="00A03FC4">
        <w:rPr>
          <w:b/>
          <w:sz w:val="20"/>
        </w:rPr>
        <w:fldChar w:fldCharType="end"/>
      </w:r>
    </w:p>
    <w:p w14:paraId="1FB22511" w14:textId="6209B3F8" w:rsidR="00624970" w:rsidRPr="0061147B" w:rsidRDefault="00624970" w:rsidP="00624970">
      <w:pPr>
        <w:spacing w:afterLines="60" w:after="144" w:line="360" w:lineRule="auto"/>
        <w:rPr>
          <w:b/>
          <w:sz w:val="20"/>
        </w:rPr>
      </w:pPr>
      <w:r>
        <w:t xml:space="preserve">To determine the best relative parameter to predict the phase formation tendency of HEAs, Dominguez </w:t>
      </w:r>
      <w:r w:rsidRPr="002E2DBB">
        <w:rPr>
          <w:i/>
        </w:rPr>
        <w:t>et al.</w:t>
      </w:r>
      <w:r w:rsidRPr="00014DED">
        <w:t xml:space="preserve"> </w:t>
      </w:r>
      <w:r>
        <w:fldChar w:fldCharType="begin" w:fldLock="1"/>
      </w:r>
      <w:r>
        <w:instrText>ADDIN CSL_CITATION {"citationItems":[{"id":"ITEM-1","itemData":{"DOI":"10.1179/1743284715Y.0000000019","ISBN":"0000000019","ISSN":"0267-0836","abstract":"Prediction of the crystalline structure formation of high entropy alloys is addressed in a novel way by applying principal components analysis to their thermodynamic and electronic parameters. In the simplest form, it shows an excellent discrimination between both face and body centred cubic structures when taking into account the valence electron concentration and enthalpy of mixing. Our analysis indicates that there is a stronger correlation between the formation of multiprincipal components alloys andtheseparameters than with entropy. The successfulprediction of amultiphase structure in TiMnFeNi and the discovery of two novel four componentHEAs,MnFeCoNi and TiVMnNb, lends credence to this approach.","author":[{"dropping-particle":"","family":"Domínguez","given":"L. Asensio","non-dropping-particle":"","parse-names":false,"suffix":""},{"dropping-particle":"","family":"Goodall","given":"R.","non-dropping-particle":"","parse-names":false,"suffix":""},{"dropping-particle":"","family":"Todd","given":"I.","non-dropping-particle":"","parse-names":false,"suffix":""}],"container-title":"Materials Science and Technology","id":"ITEM-1","issued":{"date-parts":[["2015"]]},"title":"Prediction and validation of quaternary high entropy alloys using statistical approaches","type":"article-journal"},"uris":["http://www.mendeley.com/documents/?uuid=928a7f3a-f235-4996-b79d-0697be26f900","http://www.mendeley.com/documents/?uuid=84d24500-3bb5-48d9-935f-96400e3ff96a"]}],"mendeley":{"formattedCitation":"[55]","plainTextFormattedCitation":"[55]","previouslyFormattedCitation":"[55]"},"properties":{"noteIndex":0},"schema":"https://github.com/citation-style-language/schema/raw/master/csl-citation.json"}</w:instrText>
      </w:r>
      <w:r>
        <w:fldChar w:fldCharType="separate"/>
      </w:r>
      <w:r w:rsidRPr="003B39BC">
        <w:rPr>
          <w:noProof/>
        </w:rPr>
        <w:t>[55]</w:t>
      </w:r>
      <w:r>
        <w:fldChar w:fldCharType="end"/>
      </w:r>
      <w:r>
        <w:t xml:space="preserve">, conducted a principal component analysis (PCA) on the five most reported semi-empirical parameters. These being mixing enthalpy, configurational entropy, electronegativity difference, </w:t>
      </w:r>
      <w:r w:rsidRPr="006A062A">
        <w:rPr>
          <w:i/>
        </w:rPr>
        <w:t>VEC</w:t>
      </w:r>
      <w:r>
        <w:t xml:space="preserve"> and atomic size difference. As shown in the biplot of the </w:t>
      </w:r>
      <w:r w:rsidRPr="00497F55">
        <w:rPr>
          <w:noProof/>
        </w:rPr>
        <w:t>first</w:t>
      </w:r>
      <w:r>
        <w:t xml:space="preserve"> two principal component variables (Fig. 2-8), the single FCC phase zone concentrates next to </w:t>
      </w:r>
      <w:r w:rsidRPr="006A062A">
        <w:rPr>
          <w:i/>
        </w:rPr>
        <w:t>VEC</w:t>
      </w:r>
      <w:r>
        <w:rPr>
          <w:i/>
        </w:rPr>
        <w:t>,</w:t>
      </w:r>
      <w:r>
        <w:t xml:space="preserve"> while the single BCC phase mainly locates around the axes of mixing enthalpy and electronegativity difference. Intermetallic phases, multiple BCC phases and multiple FCC phases </w:t>
      </w:r>
      <w:r w:rsidRPr="00497F55">
        <w:rPr>
          <w:noProof/>
        </w:rPr>
        <w:t>were observed</w:t>
      </w:r>
      <w:r>
        <w:t xml:space="preserve"> next to the </w:t>
      </w:r>
      <w:r w:rsidRPr="00497F55">
        <w:rPr>
          <w:noProof/>
        </w:rPr>
        <w:t>entropy</w:t>
      </w:r>
      <w:r>
        <w:t xml:space="preserve"> of mixing and </w:t>
      </w:r>
      <w:r w:rsidRPr="006A062A">
        <w:rPr>
          <w:i/>
        </w:rPr>
        <w:t>VEC</w:t>
      </w:r>
      <w:r>
        <w:t xml:space="preserve">. </w:t>
      </w:r>
    </w:p>
    <w:p w14:paraId="1044AD6F" w14:textId="77777777" w:rsidR="00624970" w:rsidRDefault="00624970" w:rsidP="00624970">
      <w:pPr>
        <w:keepNext/>
        <w:spacing w:afterLines="60" w:after="144" w:line="360" w:lineRule="auto"/>
        <w:jc w:val="center"/>
      </w:pPr>
      <w:r w:rsidRPr="00A03FC4">
        <w:rPr>
          <w:noProof/>
          <w:sz w:val="20"/>
          <w:lang w:val="en-US" w:eastAsia="en-US"/>
        </w:rPr>
        <w:lastRenderedPageBreak/>
        <w:drawing>
          <wp:inline distT="0" distB="0" distL="0" distR="0" wp14:anchorId="00C4B7E4" wp14:editId="15CF6898">
            <wp:extent cx="3339851" cy="2054936"/>
            <wp:effectExtent l="0" t="0" r="0" b="2540"/>
            <wp:docPr id="9" name="图片 9" descr="图片包含 文字, 地图&#10;&#10;已生成极高可信度的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7812FA.t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58814" cy="2066604"/>
                    </a:xfrm>
                    <a:prstGeom prst="rect">
                      <a:avLst/>
                    </a:prstGeom>
                  </pic:spPr>
                </pic:pic>
              </a:graphicData>
            </a:graphic>
          </wp:inline>
        </w:drawing>
      </w:r>
    </w:p>
    <w:p w14:paraId="35BE2DE7" w14:textId="77777777" w:rsidR="00624970" w:rsidRPr="0061147B" w:rsidRDefault="00624970" w:rsidP="00624970">
      <w:pPr>
        <w:spacing w:afterLines="60" w:after="144" w:line="360" w:lineRule="auto"/>
        <w:rPr>
          <w:b/>
          <w:sz w:val="20"/>
        </w:rPr>
      </w:pPr>
      <w:bookmarkStart w:id="61" w:name="_Toc39312677"/>
      <w:bookmarkStart w:id="62" w:name="_Toc5617630"/>
      <w:bookmarkStart w:id="63" w:name="_Toc7364563"/>
      <w:r w:rsidRPr="00A03FC4">
        <w:rPr>
          <w:b/>
          <w:sz w:val="20"/>
        </w:rPr>
        <w:t>Figure</w:t>
      </w:r>
      <w:r>
        <w:rPr>
          <w:b/>
          <w:sz w:val="20"/>
        </w:rPr>
        <w:t xml:space="preserve"> 2-</w:t>
      </w:r>
      <w:r w:rsidRPr="008B6028">
        <w:rPr>
          <w:b/>
          <w:sz w:val="20"/>
        </w:rPr>
        <w:fldChar w:fldCharType="begin"/>
      </w:r>
      <w:r w:rsidRPr="008B6028">
        <w:rPr>
          <w:b/>
          <w:sz w:val="20"/>
        </w:rPr>
        <w:instrText xml:space="preserve"> SEQ Figure \* ARABIC </w:instrText>
      </w:r>
      <w:r w:rsidRPr="008B6028">
        <w:rPr>
          <w:b/>
          <w:sz w:val="20"/>
        </w:rPr>
        <w:fldChar w:fldCharType="separate"/>
      </w:r>
      <w:r>
        <w:rPr>
          <w:b/>
          <w:noProof/>
          <w:sz w:val="20"/>
        </w:rPr>
        <w:t>8</w:t>
      </w:r>
      <w:r w:rsidRPr="008B6028">
        <w:rPr>
          <w:b/>
          <w:sz w:val="20"/>
        </w:rPr>
        <w:fldChar w:fldCharType="end"/>
      </w:r>
      <w:r w:rsidRPr="00A03FC4">
        <w:rPr>
          <w:b/>
          <w:sz w:val="20"/>
        </w:rPr>
        <w:t xml:space="preserve"> Biplot of principal component analysis</w:t>
      </w:r>
      <w:r>
        <w:rPr>
          <w:b/>
          <w:sz w:val="20"/>
        </w:rPr>
        <w:t xml:space="preserve"> </w:t>
      </w:r>
      <w:r w:rsidRPr="00A03FC4">
        <w:rPr>
          <w:b/>
          <w:sz w:val="20"/>
        </w:rPr>
        <w:t>(PCA),</w:t>
      </w:r>
      <w:r>
        <w:rPr>
          <w:b/>
          <w:sz w:val="20"/>
        </w:rPr>
        <w:t xml:space="preserve"> showing</w:t>
      </w:r>
      <w:r w:rsidRPr="00A03FC4">
        <w:rPr>
          <w:b/>
          <w:sz w:val="20"/>
        </w:rPr>
        <w:t xml:space="preserve"> principal component one against principal component two. Phases appear best fit with the lines represent</w:t>
      </w:r>
      <w:r>
        <w:rPr>
          <w:b/>
          <w:sz w:val="20"/>
        </w:rPr>
        <w:t>ing</w:t>
      </w:r>
      <w:r w:rsidRPr="00A03FC4">
        <w:rPr>
          <w:b/>
          <w:sz w:val="20"/>
        </w:rPr>
        <w:t xml:space="preserve"> VEC and mixing enthalpy.</w:t>
      </w:r>
      <w:r>
        <w:rPr>
          <w:b/>
          <w:sz w:val="20"/>
        </w:rPr>
        <w:t xml:space="preserve"> </w:t>
      </w:r>
      <w:r w:rsidRPr="00A03FC4">
        <w:rPr>
          <w:b/>
          <w:sz w:val="20"/>
        </w:rPr>
        <w:fldChar w:fldCharType="begin" w:fldLock="1"/>
      </w:r>
      <w:r>
        <w:rPr>
          <w:b/>
          <w:sz w:val="20"/>
        </w:rPr>
        <w:instrText>ADDIN CSL_CITATION {"citationItems":[{"id":"ITEM-1","itemData":{"DOI":"10.1179/1743284715Y.0000000019","ISBN":"0000000019","ISSN":"0267-0836","abstract":"Prediction of the crystalline structure formation of high entropy alloys is addressed in a novel way by applying principal components analysis to their thermodynamic and electronic parameters. In the simplest form, it shows an excellent discrimination between both face and body centred cubic structures when taking into account the valence electron concentration and enthalpy of mixing. Our analysis indicates that there is a stronger correlation between the formation of multiprincipal components alloys andtheseparameters than with entropy. The successfulprediction of amultiphase structure in TiMnFeNi and the discovery of two novel four componentHEAs,MnFeCoNi and TiVMnNb, lends credence to this approach.","author":[{"dropping-particle":"","family":"Domínguez","given":"L. Asensio","non-dropping-particle":"","parse-names":false,"suffix":""},{"dropping-particle":"","family":"Goodall","given":"R.","non-dropping-particle":"","parse-names":false,"suffix":""},{"dropping-particle":"","family":"Todd","given":"I.","non-dropping-particle":"","parse-names":false,"suffix":""}],"container-title":"Materials Science and Technology","id":"ITEM-1","issued":{"date-parts":[["2015"]]},"title":"Prediction and validation of quaternary high entropy alloys using statistical approaches","type":"article-journal"},"uris":["http://www.mendeley.com/documents/?uuid=84d24500-3bb5-48d9-935f-96400e3ff96a","http://www.mendeley.com/documents/?uuid=928a7f3a-f235-4996-b79d-0697be26f900"]}],"mendeley":{"formattedCitation":"[55]","plainTextFormattedCitation":"[55]","previouslyFormattedCitation":"[55]"},"properties":{"noteIndex":0},"schema":"https://github.com/citation-style-language/schema/raw/master/csl-citation.json"}</w:instrText>
      </w:r>
      <w:r w:rsidRPr="00A03FC4">
        <w:rPr>
          <w:b/>
          <w:sz w:val="20"/>
        </w:rPr>
        <w:fldChar w:fldCharType="separate"/>
      </w:r>
      <w:bookmarkEnd w:id="62"/>
      <w:bookmarkEnd w:id="63"/>
      <w:r w:rsidRPr="003B39BC">
        <w:rPr>
          <w:noProof/>
          <w:sz w:val="20"/>
        </w:rPr>
        <w:t>[55]</w:t>
      </w:r>
      <w:bookmarkEnd w:id="61"/>
      <w:r w:rsidRPr="00A03FC4">
        <w:rPr>
          <w:b/>
          <w:sz w:val="20"/>
        </w:rPr>
        <w:fldChar w:fldCharType="end"/>
      </w:r>
    </w:p>
    <w:p w14:paraId="5BF3C1B2" w14:textId="51FB0FB3" w:rsidR="00624970" w:rsidRDefault="00624970" w:rsidP="00624970">
      <w:pPr>
        <w:spacing w:afterLines="60" w:after="144" w:line="360" w:lineRule="auto"/>
        <w:jc w:val="both"/>
      </w:pPr>
      <w:r w:rsidRPr="00FF7373">
        <w:t xml:space="preserve">According to the PCA result, </w:t>
      </w:r>
      <w:r w:rsidRPr="00435745">
        <w:rPr>
          <w:i/>
          <w:iCs/>
        </w:rPr>
        <w:t>VEC</w:t>
      </w:r>
      <w:r w:rsidRPr="00FF7373">
        <w:t xml:space="preserve"> and enthalpy of mixing were considered as two more relevant variables to distinguish between simple and complex phase formation tendency</w:t>
      </w:r>
      <w:r>
        <w:t>.</w:t>
      </w:r>
      <w:r w:rsidRPr="00FF7373">
        <w:t xml:space="preserve"> In the biplot of VEC against mixing enthalpy, the boundary between simple FCC and BCC is </w:t>
      </w:r>
      <w:r>
        <w:t>evident</w:t>
      </w:r>
      <w:r w:rsidRPr="00FF7373">
        <w:t xml:space="preserve"> </w:t>
      </w:r>
      <w:r>
        <w:t>and</w:t>
      </w:r>
      <w:r w:rsidRPr="00FF7373">
        <w:t xml:space="preserve"> the location between simple cubic phases and complex phases can also be distinguished</w:t>
      </w:r>
      <w:r>
        <w:t xml:space="preserve"> </w:t>
      </w:r>
      <w:r w:rsidRPr="00FF7373">
        <w:t>(Fig.2-9)</w:t>
      </w:r>
      <w:r>
        <w:t xml:space="preserve">. The range of forming simple solid solution phases </w:t>
      </w:r>
      <w:r>
        <w:rPr>
          <w:noProof/>
        </w:rPr>
        <w:t>were</w:t>
      </w:r>
      <w:r w:rsidRPr="00DA36DD">
        <w:rPr>
          <w:noProof/>
        </w:rPr>
        <w:t xml:space="preserve"> concluded</w:t>
      </w:r>
      <w:r w:rsidRPr="00DA36DD">
        <w:t xml:space="preserve"> as -5&gt; </w:t>
      </w:r>
      <w:r w:rsidRPr="00DA36DD">
        <w:rPr>
          <w:rFonts w:cs="Times New Roman"/>
        </w:rPr>
        <w:t>Δ</w:t>
      </w:r>
      <w:r w:rsidRPr="006B2891">
        <w:rPr>
          <w:i/>
        </w:rPr>
        <w:t>H</w:t>
      </w:r>
      <w:r w:rsidRPr="008D07D9">
        <w:rPr>
          <w:i/>
          <w:iCs/>
          <w:vertAlign w:val="subscript"/>
        </w:rPr>
        <w:t>mix</w:t>
      </w:r>
      <w:r w:rsidRPr="00DA36DD">
        <w:rPr>
          <w:vertAlign w:val="subscript"/>
        </w:rPr>
        <w:t xml:space="preserve"> </w:t>
      </w:r>
      <w:r w:rsidRPr="00DA36DD">
        <w:t xml:space="preserve">&gt;0, 6&gt; </w:t>
      </w:r>
      <w:r w:rsidRPr="006B2891">
        <w:rPr>
          <w:i/>
        </w:rPr>
        <w:t>VEC</w:t>
      </w:r>
      <w:r w:rsidRPr="00DA36DD">
        <w:t xml:space="preserve"> &gt;3 and 11&gt; </w:t>
      </w:r>
      <w:r w:rsidRPr="006B2891">
        <w:rPr>
          <w:i/>
        </w:rPr>
        <w:t xml:space="preserve">VEC </w:t>
      </w:r>
      <w:r w:rsidRPr="00DA36DD">
        <w:t>&gt;8 for</w:t>
      </w:r>
      <w:r>
        <w:t xml:space="preserve"> the</w:t>
      </w:r>
      <w:r w:rsidRPr="00DA36DD">
        <w:t xml:space="preserve"> BCC and FCC structure</w:t>
      </w:r>
      <w:r>
        <w:t>s,</w:t>
      </w:r>
      <w:r w:rsidRPr="00DA36DD">
        <w:t xml:space="preserve"> respectively. The effectiveness of using mixing enthalpy and </w:t>
      </w:r>
      <w:r w:rsidRPr="006B2891">
        <w:rPr>
          <w:i/>
        </w:rPr>
        <w:t>VEC</w:t>
      </w:r>
      <w:r w:rsidRPr="00DA36DD">
        <w:t xml:space="preserve"> in predictin</w:t>
      </w:r>
      <w:r>
        <w:t xml:space="preserve">g phase formation tendency of HEAs indicated the importance of considering electronic structure and interaction between multi-components. From the Miedema model, mixing enthalpy is approximated from the </w:t>
      </w:r>
      <w:r w:rsidRPr="008C71F2">
        <w:rPr>
          <w:noProof/>
        </w:rPr>
        <w:t>redistributed</w:t>
      </w:r>
      <w:r>
        <w:t xml:space="preserve"> density of electrons, which participate in forming </w:t>
      </w:r>
      <w:r w:rsidRPr="008C71F2">
        <w:rPr>
          <w:noProof/>
        </w:rPr>
        <w:t>bond</w:t>
      </w:r>
      <w:r>
        <w:rPr>
          <w:noProof/>
        </w:rPr>
        <w:t>s</w:t>
      </w:r>
      <w:r>
        <w:t xml:space="preserve"> at the Wigner Seitz radius</w:t>
      </w:r>
      <w:r w:rsidRPr="2CFAE5AB">
        <w:t>.</w:t>
      </w:r>
      <w:r>
        <w:t xml:space="preserve"> </w:t>
      </w:r>
      <w:r w:rsidRPr="006B2891">
        <w:rPr>
          <w:i/>
        </w:rPr>
        <w:t>VEC</w:t>
      </w:r>
      <w:r>
        <w:t xml:space="preserve"> is the </w:t>
      </w:r>
      <w:r w:rsidRPr="008C71F2">
        <w:rPr>
          <w:noProof/>
        </w:rPr>
        <w:t>integrated</w:t>
      </w:r>
      <w:r>
        <w:t xml:space="preserve"> density of states of electrons in the valence bond. Both variables are parameters considering the effect of valence electrons. The nature of mixing enthalpy is energy expended in</w:t>
      </w:r>
      <w:r w:rsidR="00A5251D">
        <w:t xml:space="preserve"> the</w:t>
      </w:r>
      <w:r>
        <w:t xml:space="preserve"> redistribution of electron density, </w:t>
      </w:r>
      <w:r w:rsidRPr="2CFAE5AB">
        <w:t>to</w:t>
      </w:r>
      <w:r>
        <w:t xml:space="preserve"> </w:t>
      </w:r>
      <w:r w:rsidRPr="2CFAE5AB">
        <w:t>accommodate</w:t>
      </w:r>
      <w:r>
        <w:t xml:space="preserve"> the respective component’s Wigner radius to form a </w:t>
      </w:r>
      <w:r w:rsidRPr="008C71F2">
        <w:rPr>
          <w:noProof/>
        </w:rPr>
        <w:t>new</w:t>
      </w:r>
      <w:r>
        <w:t xml:space="preserve"> bond. In accordance with</w:t>
      </w:r>
      <w:r w:rsidRPr="2CFAE5AB">
        <w:t xml:space="preserve"> the empirical method discussed</w:t>
      </w:r>
      <w:r>
        <w:t xml:space="preserve"> and</w:t>
      </w:r>
      <w:r w:rsidRPr="2CFAE5AB">
        <w:t xml:space="preserve"> under the assumption that most HEAs are likely to form the ideal solid solution phase,</w:t>
      </w:r>
      <w:r>
        <w:t xml:space="preserve"> </w:t>
      </w:r>
      <w:r w:rsidRPr="2CFAE5AB">
        <w:t xml:space="preserve">the nature of the semi-empirical prediction of phase formation tendency in HEAs </w:t>
      </w:r>
      <w:r>
        <w:t xml:space="preserve">has </w:t>
      </w:r>
      <w:r w:rsidRPr="2CFAE5AB">
        <w:t>focuse</w:t>
      </w:r>
      <w:r>
        <w:t>d</w:t>
      </w:r>
      <w:r w:rsidRPr="2CFAE5AB">
        <w:t xml:space="preserve"> on </w:t>
      </w:r>
      <w:r>
        <w:t>determining</w:t>
      </w:r>
      <w:r w:rsidRPr="2CFAE5AB">
        <w:t xml:space="preserve"> the lowest energy st</w:t>
      </w:r>
      <w:r w:rsidRPr="00F3788D">
        <w:t>ate in different solid solution phases</w:t>
      </w:r>
      <w:r>
        <w:t xml:space="preserve">. However, it is evident there is no single semi-empirical parameter, </w:t>
      </w:r>
      <w:r w:rsidR="00A5251D">
        <w:t>that</w:t>
      </w:r>
      <w:r>
        <w:t xml:space="preserve"> can be used as a comprehensive approximation of the alloys electronic structure to make the </w:t>
      </w:r>
      <w:r w:rsidRPr="00A27DDF">
        <w:t xml:space="preserve">prediction. For </w:t>
      </w:r>
      <w:r>
        <w:t>example</w:t>
      </w:r>
      <w:r w:rsidRPr="00A27DDF">
        <w:t xml:space="preserve">, the </w:t>
      </w:r>
      <w:r w:rsidRPr="006B2891">
        <w:rPr>
          <w:i/>
        </w:rPr>
        <w:t>VEC</w:t>
      </w:r>
      <w:r w:rsidRPr="00A27DDF">
        <w:t xml:space="preserve"> method is more reliable </w:t>
      </w:r>
      <w:r w:rsidR="00A5251D">
        <w:t>for</w:t>
      </w:r>
      <w:r w:rsidRPr="00A27DDF">
        <w:t xml:space="preserve"> predict</w:t>
      </w:r>
      <w:r w:rsidR="00A5251D">
        <w:t>ing</w:t>
      </w:r>
      <w:r w:rsidRPr="00A27DDF">
        <w:t xml:space="preserve"> the lattice structure of</w:t>
      </w:r>
      <w:r>
        <w:t xml:space="preserve"> a</w:t>
      </w:r>
      <w:r w:rsidRPr="00A27DDF">
        <w:t xml:space="preserve"> designed metallic system</w:t>
      </w:r>
      <w:r>
        <w:t>,</w:t>
      </w:r>
      <w:r w:rsidRPr="00A27DDF">
        <w:t xml:space="preserve"> whil</w:t>
      </w:r>
      <w:r>
        <w:t>e in contrast,</w:t>
      </w:r>
      <w:r w:rsidRPr="00A27DDF">
        <w:t xml:space="preserve"> the mixing enthalpy is more effective </w:t>
      </w:r>
      <w:r>
        <w:t>in</w:t>
      </w:r>
      <w:r w:rsidRPr="00A27DDF">
        <w:t xml:space="preserve"> predict</w:t>
      </w:r>
      <w:r>
        <w:t>ing</w:t>
      </w:r>
      <w:r w:rsidRPr="00A27DDF">
        <w:t xml:space="preserve"> whether a metallic system will form</w:t>
      </w:r>
      <w:r>
        <w:t xml:space="preserve"> a</w:t>
      </w:r>
      <w:r w:rsidRPr="00A27DDF">
        <w:t xml:space="preserve"> simple solid solution phase or complex intermetallic phase. </w:t>
      </w:r>
      <w:r>
        <w:t>When considering the</w:t>
      </w:r>
      <w:r w:rsidRPr="00A27DDF">
        <w:t xml:space="preserve"> atomic size differ</w:t>
      </w:r>
      <w:r w:rsidRPr="008C71F2">
        <w:rPr>
          <w:noProof/>
        </w:rPr>
        <w:t xml:space="preserve">ence, </w:t>
      </w:r>
      <w:r>
        <w:t>as</w:t>
      </w:r>
      <w:r w:rsidRPr="00A27DDF">
        <w:t xml:space="preserve"> expressed in Fig. 2-8, </w:t>
      </w:r>
      <w:r>
        <w:t>this</w:t>
      </w:r>
      <w:r w:rsidRPr="00A27DDF">
        <w:t xml:space="preserve"> mostly serves as a modifying factor to refine the predictions made by comparing </w:t>
      </w:r>
      <w:r>
        <w:t xml:space="preserve">the </w:t>
      </w:r>
      <w:r w:rsidRPr="006B2891">
        <w:rPr>
          <w:i/>
        </w:rPr>
        <w:t>VEC</w:t>
      </w:r>
      <w:r w:rsidRPr="00A27DDF">
        <w:t xml:space="preserve"> or mixing enthalpy</w:t>
      </w:r>
      <w:r>
        <w:t xml:space="preserve"> of </w:t>
      </w:r>
      <w:r w:rsidRPr="00A27DDF">
        <w:t>a</w:t>
      </w:r>
      <w:r>
        <w:t xml:space="preserve"> </w:t>
      </w:r>
      <w:r>
        <w:lastRenderedPageBreak/>
        <w:t>designated</w:t>
      </w:r>
      <w:r w:rsidRPr="00A27DDF">
        <w:t xml:space="preserve"> metallic system. Thus, </w:t>
      </w:r>
      <w:r>
        <w:t>owing</w:t>
      </w:r>
      <w:r w:rsidRPr="00A27DDF">
        <w:t xml:space="preserve"> to </w:t>
      </w:r>
      <w:r>
        <w:t xml:space="preserve">the </w:t>
      </w:r>
      <w:r w:rsidRPr="00A27DDF">
        <w:t xml:space="preserve">lack of </w:t>
      </w:r>
      <w:r>
        <w:t>consideration regarding the</w:t>
      </w:r>
      <w:r w:rsidRPr="00A27DDF">
        <w:t xml:space="preserve"> comprehensive effect </w:t>
      </w:r>
      <w:r>
        <w:t>raised</w:t>
      </w:r>
      <w:r w:rsidRPr="00A27DDF">
        <w:t xml:space="preserve"> by multiple electron interaction, the semi-empirical phase formation predictions only show satisfactory accuracy for the system composed mainly of elements from </w:t>
      </w:r>
      <w:r>
        <w:t xml:space="preserve">the </w:t>
      </w:r>
      <w:r w:rsidRPr="00A27DDF">
        <w:t>transition group</w:t>
      </w:r>
      <w:r w:rsidRPr="008C71F2">
        <w:rPr>
          <w:noProof/>
        </w:rPr>
        <w:t xml:space="preserve"> with simila</w:t>
      </w:r>
      <w:r w:rsidRPr="00A27DDF">
        <w:t xml:space="preserve">r </w:t>
      </w:r>
      <w:r w:rsidRPr="006B2891">
        <w:rPr>
          <w:i/>
        </w:rPr>
        <w:t>VEC</w:t>
      </w:r>
      <w:r w:rsidRPr="00A27DDF">
        <w:t xml:space="preserve"> values. When two or more components from different group</w:t>
      </w:r>
      <w:r>
        <w:t>s of</w:t>
      </w:r>
      <w:r w:rsidRPr="00A27DDF">
        <w:t xml:space="preserve"> elements with large </w:t>
      </w:r>
      <w:r w:rsidRPr="006B2891">
        <w:rPr>
          <w:i/>
        </w:rPr>
        <w:t>VEC</w:t>
      </w:r>
      <w:r w:rsidRPr="00A27DDF">
        <w:t xml:space="preserve"> differen</w:t>
      </w:r>
      <w:r>
        <w:t>ce</w:t>
      </w:r>
      <w:r w:rsidRPr="00A27DDF">
        <w:t xml:space="preserve"> were included, the precision of</w:t>
      </w:r>
      <w:r>
        <w:t xml:space="preserve"> the</w:t>
      </w:r>
      <w:r w:rsidRPr="00A27DDF">
        <w:t xml:space="preserve"> semi-empirical pre</w:t>
      </w:r>
      <w:r w:rsidRPr="008C71F2">
        <w:rPr>
          <w:noProof/>
        </w:rPr>
        <w:t>diction method</w:t>
      </w:r>
      <w:r w:rsidRPr="00A27DDF">
        <w:t xml:space="preserve"> decrease</w:t>
      </w:r>
      <w:r w:rsidR="005918C3">
        <w:t>s</w:t>
      </w:r>
      <w:r>
        <w:t xml:space="preserve"> significantly</w:t>
      </w:r>
      <w:r w:rsidRPr="00A27DDF">
        <w:t xml:space="preserve">. </w:t>
      </w:r>
      <w:r w:rsidRPr="00F3788D">
        <w:t xml:space="preserve">Therefore, with the development of new HEA systems, particularly </w:t>
      </w:r>
      <w:r>
        <w:t>those possessing</w:t>
      </w:r>
      <w:r w:rsidRPr="00F3788D">
        <w:t xml:space="preserve"> non-equimolar components</w:t>
      </w:r>
      <w:r>
        <w:t xml:space="preserve"> </w:t>
      </w:r>
      <w:r w:rsidRPr="00F3788D">
        <w:t>(</w:t>
      </w:r>
      <w:r>
        <w:t xml:space="preserve">such as </w:t>
      </w:r>
      <w:r w:rsidRPr="00F3788D">
        <w:t>TRIP HEAs and eutectic HEAs), there is an increasing demand for a more precise phase formation prediction method</w:t>
      </w:r>
      <w:r w:rsidRPr="00A27DDF">
        <w:t>.</w:t>
      </w:r>
      <w:r>
        <w:t xml:space="preserve"> In order </w:t>
      </w:r>
      <w:bookmarkStart w:id="64" w:name="_Hlk5292096"/>
      <w:r>
        <w:t>t</w:t>
      </w:r>
      <w:r w:rsidRPr="00A27DDF">
        <w:t xml:space="preserve">o satisfy the </w:t>
      </w:r>
      <w:r>
        <w:t>requirement for a more precise phase formation prediction metho</w:t>
      </w:r>
      <w:r>
        <w:rPr>
          <w:noProof/>
        </w:rPr>
        <w:t>d, a</w:t>
      </w:r>
      <w:r>
        <w:t xml:space="preserve"> bottom-up design strategy based upon </w:t>
      </w:r>
      <w:r w:rsidRPr="0076073E">
        <w:rPr>
          <w:i/>
        </w:rPr>
        <w:t>ab</w:t>
      </w:r>
      <w:r>
        <w:rPr>
          <w:i/>
        </w:rPr>
        <w:t xml:space="preserve"> </w:t>
      </w:r>
      <w:r w:rsidRPr="0076073E">
        <w:rPr>
          <w:i/>
        </w:rPr>
        <w:t>initio</w:t>
      </w:r>
      <w:r>
        <w:t xml:space="preserve"> density functional theory (DFT) was developed and </w:t>
      </w:r>
      <w:bookmarkEnd w:id="64"/>
      <w:r>
        <w:t>sets precedence for further research.</w:t>
      </w:r>
    </w:p>
    <w:p w14:paraId="315AAE25" w14:textId="77777777" w:rsidR="00624970" w:rsidRDefault="00624970" w:rsidP="00624970">
      <w:pPr>
        <w:keepNext/>
        <w:spacing w:afterLines="60" w:after="144" w:line="360" w:lineRule="auto"/>
        <w:jc w:val="center"/>
      </w:pPr>
      <w:r>
        <w:rPr>
          <w:noProof/>
          <w:lang w:val="en-US" w:eastAsia="en-US"/>
        </w:rPr>
        <w:drawing>
          <wp:inline distT="0" distB="0" distL="0" distR="0" wp14:anchorId="50EC3CA0" wp14:editId="11DEAE51">
            <wp:extent cx="3006548" cy="1800074"/>
            <wp:effectExtent l="0" t="0" r="381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78C403.t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16916" cy="1806282"/>
                    </a:xfrm>
                    <a:prstGeom prst="rect">
                      <a:avLst/>
                    </a:prstGeom>
                  </pic:spPr>
                </pic:pic>
              </a:graphicData>
            </a:graphic>
          </wp:inline>
        </w:drawing>
      </w:r>
    </w:p>
    <w:p w14:paraId="7ED78B2B" w14:textId="77777777" w:rsidR="00624970" w:rsidRPr="0061147B" w:rsidRDefault="00624970" w:rsidP="00624970">
      <w:pPr>
        <w:spacing w:afterLines="60" w:after="144" w:line="360" w:lineRule="auto"/>
        <w:rPr>
          <w:b/>
          <w:bCs/>
          <w:sz w:val="20"/>
          <w:szCs w:val="20"/>
        </w:rPr>
      </w:pPr>
      <w:bookmarkStart w:id="65" w:name="_Toc39312678"/>
      <w:bookmarkStart w:id="66" w:name="_Toc5617631"/>
      <w:bookmarkStart w:id="67" w:name="_Toc7364564"/>
      <w:r w:rsidRPr="006B2891">
        <w:rPr>
          <w:b/>
          <w:sz w:val="20"/>
          <w:szCs w:val="20"/>
        </w:rPr>
        <w:t>Figure 2-</w:t>
      </w:r>
      <w:r w:rsidRPr="00435745">
        <w:fldChar w:fldCharType="begin"/>
      </w:r>
      <w:r w:rsidRPr="008B6028">
        <w:rPr>
          <w:b/>
          <w:sz w:val="20"/>
        </w:rPr>
        <w:instrText xml:space="preserve"> SEQ Figure \* ARABIC </w:instrText>
      </w:r>
      <w:r w:rsidRPr="00435745">
        <w:rPr>
          <w:b/>
          <w:sz w:val="20"/>
        </w:rPr>
        <w:fldChar w:fldCharType="separate"/>
      </w:r>
      <w:r w:rsidRPr="00435745">
        <w:rPr>
          <w:b/>
          <w:bCs/>
          <w:noProof/>
          <w:sz w:val="20"/>
          <w:szCs w:val="20"/>
        </w:rPr>
        <w:t>9</w:t>
      </w:r>
      <w:r w:rsidRPr="00435745">
        <w:fldChar w:fldCharType="end"/>
      </w:r>
      <w:r w:rsidRPr="006B2891">
        <w:rPr>
          <w:b/>
          <w:sz w:val="20"/>
          <w:szCs w:val="20"/>
        </w:rPr>
        <w:t xml:space="preserve"> 2-D plot of VEC against mixing enthalpy</w:t>
      </w:r>
      <w:r w:rsidRPr="008D07D9">
        <w:rPr>
          <w:b/>
          <w:bCs/>
          <w:sz w:val="20"/>
          <w:szCs w:val="20"/>
        </w:rPr>
        <w:t xml:space="preserve"> with clear </w:t>
      </w:r>
      <w:r w:rsidRPr="006B2891">
        <w:rPr>
          <w:b/>
          <w:sz w:val="20"/>
          <w:szCs w:val="20"/>
        </w:rPr>
        <w:t>sep</w:t>
      </w:r>
      <w:r w:rsidRPr="008D07D9">
        <w:rPr>
          <w:b/>
          <w:bCs/>
          <w:sz w:val="20"/>
          <w:szCs w:val="20"/>
        </w:rPr>
        <w:t>a</w:t>
      </w:r>
      <w:r w:rsidRPr="00435745">
        <w:rPr>
          <w:b/>
          <w:bCs/>
          <w:sz w:val="20"/>
          <w:szCs w:val="20"/>
        </w:rPr>
        <w:t>ration</w:t>
      </w:r>
      <w:r w:rsidRPr="006B2891">
        <w:rPr>
          <w:b/>
          <w:sz w:val="20"/>
          <w:szCs w:val="20"/>
        </w:rPr>
        <w:t xml:space="preserve"> </w:t>
      </w:r>
      <w:r w:rsidRPr="008D07D9">
        <w:rPr>
          <w:b/>
          <w:bCs/>
          <w:sz w:val="20"/>
          <w:szCs w:val="20"/>
        </w:rPr>
        <w:t xml:space="preserve">between simple and complex phases. </w:t>
      </w:r>
      <w:r w:rsidRPr="00435745">
        <w:fldChar w:fldCharType="begin" w:fldLock="1"/>
      </w:r>
      <w:r>
        <w:rPr>
          <w:b/>
          <w:sz w:val="20"/>
        </w:rPr>
        <w:instrText>ADDIN CSL_CITATION {"citationItems":[{"id":"ITEM-1","itemData":{"DOI":"10.1179/1743284715Y.0000000019","ISBN":"0000000019","ISSN":"0267-0836","abstract":"Prediction of the crystalline structure formation of high entropy alloys is addressed in a novel way by applying principal components analysis to their thermodynamic and electronic parameters. In the simplest form, it shows an excellent discrimination between both face and body centred cubic structures when taking into account the valence electron concentration and enthalpy of mixing. Our analysis indicates that there is a stronger correlation between the formation of multiprincipal components alloys andtheseparameters than with entropy. The successfulprediction of amultiphase structure in TiMnFeNi and the discovery of two novel four componentHEAs,MnFeCoNi and TiVMnNb, lends credence to this approach.","author":[{"dropping-particle":"","family":"Domínguez","given":"L. Asensio","non-dropping-particle":"","parse-names":false,"suffix":""},{"dropping-particle":"","family":"Goodall","given":"R.","non-dropping-particle":"","parse-names":false,"suffix":""},{"dropping-particle":"","family":"Todd","given":"I.","non-dropping-particle":"","parse-names":false,"suffix":""}],"container-title":"Materials Science and Technology","id":"ITEM-1","issued":{"date-parts":[["2015"]]},"title":"Prediction and validation of quaternary high entropy alloys using statistical approaches","type":"article-journal"},"uris":["http://www.mendeley.com/documents/?uuid=928a7f3a-f235-4996-b79d-0697be26f900","http://www.mendeley.com/documents/?uuid=84d24500-3bb5-48d9-935f-96400e3ff96a"]}],"mendeley":{"formattedCitation":"[55]","plainTextFormattedCitation":"[55]","previouslyFormattedCitation":"[55]"},"properties":{"noteIndex":0},"schema":"https://github.com/citation-style-language/schema/raw/master/csl-citation.json"}</w:instrText>
      </w:r>
      <w:r w:rsidRPr="00435745">
        <w:rPr>
          <w:b/>
          <w:sz w:val="20"/>
        </w:rPr>
        <w:fldChar w:fldCharType="separate"/>
      </w:r>
      <w:bookmarkEnd w:id="66"/>
      <w:bookmarkEnd w:id="67"/>
      <w:r w:rsidRPr="003B39BC">
        <w:rPr>
          <w:noProof/>
          <w:sz w:val="20"/>
          <w:szCs w:val="20"/>
        </w:rPr>
        <w:t>[55]</w:t>
      </w:r>
      <w:bookmarkEnd w:id="65"/>
      <w:r w:rsidRPr="00435745">
        <w:fldChar w:fldCharType="end"/>
      </w:r>
    </w:p>
    <w:p w14:paraId="2E02E6A2" w14:textId="77777777" w:rsidR="00624970" w:rsidRPr="001E3029" w:rsidRDefault="00624970" w:rsidP="00624970">
      <w:pPr>
        <w:pStyle w:val="3"/>
        <w:spacing w:before="0" w:afterLines="60" w:after="144" w:line="360" w:lineRule="auto"/>
        <w:rPr>
          <w:rFonts w:asciiTheme="minorHAnsi" w:hAnsiTheme="minorHAnsi"/>
          <w:b/>
          <w:noProof/>
          <w:color w:val="000000" w:themeColor="text1"/>
          <w:sz w:val="32"/>
          <w:szCs w:val="32"/>
        </w:rPr>
      </w:pPr>
      <w:bookmarkStart w:id="68" w:name="_Toc5618281"/>
      <w:bookmarkStart w:id="69" w:name="_Toc22052509"/>
      <w:r w:rsidRPr="001E3029">
        <w:rPr>
          <w:rFonts w:asciiTheme="minorHAnsi" w:hAnsiTheme="minorHAnsi"/>
          <w:b/>
          <w:noProof/>
          <w:color w:val="000000" w:themeColor="text1"/>
          <w:sz w:val="32"/>
          <w:szCs w:val="32"/>
        </w:rPr>
        <w:t>2.3.3 Ab-initio method</w:t>
      </w:r>
      <w:bookmarkEnd w:id="68"/>
      <w:r w:rsidRPr="001E3029">
        <w:rPr>
          <w:rFonts w:asciiTheme="minorHAnsi" w:hAnsiTheme="minorHAnsi"/>
          <w:b/>
          <w:noProof/>
          <w:color w:val="000000" w:themeColor="text1"/>
          <w:sz w:val="32"/>
          <w:szCs w:val="32"/>
        </w:rPr>
        <w:t>s</w:t>
      </w:r>
      <w:bookmarkEnd w:id="69"/>
    </w:p>
    <w:p w14:paraId="4056B1FD" w14:textId="77777777" w:rsidR="00624970" w:rsidRPr="001E3029" w:rsidRDefault="00624970" w:rsidP="00624970">
      <w:pPr>
        <w:pStyle w:val="4"/>
        <w:spacing w:before="0" w:afterLines="60" w:after="144" w:line="360" w:lineRule="auto"/>
        <w:rPr>
          <w:rFonts w:asciiTheme="minorHAnsi" w:hAnsiTheme="minorHAnsi"/>
          <w:b/>
          <w:i w:val="0"/>
          <w:color w:val="000000" w:themeColor="text1"/>
          <w:sz w:val="32"/>
          <w:szCs w:val="32"/>
        </w:rPr>
      </w:pPr>
      <w:bookmarkStart w:id="70" w:name="_Toc5618282"/>
      <w:r w:rsidRPr="001E3029">
        <w:rPr>
          <w:rFonts w:asciiTheme="minorHAnsi" w:hAnsiTheme="minorHAnsi"/>
          <w:b/>
          <w:i w:val="0"/>
          <w:color w:val="000000" w:themeColor="text1"/>
          <w:sz w:val="32"/>
          <w:szCs w:val="32"/>
        </w:rPr>
        <w:t>2.3.3.1 From</w:t>
      </w:r>
      <w:r>
        <w:rPr>
          <w:rFonts w:asciiTheme="minorHAnsi" w:hAnsiTheme="minorHAnsi"/>
          <w:b/>
          <w:i w:val="0"/>
          <w:color w:val="000000" w:themeColor="text1"/>
          <w:sz w:val="32"/>
          <w:szCs w:val="32"/>
        </w:rPr>
        <w:t xml:space="preserve"> the</w:t>
      </w:r>
      <w:r w:rsidRPr="001E3029">
        <w:rPr>
          <w:rFonts w:asciiTheme="minorHAnsi" w:hAnsiTheme="minorHAnsi"/>
          <w:b/>
          <w:i w:val="0"/>
          <w:color w:val="000000" w:themeColor="text1"/>
          <w:sz w:val="32"/>
          <w:szCs w:val="32"/>
        </w:rPr>
        <w:t xml:space="preserve"> Schr</w:t>
      </w:r>
      <w:r w:rsidRPr="001E3029">
        <w:rPr>
          <w:rFonts w:asciiTheme="minorHAnsi" w:eastAsia="等线 Light" w:hAnsiTheme="minorHAnsi"/>
          <w:b/>
          <w:i w:val="0"/>
          <w:color w:val="000000" w:themeColor="text1"/>
          <w:sz w:val="32"/>
          <w:szCs w:val="32"/>
        </w:rPr>
        <w:t>ö</w:t>
      </w:r>
      <w:r w:rsidRPr="001E3029">
        <w:rPr>
          <w:rFonts w:asciiTheme="minorHAnsi" w:hAnsiTheme="minorHAnsi"/>
          <w:b/>
          <w:i w:val="0"/>
          <w:color w:val="000000" w:themeColor="text1"/>
          <w:sz w:val="32"/>
          <w:szCs w:val="32"/>
        </w:rPr>
        <w:t>dinger Equation to density functional theory</w:t>
      </w:r>
      <w:bookmarkEnd w:id="70"/>
    </w:p>
    <w:p w14:paraId="58F70848" w14:textId="77777777" w:rsidR="00624970" w:rsidRDefault="00624970" w:rsidP="00624970">
      <w:pPr>
        <w:spacing w:afterLines="60" w:after="144" w:line="360" w:lineRule="auto"/>
        <w:jc w:val="both"/>
      </w:pPr>
      <w:r>
        <w:t xml:space="preserve">The </w:t>
      </w:r>
      <w:r w:rsidRPr="00103B21">
        <w:t>cornerstone</w:t>
      </w:r>
      <w:r>
        <w:t xml:space="preserve"> of modern quantum physics, the </w:t>
      </w:r>
      <w:r w:rsidRPr="00497F55">
        <w:rPr>
          <w:noProof/>
        </w:rPr>
        <w:t>Schr</w:t>
      </w:r>
      <w:r w:rsidRPr="00497F55">
        <w:rPr>
          <w:rFonts w:hint="eastAsia"/>
          <w:noProof/>
        </w:rPr>
        <w:t>ö</w:t>
      </w:r>
      <w:r w:rsidRPr="00497F55">
        <w:rPr>
          <w:noProof/>
        </w:rPr>
        <w:t>dinger</w:t>
      </w:r>
      <w:r>
        <w:t xml:space="preserve"> equation was first proposed as a basic assumption of quantum mechanics. Combining the concept of matter wave (de Broglie wave</w:t>
      </w:r>
      <w:r>
        <w:fldChar w:fldCharType="begin" w:fldLock="1"/>
      </w:r>
      <w:r>
        <w:instrText>ADDIN CSL_CITATION {"citationItems":[{"id":"ITEM-1","itemData":{"ISSN":"0375-0760","abstract":"... This new mechanics has since been developed, thanks mainly Page 9. 252 1929 L.DE BROGLIE to the fine work done by Schrödinger . It is based on wave propagation equations and strictly defines the evolution in time of the wave associated with a corpuscle. ...","author":[{"dropping-particle":"","family":"Broglie","given":"Louis","non-dropping-particle":"De","parse-names":false,"suffix":""}],"container-title":"Nobel lectures, Physics 1922-1941","id":"ITEM-1","issued":{"date-parts":[["1929"]]},"title":"The wave nature of the electron","type":"article-journal"},"uris":["http://www.mendeley.com/documents/?uuid=cc53c114-fd34-4744-86fa-07822a2ceaaa","http://www.mendeley.com/documents/?uuid=5198aef9-0cb9-4443-850e-cb24aa214aef"]}],"mendeley":{"formattedCitation":"[56]","plainTextFormattedCitation":"[56]","previouslyFormattedCitation":"[56]"},"properties":{"noteIndex":0},"schema":"https://github.com/citation-style-language/schema/raw/master/csl-citation.json"}</w:instrText>
      </w:r>
      <w:r>
        <w:fldChar w:fldCharType="separate"/>
      </w:r>
      <w:r w:rsidRPr="003B39BC">
        <w:rPr>
          <w:noProof/>
        </w:rPr>
        <w:t>[56]</w:t>
      </w:r>
      <w:r>
        <w:fldChar w:fldCharType="end"/>
      </w:r>
      <w:r>
        <w:t xml:space="preserve">) and wave equations, which </w:t>
      </w:r>
      <w:r w:rsidRPr="008C71F2">
        <w:rPr>
          <w:noProof/>
        </w:rPr>
        <w:t>w</w:t>
      </w:r>
      <w:r>
        <w:rPr>
          <w:noProof/>
        </w:rPr>
        <w:t>ere</w:t>
      </w:r>
      <w:r w:rsidRPr="00497F55">
        <w:rPr>
          <w:noProof/>
        </w:rPr>
        <w:t xml:space="preserve"> derived</w:t>
      </w:r>
      <w:r>
        <w:t xml:space="preserve"> from Maxwell’s equations, the form of the </w:t>
      </w:r>
      <w:r w:rsidRPr="00103B21">
        <w:t>Schr</w:t>
      </w:r>
      <w:r w:rsidRPr="00103B21">
        <w:rPr>
          <w:rFonts w:hint="eastAsia"/>
        </w:rPr>
        <w:t>ö</w:t>
      </w:r>
      <w:r w:rsidRPr="00103B21">
        <w:t>dinger</w:t>
      </w:r>
      <w:r>
        <w:t xml:space="preserve"> equation </w:t>
      </w:r>
      <w:r w:rsidRPr="00497F55">
        <w:rPr>
          <w:noProof/>
        </w:rPr>
        <w:t>was presented</w:t>
      </w:r>
      <w:r>
        <w:t xml:space="preserve"> as</w:t>
      </w:r>
      <w:r>
        <w:fldChar w:fldCharType="begin" w:fldLock="1"/>
      </w:r>
      <w:r>
        <w:instrText>ADDIN CSL_CITATION {"citationItems":[{"id":"ITEM-1","itemData":{"DOI":"10.1063/1.2958160","ISBN":"9780735405462","ISSN":"0094243X","PMID":"13431858","abstract":"Quantum mechanics textbook.","author":[{"dropping-particle":"","family":"Villaseñor","given":"E. J S","non-dropping-particle":"","parse-names":false,"suffix":""}],"container-title":"AIP Conference Proceedings","id":"ITEM-1","issued":{"date-parts":[["2008"]]},"title":"Introduction to Quantum Mechanics","type":"paper-conference"},"uris":["http://www.mendeley.com/documents/?uuid=cc46417d-5119-41ab-90c4-e0aa4b1f274a","http://www.mendeley.com/documents/?uuid=33f677ad-7387-4b23-844b-6ad3e3950014"]}],"mendeley":{"formattedCitation":"[57]","plainTextFormattedCitation":"[57]","previouslyFormattedCitation":"[57]"},"properties":{"noteIndex":0},"schema":"https://github.com/citation-style-language/schema/raw/master/csl-citation.json"}</w:instrText>
      </w:r>
      <w:r>
        <w:fldChar w:fldCharType="separate"/>
      </w:r>
      <w:r w:rsidRPr="003B39BC">
        <w:rPr>
          <w:noProof/>
        </w:rPr>
        <w:t>[57]</w:t>
      </w:r>
      <w:r>
        <w:fldChar w:fldCharType="end"/>
      </w:r>
      <w:r>
        <w:t xml:space="preserve">: </w:t>
      </w:r>
    </w:p>
    <w:p w14:paraId="1805960A" w14:textId="77777777" w:rsidR="00624970" w:rsidRPr="00742DA5" w:rsidRDefault="00624970" w:rsidP="00624970">
      <w:pPr>
        <w:spacing w:afterLines="60" w:after="144" w:line="360" w:lineRule="auto"/>
        <w:jc w:val="right"/>
      </w:pPr>
      <m:oMath>
        <m:r>
          <m:rPr>
            <m:sty m:val="p"/>
          </m:rPr>
          <w:rPr>
            <w:rFonts w:ascii="Cambria Math" w:hAnsi="Cambria Math" w:cstheme="minorHAnsi"/>
          </w:rPr>
          <m:t>-</m:t>
        </m:r>
        <m:f>
          <m:fPr>
            <m:ctrlPr>
              <w:rPr>
                <w:rFonts w:ascii="Cambria Math" w:hAnsi="Cambria Math" w:cstheme="minorHAnsi"/>
              </w:rPr>
            </m:ctrlPr>
          </m:fPr>
          <m:num>
            <m:r>
              <m:rPr>
                <m:sty m:val="b"/>
              </m:rPr>
              <w:rPr>
                <w:rFonts w:ascii="Cambria Math" w:eastAsia="CIDFont+F9" w:hAnsi="Cambria Math" w:cs="CIDFont+F9" w:hint="eastAsia"/>
                <w:sz w:val="21"/>
                <w:szCs w:val="21"/>
              </w:rPr>
              <m:t>ℏ</m:t>
            </m:r>
          </m:num>
          <m:den>
            <m:r>
              <w:rPr>
                <w:rFonts w:ascii="Cambria Math" w:hAnsi="Cambria Math" w:cstheme="minorHAnsi"/>
              </w:rPr>
              <m:t>2m</m:t>
            </m:r>
          </m:den>
        </m:f>
        <m:sSup>
          <m:sSupPr>
            <m:ctrlPr>
              <w:rPr>
                <w:rFonts w:ascii="Cambria Math" w:eastAsia="等线" w:hAnsi="Cambria Math" w:cstheme="minorHAnsi"/>
              </w:rPr>
            </m:ctrlPr>
          </m:sSupPr>
          <m:e>
            <m:r>
              <m:rPr>
                <m:sty m:val="p"/>
              </m:rPr>
              <w:rPr>
                <w:rFonts w:ascii="Cambria Math" w:eastAsia="等线" w:hAnsi="Cambria Math" w:cstheme="minorHAnsi"/>
              </w:rPr>
              <m:t>∇</m:t>
            </m:r>
          </m:e>
          <m:sup>
            <m:r>
              <w:rPr>
                <w:rFonts w:ascii="Cambria Math" w:eastAsia="等线" w:hAnsi="Cambria Math" w:cstheme="minorHAnsi"/>
              </w:rPr>
              <m:t>2</m:t>
            </m:r>
          </m:sup>
        </m:sSup>
        <m:r>
          <w:rPr>
            <w:rFonts w:ascii="Cambria Math" w:eastAsia="等线" w:hAnsi="Cambria Math" w:cs="GreekC"/>
          </w:rPr>
          <m:t>Ѱ</m:t>
        </m:r>
        <m:d>
          <m:dPr>
            <m:ctrlPr>
              <w:rPr>
                <w:rFonts w:ascii="Cambria Math" w:eastAsia="等线" w:hAnsi="Cambria Math" w:cstheme="minorHAnsi"/>
                <w:i/>
              </w:rPr>
            </m:ctrlPr>
          </m:dPr>
          <m:e>
            <m:r>
              <m:rPr>
                <m:sty m:val="bi"/>
              </m:rPr>
              <w:rPr>
                <w:rFonts w:ascii="Cambria Math" w:eastAsia="等线" w:hAnsi="Cambria Math" w:cstheme="minorHAnsi"/>
              </w:rPr>
              <m:t>r</m:t>
            </m:r>
            <m:r>
              <w:rPr>
                <w:rFonts w:ascii="Cambria Math" w:eastAsia="等线" w:hAnsi="Cambria Math" w:cstheme="minorHAnsi"/>
              </w:rPr>
              <m:t>,t</m:t>
            </m:r>
          </m:e>
        </m:d>
        <m:r>
          <w:rPr>
            <w:rFonts w:ascii="Cambria Math" w:eastAsia="等线" w:hAnsi="Cambria Math" w:cstheme="minorHAnsi"/>
          </w:rPr>
          <m:t>+V(r)</m:t>
        </m:r>
        <m:r>
          <w:rPr>
            <w:rFonts w:ascii="Cambria Math" w:eastAsia="等线" w:hAnsi="Cambria Math" w:cs="GreekC"/>
          </w:rPr>
          <m:t>Ѱ</m:t>
        </m:r>
        <m:d>
          <m:dPr>
            <m:ctrlPr>
              <w:rPr>
                <w:rFonts w:ascii="Cambria Math" w:eastAsia="等线" w:hAnsi="Cambria Math" w:cstheme="minorHAnsi"/>
                <w:i/>
              </w:rPr>
            </m:ctrlPr>
          </m:dPr>
          <m:e>
            <m:r>
              <m:rPr>
                <m:sty m:val="bi"/>
              </m:rPr>
              <w:rPr>
                <w:rFonts w:ascii="Cambria Math" w:eastAsia="等线" w:hAnsi="Cambria Math" w:cstheme="minorHAnsi"/>
              </w:rPr>
              <m:t>r</m:t>
            </m:r>
            <m:r>
              <w:rPr>
                <w:rFonts w:ascii="Cambria Math" w:eastAsia="等线" w:hAnsi="Cambria Math" w:cstheme="minorHAnsi"/>
              </w:rPr>
              <m:t>,t</m:t>
            </m:r>
          </m:e>
        </m:d>
        <m:r>
          <w:rPr>
            <w:rFonts w:ascii="Cambria Math" w:eastAsia="等线" w:hAnsi="Cambria Math" w:cstheme="minorHAnsi"/>
          </w:rPr>
          <m:t>=i</m:t>
        </m:r>
        <m:r>
          <m:rPr>
            <m:sty m:val="p"/>
          </m:rPr>
          <w:rPr>
            <w:rFonts w:ascii="Cambria Math" w:hAnsi="Cambria Math" w:cstheme="minorHAnsi"/>
          </w:rPr>
          <m:t>ћ</m:t>
        </m:r>
        <m:f>
          <m:fPr>
            <m:ctrlPr>
              <w:rPr>
                <w:rFonts w:ascii="Cambria Math" w:hAnsi="Cambria Math" w:cstheme="minorHAnsi"/>
              </w:rPr>
            </m:ctrlPr>
          </m:fPr>
          <m:num>
            <m:r>
              <w:rPr>
                <w:rFonts w:ascii="Cambria Math" w:hAnsi="Cambria Math" w:cstheme="minorHAnsi"/>
              </w:rPr>
              <m:t>∂</m:t>
            </m:r>
            <m:r>
              <w:rPr>
                <w:rFonts w:ascii="Cambria Math" w:eastAsia="等线" w:hAnsi="Cambria Math" w:cs="GreekC"/>
              </w:rPr>
              <m:t>Ѱ</m:t>
            </m:r>
            <m:d>
              <m:dPr>
                <m:ctrlPr>
                  <w:rPr>
                    <w:rFonts w:ascii="Cambria Math" w:eastAsia="等线" w:hAnsi="Cambria Math" w:cstheme="minorHAnsi"/>
                    <w:i/>
                  </w:rPr>
                </m:ctrlPr>
              </m:dPr>
              <m:e>
                <m:r>
                  <m:rPr>
                    <m:sty m:val="bi"/>
                  </m:rPr>
                  <w:rPr>
                    <w:rFonts w:ascii="Cambria Math" w:eastAsia="等线" w:hAnsi="Cambria Math" w:cstheme="minorHAnsi"/>
                  </w:rPr>
                  <m:t>r</m:t>
                </m:r>
                <m:r>
                  <w:rPr>
                    <w:rFonts w:ascii="Cambria Math" w:eastAsia="等线" w:hAnsi="Cambria Math" w:cstheme="minorHAnsi"/>
                  </w:rPr>
                  <m:t>,t</m:t>
                </m:r>
              </m:e>
            </m:d>
          </m:num>
          <m:den>
            <m:r>
              <w:rPr>
                <w:rFonts w:ascii="Cambria Math" w:hAnsi="Cambria Math" w:cstheme="minorHAnsi"/>
              </w:rPr>
              <m:t>∂t</m:t>
            </m:r>
          </m:den>
        </m:f>
      </m:oMath>
      <w:r>
        <w:rPr>
          <w:rFonts w:hint="eastAsia"/>
        </w:rPr>
        <w:t xml:space="preserve"> </w:t>
      </w:r>
      <w:r>
        <w:t xml:space="preserve">                                             </w:t>
      </w:r>
      <w:r>
        <w:rPr>
          <w:rFonts w:hint="eastAsia"/>
        </w:rPr>
        <w:t>(</w:t>
      </w:r>
      <w:r>
        <w:t>13)</w:t>
      </w:r>
    </w:p>
    <w:p w14:paraId="2959B5FB" w14:textId="77777777" w:rsidR="00624970" w:rsidRPr="00103B21" w:rsidRDefault="00624970" w:rsidP="00624970">
      <w:pPr>
        <w:spacing w:afterLines="60" w:after="144" w:line="360" w:lineRule="auto"/>
      </w:pPr>
      <w:r>
        <w:rPr>
          <w:rFonts w:hint="eastAsia"/>
        </w:rPr>
        <w:t>T</w:t>
      </w:r>
      <w:r>
        <w:t xml:space="preserve">he </w:t>
      </w:r>
      <w:r w:rsidRPr="00497F55">
        <w:rPr>
          <w:noProof/>
        </w:rPr>
        <w:t>time</w:t>
      </w:r>
      <w:r>
        <w:rPr>
          <w:noProof/>
        </w:rPr>
        <w:t>-</w:t>
      </w:r>
      <w:r w:rsidRPr="00497F55">
        <w:rPr>
          <w:noProof/>
        </w:rPr>
        <w:t>independent</w:t>
      </w:r>
      <w:r>
        <w:t xml:space="preserve"> form can </w:t>
      </w:r>
      <w:r w:rsidRPr="00497F55">
        <w:rPr>
          <w:noProof/>
        </w:rPr>
        <w:t>be further expressed</w:t>
      </w:r>
      <w:r>
        <w:t xml:space="preserve"> as:</w:t>
      </w:r>
    </w:p>
    <w:p w14:paraId="71A7286F" w14:textId="77777777" w:rsidR="00624970" w:rsidRPr="0038256C" w:rsidRDefault="00624970" w:rsidP="00624970">
      <w:pPr>
        <w:spacing w:afterLines="60" w:after="144" w:line="360" w:lineRule="auto"/>
        <w:jc w:val="right"/>
      </w:pPr>
      <m:oMath>
        <m:r>
          <m:rPr>
            <m:sty m:val="p"/>
          </m:rPr>
          <w:rPr>
            <w:rFonts w:ascii="Cambria Math" w:hAnsi="Cambria Math" w:cstheme="minorHAnsi"/>
          </w:rPr>
          <w:lastRenderedPageBreak/>
          <m:t>-</m:t>
        </m:r>
        <m:f>
          <m:fPr>
            <m:ctrlPr>
              <w:rPr>
                <w:rFonts w:ascii="Cambria Math" w:hAnsi="Cambria Math" w:cstheme="minorHAnsi"/>
              </w:rPr>
            </m:ctrlPr>
          </m:fPr>
          <m:num>
            <m:r>
              <m:rPr>
                <m:sty m:val="b"/>
              </m:rPr>
              <w:rPr>
                <w:rFonts w:ascii="Cambria Math" w:eastAsia="CIDFont+F9" w:hAnsi="Cambria Math" w:cs="CIDFont+F9" w:hint="eastAsia"/>
                <w:sz w:val="21"/>
                <w:szCs w:val="21"/>
              </w:rPr>
              <m:t>ℏ</m:t>
            </m:r>
          </m:num>
          <m:den>
            <m:r>
              <w:rPr>
                <w:rFonts w:ascii="Cambria Math" w:hAnsi="Cambria Math" w:cstheme="minorHAnsi"/>
              </w:rPr>
              <m:t>2m</m:t>
            </m:r>
          </m:den>
        </m:f>
        <m:sSup>
          <m:sSupPr>
            <m:ctrlPr>
              <w:rPr>
                <w:rFonts w:ascii="Cambria Math" w:eastAsia="等线" w:hAnsi="Cambria Math" w:cstheme="minorHAnsi"/>
              </w:rPr>
            </m:ctrlPr>
          </m:sSupPr>
          <m:e>
            <m:r>
              <m:rPr>
                <m:sty m:val="p"/>
              </m:rPr>
              <w:rPr>
                <w:rFonts w:ascii="Cambria Math" w:eastAsia="等线" w:hAnsi="Cambria Math" w:cstheme="minorHAnsi"/>
              </w:rPr>
              <m:t>∇</m:t>
            </m:r>
          </m:e>
          <m:sup>
            <m:r>
              <w:rPr>
                <w:rFonts w:ascii="Cambria Math" w:eastAsia="等线" w:hAnsi="Cambria Math" w:cstheme="minorHAnsi"/>
              </w:rPr>
              <m:t>2</m:t>
            </m:r>
          </m:sup>
        </m:sSup>
        <m:r>
          <w:rPr>
            <w:rFonts w:ascii="Cambria Math" w:eastAsia="等线" w:hAnsi="Cambria Math" w:cs="GreekC"/>
          </w:rPr>
          <m:t>ψ</m:t>
        </m:r>
        <m:d>
          <m:dPr>
            <m:ctrlPr>
              <w:rPr>
                <w:rFonts w:ascii="Cambria Math" w:eastAsia="等线" w:hAnsi="Cambria Math" w:cstheme="minorHAnsi"/>
                <w:i/>
              </w:rPr>
            </m:ctrlPr>
          </m:dPr>
          <m:e>
            <m:r>
              <m:rPr>
                <m:sty m:val="bi"/>
              </m:rPr>
              <w:rPr>
                <w:rFonts w:ascii="Cambria Math" w:eastAsia="等线" w:hAnsi="Cambria Math" w:cstheme="minorHAnsi"/>
              </w:rPr>
              <m:t>r</m:t>
            </m:r>
          </m:e>
        </m:d>
        <m:r>
          <w:rPr>
            <w:rFonts w:ascii="Cambria Math" w:eastAsia="等线" w:hAnsi="Cambria Math" w:cstheme="minorHAnsi"/>
          </w:rPr>
          <m:t>+V(r)</m:t>
        </m:r>
        <m:r>
          <w:rPr>
            <w:rFonts w:ascii="Cambria Math" w:eastAsia="等线" w:hAnsi="Cambria Math" w:cs="GreekC"/>
          </w:rPr>
          <m:t>ψ</m:t>
        </m:r>
        <m:d>
          <m:dPr>
            <m:ctrlPr>
              <w:rPr>
                <w:rFonts w:ascii="Cambria Math" w:eastAsia="等线" w:hAnsi="Cambria Math" w:cstheme="minorHAnsi"/>
                <w:i/>
              </w:rPr>
            </m:ctrlPr>
          </m:dPr>
          <m:e>
            <m:r>
              <m:rPr>
                <m:sty m:val="bi"/>
              </m:rPr>
              <w:rPr>
                <w:rFonts w:ascii="Cambria Math" w:eastAsia="等线" w:hAnsi="Cambria Math" w:cstheme="minorHAnsi"/>
              </w:rPr>
              <m:t>r</m:t>
            </m:r>
          </m:e>
        </m:d>
        <m:r>
          <w:rPr>
            <w:rFonts w:ascii="Cambria Math" w:eastAsia="等线" w:hAnsi="Cambria Math" w:cstheme="minorHAnsi"/>
          </w:rPr>
          <m:t>=E</m:t>
        </m:r>
        <m:r>
          <w:rPr>
            <w:rFonts w:ascii="Cambria Math" w:eastAsia="等线" w:hAnsi="Cambria Math" w:cs="GreekC"/>
          </w:rPr>
          <m:t>ψ</m:t>
        </m:r>
        <m:d>
          <m:dPr>
            <m:ctrlPr>
              <w:rPr>
                <w:rFonts w:ascii="Cambria Math" w:eastAsia="等线" w:hAnsi="Cambria Math" w:cstheme="minorHAnsi"/>
                <w:i/>
              </w:rPr>
            </m:ctrlPr>
          </m:dPr>
          <m:e>
            <m:r>
              <m:rPr>
                <m:sty m:val="bi"/>
              </m:rPr>
              <w:rPr>
                <w:rFonts w:ascii="Cambria Math" w:eastAsia="等线" w:hAnsi="Cambria Math" w:cstheme="minorHAnsi"/>
              </w:rPr>
              <m:t>r</m:t>
            </m:r>
          </m:e>
        </m:d>
      </m:oMath>
      <w:r>
        <w:rPr>
          <w:rFonts w:hint="eastAsia"/>
        </w:rPr>
        <w:t xml:space="preserve"> </w:t>
      </w:r>
      <w:r>
        <w:t xml:space="preserve">                                                   </w:t>
      </w:r>
      <w:r>
        <w:rPr>
          <w:rFonts w:hint="eastAsia"/>
        </w:rPr>
        <w:t>(</w:t>
      </w:r>
      <w:r>
        <w:t>14)</w:t>
      </w:r>
    </w:p>
    <w:p w14:paraId="34C72AC1" w14:textId="77777777" w:rsidR="00624970" w:rsidRDefault="00624970" w:rsidP="00624970">
      <w:pPr>
        <w:spacing w:afterLines="60" w:after="144" w:line="360" w:lineRule="auto"/>
      </w:pPr>
      <w:r>
        <w:t xml:space="preserve">By using the </w:t>
      </w:r>
      <w:r w:rsidRPr="008C71F2">
        <w:rPr>
          <w:noProof/>
        </w:rPr>
        <w:t>Hamiltonian</w:t>
      </w:r>
      <w:r>
        <w:t xml:space="preserve"> operator, expressed as:</w:t>
      </w:r>
    </w:p>
    <w:p w14:paraId="57BFEE7A" w14:textId="77777777" w:rsidR="00624970" w:rsidRPr="00742DA5" w:rsidRDefault="00077961" w:rsidP="00624970">
      <w:pPr>
        <w:spacing w:afterLines="60" w:after="144" w:line="360" w:lineRule="auto"/>
        <w:jc w:val="right"/>
      </w:pPr>
      <m:oMath>
        <m:acc>
          <m:accPr>
            <m:ctrlPr>
              <w:rPr>
                <w:rFonts w:ascii="Cambria Math" w:hAnsi="Cambria Math"/>
              </w:rPr>
            </m:ctrlPr>
          </m:accPr>
          <m:e>
            <m:r>
              <w:rPr>
                <w:rFonts w:ascii="Cambria Math" w:hAnsi="Cambria Math"/>
              </w:rPr>
              <m:t>H</m:t>
            </m:r>
          </m:e>
        </m:acc>
        <m:r>
          <m:rPr>
            <m:sty m:val="p"/>
          </m:rPr>
          <w:rPr>
            <w:rFonts w:ascii="Cambria Math" w:hAnsi="Cambria Math"/>
          </w:rPr>
          <m:t>=-</m:t>
        </m:r>
        <m:f>
          <m:fPr>
            <m:ctrlPr>
              <w:rPr>
                <w:rFonts w:ascii="Cambria Math" w:hAnsi="Cambria Math"/>
              </w:rPr>
            </m:ctrlPr>
          </m:fPr>
          <m:num>
            <m:sSup>
              <m:sSupPr>
                <m:ctrlPr>
                  <w:rPr>
                    <w:rFonts w:ascii="Cambria Math" w:eastAsia="CIDFont+F9" w:hAnsi="Cambria Math" w:cs="CIDFont+F9"/>
                    <w:b/>
                    <w:sz w:val="21"/>
                    <w:szCs w:val="21"/>
                  </w:rPr>
                </m:ctrlPr>
              </m:sSupPr>
              <m:e>
                <m:r>
                  <m:rPr>
                    <m:sty m:val="b"/>
                  </m:rPr>
                  <w:rPr>
                    <w:rFonts w:ascii="Cambria Math" w:eastAsia="CIDFont+F9" w:hAnsi="Cambria Math" w:cs="CIDFont+F9" w:hint="eastAsia"/>
                    <w:sz w:val="21"/>
                    <w:szCs w:val="21"/>
                  </w:rPr>
                  <m:t>ℏ</m:t>
                </m:r>
              </m:e>
              <m:sup>
                <m:r>
                  <m:rPr>
                    <m:sty m:val="bi"/>
                  </m:rPr>
                  <w:rPr>
                    <w:rFonts w:ascii="Cambria Math" w:eastAsia="CIDFont+F9" w:hAnsi="Cambria Math" w:cs="CIDFont+F9"/>
                    <w:sz w:val="21"/>
                    <w:szCs w:val="21"/>
                  </w:rPr>
                  <m:t>2</m:t>
                </m:r>
              </m:sup>
            </m:sSup>
          </m:num>
          <m:den>
            <m:r>
              <w:rPr>
                <w:rFonts w:ascii="Cambria Math" w:hAnsi="Cambria Math"/>
              </w:rPr>
              <m:t>2m</m:t>
            </m:r>
          </m:den>
        </m:f>
        <m:sSup>
          <m:sSupPr>
            <m:ctrlPr>
              <w:rPr>
                <w:rFonts w:ascii="Cambria Math" w:eastAsia="等线" w:hAnsi="Cambria Math" w:cstheme="minorHAnsi"/>
              </w:rPr>
            </m:ctrlPr>
          </m:sSupPr>
          <m:e>
            <m:r>
              <m:rPr>
                <m:sty m:val="p"/>
              </m:rPr>
              <w:rPr>
                <w:rFonts w:ascii="Cambria Math" w:eastAsia="等线" w:hAnsi="Cambria Math" w:cstheme="minorHAnsi"/>
              </w:rPr>
              <m:t>∇</m:t>
            </m:r>
          </m:e>
          <m:sup>
            <m:r>
              <w:rPr>
                <w:rFonts w:ascii="Cambria Math" w:eastAsia="等线" w:hAnsi="Cambria Math" w:cstheme="minorHAnsi"/>
              </w:rPr>
              <m:t>2</m:t>
            </m:r>
          </m:sup>
        </m:sSup>
        <m:r>
          <m:rPr>
            <m:sty m:val="p"/>
          </m:rPr>
          <w:rPr>
            <w:rFonts w:ascii="Cambria Math" w:hAnsi="Cambria Math"/>
          </w:rPr>
          <m:t>+</m:t>
        </m:r>
        <m:r>
          <w:rPr>
            <w:rFonts w:ascii="Cambria Math" w:hAnsi="Cambria Math"/>
          </w:rPr>
          <m:t>V</m:t>
        </m:r>
      </m:oMath>
      <w:r w:rsidR="00624970">
        <w:rPr>
          <w:rFonts w:hint="eastAsia"/>
        </w:rPr>
        <w:t xml:space="preserve"> </w:t>
      </w:r>
      <w:r w:rsidR="00624970">
        <w:t xml:space="preserve">                                                               </w:t>
      </w:r>
      <w:r w:rsidR="00624970">
        <w:rPr>
          <w:rFonts w:hint="eastAsia"/>
        </w:rPr>
        <w:t>(</w:t>
      </w:r>
      <w:r w:rsidR="00624970">
        <w:t>15)</w:t>
      </w:r>
    </w:p>
    <w:p w14:paraId="792C9948" w14:textId="77777777" w:rsidR="00624970" w:rsidRDefault="00624970" w:rsidP="00624970">
      <w:pPr>
        <w:spacing w:afterLines="60" w:after="144" w:line="360" w:lineRule="auto"/>
        <w:rPr>
          <w:sz w:val="21"/>
          <w:szCs w:val="21"/>
        </w:rPr>
      </w:pPr>
      <w:r>
        <w:rPr>
          <w:sz w:val="21"/>
          <w:szCs w:val="21"/>
        </w:rPr>
        <w:t>T</w:t>
      </w:r>
      <w:r w:rsidRPr="00BB428A">
        <w:t xml:space="preserve">he general form of </w:t>
      </w:r>
      <w:r w:rsidRPr="008C71F2">
        <w:rPr>
          <w:noProof/>
        </w:rPr>
        <w:t>Schr</w:t>
      </w:r>
      <w:r w:rsidRPr="008C71F2">
        <w:rPr>
          <w:rFonts w:hint="eastAsia"/>
          <w:noProof/>
        </w:rPr>
        <w:t>ö</w:t>
      </w:r>
      <w:r w:rsidRPr="008C71F2">
        <w:rPr>
          <w:noProof/>
        </w:rPr>
        <w:t>dinger</w:t>
      </w:r>
      <w:r>
        <w:t xml:space="preserve"> equation </w:t>
      </w:r>
      <w:r w:rsidRPr="00497F55">
        <w:rPr>
          <w:noProof/>
        </w:rPr>
        <w:t>is shown</w:t>
      </w:r>
      <w:r>
        <w:t xml:space="preserve"> as:</w:t>
      </w:r>
    </w:p>
    <w:p w14:paraId="3F014CA0" w14:textId="77777777" w:rsidR="00624970" w:rsidRPr="00742DA5" w:rsidRDefault="00624970" w:rsidP="00624970">
      <w:pPr>
        <w:spacing w:afterLines="60" w:after="144" w:line="360" w:lineRule="auto"/>
        <w:jc w:val="right"/>
      </w:pPr>
      <m:oMath>
        <m:r>
          <w:rPr>
            <w:rFonts w:ascii="Cambria Math" w:eastAsia="CIDFont+F9" w:hAnsi="Cambria Math" w:cs="CIDFont+F9"/>
            <w:sz w:val="21"/>
            <w:szCs w:val="21"/>
          </w:rPr>
          <m:t>i</m:t>
        </m:r>
        <m:r>
          <m:rPr>
            <m:sty m:val="b"/>
          </m:rPr>
          <w:rPr>
            <w:rFonts w:ascii="Cambria Math" w:eastAsia="CIDFont+F9" w:hAnsi="Cambria Math" w:cs="CIDFont+F9" w:hint="eastAsia"/>
            <w:sz w:val="21"/>
            <w:szCs w:val="21"/>
          </w:rPr>
          <m:t>ℏ</m:t>
        </m:r>
        <m:f>
          <m:fPr>
            <m:ctrlPr>
              <w:rPr>
                <w:rFonts w:ascii="Cambria Math" w:eastAsia="CIDFont+F9" w:hAnsi="Cambria Math" w:cs="CIDFont+F9"/>
                <w:b/>
                <w:sz w:val="21"/>
                <w:szCs w:val="21"/>
              </w:rPr>
            </m:ctrlPr>
          </m:fPr>
          <m:num>
            <m:r>
              <w:rPr>
                <w:rFonts w:ascii="Cambria Math" w:hAnsi="Cambria Math" w:cstheme="minorHAnsi"/>
              </w:rPr>
              <m:t>∂</m:t>
            </m:r>
          </m:num>
          <m:den>
            <m:r>
              <w:rPr>
                <w:rFonts w:ascii="Cambria Math" w:hAnsi="Cambria Math" w:cstheme="minorHAnsi"/>
              </w:rPr>
              <m:t>∂t</m:t>
            </m:r>
          </m:den>
        </m:f>
        <m:r>
          <w:rPr>
            <w:rFonts w:ascii="Cambria Math" w:eastAsia="等线" w:hAnsi="Cambria Math" w:cs="GreekC"/>
          </w:rPr>
          <m:t>Ѱ</m:t>
        </m:r>
        <m:r>
          <w:rPr>
            <w:rFonts w:ascii="Cambria Math" w:hAnsi="Cambria Math"/>
          </w:rPr>
          <m:t>=</m:t>
        </m:r>
        <m:acc>
          <m:accPr>
            <m:ctrlPr>
              <w:rPr>
                <w:rFonts w:ascii="Cambria Math" w:hAnsi="Cambria Math"/>
              </w:rPr>
            </m:ctrlPr>
          </m:accPr>
          <m:e>
            <m:r>
              <w:rPr>
                <w:rFonts w:ascii="Cambria Math" w:hAnsi="Cambria Math"/>
              </w:rPr>
              <m:t>H</m:t>
            </m:r>
          </m:e>
        </m:acc>
        <m:r>
          <w:rPr>
            <w:rFonts w:ascii="Cambria Math" w:eastAsia="等线" w:hAnsi="Cambria Math" w:cs="GreekC"/>
          </w:rPr>
          <m:t>Ѱ</m:t>
        </m:r>
      </m:oMath>
      <w:r>
        <w:rPr>
          <w:rFonts w:hint="eastAsia"/>
        </w:rPr>
        <w:t xml:space="preserve"> </w:t>
      </w:r>
      <w:r>
        <w:t xml:space="preserve">                                                                  </w:t>
      </w:r>
      <w:r>
        <w:rPr>
          <w:rFonts w:hint="eastAsia"/>
        </w:rPr>
        <w:t>(</w:t>
      </w:r>
      <w:r>
        <w:t>16)</w:t>
      </w:r>
    </w:p>
    <w:p w14:paraId="2FE57E80" w14:textId="77777777" w:rsidR="00624970" w:rsidRDefault="00624970" w:rsidP="00624970">
      <w:pPr>
        <w:spacing w:afterLines="60" w:after="144" w:line="360" w:lineRule="auto"/>
        <w:jc w:val="both"/>
      </w:pPr>
      <w:r>
        <w:t xml:space="preserve">The equation was proposed to describe the energy and movement state of a </w:t>
      </w:r>
      <w:r w:rsidRPr="008C71F2">
        <w:rPr>
          <w:noProof/>
        </w:rPr>
        <w:t>single</w:t>
      </w:r>
      <w:r>
        <w:t xml:space="preserve"> particle under the potential field V(r) by substituting different critical conditions. The </w:t>
      </w:r>
      <w:r w:rsidRPr="00497F55">
        <w:rPr>
          <w:noProof/>
        </w:rPr>
        <w:t>Schr</w:t>
      </w:r>
      <w:r w:rsidRPr="00497F55">
        <w:rPr>
          <w:rFonts w:hint="eastAsia"/>
          <w:noProof/>
        </w:rPr>
        <w:t>ö</w:t>
      </w:r>
      <w:r w:rsidRPr="00497F55">
        <w:rPr>
          <w:noProof/>
        </w:rPr>
        <w:t>dinger</w:t>
      </w:r>
      <w:r>
        <w:t xml:space="preserve"> equation provides a mechanism to allow researchers to predict the electronic structure of an atom, owing to its effectiveness in the prediction of the movement states of electrons surrounding the nuclei</w:t>
      </w:r>
      <w:r>
        <w:fldChar w:fldCharType="begin" w:fldLock="1"/>
      </w:r>
      <w:r>
        <w:instrText>ADDIN CSL_CITATION {"citationItems":[{"id":"ITEM-1","itemData":{"DOI":"10.1016/S0025-5408(03)00183-1","ISBN":"9780521530477","ISSN":"00255408","abstract":"In this unique textbook Jack Simons goes back to basics and focusses on the foundations that lie at the heart of modern theoretical chemistry. Emphasis is on the concepts, tools and equations that govern the three main theoretical chemistry sub-disciplines. An associated website supplies supplementary material plus a host of links to other theoretical chemistry sites. Ideal for advanced undergraduate or graduate students, this book is highly illustrated and contains over fifty multi-part exercises and worked solutions. It provides a concise, up-to-date treatise on the underpinnings of modern theoretical chemistry.","author":[{"dropping-particle":"","family":"Manning","given":"Jerry","non-dropping-particle":"","parse-names":false,"suffix":""}],"container-title":"Materials Research Bulletin","id":"ITEM-1","issued":{"date-parts":[["2003"]]},"title":"An Introduction to Theoretical Chemistry","type":"article"},"uris":["http://www.mendeley.com/documents/?uuid=24db6080-0b7a-4029-9754-4338bd31f410","http://www.mendeley.com/documents/?uuid=253849bd-160b-441b-a5ea-8e26ea20e320"]},{"id":"ITEM-2","itemData":{"DOI":"10.1063/1.2958160","ISBN":"9780735405462","ISSN":"0094243X","PMID":"13431858","abstract":"Quantum mechanics textbook.","author":[{"dropping-particle":"","family":"Villaseñor","given":"E. J S","non-dropping-particle":"","parse-names":false,"suffix":""}],"container-title":"AIP Conference Proceedings","id":"ITEM-2","issued":{"date-parts":[["2008"]]},"title":"Introduction to Quantum Mechanics","type":"paper-conference"},"uris":["http://www.mendeley.com/documents/?uuid=33f677ad-7387-4b23-844b-6ad3e3950014","http://www.mendeley.com/documents/?uuid=cc46417d-5119-41ab-90c4-e0aa4b1f274a"]}],"mendeley":{"formattedCitation":"[57,58]","plainTextFormattedCitation":"[57,58]","previouslyFormattedCitation":"[57,58]"},"properties":{"noteIndex":0},"schema":"https://github.com/citation-style-language/schema/raw/master/csl-citation.json"}</w:instrText>
      </w:r>
      <w:r>
        <w:fldChar w:fldCharType="separate"/>
      </w:r>
      <w:r w:rsidRPr="003B39BC">
        <w:rPr>
          <w:noProof/>
        </w:rPr>
        <w:t>[57,58]</w:t>
      </w:r>
      <w:r>
        <w:fldChar w:fldCharType="end"/>
      </w:r>
      <w:r>
        <w:t xml:space="preserve">. By defining the potential term in the equation, through considering the </w:t>
      </w:r>
      <w:r w:rsidRPr="008C71F2">
        <w:rPr>
          <w:noProof/>
        </w:rPr>
        <w:t>surrounding</w:t>
      </w:r>
      <w:r>
        <w:t xml:space="preserve"> electronic environment, the solutions can </w:t>
      </w:r>
      <w:r w:rsidRPr="00497F55">
        <w:rPr>
          <w:noProof/>
        </w:rPr>
        <w:t>be derived</w:t>
      </w:r>
      <w:r>
        <w:t xml:space="preserve">. The solutions can then </w:t>
      </w:r>
      <w:r w:rsidRPr="00497F55">
        <w:rPr>
          <w:noProof/>
        </w:rPr>
        <w:t>be normali</w:t>
      </w:r>
      <w:r>
        <w:rPr>
          <w:noProof/>
        </w:rPr>
        <w:t>s</w:t>
      </w:r>
      <w:r w:rsidRPr="00497F55">
        <w:rPr>
          <w:noProof/>
        </w:rPr>
        <w:t>ed</w:t>
      </w:r>
      <w:r>
        <w:t xml:space="preserve"> through setting periodic conditions. In such cases, however, the equation can only be solved under specified conditions, for example a </w:t>
      </w:r>
      <w:r w:rsidRPr="008C71F2">
        <w:rPr>
          <w:noProof/>
        </w:rPr>
        <w:t>single</w:t>
      </w:r>
      <w:r>
        <w:t xml:space="preserve"> free electron under the </w:t>
      </w:r>
      <w:r w:rsidRPr="008C71F2">
        <w:rPr>
          <w:noProof/>
        </w:rPr>
        <w:t>potential</w:t>
      </w:r>
      <w:r>
        <w:t xml:space="preserve"> field of a hydrogen atom. In order to describe the properties of complex systems, the solutions of </w:t>
      </w:r>
      <w:r w:rsidRPr="005B27A6">
        <w:rPr>
          <w:i/>
          <w:iCs/>
        </w:rPr>
        <w:t>eq</w:t>
      </w:r>
      <w:r>
        <w:t xml:space="preserve">.13 for many electrons are required </w:t>
      </w:r>
      <w:r w:rsidRPr="00497F55">
        <w:rPr>
          <w:noProof/>
        </w:rPr>
        <w:t>and</w:t>
      </w:r>
      <w:r>
        <w:rPr>
          <w:noProof/>
        </w:rPr>
        <w:t xml:space="preserve"> the</w:t>
      </w:r>
      <w:r>
        <w:t xml:space="preserve"> many-body interaction effect must </w:t>
      </w:r>
      <w:r w:rsidRPr="00497F55">
        <w:rPr>
          <w:noProof/>
        </w:rPr>
        <w:t>be taken</w:t>
      </w:r>
      <w:r>
        <w:t xml:space="preserve"> into consideration for both electrons and nucleus. </w:t>
      </w:r>
      <w:r>
        <w:rPr>
          <w:rFonts w:hint="eastAsia"/>
        </w:rPr>
        <w:t>Using</w:t>
      </w:r>
      <w:r>
        <w:t xml:space="preserve"> the </w:t>
      </w:r>
      <w:r w:rsidRPr="00497F55">
        <w:rPr>
          <w:noProof/>
        </w:rPr>
        <w:t>stationary</w:t>
      </w:r>
      <w:r>
        <w:t xml:space="preserve"> form of the </w:t>
      </w:r>
      <w:r w:rsidRPr="00103B21">
        <w:t>Schr</w:t>
      </w:r>
      <w:r w:rsidRPr="00103B21">
        <w:rPr>
          <w:rFonts w:hint="eastAsia"/>
        </w:rPr>
        <w:t>ö</w:t>
      </w:r>
      <w:r w:rsidRPr="00103B21">
        <w:t>dinger</w:t>
      </w:r>
      <w:r>
        <w:t xml:space="preserve"> equation as a </w:t>
      </w:r>
      <w:r w:rsidRPr="00497F55">
        <w:rPr>
          <w:noProof/>
        </w:rPr>
        <w:t>start</w:t>
      </w:r>
      <w:r>
        <w:rPr>
          <w:noProof/>
        </w:rPr>
        <w:t>ing point</w:t>
      </w:r>
      <w:r>
        <w:t xml:space="preserve">, the general form of </w:t>
      </w:r>
      <w:r w:rsidRPr="00497F55">
        <w:rPr>
          <w:noProof/>
        </w:rPr>
        <w:t>many</w:t>
      </w:r>
      <w:r>
        <w:rPr>
          <w:noProof/>
        </w:rPr>
        <w:t>-</w:t>
      </w:r>
      <w:r w:rsidRPr="00497F55">
        <w:rPr>
          <w:noProof/>
        </w:rPr>
        <w:t>body</w:t>
      </w:r>
      <w:r>
        <w:t xml:space="preserve"> </w:t>
      </w:r>
      <w:r w:rsidRPr="00103B21">
        <w:t>Schr</w:t>
      </w:r>
      <w:r w:rsidRPr="00103B21">
        <w:rPr>
          <w:rFonts w:hint="eastAsia"/>
        </w:rPr>
        <w:t>ö</w:t>
      </w:r>
      <w:r w:rsidRPr="00103B21">
        <w:t>dinger</w:t>
      </w:r>
      <w:r>
        <w:t xml:space="preserve"> </w:t>
      </w:r>
      <w:r w:rsidRPr="00497F55">
        <w:rPr>
          <w:noProof/>
        </w:rPr>
        <w:t>equation</w:t>
      </w:r>
      <w:r>
        <w:rPr>
          <w:noProof/>
        </w:rPr>
        <w:t>s</w:t>
      </w:r>
      <w:r>
        <w:t xml:space="preserve"> </w:t>
      </w:r>
      <w:r>
        <w:rPr>
          <w:rFonts w:hint="eastAsia"/>
        </w:rPr>
        <w:t>with</w:t>
      </w:r>
      <w:r>
        <w:t xml:space="preserve"> the </w:t>
      </w:r>
      <w:r w:rsidRPr="00CB311D">
        <w:rPr>
          <w:i/>
        </w:rPr>
        <w:t>N</w:t>
      </w:r>
      <w:r>
        <w:t xml:space="preserve">-electron system can </w:t>
      </w:r>
      <w:r w:rsidRPr="00497F55">
        <w:rPr>
          <w:noProof/>
        </w:rPr>
        <w:t>be expressed</w:t>
      </w:r>
      <w:r>
        <w:t xml:space="preserve"> as:</w:t>
      </w:r>
    </w:p>
    <w:p w14:paraId="1232CF51" w14:textId="77777777" w:rsidR="00624970" w:rsidRPr="00D27B5A" w:rsidRDefault="00077961" w:rsidP="00624970">
      <w:pPr>
        <w:spacing w:afterLines="60" w:after="144" w:line="360" w:lineRule="auto"/>
        <w:jc w:val="right"/>
      </w:pPr>
      <m:oMath>
        <m:acc>
          <m:accPr>
            <m:ctrlPr>
              <w:rPr>
                <w:rFonts w:ascii="Cambria Math" w:hAnsi="Cambria Math"/>
              </w:rPr>
            </m:ctrlPr>
          </m:accPr>
          <m:e>
            <m:r>
              <w:rPr>
                <w:rFonts w:ascii="Cambria Math" w:hAnsi="Cambria Math"/>
              </w:rPr>
              <m:t>H</m:t>
            </m:r>
          </m:e>
        </m:acc>
        <m:r>
          <w:rPr>
            <w:rFonts w:ascii="Cambria Math" w:eastAsia="等线" w:hAnsi="Cambria Math" w:cs="GreekC"/>
          </w:rPr>
          <m:t>Ѱ</m:t>
        </m:r>
        <m:d>
          <m:dPr>
            <m:ctrlPr>
              <w:rPr>
                <w:rFonts w:ascii="Cambria Math" w:eastAsia="等线" w:hAnsi="Cambria Math" w:cs="GreekC"/>
                <w:i/>
              </w:rPr>
            </m:ctrlPr>
          </m:dPr>
          <m:e>
            <m:sSub>
              <m:sSubPr>
                <m:ctrlPr>
                  <w:rPr>
                    <w:rFonts w:ascii="Cambria Math" w:hAnsi="Cambria Math"/>
                    <w:i/>
                  </w:rPr>
                </m:ctrlPr>
              </m:sSubPr>
              <m:e>
                <m:r>
                  <m:rPr>
                    <m:sty m:val="bi"/>
                  </m:rPr>
                  <w:rPr>
                    <w:rFonts w:ascii="Cambria Math" w:hAnsi="Cambria Math"/>
                  </w:rPr>
                  <m:t>r</m:t>
                </m:r>
              </m:e>
              <m:sub>
                <m:r>
                  <w:rPr>
                    <w:rFonts w:ascii="Cambria Math" w:hAnsi="Cambria Math"/>
                  </w:rPr>
                  <m:t>1</m:t>
                </m:r>
              </m:sub>
            </m:sSub>
            <m:r>
              <w:rPr>
                <w:rFonts w:ascii="Cambria Math" w:hAnsi="Cambria Math"/>
              </w:rPr>
              <m:t>,…,</m:t>
            </m:r>
            <m:sSub>
              <m:sSubPr>
                <m:ctrlPr>
                  <w:rPr>
                    <w:rFonts w:ascii="Cambria Math" w:hAnsi="Cambria Math"/>
                    <w:i/>
                  </w:rPr>
                </m:ctrlPr>
              </m:sSubPr>
              <m:e>
                <m:r>
                  <m:rPr>
                    <m:sty m:val="bi"/>
                  </m:rPr>
                  <w:rPr>
                    <w:rFonts w:ascii="Cambria Math" w:hAnsi="Cambria Math"/>
                  </w:rPr>
                  <m:t>r</m:t>
                </m:r>
              </m:e>
              <m:sub>
                <m:r>
                  <w:rPr>
                    <w:rFonts w:ascii="Cambria Math" w:hAnsi="Cambria Math"/>
                  </w:rPr>
                  <m:t>N</m:t>
                </m:r>
              </m:sub>
            </m:sSub>
            <m:r>
              <w:rPr>
                <w:rFonts w:ascii="Cambria Math" w:eastAsia="等线" w:hAnsi="Cambria Math" w:cs="GreekC"/>
              </w:rPr>
              <m:t>,</m:t>
            </m:r>
            <m:sSub>
              <m:sSubPr>
                <m:ctrlPr>
                  <w:rPr>
                    <w:rFonts w:ascii="Cambria Math" w:eastAsia="等线" w:hAnsi="Cambria Math" w:cs="GreekC"/>
                    <w:i/>
                  </w:rPr>
                </m:ctrlPr>
              </m:sSubPr>
              <m:e>
                <m:r>
                  <m:rPr>
                    <m:sty m:val="bi"/>
                  </m:rPr>
                  <w:rPr>
                    <w:rFonts w:ascii="Cambria Math" w:eastAsia="等线" w:hAnsi="Cambria Math" w:cs="GreekC"/>
                  </w:rPr>
                  <m:t>R</m:t>
                </m:r>
              </m:e>
              <m:sub>
                <m:r>
                  <w:rPr>
                    <w:rFonts w:ascii="Cambria Math" w:eastAsia="等线" w:hAnsi="Cambria Math" w:cs="GreekC"/>
                  </w:rPr>
                  <m:t>1</m:t>
                </m:r>
              </m:sub>
            </m:sSub>
            <m:r>
              <w:rPr>
                <w:rFonts w:ascii="Cambria Math" w:eastAsia="等线" w:hAnsi="Cambria Math" w:cs="GreekC"/>
              </w:rPr>
              <m:t>,…,</m:t>
            </m:r>
            <m:sSub>
              <m:sSubPr>
                <m:ctrlPr>
                  <w:rPr>
                    <w:rFonts w:ascii="Cambria Math" w:eastAsia="等线" w:hAnsi="Cambria Math" w:cs="GreekC"/>
                    <w:i/>
                  </w:rPr>
                </m:ctrlPr>
              </m:sSubPr>
              <m:e>
                <m:r>
                  <m:rPr>
                    <m:sty m:val="bi"/>
                  </m:rPr>
                  <w:rPr>
                    <w:rFonts w:ascii="Cambria Math" w:eastAsia="等线" w:hAnsi="Cambria Math" w:cs="GreekC"/>
                  </w:rPr>
                  <m:t>R</m:t>
                </m:r>
              </m:e>
              <m:sub>
                <m:r>
                  <w:rPr>
                    <w:rFonts w:ascii="Cambria Math" w:eastAsia="等线" w:hAnsi="Cambria Math" w:cs="GreekC"/>
                  </w:rPr>
                  <m:t>M</m:t>
                </m:r>
              </m:sub>
            </m:sSub>
          </m:e>
        </m:d>
        <m:r>
          <w:rPr>
            <w:rFonts w:ascii="Cambria Math" w:eastAsia="等线" w:hAnsi="Cambria Math" w:cs="GreekC"/>
          </w:rPr>
          <m:t>=EѰ</m:t>
        </m:r>
        <m:d>
          <m:dPr>
            <m:ctrlPr>
              <w:rPr>
                <w:rFonts w:ascii="Cambria Math" w:eastAsia="等线" w:hAnsi="Cambria Math" w:cs="GreekC"/>
                <w:i/>
              </w:rPr>
            </m:ctrlPr>
          </m:dPr>
          <m:e>
            <m:sSub>
              <m:sSubPr>
                <m:ctrlPr>
                  <w:rPr>
                    <w:rFonts w:ascii="Cambria Math" w:hAnsi="Cambria Math"/>
                    <w:i/>
                  </w:rPr>
                </m:ctrlPr>
              </m:sSubPr>
              <m:e>
                <m:r>
                  <m:rPr>
                    <m:sty m:val="bi"/>
                  </m:rPr>
                  <w:rPr>
                    <w:rFonts w:ascii="Cambria Math" w:hAnsi="Cambria Math"/>
                  </w:rPr>
                  <m:t>r</m:t>
                </m:r>
              </m:e>
              <m:sub>
                <m:r>
                  <w:rPr>
                    <w:rFonts w:ascii="Cambria Math" w:hAnsi="Cambria Math"/>
                  </w:rPr>
                  <m:t>1</m:t>
                </m:r>
              </m:sub>
            </m:sSub>
            <m:r>
              <w:rPr>
                <w:rFonts w:ascii="Cambria Math" w:hAnsi="Cambria Math"/>
              </w:rPr>
              <m:t>,…,</m:t>
            </m:r>
            <m:sSub>
              <m:sSubPr>
                <m:ctrlPr>
                  <w:rPr>
                    <w:rFonts w:ascii="Cambria Math" w:hAnsi="Cambria Math"/>
                    <w:i/>
                  </w:rPr>
                </m:ctrlPr>
              </m:sSubPr>
              <m:e>
                <m:r>
                  <m:rPr>
                    <m:sty m:val="bi"/>
                  </m:rPr>
                  <w:rPr>
                    <w:rFonts w:ascii="Cambria Math" w:hAnsi="Cambria Math"/>
                  </w:rPr>
                  <m:t>r</m:t>
                </m:r>
              </m:e>
              <m:sub>
                <m:r>
                  <w:rPr>
                    <w:rFonts w:ascii="Cambria Math" w:hAnsi="Cambria Math"/>
                  </w:rPr>
                  <m:t>N</m:t>
                </m:r>
              </m:sub>
            </m:sSub>
            <m:r>
              <w:rPr>
                <w:rFonts w:ascii="Cambria Math" w:eastAsia="等线" w:hAnsi="Cambria Math" w:cs="GreekC"/>
              </w:rPr>
              <m:t>,</m:t>
            </m:r>
            <m:sSub>
              <m:sSubPr>
                <m:ctrlPr>
                  <w:rPr>
                    <w:rFonts w:ascii="Cambria Math" w:eastAsia="等线" w:hAnsi="Cambria Math" w:cs="GreekC"/>
                    <w:i/>
                  </w:rPr>
                </m:ctrlPr>
              </m:sSubPr>
              <m:e>
                <m:r>
                  <m:rPr>
                    <m:sty m:val="bi"/>
                  </m:rPr>
                  <w:rPr>
                    <w:rFonts w:ascii="Cambria Math" w:eastAsia="等线" w:hAnsi="Cambria Math" w:cs="GreekC"/>
                  </w:rPr>
                  <m:t>R</m:t>
                </m:r>
              </m:e>
              <m:sub>
                <m:r>
                  <w:rPr>
                    <w:rFonts w:ascii="Cambria Math" w:eastAsia="等线" w:hAnsi="Cambria Math" w:cs="GreekC"/>
                  </w:rPr>
                  <m:t>1</m:t>
                </m:r>
              </m:sub>
            </m:sSub>
            <m:r>
              <w:rPr>
                <w:rFonts w:ascii="Cambria Math" w:eastAsia="等线" w:hAnsi="Cambria Math" w:cs="GreekC"/>
              </w:rPr>
              <m:t>,…,</m:t>
            </m:r>
            <m:sSub>
              <m:sSubPr>
                <m:ctrlPr>
                  <w:rPr>
                    <w:rFonts w:ascii="Cambria Math" w:eastAsia="等线" w:hAnsi="Cambria Math" w:cs="GreekC"/>
                    <w:i/>
                  </w:rPr>
                </m:ctrlPr>
              </m:sSubPr>
              <m:e>
                <m:r>
                  <m:rPr>
                    <m:sty m:val="bi"/>
                  </m:rPr>
                  <w:rPr>
                    <w:rFonts w:ascii="Cambria Math" w:eastAsia="等线" w:hAnsi="Cambria Math" w:cs="GreekC"/>
                  </w:rPr>
                  <m:t>R</m:t>
                </m:r>
              </m:e>
              <m:sub>
                <m:r>
                  <w:rPr>
                    <w:rFonts w:ascii="Cambria Math" w:eastAsia="等线" w:hAnsi="Cambria Math" w:cs="GreekC"/>
                  </w:rPr>
                  <m:t>M</m:t>
                </m:r>
              </m:sub>
            </m:sSub>
          </m:e>
        </m:d>
      </m:oMath>
      <w:r w:rsidR="00624970">
        <w:rPr>
          <w:rFonts w:hint="eastAsia"/>
        </w:rPr>
        <w:t xml:space="preserve"> </w:t>
      </w:r>
      <w:r w:rsidR="00624970">
        <w:t xml:space="preserve">                             </w:t>
      </w:r>
      <w:r w:rsidR="00624970">
        <w:rPr>
          <w:rFonts w:hint="eastAsia"/>
        </w:rPr>
        <w:t>(</w:t>
      </w:r>
      <w:r w:rsidR="00624970">
        <w:t>17)</w:t>
      </w:r>
    </w:p>
    <w:p w14:paraId="42480F99" w14:textId="2796215E" w:rsidR="00624970" w:rsidRDefault="005918C3" w:rsidP="00624970">
      <w:pPr>
        <w:spacing w:afterLines="60" w:after="144" w:line="360" w:lineRule="auto"/>
      </w:pPr>
      <w:r>
        <w:t>w</w:t>
      </w:r>
      <w:r w:rsidR="00624970">
        <w:t xml:space="preserve">here </w:t>
      </w:r>
      <m:oMath>
        <m:sSub>
          <m:sSubPr>
            <m:ctrlPr>
              <w:rPr>
                <w:rFonts w:ascii="Cambria Math" w:hAnsi="Cambria Math"/>
                <w:i/>
              </w:rPr>
            </m:ctrlPr>
          </m:sSubPr>
          <m:e>
            <m:r>
              <m:rPr>
                <m:sty m:val="bi"/>
              </m:rPr>
              <w:rPr>
                <w:rFonts w:ascii="Cambria Math" w:hAnsi="Cambria Math"/>
              </w:rPr>
              <m:t>r</m:t>
            </m:r>
          </m:e>
          <m:sub>
            <m:r>
              <w:rPr>
                <w:rFonts w:ascii="Cambria Math" w:hAnsi="Cambria Math"/>
              </w:rPr>
              <m:t>i</m:t>
            </m:r>
          </m:sub>
        </m:sSub>
      </m:oMath>
      <w:r w:rsidR="00624970">
        <w:rPr>
          <w:rFonts w:hint="eastAsia"/>
        </w:rPr>
        <w:t>(</w:t>
      </w:r>
      <m:oMath>
        <m:r>
          <w:rPr>
            <w:rFonts w:ascii="Cambria Math" w:hAnsi="Cambria Math"/>
          </w:rPr>
          <m:t>i</m:t>
        </m:r>
      </m:oMath>
      <w:r w:rsidR="00624970">
        <w:t>=</w:t>
      </w:r>
      <w:r w:rsidR="004A2B25">
        <w:t>1,,</w:t>
      </w:r>
      <w:r w:rsidR="004A2B25" w:rsidRPr="00CB311D">
        <w:rPr>
          <w:i/>
        </w:rPr>
        <w:t xml:space="preserve"> N</w:t>
      </w:r>
      <w:r w:rsidR="00624970">
        <w:t>)</w:t>
      </w:r>
      <w:r w:rsidR="00624970" w:rsidRPr="008C71F2">
        <w:rPr>
          <w:rFonts w:hint="eastAsia"/>
          <w:noProof/>
        </w:rPr>
        <w:t xml:space="preserve"> i</w:t>
      </w:r>
      <w:r w:rsidR="00624970">
        <w:t xml:space="preserve">s the space coordinates of electron </w:t>
      </w:r>
      <m:oMath>
        <m:r>
          <w:rPr>
            <w:rFonts w:ascii="Cambria Math" w:hAnsi="Cambria Math"/>
          </w:rPr>
          <m:t>i</m:t>
        </m:r>
      </m:oMath>
      <w:r w:rsidR="00624970">
        <w:t xml:space="preserve"> and </w:t>
      </w:r>
      <m:oMath>
        <m:sSub>
          <m:sSubPr>
            <m:ctrlPr>
              <w:rPr>
                <w:rFonts w:ascii="Cambria Math" w:eastAsia="等线" w:hAnsi="Cambria Math" w:cs="GreekC"/>
                <w:b/>
                <w:i/>
              </w:rPr>
            </m:ctrlPr>
          </m:sSubPr>
          <m:e>
            <m:r>
              <m:rPr>
                <m:sty m:val="bi"/>
              </m:rPr>
              <w:rPr>
                <w:rFonts w:ascii="Cambria Math" w:eastAsia="等线" w:hAnsi="Cambria Math" w:cs="GreekC"/>
              </w:rPr>
              <m:t>R</m:t>
            </m:r>
          </m:e>
          <m:sub>
            <m:r>
              <w:rPr>
                <w:rFonts w:ascii="Cambria Math" w:eastAsia="等线" w:hAnsi="Cambria Math" w:cs="GreekC"/>
              </w:rPr>
              <m:t>j</m:t>
            </m:r>
          </m:sub>
        </m:sSub>
      </m:oMath>
      <w:r w:rsidR="00624970">
        <w:t>(</w:t>
      </w:r>
      <m:oMath>
        <m:r>
          <w:rPr>
            <w:rFonts w:ascii="Cambria Math" w:hAnsi="Cambria Math"/>
          </w:rPr>
          <m:t>j</m:t>
        </m:r>
      </m:oMath>
      <w:r w:rsidR="00624970">
        <w:t>=</w:t>
      </w:r>
      <w:r w:rsidR="004A2B25">
        <w:t>1,…,</w:t>
      </w:r>
      <w:r w:rsidR="004A2B25" w:rsidRPr="00CB311D">
        <w:rPr>
          <w:i/>
        </w:rPr>
        <w:t xml:space="preserve"> M</w:t>
      </w:r>
      <w:r w:rsidR="00624970">
        <w:t>))</w:t>
      </w:r>
      <w:r w:rsidR="00624970">
        <w:rPr>
          <w:rFonts w:hint="eastAsia"/>
        </w:rPr>
        <w:t xml:space="preserve"> i</w:t>
      </w:r>
      <w:r w:rsidR="00624970">
        <w:t>s</w:t>
      </w:r>
      <w:r w:rsidR="00624970" w:rsidRPr="008C71F2">
        <w:rPr>
          <w:noProof/>
        </w:rPr>
        <w:t xml:space="preserve"> t</w:t>
      </w:r>
      <w:r w:rsidR="00624970">
        <w:t xml:space="preserve">he coordinate of nuclei </w:t>
      </w:r>
      <m:oMath>
        <m:r>
          <w:rPr>
            <w:rFonts w:ascii="Cambria Math" w:hAnsi="Cambria Math"/>
          </w:rPr>
          <m:t>j</m:t>
        </m:r>
      </m:oMath>
      <w:r w:rsidR="00624970">
        <w:t>. T</w:t>
      </w:r>
      <w:r w:rsidR="00624970">
        <w:rPr>
          <w:rFonts w:hint="eastAsia"/>
        </w:rPr>
        <w:t>h</w:t>
      </w:r>
      <w:r w:rsidR="00624970">
        <w:t>e Hamiltonian operator can be further expanded as:</w:t>
      </w:r>
    </w:p>
    <w:p w14:paraId="618B2AC2" w14:textId="77777777" w:rsidR="00624970" w:rsidRPr="00087795" w:rsidRDefault="00077961" w:rsidP="00624970">
      <w:pPr>
        <w:spacing w:afterLines="60" w:after="144" w:line="360" w:lineRule="auto"/>
        <w:jc w:val="right"/>
      </w:pPr>
      <m:oMath>
        <m:acc>
          <m:accPr>
            <m:ctrlPr>
              <w:rPr>
                <w:rFonts w:ascii="Cambria Math" w:hAnsi="Cambria Math"/>
              </w:rPr>
            </m:ctrlPr>
          </m:accPr>
          <m:e>
            <m:r>
              <w:rPr>
                <w:rFonts w:ascii="Cambria Math" w:hAnsi="Cambria Math"/>
              </w:rPr>
              <m:t>H</m:t>
            </m:r>
          </m:e>
        </m:acc>
        <m:r>
          <m:rPr>
            <m:sty m:val="p"/>
          </m:rPr>
          <w:rPr>
            <w:rFonts w:ascii="Cambria Math" w:hAnsi="Cambria Math"/>
          </w:rPr>
          <m:t>=-</m:t>
        </m:r>
        <m:f>
          <m:fPr>
            <m:ctrlPr>
              <w:rPr>
                <w:rFonts w:ascii="Cambria Math" w:hAnsi="Cambria Math" w:cstheme="minorHAnsi"/>
              </w:rPr>
            </m:ctrlPr>
          </m:fPr>
          <m:num>
            <m:sSup>
              <m:sSupPr>
                <m:ctrlPr>
                  <w:rPr>
                    <w:rFonts w:ascii="Cambria Math" w:eastAsia="CIDFont+F9" w:hAnsi="Cambria Math" w:cs="CIDFont+F9"/>
                    <w:b/>
                    <w:sz w:val="21"/>
                    <w:szCs w:val="21"/>
                  </w:rPr>
                </m:ctrlPr>
              </m:sSupPr>
              <m:e>
                <m:r>
                  <m:rPr>
                    <m:sty m:val="b"/>
                  </m:rPr>
                  <w:rPr>
                    <w:rFonts w:ascii="Cambria Math" w:eastAsia="CIDFont+F9" w:hAnsi="Cambria Math" w:cs="CIDFont+F9" w:hint="eastAsia"/>
                    <w:sz w:val="21"/>
                    <w:szCs w:val="21"/>
                  </w:rPr>
                  <m:t>ℏ</m:t>
                </m:r>
              </m:e>
              <m:sup>
                <m:r>
                  <m:rPr>
                    <m:sty m:val="bi"/>
                  </m:rPr>
                  <w:rPr>
                    <w:rFonts w:ascii="Cambria Math" w:eastAsia="CIDFont+F9" w:hAnsi="Cambria Math" w:cs="CIDFont+F9"/>
                    <w:sz w:val="21"/>
                    <w:szCs w:val="21"/>
                  </w:rPr>
                  <m:t>2</m:t>
                </m:r>
              </m:sup>
            </m:sSup>
          </m:num>
          <m:den>
            <m:r>
              <w:rPr>
                <w:rFonts w:ascii="Cambria Math" w:hAnsi="Cambria Math" w:cstheme="minorHAnsi"/>
              </w:rPr>
              <m:t>2</m:t>
            </m:r>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e</m:t>
                </m:r>
              </m:sub>
            </m:sSub>
          </m:den>
        </m:f>
        <m:nary>
          <m:naryPr>
            <m:chr m:val="∑"/>
            <m:limLoc m:val="subSup"/>
            <m:supHide m:val="1"/>
            <m:ctrlPr>
              <w:rPr>
                <w:rFonts w:ascii="Cambria Math" w:hAnsi="Cambria Math" w:cstheme="minorHAnsi"/>
                <w:i/>
              </w:rPr>
            </m:ctrlPr>
          </m:naryPr>
          <m:sub>
            <m:r>
              <w:rPr>
                <w:rFonts w:ascii="Cambria Math" w:hAnsi="Cambria Math" w:cstheme="minorHAnsi"/>
              </w:rPr>
              <m:t>i</m:t>
            </m:r>
          </m:sub>
          <m:sup/>
          <m:e>
            <m:sSubSup>
              <m:sSubSupPr>
                <m:ctrlPr>
                  <w:rPr>
                    <w:rFonts w:ascii="Cambria Math" w:hAnsi="Cambria Math" w:cstheme="minorHAnsi"/>
                    <w:i/>
                  </w:rPr>
                </m:ctrlPr>
              </m:sSubSupPr>
              <m:e>
                <m:r>
                  <m:rPr>
                    <m:sty m:val="p"/>
                  </m:rPr>
                  <w:rPr>
                    <w:rFonts w:ascii="Cambria Math" w:hAnsi="Cambria Math" w:cstheme="minorHAnsi"/>
                  </w:rPr>
                  <m:t>∇</m:t>
                </m:r>
              </m:e>
              <m:sub>
                <m:sSub>
                  <m:sSubPr>
                    <m:ctrlPr>
                      <w:rPr>
                        <w:rFonts w:ascii="Cambria Math" w:hAnsi="Cambria Math" w:cstheme="minorHAnsi"/>
                        <w:i/>
                      </w:rPr>
                    </m:ctrlPr>
                  </m:sSubPr>
                  <m:e>
                    <m:r>
                      <m:rPr>
                        <m:sty m:val="bi"/>
                      </m:rPr>
                      <w:rPr>
                        <w:rFonts w:ascii="Cambria Math" w:hAnsi="Cambria Math" w:cstheme="minorHAnsi"/>
                      </w:rPr>
                      <m:t>r</m:t>
                    </m:r>
                  </m:e>
                  <m:sub>
                    <m:r>
                      <w:rPr>
                        <w:rFonts w:ascii="Cambria Math" w:hAnsi="Cambria Math" w:cstheme="minorHAnsi"/>
                      </w:rPr>
                      <m:t>i</m:t>
                    </m:r>
                  </m:sub>
                </m:sSub>
              </m:sub>
              <m:sup>
                <m:r>
                  <w:rPr>
                    <w:rFonts w:ascii="Cambria Math" w:hAnsi="Cambria Math" w:cstheme="minorHAnsi"/>
                  </w:rPr>
                  <m:t>2</m:t>
                </m:r>
              </m:sup>
            </m:sSubSup>
          </m:e>
        </m:nary>
        <m:r>
          <w:rPr>
            <w:rFonts w:ascii="Cambria Math" w:eastAsia="等线" w:hAnsi="Cambria Math" w:cs="GreekC"/>
          </w:rPr>
          <m:t>-</m:t>
        </m:r>
        <m:f>
          <m:fPr>
            <m:ctrlPr>
              <w:rPr>
                <w:rFonts w:ascii="Cambria Math" w:hAnsi="Cambria Math" w:cstheme="minorHAnsi"/>
              </w:rPr>
            </m:ctrlPr>
          </m:fPr>
          <m:num>
            <m:sSup>
              <m:sSupPr>
                <m:ctrlPr>
                  <w:rPr>
                    <w:rFonts w:ascii="Cambria Math" w:eastAsia="CIDFont+F9" w:hAnsi="Cambria Math" w:cs="CIDFont+F9"/>
                    <w:b/>
                    <w:sz w:val="21"/>
                    <w:szCs w:val="21"/>
                  </w:rPr>
                </m:ctrlPr>
              </m:sSupPr>
              <m:e>
                <m:r>
                  <m:rPr>
                    <m:sty m:val="b"/>
                  </m:rPr>
                  <w:rPr>
                    <w:rFonts w:ascii="Cambria Math" w:eastAsia="CIDFont+F9" w:hAnsi="Cambria Math" w:cs="CIDFont+F9" w:hint="eastAsia"/>
                    <w:sz w:val="21"/>
                    <w:szCs w:val="21"/>
                  </w:rPr>
                  <m:t>ℏ</m:t>
                </m:r>
              </m:e>
              <m:sup>
                <m:r>
                  <m:rPr>
                    <m:sty m:val="bi"/>
                  </m:rPr>
                  <w:rPr>
                    <w:rFonts w:ascii="Cambria Math" w:eastAsia="CIDFont+F9" w:hAnsi="Cambria Math" w:cs="CIDFont+F9"/>
                    <w:sz w:val="21"/>
                    <w:szCs w:val="21"/>
                  </w:rPr>
                  <m:t>2</m:t>
                </m:r>
              </m:sup>
            </m:sSup>
          </m:num>
          <m:den>
            <m:r>
              <w:rPr>
                <w:rFonts w:ascii="Cambria Math" w:hAnsi="Cambria Math" w:cstheme="minorHAnsi"/>
              </w:rPr>
              <m:t>2</m:t>
            </m:r>
          </m:den>
        </m:f>
        <m:nary>
          <m:naryPr>
            <m:chr m:val="∑"/>
            <m:limLoc m:val="subSup"/>
            <m:supHide m:val="1"/>
            <m:ctrlPr>
              <w:rPr>
                <w:rFonts w:ascii="Cambria Math" w:hAnsi="Cambria Math" w:cstheme="minorHAnsi"/>
                <w:i/>
              </w:rPr>
            </m:ctrlPr>
          </m:naryPr>
          <m:sub>
            <m:r>
              <w:rPr>
                <w:rFonts w:ascii="Cambria Math" w:hAnsi="Cambria Math" w:cstheme="minorHAnsi"/>
              </w:rPr>
              <m:t>j</m:t>
            </m:r>
          </m:sub>
          <m:sup/>
          <m:e>
            <m:f>
              <m:fPr>
                <m:ctrlPr>
                  <w:rPr>
                    <w:rFonts w:ascii="Cambria Math" w:hAnsi="Cambria Math" w:cstheme="minorHAnsi"/>
                    <w:i/>
                  </w:rPr>
                </m:ctrlPr>
              </m:fPr>
              <m:num>
                <m:sSubSup>
                  <m:sSubSupPr>
                    <m:ctrlPr>
                      <w:rPr>
                        <w:rFonts w:ascii="Cambria Math" w:hAnsi="Cambria Math" w:cstheme="minorHAnsi"/>
                        <w:i/>
                      </w:rPr>
                    </m:ctrlPr>
                  </m:sSubSupPr>
                  <m:e>
                    <m:r>
                      <m:rPr>
                        <m:sty m:val="p"/>
                      </m:rPr>
                      <w:rPr>
                        <w:rFonts w:ascii="Cambria Math" w:hAnsi="Cambria Math" w:cstheme="minorHAnsi"/>
                      </w:rPr>
                      <m:t>∇</m:t>
                    </m:r>
                  </m:e>
                  <m:sub>
                    <m:sSub>
                      <m:sSubPr>
                        <m:ctrlPr>
                          <w:rPr>
                            <w:rFonts w:ascii="Cambria Math" w:hAnsi="Cambria Math" w:cstheme="minorHAnsi"/>
                            <w:i/>
                          </w:rPr>
                        </m:ctrlPr>
                      </m:sSubPr>
                      <m:e>
                        <m:r>
                          <m:rPr>
                            <m:sty m:val="bi"/>
                          </m:rPr>
                          <w:rPr>
                            <w:rFonts w:ascii="Cambria Math" w:hAnsi="Cambria Math" w:cstheme="minorHAnsi"/>
                          </w:rPr>
                          <m:t>R</m:t>
                        </m:r>
                      </m:e>
                      <m:sub>
                        <m:r>
                          <w:rPr>
                            <w:rFonts w:ascii="Cambria Math" w:hAnsi="Cambria Math" w:cstheme="minorHAnsi"/>
                          </w:rPr>
                          <m:t>j</m:t>
                        </m:r>
                      </m:sub>
                    </m:sSub>
                  </m:sub>
                  <m:sup>
                    <m:r>
                      <w:rPr>
                        <w:rFonts w:ascii="Cambria Math" w:hAnsi="Cambria Math" w:cstheme="minorHAnsi"/>
                      </w:rPr>
                      <m:t>2</m:t>
                    </m:r>
                  </m:sup>
                </m:sSubSup>
              </m:num>
              <m:den>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j</m:t>
                    </m:r>
                  </m:sub>
                </m:sSub>
              </m:den>
            </m:f>
          </m:e>
        </m:nary>
        <m:r>
          <w:rPr>
            <w:rFonts w:ascii="Cambria Math" w:eastAsia="等线" w:hAnsi="Cambria Math" w:cs="GreekC"/>
          </w:rPr>
          <m:t>-</m:t>
        </m:r>
        <m:nary>
          <m:naryPr>
            <m:chr m:val="∑"/>
            <m:limLoc m:val="subSup"/>
            <m:supHide m:val="1"/>
            <m:ctrlPr>
              <w:rPr>
                <w:rFonts w:ascii="Cambria Math" w:eastAsia="等线" w:hAnsi="Cambria Math" w:cs="GreekC"/>
                <w:i/>
              </w:rPr>
            </m:ctrlPr>
          </m:naryPr>
          <m:sub>
            <m:r>
              <w:rPr>
                <w:rFonts w:ascii="Cambria Math" w:eastAsia="等线" w:hAnsi="Cambria Math" w:cs="GreekC"/>
              </w:rPr>
              <m:t>i</m:t>
            </m:r>
          </m:sub>
          <m:sup/>
          <m:e>
            <m:nary>
              <m:naryPr>
                <m:chr m:val="∑"/>
                <m:limLoc m:val="subSup"/>
                <m:supHide m:val="1"/>
                <m:ctrlPr>
                  <w:rPr>
                    <w:rFonts w:ascii="Cambria Math" w:eastAsia="等线" w:hAnsi="Cambria Math" w:cs="GreekC"/>
                    <w:i/>
                  </w:rPr>
                </m:ctrlPr>
              </m:naryPr>
              <m:sub>
                <m:r>
                  <w:rPr>
                    <w:rFonts w:ascii="Cambria Math" w:eastAsia="等线" w:hAnsi="Cambria Math" w:cs="GreekC"/>
                  </w:rPr>
                  <m:t>j</m:t>
                </m:r>
              </m:sub>
              <m:sup/>
              <m:e>
                <m:f>
                  <m:fPr>
                    <m:ctrlPr>
                      <w:rPr>
                        <w:rFonts w:ascii="Cambria Math" w:eastAsia="等线" w:hAnsi="Cambria Math" w:cs="GreekC"/>
                        <w:i/>
                      </w:rPr>
                    </m:ctrlPr>
                  </m:fPr>
                  <m:num>
                    <m:sSup>
                      <m:sSupPr>
                        <m:ctrlPr>
                          <w:rPr>
                            <w:rFonts w:ascii="Cambria Math" w:eastAsia="等线" w:hAnsi="Cambria Math" w:cs="GreekC"/>
                            <w:i/>
                          </w:rPr>
                        </m:ctrlPr>
                      </m:sSupPr>
                      <m:e>
                        <m:r>
                          <w:rPr>
                            <w:rFonts w:ascii="Cambria Math" w:eastAsia="等线" w:hAnsi="Cambria Math" w:cs="GreekC"/>
                          </w:rPr>
                          <m:t>e</m:t>
                        </m:r>
                      </m:e>
                      <m:sup>
                        <m:r>
                          <w:rPr>
                            <w:rFonts w:ascii="Cambria Math" w:eastAsia="等线" w:hAnsi="Cambria Math" w:cs="GreekC"/>
                          </w:rPr>
                          <m:t>2</m:t>
                        </m:r>
                      </m:sup>
                    </m:sSup>
                    <m:sSub>
                      <m:sSubPr>
                        <m:ctrlPr>
                          <w:rPr>
                            <w:rFonts w:ascii="Cambria Math" w:eastAsia="等线" w:hAnsi="Cambria Math" w:cs="GreekC"/>
                            <w:i/>
                          </w:rPr>
                        </m:ctrlPr>
                      </m:sSubPr>
                      <m:e>
                        <m:r>
                          <w:rPr>
                            <w:rFonts w:ascii="Cambria Math" w:eastAsia="等线" w:hAnsi="Cambria Math" w:cs="GreekC"/>
                          </w:rPr>
                          <m:t>Z</m:t>
                        </m:r>
                      </m:e>
                      <m:sub>
                        <m:r>
                          <w:rPr>
                            <w:rFonts w:ascii="Cambria Math" w:eastAsia="等线" w:hAnsi="Cambria Math" w:cs="GreekC"/>
                          </w:rPr>
                          <m:t>j</m:t>
                        </m:r>
                      </m:sub>
                    </m:sSub>
                  </m:num>
                  <m:den>
                    <m:d>
                      <m:dPr>
                        <m:begChr m:val="|"/>
                        <m:endChr m:val="|"/>
                        <m:ctrlPr>
                          <w:rPr>
                            <w:rFonts w:ascii="Cambria Math" w:eastAsia="等线" w:hAnsi="Cambria Math" w:cs="GreekC"/>
                            <w:i/>
                          </w:rPr>
                        </m:ctrlPr>
                      </m:dPr>
                      <m:e>
                        <m:sSub>
                          <m:sSubPr>
                            <m:ctrlPr>
                              <w:rPr>
                                <w:rFonts w:ascii="Cambria Math" w:eastAsia="等线" w:hAnsi="Cambria Math" w:cs="GreekC"/>
                                <w:i/>
                              </w:rPr>
                            </m:ctrlPr>
                          </m:sSubPr>
                          <m:e>
                            <m:r>
                              <m:rPr>
                                <m:sty m:val="bi"/>
                              </m:rPr>
                              <w:rPr>
                                <w:rFonts w:ascii="Cambria Math" w:eastAsia="等线" w:hAnsi="Cambria Math" w:cs="GreekC"/>
                              </w:rPr>
                              <m:t>r</m:t>
                            </m:r>
                          </m:e>
                          <m:sub>
                            <m:r>
                              <w:rPr>
                                <w:rFonts w:ascii="Cambria Math" w:eastAsia="等线" w:hAnsi="Cambria Math" w:cs="GreekC"/>
                              </w:rPr>
                              <m:t>i</m:t>
                            </m:r>
                          </m:sub>
                        </m:sSub>
                        <m:r>
                          <w:rPr>
                            <w:rFonts w:ascii="Cambria Math" w:eastAsia="等线" w:hAnsi="Cambria Math" w:cs="GreekC"/>
                          </w:rPr>
                          <m:t>-</m:t>
                        </m:r>
                        <m:sSub>
                          <m:sSubPr>
                            <m:ctrlPr>
                              <w:rPr>
                                <w:rFonts w:ascii="Cambria Math" w:eastAsia="等线" w:hAnsi="Cambria Math" w:cs="GreekC"/>
                                <w:i/>
                              </w:rPr>
                            </m:ctrlPr>
                          </m:sSubPr>
                          <m:e>
                            <m:r>
                              <m:rPr>
                                <m:sty m:val="bi"/>
                              </m:rPr>
                              <w:rPr>
                                <w:rFonts w:ascii="Cambria Math" w:eastAsia="等线" w:hAnsi="Cambria Math" w:cs="GreekC"/>
                              </w:rPr>
                              <m:t>R</m:t>
                            </m:r>
                          </m:e>
                          <m:sub>
                            <m:r>
                              <w:rPr>
                                <w:rFonts w:ascii="Cambria Math" w:eastAsia="等线" w:hAnsi="Cambria Math" w:cs="GreekC"/>
                              </w:rPr>
                              <m:t>j</m:t>
                            </m:r>
                          </m:sub>
                        </m:sSub>
                      </m:e>
                    </m:d>
                  </m:den>
                </m:f>
              </m:e>
            </m:nary>
          </m:e>
        </m:nary>
        <m:r>
          <w:rPr>
            <w:rFonts w:ascii="Cambria Math" w:eastAsia="等线" w:hAnsi="Cambria Math" w:cs="GreekC"/>
          </w:rPr>
          <m:t>+</m:t>
        </m:r>
        <m:f>
          <m:fPr>
            <m:ctrlPr>
              <w:rPr>
                <w:rFonts w:ascii="Cambria Math" w:eastAsia="等线" w:hAnsi="Cambria Math" w:cs="GreekC"/>
                <w:i/>
              </w:rPr>
            </m:ctrlPr>
          </m:fPr>
          <m:num>
            <m:r>
              <w:rPr>
                <w:rFonts w:ascii="Cambria Math" w:eastAsia="等线" w:hAnsi="Cambria Math" w:cs="GreekC"/>
              </w:rPr>
              <m:t>1</m:t>
            </m:r>
          </m:num>
          <m:den>
            <m:r>
              <w:rPr>
                <w:rFonts w:ascii="Cambria Math" w:eastAsia="等线" w:hAnsi="Cambria Math" w:cs="GreekC"/>
              </w:rPr>
              <m:t>2</m:t>
            </m:r>
          </m:den>
        </m:f>
        <m:nary>
          <m:naryPr>
            <m:chr m:val="∑"/>
            <m:limLoc m:val="subSup"/>
            <m:supHide m:val="1"/>
            <m:ctrlPr>
              <w:rPr>
                <w:rFonts w:ascii="Cambria Math" w:eastAsia="等线" w:hAnsi="Cambria Math" w:cs="GreekC"/>
                <w:i/>
              </w:rPr>
            </m:ctrlPr>
          </m:naryPr>
          <m:sub>
            <m:r>
              <w:rPr>
                <w:rFonts w:ascii="Cambria Math" w:eastAsia="等线" w:hAnsi="Cambria Math" w:cs="GreekC"/>
              </w:rPr>
              <m:t>i≠j</m:t>
            </m:r>
          </m:sub>
          <m:sup/>
          <m:e>
            <m:f>
              <m:fPr>
                <m:ctrlPr>
                  <w:rPr>
                    <w:rFonts w:ascii="Cambria Math" w:eastAsia="等线" w:hAnsi="Cambria Math" w:cs="GreekC"/>
                    <w:i/>
                  </w:rPr>
                </m:ctrlPr>
              </m:fPr>
              <m:num>
                <m:sSup>
                  <m:sSupPr>
                    <m:ctrlPr>
                      <w:rPr>
                        <w:rFonts w:ascii="Cambria Math" w:eastAsia="等线" w:hAnsi="Cambria Math" w:cs="GreekC"/>
                        <w:i/>
                      </w:rPr>
                    </m:ctrlPr>
                  </m:sSupPr>
                  <m:e>
                    <m:r>
                      <w:rPr>
                        <w:rFonts w:ascii="Cambria Math" w:eastAsia="等线" w:hAnsi="Cambria Math" w:cs="GreekC"/>
                      </w:rPr>
                      <m:t>e</m:t>
                    </m:r>
                  </m:e>
                  <m:sup>
                    <m:r>
                      <w:rPr>
                        <w:rFonts w:ascii="Cambria Math" w:eastAsia="等线" w:hAnsi="Cambria Math" w:cs="GreekC"/>
                      </w:rPr>
                      <m:t>2</m:t>
                    </m:r>
                  </m:sup>
                </m:sSup>
              </m:num>
              <m:den>
                <m:d>
                  <m:dPr>
                    <m:begChr m:val="|"/>
                    <m:endChr m:val="|"/>
                    <m:ctrlPr>
                      <w:rPr>
                        <w:rFonts w:ascii="Cambria Math" w:eastAsia="等线" w:hAnsi="Cambria Math" w:cs="GreekC"/>
                        <w:i/>
                      </w:rPr>
                    </m:ctrlPr>
                  </m:dPr>
                  <m:e>
                    <m:sSub>
                      <m:sSubPr>
                        <m:ctrlPr>
                          <w:rPr>
                            <w:rFonts w:ascii="Cambria Math" w:eastAsia="等线" w:hAnsi="Cambria Math" w:cs="GreekC"/>
                            <w:i/>
                          </w:rPr>
                        </m:ctrlPr>
                      </m:sSubPr>
                      <m:e>
                        <m:r>
                          <m:rPr>
                            <m:sty m:val="bi"/>
                          </m:rPr>
                          <w:rPr>
                            <w:rFonts w:ascii="Cambria Math" w:eastAsia="等线" w:hAnsi="Cambria Math" w:cs="GreekC"/>
                          </w:rPr>
                          <m:t>r</m:t>
                        </m:r>
                      </m:e>
                      <m:sub>
                        <m:r>
                          <w:rPr>
                            <w:rFonts w:ascii="Cambria Math" w:eastAsia="等线" w:hAnsi="Cambria Math" w:cs="GreekC"/>
                          </w:rPr>
                          <m:t>i</m:t>
                        </m:r>
                      </m:sub>
                    </m:sSub>
                    <m:r>
                      <w:rPr>
                        <w:rFonts w:ascii="Cambria Math" w:eastAsia="等线" w:hAnsi="Cambria Math" w:cs="GreekC"/>
                      </w:rPr>
                      <m:t>-</m:t>
                    </m:r>
                    <m:sSub>
                      <m:sSubPr>
                        <m:ctrlPr>
                          <w:rPr>
                            <w:rFonts w:ascii="Cambria Math" w:eastAsia="等线" w:hAnsi="Cambria Math" w:cs="GreekC"/>
                            <w:i/>
                          </w:rPr>
                        </m:ctrlPr>
                      </m:sSubPr>
                      <m:e>
                        <m:r>
                          <m:rPr>
                            <m:sty m:val="bi"/>
                          </m:rPr>
                          <w:rPr>
                            <w:rFonts w:ascii="Cambria Math" w:eastAsia="等线" w:hAnsi="Cambria Math" w:cs="GreekC"/>
                          </w:rPr>
                          <m:t>r</m:t>
                        </m:r>
                      </m:e>
                      <m:sub>
                        <m:r>
                          <w:rPr>
                            <w:rFonts w:ascii="Cambria Math" w:eastAsia="等线" w:hAnsi="Cambria Math" w:cs="GreekC"/>
                          </w:rPr>
                          <m:t>j</m:t>
                        </m:r>
                      </m:sub>
                    </m:sSub>
                  </m:e>
                </m:d>
              </m:den>
            </m:f>
          </m:e>
        </m:nary>
        <m:r>
          <w:rPr>
            <w:rFonts w:ascii="Cambria Math" w:eastAsia="等线" w:hAnsi="Cambria Math" w:cs="GreekC"/>
          </w:rPr>
          <m:t>+</m:t>
        </m:r>
        <m:f>
          <m:fPr>
            <m:ctrlPr>
              <w:rPr>
                <w:rFonts w:ascii="Cambria Math" w:eastAsia="等线" w:hAnsi="Cambria Math" w:cs="GreekC"/>
                <w:i/>
              </w:rPr>
            </m:ctrlPr>
          </m:fPr>
          <m:num>
            <m:r>
              <w:rPr>
                <w:rFonts w:ascii="Cambria Math" w:eastAsia="等线" w:hAnsi="Cambria Math" w:cs="GreekC"/>
              </w:rPr>
              <m:t>1</m:t>
            </m:r>
          </m:num>
          <m:den>
            <m:r>
              <w:rPr>
                <w:rFonts w:ascii="Cambria Math" w:eastAsia="等线" w:hAnsi="Cambria Math" w:cs="GreekC"/>
              </w:rPr>
              <m:t>2</m:t>
            </m:r>
          </m:den>
        </m:f>
        <m:nary>
          <m:naryPr>
            <m:chr m:val="∑"/>
            <m:limLoc m:val="subSup"/>
            <m:supHide m:val="1"/>
            <m:ctrlPr>
              <w:rPr>
                <w:rFonts w:ascii="Cambria Math" w:eastAsia="等线" w:hAnsi="Cambria Math" w:cs="GreekC"/>
                <w:i/>
              </w:rPr>
            </m:ctrlPr>
          </m:naryPr>
          <m:sub>
            <m:r>
              <w:rPr>
                <w:rFonts w:ascii="Cambria Math" w:eastAsia="等线" w:hAnsi="Cambria Math" w:cs="GreekC"/>
              </w:rPr>
              <m:t>i≠j</m:t>
            </m:r>
          </m:sub>
          <m:sup/>
          <m:e>
            <m:f>
              <m:fPr>
                <m:ctrlPr>
                  <w:rPr>
                    <w:rFonts w:ascii="Cambria Math" w:eastAsia="等线" w:hAnsi="Cambria Math" w:cs="GreekC"/>
                    <w:i/>
                  </w:rPr>
                </m:ctrlPr>
              </m:fPr>
              <m:num>
                <m:sSup>
                  <m:sSupPr>
                    <m:ctrlPr>
                      <w:rPr>
                        <w:rFonts w:ascii="Cambria Math" w:eastAsia="等线" w:hAnsi="Cambria Math" w:cs="GreekC"/>
                        <w:i/>
                      </w:rPr>
                    </m:ctrlPr>
                  </m:sSupPr>
                  <m:e>
                    <m:r>
                      <w:rPr>
                        <w:rFonts w:ascii="Cambria Math" w:eastAsia="等线" w:hAnsi="Cambria Math" w:cs="GreekC"/>
                      </w:rPr>
                      <m:t>e</m:t>
                    </m:r>
                  </m:e>
                  <m:sup>
                    <m:r>
                      <w:rPr>
                        <w:rFonts w:ascii="Cambria Math" w:eastAsia="等线" w:hAnsi="Cambria Math" w:cs="GreekC"/>
                      </w:rPr>
                      <m:t>2</m:t>
                    </m:r>
                  </m:sup>
                </m:sSup>
                <m:sSub>
                  <m:sSubPr>
                    <m:ctrlPr>
                      <w:rPr>
                        <w:rFonts w:ascii="Cambria Math" w:eastAsia="等线" w:hAnsi="Cambria Math" w:cs="GreekC"/>
                        <w:i/>
                      </w:rPr>
                    </m:ctrlPr>
                  </m:sSubPr>
                  <m:e>
                    <m:r>
                      <w:rPr>
                        <w:rFonts w:ascii="Cambria Math" w:eastAsia="等线" w:hAnsi="Cambria Math" w:cs="GreekC"/>
                      </w:rPr>
                      <m:t>Z</m:t>
                    </m:r>
                  </m:e>
                  <m:sub>
                    <m:r>
                      <w:rPr>
                        <w:rFonts w:ascii="Cambria Math" w:eastAsia="等线" w:hAnsi="Cambria Math" w:cs="GreekC"/>
                      </w:rPr>
                      <m:t>i</m:t>
                    </m:r>
                  </m:sub>
                </m:sSub>
                <m:sSub>
                  <m:sSubPr>
                    <m:ctrlPr>
                      <w:rPr>
                        <w:rFonts w:ascii="Cambria Math" w:eastAsia="等线" w:hAnsi="Cambria Math" w:cs="GreekC"/>
                        <w:i/>
                      </w:rPr>
                    </m:ctrlPr>
                  </m:sSubPr>
                  <m:e>
                    <m:r>
                      <w:rPr>
                        <w:rFonts w:ascii="Cambria Math" w:eastAsia="等线" w:hAnsi="Cambria Math" w:cs="GreekC"/>
                      </w:rPr>
                      <m:t>Z</m:t>
                    </m:r>
                  </m:e>
                  <m:sub>
                    <m:r>
                      <w:rPr>
                        <w:rFonts w:ascii="Cambria Math" w:eastAsia="等线" w:hAnsi="Cambria Math" w:cs="GreekC"/>
                      </w:rPr>
                      <m:t>j</m:t>
                    </m:r>
                  </m:sub>
                </m:sSub>
              </m:num>
              <m:den>
                <m:d>
                  <m:dPr>
                    <m:begChr m:val="|"/>
                    <m:endChr m:val="|"/>
                    <m:ctrlPr>
                      <w:rPr>
                        <w:rFonts w:ascii="Cambria Math" w:eastAsia="等线" w:hAnsi="Cambria Math" w:cs="GreekC"/>
                        <w:i/>
                      </w:rPr>
                    </m:ctrlPr>
                  </m:dPr>
                  <m:e>
                    <m:sSub>
                      <m:sSubPr>
                        <m:ctrlPr>
                          <w:rPr>
                            <w:rFonts w:ascii="Cambria Math" w:eastAsia="等线" w:hAnsi="Cambria Math" w:cs="GreekC"/>
                            <w:i/>
                          </w:rPr>
                        </m:ctrlPr>
                      </m:sSubPr>
                      <m:e>
                        <m:r>
                          <m:rPr>
                            <m:sty m:val="bi"/>
                          </m:rPr>
                          <w:rPr>
                            <w:rFonts w:ascii="Cambria Math" w:eastAsia="等线" w:hAnsi="Cambria Math" w:cs="GreekC"/>
                          </w:rPr>
                          <m:t>R</m:t>
                        </m:r>
                      </m:e>
                      <m:sub>
                        <m:r>
                          <w:rPr>
                            <w:rFonts w:ascii="Cambria Math" w:eastAsia="等线" w:hAnsi="Cambria Math" w:cs="GreekC"/>
                          </w:rPr>
                          <m:t>i</m:t>
                        </m:r>
                      </m:sub>
                    </m:sSub>
                    <m:r>
                      <w:rPr>
                        <w:rFonts w:ascii="Cambria Math" w:eastAsia="等线" w:hAnsi="Cambria Math" w:cs="GreekC"/>
                      </w:rPr>
                      <m:t>-</m:t>
                    </m:r>
                    <m:sSub>
                      <m:sSubPr>
                        <m:ctrlPr>
                          <w:rPr>
                            <w:rFonts w:ascii="Cambria Math" w:eastAsia="等线" w:hAnsi="Cambria Math" w:cs="GreekC"/>
                            <w:i/>
                          </w:rPr>
                        </m:ctrlPr>
                      </m:sSubPr>
                      <m:e>
                        <m:r>
                          <m:rPr>
                            <m:sty m:val="bi"/>
                          </m:rPr>
                          <w:rPr>
                            <w:rFonts w:ascii="Cambria Math" w:eastAsia="等线" w:hAnsi="Cambria Math" w:cs="GreekC"/>
                          </w:rPr>
                          <m:t>R</m:t>
                        </m:r>
                      </m:e>
                      <m:sub>
                        <m:r>
                          <w:rPr>
                            <w:rFonts w:ascii="Cambria Math" w:eastAsia="等线" w:hAnsi="Cambria Math" w:cs="GreekC"/>
                          </w:rPr>
                          <m:t>j</m:t>
                        </m:r>
                      </m:sub>
                    </m:sSub>
                  </m:e>
                </m:d>
              </m:den>
            </m:f>
          </m:e>
        </m:nary>
      </m:oMath>
      <w:r w:rsidR="00624970">
        <w:rPr>
          <w:rFonts w:hint="eastAsia"/>
        </w:rPr>
        <w:t xml:space="preserve"> </w:t>
      </w:r>
      <w:r w:rsidR="00624970">
        <w:t xml:space="preserve">          </w:t>
      </w:r>
      <w:r w:rsidR="00624970">
        <w:rPr>
          <w:rFonts w:hint="eastAsia"/>
        </w:rPr>
        <w:t>(</w:t>
      </w:r>
      <w:r w:rsidR="00624970">
        <w:t>18)</w:t>
      </w:r>
    </w:p>
    <w:p w14:paraId="32F44DF0" w14:textId="458AD6BC" w:rsidR="00624970" w:rsidRDefault="005918C3" w:rsidP="00624970">
      <w:pPr>
        <w:spacing w:afterLines="60" w:after="144" w:line="360" w:lineRule="auto"/>
      </w:pPr>
      <w:r>
        <w:t>w</w:t>
      </w:r>
      <w:r w:rsidR="00624970">
        <w:t xml:space="preserve">here the </w:t>
      </w:r>
      <w:r w:rsidR="00624970" w:rsidRPr="008C71F2">
        <w:rPr>
          <w:noProof/>
        </w:rPr>
        <w:t>electron</w:t>
      </w:r>
      <w:r w:rsidR="00624970">
        <w:t xml:space="preserve"> mass was represented by </w:t>
      </w:r>
      <m:oMath>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e</m:t>
            </m:r>
          </m:sub>
        </m:sSub>
      </m:oMath>
      <w:r w:rsidR="00624970">
        <w:rPr>
          <w:rFonts w:hint="eastAsia"/>
        </w:rPr>
        <w:t>,</w:t>
      </w:r>
      <w:r w:rsidR="00624970">
        <w:t xml:space="preserve"> the charge and mass of nuclei j in the many-body system was represented by </w:t>
      </w:r>
      <m:oMath>
        <m:sSub>
          <m:sSubPr>
            <m:ctrlPr>
              <w:rPr>
                <w:rFonts w:ascii="Cambria Math" w:hAnsi="Cambria Math" w:cstheme="minorHAnsi"/>
                <w:i/>
              </w:rPr>
            </m:ctrlPr>
          </m:sSubPr>
          <m:e>
            <m:r>
              <w:rPr>
                <w:rFonts w:ascii="Cambria Math" w:hAnsi="Cambria Math" w:cstheme="minorHAnsi"/>
              </w:rPr>
              <m:t>Z</m:t>
            </m:r>
          </m:e>
          <m:sub>
            <m:r>
              <w:rPr>
                <w:rFonts w:ascii="Cambria Math" w:hAnsi="Cambria Math" w:cstheme="minorHAnsi"/>
              </w:rPr>
              <m:t>j</m:t>
            </m:r>
          </m:sub>
        </m:sSub>
      </m:oMath>
      <w:r w:rsidR="00624970">
        <w:rPr>
          <w:rFonts w:hint="eastAsia"/>
        </w:rPr>
        <w:t xml:space="preserve"> </w:t>
      </w:r>
      <w:r w:rsidR="00624970">
        <w:t xml:space="preserve">and </w:t>
      </w:r>
      <m:oMath>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j</m:t>
            </m:r>
          </m:sub>
        </m:sSub>
      </m:oMath>
      <w:r w:rsidR="00624970">
        <w:t>, respectively</w:t>
      </w:r>
      <w:r w:rsidR="00624970">
        <w:rPr>
          <w:rFonts w:hint="eastAsia"/>
        </w:rPr>
        <w:t>.</w:t>
      </w:r>
      <w:r w:rsidR="00624970">
        <w:t xml:space="preserve"> The concise form can be further expressed as:</w:t>
      </w:r>
    </w:p>
    <w:p w14:paraId="615EB485" w14:textId="77777777" w:rsidR="00624970" w:rsidRPr="00D27B5A" w:rsidRDefault="00077961" w:rsidP="00624970">
      <w:pPr>
        <w:spacing w:afterLines="60" w:after="144" w:line="360" w:lineRule="auto"/>
        <w:jc w:val="right"/>
      </w:pPr>
      <m:oMath>
        <m:acc>
          <m:accPr>
            <m:ctrlPr>
              <w:rPr>
                <w:rFonts w:ascii="Cambria Math" w:hAnsi="Cambria Math"/>
              </w:rPr>
            </m:ctrlPr>
          </m:accPr>
          <m:e>
            <m:r>
              <w:rPr>
                <w:rFonts w:ascii="Cambria Math" w:hAnsi="Cambria Math"/>
              </w:rPr>
              <m:t>H</m:t>
            </m:r>
          </m:e>
        </m:acc>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T</m:t>
                </m:r>
              </m:e>
            </m:acc>
          </m:e>
          <m:sub>
            <m:r>
              <w:rPr>
                <w:rFonts w:ascii="Cambria Math" w:hAnsi="Cambria Math"/>
              </w:rPr>
              <m:t>E</m:t>
            </m:r>
          </m:sub>
        </m:sSub>
        <m: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V</m:t>
                </m:r>
              </m:e>
            </m:acc>
          </m:e>
          <m:sub>
            <m:r>
              <w:rPr>
                <w:rFonts w:ascii="Cambria Math" w:hAnsi="Cambria Math"/>
              </w:rPr>
              <m:t>en</m:t>
            </m:r>
          </m:sub>
        </m:sSub>
        <m: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V</m:t>
                </m:r>
              </m:e>
            </m:acc>
          </m:e>
          <m:sub>
            <m:r>
              <w:rPr>
                <w:rFonts w:ascii="Cambria Math" w:hAnsi="Cambria Math"/>
              </w:rPr>
              <m:t>ee</m:t>
            </m:r>
          </m:sub>
        </m:sSub>
        <m: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V</m:t>
                </m:r>
              </m:e>
            </m:acc>
          </m:e>
          <m:sub>
            <m:r>
              <w:rPr>
                <w:rFonts w:ascii="Cambria Math" w:hAnsi="Cambria Math"/>
              </w:rPr>
              <m:t>nn</m:t>
            </m:r>
          </m:sub>
        </m:sSub>
      </m:oMath>
      <w:r w:rsidR="00624970">
        <w:rPr>
          <w:rFonts w:hint="eastAsia"/>
        </w:rPr>
        <w:t xml:space="preserve"> </w:t>
      </w:r>
      <w:r w:rsidR="00624970">
        <w:t xml:space="preserve">                                                      </w:t>
      </w:r>
      <w:r w:rsidR="00624970">
        <w:rPr>
          <w:rFonts w:hint="eastAsia"/>
        </w:rPr>
        <w:t>(</w:t>
      </w:r>
      <w:r w:rsidR="00624970">
        <w:t>19)</w:t>
      </w:r>
    </w:p>
    <w:p w14:paraId="09404556" w14:textId="7A5CBDFD" w:rsidR="00624970" w:rsidRDefault="00624970" w:rsidP="00624970">
      <w:pPr>
        <w:spacing w:afterLines="60" w:after="144" w:line="360" w:lineRule="auto"/>
        <w:jc w:val="both"/>
      </w:pPr>
      <w:r>
        <w:rPr>
          <w:rFonts w:hint="eastAsia"/>
        </w:rPr>
        <w:t>H</w:t>
      </w:r>
      <w:r>
        <w:t>ere</w:t>
      </w:r>
      <w:r>
        <w:rPr>
          <w:rFonts w:hint="eastAsia"/>
        </w:rPr>
        <w:t xml:space="preserve"> </w:t>
      </w:r>
      <m:oMath>
        <m:sSub>
          <m:sSubPr>
            <m:ctrlPr>
              <w:rPr>
                <w:rFonts w:ascii="Cambria Math" w:hAnsi="Cambria Math"/>
              </w:rPr>
            </m:ctrlPr>
          </m:sSubPr>
          <m:e>
            <m:acc>
              <m:accPr>
                <m:ctrlPr>
                  <w:rPr>
                    <w:rFonts w:ascii="Cambria Math" w:hAnsi="Cambria Math"/>
                  </w:rPr>
                </m:ctrlPr>
              </m:accPr>
              <m:e>
                <m:r>
                  <w:rPr>
                    <w:rFonts w:ascii="Cambria Math" w:hAnsi="Cambria Math"/>
                  </w:rPr>
                  <m:t>T</m:t>
                </m:r>
              </m:e>
            </m:acc>
          </m:e>
          <m:sub>
            <m:r>
              <w:rPr>
                <w:rFonts w:ascii="Cambria Math" w:hAnsi="Cambria Math"/>
              </w:rPr>
              <m:t>E</m:t>
            </m:r>
          </m:sub>
        </m:sSub>
      </m:oMath>
      <w:r>
        <w:rPr>
          <w:rFonts w:hint="eastAsia"/>
        </w:rPr>
        <w:t xml:space="preserve"> </w:t>
      </w:r>
      <w:r>
        <w:t xml:space="preserve">represents the first two terms in </w:t>
      </w:r>
      <w:r w:rsidRPr="00CB311D">
        <w:rPr>
          <w:i/>
        </w:rPr>
        <w:t>eq</w:t>
      </w:r>
      <w:r>
        <w:t>. (18), which gives the to</w:t>
      </w:r>
      <w:r w:rsidRPr="008C71F2">
        <w:rPr>
          <w:noProof/>
        </w:rPr>
        <w:t>tal k</w:t>
      </w:r>
      <w:r>
        <w:t xml:space="preserve">inetic energy of the many-body system; the potential energy induced by the Coulomb interaction between particles was separated into </w:t>
      </w:r>
      <w:r>
        <w:lastRenderedPageBreak/>
        <w:t xml:space="preserve">the last three terms; </w:t>
      </w:r>
      <m:oMath>
        <m:sSub>
          <m:sSubPr>
            <m:ctrlPr>
              <w:rPr>
                <w:rFonts w:ascii="Cambria Math" w:hAnsi="Cambria Math"/>
              </w:rPr>
            </m:ctrlPr>
          </m:sSubPr>
          <m:e>
            <m:acc>
              <m:accPr>
                <m:ctrlPr>
                  <w:rPr>
                    <w:rFonts w:ascii="Cambria Math" w:hAnsi="Cambria Math"/>
                  </w:rPr>
                </m:ctrlPr>
              </m:accPr>
              <m:e>
                <m:r>
                  <w:rPr>
                    <w:rFonts w:ascii="Cambria Math" w:hAnsi="Cambria Math"/>
                  </w:rPr>
                  <m:t>V</m:t>
                </m:r>
              </m:e>
            </m:acc>
          </m:e>
          <m:sub>
            <m:r>
              <w:rPr>
                <w:rFonts w:ascii="Cambria Math" w:hAnsi="Cambria Math"/>
              </w:rPr>
              <m:t>en</m:t>
            </m:r>
          </m:sub>
        </m:sSub>
      </m:oMath>
      <w:r>
        <w:rPr>
          <w:rFonts w:hint="eastAsia"/>
        </w:rPr>
        <w:t xml:space="preserve"> </w:t>
      </w:r>
      <w:r>
        <w:t xml:space="preserve">represents the interaction energy between electrons and the nucleus; </w:t>
      </w:r>
      <m:oMath>
        <m:sSub>
          <m:sSubPr>
            <m:ctrlPr>
              <w:rPr>
                <w:rFonts w:ascii="Cambria Math" w:hAnsi="Cambria Math"/>
              </w:rPr>
            </m:ctrlPr>
          </m:sSubPr>
          <m:e>
            <m:acc>
              <m:accPr>
                <m:ctrlPr>
                  <w:rPr>
                    <w:rFonts w:ascii="Cambria Math" w:hAnsi="Cambria Math"/>
                  </w:rPr>
                </m:ctrlPr>
              </m:accPr>
              <m:e>
                <m:r>
                  <w:rPr>
                    <w:rFonts w:ascii="Cambria Math" w:hAnsi="Cambria Math"/>
                  </w:rPr>
                  <m:t>V</m:t>
                </m:r>
              </m:e>
            </m:acc>
          </m:e>
          <m:sub>
            <m:r>
              <w:rPr>
                <w:rFonts w:ascii="Cambria Math" w:hAnsi="Cambria Math"/>
              </w:rPr>
              <m:t>ee</m:t>
            </m:r>
          </m:sub>
        </m:sSub>
      </m:oMath>
      <w:r>
        <w:rPr>
          <w:rFonts w:hint="eastAsia"/>
        </w:rPr>
        <w:t xml:space="preserve"> </w:t>
      </w:r>
      <w:r>
        <w:t>represents the interact</w:t>
      </w:r>
      <w:r w:rsidRPr="008C71F2">
        <w:rPr>
          <w:noProof/>
        </w:rPr>
        <w:t>ion between</w:t>
      </w:r>
      <w:r>
        <w:t xml:space="preserve"> electron and electron; and </w:t>
      </w:r>
      <m:oMath>
        <m:sSub>
          <m:sSubPr>
            <m:ctrlPr>
              <w:rPr>
                <w:rFonts w:ascii="Cambria Math" w:hAnsi="Cambria Math"/>
              </w:rPr>
            </m:ctrlPr>
          </m:sSubPr>
          <m:e>
            <m:acc>
              <m:accPr>
                <m:ctrlPr>
                  <w:rPr>
                    <w:rFonts w:ascii="Cambria Math" w:hAnsi="Cambria Math"/>
                  </w:rPr>
                </m:ctrlPr>
              </m:accPr>
              <m:e>
                <m:r>
                  <w:rPr>
                    <w:rFonts w:ascii="Cambria Math" w:hAnsi="Cambria Math"/>
                  </w:rPr>
                  <m:t>V</m:t>
                </m:r>
              </m:e>
            </m:acc>
          </m:e>
          <m:sub>
            <m:r>
              <w:rPr>
                <w:rFonts w:ascii="Cambria Math" w:hAnsi="Cambria Math"/>
              </w:rPr>
              <m:t>nn</m:t>
            </m:r>
          </m:sub>
        </m:sSub>
      </m:oMath>
      <w:r>
        <w:rPr>
          <w:rFonts w:hint="eastAsia"/>
        </w:rPr>
        <w:t xml:space="preserve"> </w:t>
      </w:r>
      <w:r>
        <w:t>represents the interaction</w:t>
      </w:r>
      <w:r w:rsidRPr="008C71F2">
        <w:rPr>
          <w:noProof/>
        </w:rPr>
        <w:t xml:space="preserve"> between nu</w:t>
      </w:r>
      <w:r>
        <w:t xml:space="preserve">cleus and nucleus. Solving </w:t>
      </w:r>
      <w:r w:rsidRPr="00CB311D">
        <w:rPr>
          <w:i/>
        </w:rPr>
        <w:t>eq</w:t>
      </w:r>
      <w:r>
        <w:t xml:space="preserve">. (19) without any approximation is impossible. On determining this, </w:t>
      </w:r>
      <w:bookmarkStart w:id="71" w:name="OLE_LINK13"/>
      <w:bookmarkStart w:id="72" w:name="OLE_LINK14"/>
      <w:r>
        <w:t>Born and Oppenheime</w:t>
      </w:r>
      <w:bookmarkEnd w:id="71"/>
      <w:bookmarkEnd w:id="72"/>
      <w:r>
        <w:t xml:space="preserve">r proposed a fundamental approximation which focused on the second and last term of </w:t>
      </w:r>
      <w:r w:rsidRPr="00CB311D">
        <w:rPr>
          <w:i/>
        </w:rPr>
        <w:t>eq</w:t>
      </w:r>
      <w:r>
        <w:t>. (19)</w:t>
      </w:r>
      <w:r>
        <w:fldChar w:fldCharType="begin" w:fldLock="1"/>
      </w:r>
      <w:r>
        <w:instrText>ADDIN CSL_CITATION {"citationItems":[{"id":"ITEM-1","itemData":{"DOI":"10.1002/andp.19273892002","ISBN":"1432-881X","ISSN":"15213889","PMID":"23249081","abstract":"Es wird gezeigt, dass die bekannten Anteile der Terme einer Molekel, die der Energie der Elektronenbewegung , der Kernschwingungen und der Rotationen entsprechen, systematisch als die Glieder einer Potenzentwicklung nach der vierten Wurzel des Verhältnisses Elektronenmasse zu (mittlerer) Kernmasse gewonnen werden können. Das Verfahren liefert u. a. eine Gleichung für die Rotationen, die eine Verallgemeinerung des Ansatzes vonKRramers und Pauli (Kreisel mit eingebautem Schwungrad) darstellt. Ferner ergibt sich eine Rechtfertigung der von Franck und Condon angestellten Betrachtungen über die Intensität von Bandenlinien. Die Verhaltnisse werden am Beispiel der zwei- atomigen Molekeln erlautert.","author":[{"dropping-particle":"","family":"Born","given":"M.","non-dropping-particle":"","parse-names":false,"suffix":""},{"dropping-particle":"","family":"Oppenheimer","given":"R.","non-dropping-particle":"","parse-names":false,"suffix":""}],"container-title":"Annalen der Physik","id":"ITEM-1","issued":{"date-parts":[["1927"]]},"title":"Zur Quantentheorie der Molekeln","type":"article-journal"},"uris":["http://www.mendeley.com/documents/?uuid=3bfe857a-df36-4b71-b6ec-cc29a9bd565a","http://www.mendeley.com/documents/?uuid=366c3371-0962-4bfa-8273-180074f8b2ec"]},{"id":"ITEM-2","itemData":{"DOI":"10.1119/1.1934059","ISBN":"9780198503699","ISSN":"0002-9505","PMID":"3105923","abstract":"At the time of its publication this classic text, co-written by the Nobel Laureate Max Born, represented the definitive account of the subject and in many ways it still does. The book begins with a general discussion of the statistical mechanics of ideal lattices, leading to the electric polarizability and to the scattering of light. It then provides detailed discussions of long lattice waves, thermal properties, and optical properties.","author":[{"dropping-particle":"","family":"Born","given":"Max","non-dropping-particle":"","parse-names":false,"suffix":""},{"dropping-particle":"","family":"Huang","given":"Kun","non-dropping-particle":"","parse-names":false,"suffix":""},{"dropping-particle":"","family":"Lax","given":"M.","non-dropping-particle":"","parse-names":false,"suffix":""}],"container-title":"American Journal of Physics","id":"ITEM-2","issued":{"date-parts":[["1955"]]},"title":"Dynamical Theory of Crystal Lattices","type":"article-journal"},"uris":["http://www.mendeley.com/documents/?uuid=8616bdd6-abdb-4d15-8fa1-72b8e901ddf2","http://www.mendeley.com/documents/?uuid=439217b6-d75a-4921-933c-39407a860a7a"]}],"mendeley":{"formattedCitation":"[59,60]","plainTextFormattedCitation":"[59,60]","previouslyFormattedCitation":"[59,60]"},"properties":{"noteIndex":0},"schema":"https://github.com/citation-style-language/schema/raw/master/csl-citation.json"}</w:instrText>
      </w:r>
      <w:r>
        <w:fldChar w:fldCharType="separate"/>
      </w:r>
      <w:r w:rsidRPr="003B39BC">
        <w:rPr>
          <w:noProof/>
        </w:rPr>
        <w:t>[59,60]</w:t>
      </w:r>
      <w:r>
        <w:fldChar w:fldCharType="end"/>
      </w:r>
      <w:r>
        <w:t>. Comparing the movement of electrons with nuclei under the same timesc</w:t>
      </w:r>
      <w:r w:rsidRPr="008C71F2">
        <w:rPr>
          <w:noProof/>
        </w:rPr>
        <w:t>ale,</w:t>
      </w:r>
      <w:r>
        <w:t xml:space="preserve"> the reasonable consideration of the state of the nuclei as static state and the positions of nuclei can be approximated as a constant. The mass of nuclei is one thousand times </w:t>
      </w:r>
      <w:r w:rsidR="005918C3">
        <w:t xml:space="preserve">greater </w:t>
      </w:r>
      <w:r>
        <w:t xml:space="preserve">than </w:t>
      </w:r>
      <w:r w:rsidR="005918C3">
        <w:t xml:space="preserve">that of </w:t>
      </w:r>
      <w:r>
        <w:t xml:space="preserve">an electron, indicating all electrons in the system can react to the movement of the nuclei instantaneously. Considering the approximation above, </w:t>
      </w:r>
      <w:r w:rsidRPr="007569DD">
        <w:t>the k</w:t>
      </w:r>
      <w:r w:rsidRPr="008C71F2">
        <w:rPr>
          <w:noProof/>
        </w:rPr>
        <w:t>ineti</w:t>
      </w:r>
      <w:r w:rsidRPr="007569DD">
        <w:t>c energy of</w:t>
      </w:r>
      <w:r>
        <w:t xml:space="preserve"> the</w:t>
      </w:r>
      <w:r w:rsidRPr="007569DD">
        <w:t xml:space="preserve"> nuclei term</w:t>
      </w:r>
      <w:r>
        <w:t xml:space="preserve"> can be neglected and the interaction term between nuclei and nuclei can be regarded as a constant. This is due to the approximately static states. Thus, the many-body Hamiltonian is simplified into a more compact form, as only three terms were considered:</w:t>
      </w:r>
      <w:r w:rsidRPr="004843BA">
        <w:rPr>
          <w:rFonts w:hint="eastAsia"/>
        </w:rPr>
        <w:t xml:space="preserve"> </w:t>
      </w:r>
    </w:p>
    <w:p w14:paraId="01B0A0C1" w14:textId="77777777" w:rsidR="00624970" w:rsidRPr="007569DD" w:rsidRDefault="00077961" w:rsidP="00624970">
      <w:pPr>
        <w:spacing w:afterLines="60" w:after="144" w:line="360" w:lineRule="auto"/>
        <w:jc w:val="right"/>
      </w:pPr>
      <m:oMath>
        <m:acc>
          <m:accPr>
            <m:ctrlPr>
              <w:rPr>
                <w:rFonts w:ascii="Cambria Math" w:hAnsi="Cambria Math"/>
              </w:rPr>
            </m:ctrlPr>
          </m:accPr>
          <m:e>
            <m:r>
              <w:rPr>
                <w:rFonts w:ascii="Cambria Math" w:hAnsi="Cambria Math"/>
              </w:rPr>
              <m:t>H</m:t>
            </m:r>
          </m:e>
        </m:acc>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T</m:t>
                </m:r>
              </m:e>
            </m:acc>
          </m:e>
          <m:sub>
            <m:r>
              <w:rPr>
                <w:rFonts w:ascii="Cambria Math" w:hAnsi="Cambria Math"/>
              </w:rPr>
              <m:t>E</m:t>
            </m:r>
          </m:sub>
        </m:sSub>
        <m: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V</m:t>
                </m:r>
              </m:e>
            </m:acc>
          </m:e>
          <m:sub>
            <m:r>
              <w:rPr>
                <w:rFonts w:ascii="Cambria Math" w:hAnsi="Cambria Math"/>
              </w:rPr>
              <m:t>en</m:t>
            </m:r>
          </m:sub>
        </m:sSub>
        <m: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V</m:t>
                </m:r>
              </m:e>
            </m:acc>
          </m:e>
          <m:sub>
            <m:r>
              <w:rPr>
                <w:rFonts w:ascii="Cambria Math" w:hAnsi="Cambria Math"/>
              </w:rPr>
              <m:t>ee</m:t>
            </m:r>
          </m:sub>
        </m:sSub>
      </m:oMath>
      <w:r w:rsidR="00624970">
        <w:rPr>
          <w:rFonts w:hint="eastAsia"/>
        </w:rPr>
        <w:t xml:space="preserve"> </w:t>
      </w:r>
      <w:r w:rsidR="00624970">
        <w:t xml:space="preserve">                                                               </w:t>
      </w:r>
      <w:r w:rsidR="00624970">
        <w:rPr>
          <w:rFonts w:hint="eastAsia"/>
        </w:rPr>
        <w:t>(</w:t>
      </w:r>
      <w:r w:rsidR="00624970">
        <w:t>20)</w:t>
      </w:r>
    </w:p>
    <w:p w14:paraId="7013BB8A" w14:textId="77777777" w:rsidR="00624970" w:rsidRDefault="00624970" w:rsidP="00624970">
      <w:pPr>
        <w:spacing w:afterLines="60" w:after="144" w:line="360" w:lineRule="auto"/>
        <w:jc w:val="both"/>
      </w:pPr>
      <w:r w:rsidRPr="00497F55">
        <w:rPr>
          <w:noProof/>
        </w:rPr>
        <w:t>This</w:t>
      </w:r>
      <w:r>
        <w:rPr>
          <w:noProof/>
        </w:rPr>
        <w:t xml:space="preserve"> equation</w:t>
      </w:r>
      <w:r>
        <w:t xml:space="preserve"> is known as the Born-Oppenheimer approximation. By conducting the </w:t>
      </w:r>
      <w:r>
        <w:br/>
        <w:t xml:space="preserve">Born-Oppenheimer approximation, the complex wave function was simplified and separated into two independent </w:t>
      </w:r>
      <w:r w:rsidRPr="00497F55">
        <w:rPr>
          <w:noProof/>
        </w:rPr>
        <w:t>term</w:t>
      </w:r>
      <w:r>
        <w:rPr>
          <w:noProof/>
        </w:rPr>
        <w:t>s</w:t>
      </w:r>
      <w:r>
        <w:t xml:space="preserve">, electronic wave function and a constant representing simplified nuclei effects, which in turn reduce the complexity of solving </w:t>
      </w:r>
      <w:r w:rsidRPr="008C71F2">
        <w:rPr>
          <w:i/>
          <w:noProof/>
        </w:rPr>
        <w:t>eq</w:t>
      </w:r>
      <w:r>
        <w:t xml:space="preserve">. 18. The Density functional theory originates from the Thomas-Fermi method and as an approximation method to solve the </w:t>
      </w:r>
      <w:r w:rsidRPr="00497F55">
        <w:rPr>
          <w:noProof/>
        </w:rPr>
        <w:t>many electrons Hamiltonian</w:t>
      </w:r>
      <w:r w:rsidDel="00311285">
        <w:t xml:space="preserve"> </w:t>
      </w:r>
      <w:r>
        <w:fldChar w:fldCharType="begin" w:fldLock="1"/>
      </w:r>
      <w:r>
        <w:instrText xml:space="preserve">ADDIN CSL_CITATION {"citationItems":[{"id":"ITEM-1","itemData":{"DOI":"10.1007/BF01351576","ISSN":"1434-6001","abstract":", 6, 602-607 (1927) * Abstract The present work aims at showing some results over the distribu-tion of electrons in a heavy atom that can be obtained treating such electrons, given their considerable number, via a statistical method: i.e. in other words, by regarding them as a gas of electrons surround-ing the nucleus. The electron gas is, naturally, in a completely degenerate condition, so that classical statistics cannot be applied to it; we must instead make use of the kind of statistics proposed by the Author 1 and founded upon the application to gas theory of Pauli's exclusion principle. A consequence is that the electrons kinetic energy results effectively much larger than what it should be according to the principle of energy equipartition and practically independent of temperature, at least as long as it does not increase beyond certain limits. In this Note we shall show, first, how it is possible to compute the sta-tistical distribution of the electrons around the nucleus; and from it we shall compute the energy necessary to a complete ionization of the atom, i.e. to strip it of all its electrons. The computation of the electrons distribution around the nucleus allows us, furthermore, to determine the behavior of the potential at various distances away from the nucleus and, therefore, to know the electric field in which the electrons of the atom are found. I hope to be able to show, in a forthcoming work the application of the above to the approximate calculation of the binding energies of the individual electrons * Read at the 4 December 1927 session by the member O.M. Corbino. 1 E. Fermi, </w:instrText>
      </w:r>
      <w:r>
        <w:rPr>
          <w:rFonts w:ascii="Cambria Math" w:hAnsi="Cambria Math" w:cs="Cambria Math"/>
        </w:rPr>
        <w:instrText>≪</w:instrText>
      </w:r>
      <w:r>
        <w:instrText xml:space="preserve"> Zs. f. Phys. </w:instrText>
      </w:r>
      <w:r>
        <w:rPr>
          <w:rFonts w:ascii="Cambria Math" w:hAnsi="Cambria Math" w:cs="Cambria Math"/>
        </w:rPr>
        <w:instrText>≫</w:instrText>
      </w:r>
      <w:r>
        <w:instrText>, 36, 902, (1926).","author":[{"dropping-particle":"","family":"Fermi","given":"Enrico","non-dropping-particle":"","parse-names":false,"suffix":""}],"container-title":"Rend. Accad. Naz. Lincei","id":"ITEM-1","issued":{"date-parts":[["1927"]]},"title":"Statistical method to determine some properties of atoms","type":"article-journal"},"uris":["http://www.mendeley.com/documents/?uuid=5b59329c-af83-410c-8fe3-4a79db2f19a5","http://www.mendeley.com/documents/?uuid=48fbc4c9-e24c-490f-a1db-24d7f495c03b"]},{"id":"ITEM-2","itemData":{"DOI":"10.1017/S0305004100011683","ISBN":"0305-0041","ISSN":"14698064","PMID":"664","abstract":"The theoretical calculation of observable atomic constants is often only possible if the effective electric field inside the atom is known. Some fields have been calculated to fit observed data but for many elements no such fields are available. In the following paper a method is given by which approximate fields can easily be determined for heavy atoms from theoretical considerations alone.","author":[{"dropping-particle":"","family":"Thomas","given":"L. H.","non-dropping-particle":"","parse-names":false,"suffix":""}],"container-title":"Mathematical Proceedings of the Cambridge Philosophical Society","id":"ITEM-2","issued":{"date-parts":[["1927"]]},"title":"The calculation of atomic fields","type":"article-journal"},"uris":["http://www.mendeley.com/documents/?uuid=f1aa66d1-d4c7-4519-bc8c-2e9f49acd828","http://www.mendeley.com/documents/?uuid=4dd0ea4d-3bb6-492e-b63c-76b2cbd117d9"]}],"mendeley":{"formattedCitation":"[61,62]","plainTextFormattedCitation":"[61,62]","previouslyFormattedCitation":"[61,62]"},"properties":{"noteIndex":0},"schema":"https://github.com/citation-style-language/schema/raw/master/csl-citation.json"}</w:instrText>
      </w:r>
      <w:r>
        <w:fldChar w:fldCharType="separate"/>
      </w:r>
      <w:r w:rsidRPr="003B39BC">
        <w:rPr>
          <w:noProof/>
        </w:rPr>
        <w:t>[61,62]</w:t>
      </w:r>
      <w:r>
        <w:fldChar w:fldCharType="end"/>
      </w:r>
      <w:r>
        <w:t xml:space="preserve">. The electron density </w:t>
      </w:r>
      <w:r w:rsidRPr="00497F55">
        <w:rPr>
          <w:noProof/>
        </w:rPr>
        <w:t>is shown</w:t>
      </w:r>
      <w:r>
        <w:t xml:space="preserve"> as</w:t>
      </w:r>
      <w:r>
        <w:rPr>
          <w:rFonts w:hint="eastAsia"/>
        </w:rPr>
        <w:t>:</w:t>
      </w:r>
      <w:r>
        <w:t xml:space="preserve"> </w:t>
      </w:r>
    </w:p>
    <w:p w14:paraId="400E9C83" w14:textId="77777777" w:rsidR="00624970" w:rsidRPr="00836F71" w:rsidRDefault="00624970" w:rsidP="00624970">
      <w:pPr>
        <w:spacing w:afterLines="60" w:after="144" w:line="360" w:lineRule="auto"/>
        <w:jc w:val="right"/>
      </w:pPr>
      <m:oMath>
        <m:r>
          <w:rPr>
            <w:rFonts w:ascii="Cambria Math" w:hAnsi="Cambria Math"/>
          </w:rPr>
          <m:t>n</m:t>
        </m:r>
        <m:d>
          <m:dPr>
            <m:ctrlPr>
              <w:rPr>
                <w:rFonts w:ascii="Cambria Math" w:hAnsi="Cambria Math"/>
              </w:rPr>
            </m:ctrlPr>
          </m:dPr>
          <m:e>
            <m:r>
              <m:rPr>
                <m:sty m:val="b"/>
              </m:rPr>
              <w:rPr>
                <w:rFonts w:ascii="Cambria Math" w:hAnsi="Cambria Math"/>
              </w:rPr>
              <m:t>r</m:t>
            </m:r>
          </m:e>
        </m:d>
        <m:r>
          <m:rPr>
            <m:sty m:val="p"/>
          </m:rPr>
          <w:rPr>
            <w:rFonts w:ascii="Cambria Math" w:hAnsi="Cambria Math"/>
          </w:rPr>
          <m:t>=</m:t>
        </m:r>
        <m:f>
          <m:fPr>
            <m:ctrlPr>
              <w:rPr>
                <w:rFonts w:ascii="Cambria Math" w:hAnsi="Cambria Math"/>
              </w:rPr>
            </m:ctrlPr>
          </m:fPr>
          <m:num>
            <m:r>
              <w:rPr>
                <w:rFonts w:ascii="Cambria Math" w:hAnsi="Cambria Math"/>
              </w:rPr>
              <m:t>∆N</m:t>
            </m:r>
          </m:num>
          <m:den>
            <m:r>
              <w:rPr>
                <w:rFonts w:ascii="Cambria Math" w:hAnsi="Cambria Math"/>
              </w:rPr>
              <m:t>∆V</m:t>
            </m:r>
          </m:den>
        </m:f>
        <m:r>
          <w:rPr>
            <w:rFonts w:ascii="Cambria Math" w:hAnsi="Cambria Math"/>
          </w:rPr>
          <m:t>=</m:t>
        </m:r>
        <m:f>
          <m:fPr>
            <m:ctrlPr>
              <w:rPr>
                <w:rFonts w:ascii="Cambria Math" w:hAnsi="Cambria Math"/>
                <w:i/>
              </w:rPr>
            </m:ctrlPr>
          </m:fPr>
          <m:num>
            <m:r>
              <w:rPr>
                <w:rFonts w:ascii="Cambria Math" w:hAnsi="Cambria Math"/>
              </w:rPr>
              <m:t>8π</m:t>
            </m:r>
          </m:num>
          <m:den>
            <m:r>
              <w:rPr>
                <w:rFonts w:ascii="Cambria Math" w:hAnsi="Cambria Math"/>
              </w:rPr>
              <m:t>3</m:t>
            </m:r>
            <m:sSup>
              <m:sSupPr>
                <m:ctrlPr>
                  <w:rPr>
                    <w:rFonts w:ascii="Cambria Math" w:hAnsi="Cambria Math"/>
                    <w:i/>
                  </w:rPr>
                </m:ctrlPr>
              </m:sSupPr>
              <m:e>
                <m:r>
                  <w:rPr>
                    <w:rFonts w:ascii="Cambria Math" w:hAnsi="Cambria Math"/>
                  </w:rPr>
                  <m:t>h</m:t>
                </m:r>
              </m:e>
              <m:sup>
                <m:r>
                  <w:rPr>
                    <w:rFonts w:ascii="Cambria Math" w:hAnsi="Cambria Math"/>
                  </w:rPr>
                  <m:t>3</m:t>
                </m:r>
              </m:sup>
            </m:sSup>
          </m:den>
        </m:f>
        <w:bookmarkStart w:id="73" w:name="_Hlk529711568"/>
        <m:sSubSup>
          <m:sSubSupPr>
            <m:ctrlPr>
              <w:rPr>
                <w:rFonts w:ascii="Cambria Math" w:hAnsi="Cambria Math"/>
                <w:i/>
              </w:rPr>
            </m:ctrlPr>
          </m:sSubSupPr>
          <m:e>
            <m:r>
              <w:rPr>
                <w:rFonts w:ascii="Cambria Math" w:hAnsi="Cambria Math"/>
              </w:rPr>
              <m:t>p</m:t>
            </m:r>
          </m:e>
          <m:sub>
            <m:r>
              <w:rPr>
                <w:rFonts w:ascii="Cambria Math" w:hAnsi="Cambria Math"/>
              </w:rPr>
              <m:t>F</m:t>
            </m:r>
          </m:sub>
          <m:sup>
            <m:r>
              <w:rPr>
                <w:rFonts w:ascii="Cambria Math" w:hAnsi="Cambria Math"/>
              </w:rPr>
              <m:t>3</m:t>
            </m:r>
          </m:sup>
        </m:sSubSup>
        <w:bookmarkEnd w:id="73"/>
        <m:r>
          <w:rPr>
            <w:rFonts w:ascii="Cambria Math" w:hAnsi="Cambria Math"/>
          </w:rPr>
          <m:t>(r)</m:t>
        </m:r>
      </m:oMath>
      <w:r>
        <w:rPr>
          <w:rFonts w:hint="eastAsia"/>
        </w:rPr>
        <w:t xml:space="preserve"> </w:t>
      </w:r>
      <w:r>
        <w:t xml:space="preserve">                                                           </w:t>
      </w:r>
      <w:r>
        <w:rPr>
          <w:rFonts w:hint="eastAsia"/>
        </w:rPr>
        <w:t>(</w:t>
      </w:r>
      <w:r>
        <w:t>21)</w:t>
      </w:r>
    </w:p>
    <w:p w14:paraId="0B97366B" w14:textId="77777777" w:rsidR="00624970" w:rsidRDefault="00624970" w:rsidP="00624970">
      <w:pPr>
        <w:spacing w:afterLines="60" w:after="144" w:line="360" w:lineRule="auto"/>
      </w:pPr>
      <w:r>
        <w:rPr>
          <w:noProof/>
        </w:rPr>
        <w:t>This w</w:t>
      </w:r>
      <w:r w:rsidRPr="00497F55">
        <w:rPr>
          <w:noProof/>
        </w:rPr>
        <w:t>as</w:t>
      </w:r>
      <w:r>
        <w:t xml:space="preserve"> used to solve the energy term in </w:t>
      </w:r>
      <w:r w:rsidRPr="008C71F2">
        <w:rPr>
          <w:i/>
          <w:noProof/>
        </w:rPr>
        <w:t>eq</w:t>
      </w:r>
      <w:r>
        <w:t xml:space="preserve">. 18 instead of the </w:t>
      </w:r>
      <w:r w:rsidRPr="008C71F2">
        <w:rPr>
          <w:noProof/>
        </w:rPr>
        <w:t>wave</w:t>
      </w:r>
      <w:r>
        <w:t xml:space="preserve"> function. Considering the expression of </w:t>
      </w:r>
      <w:r>
        <w:rPr>
          <w:noProof/>
        </w:rPr>
        <w:t>F</w:t>
      </w:r>
      <w:r w:rsidRPr="00497F55">
        <w:rPr>
          <w:noProof/>
        </w:rPr>
        <w:t>ermi</w:t>
      </w:r>
      <w:r>
        <w:t xml:space="preserve"> energy: </w:t>
      </w:r>
    </w:p>
    <w:p w14:paraId="430F5EC5" w14:textId="77777777" w:rsidR="00624970" w:rsidRPr="00836F71" w:rsidRDefault="00077961" w:rsidP="00624970">
      <w:pPr>
        <w:spacing w:afterLines="60" w:after="144" w:line="360" w:lineRule="auto"/>
        <w:jc w:val="right"/>
      </w:pPr>
      <m:oMath>
        <m:sSub>
          <m:sSubPr>
            <m:ctrlPr>
              <w:rPr>
                <w:rFonts w:ascii="Cambria Math" w:hAnsi="Cambria Math"/>
              </w:rPr>
            </m:ctrlPr>
          </m:sSubPr>
          <m:e>
            <m:r>
              <w:rPr>
                <w:rFonts w:ascii="Cambria Math" w:hAnsi="Cambria Math"/>
              </w:rPr>
              <m:t>E</m:t>
            </m:r>
          </m:e>
          <m:sub>
            <m:r>
              <w:rPr>
                <w:rFonts w:ascii="Cambria Math" w:hAnsi="Cambria Math"/>
              </w:rPr>
              <m:t>F</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p(r)</m:t>
                </m:r>
              </m:e>
              <m:sup>
                <m:r>
                  <w:rPr>
                    <w:rFonts w:ascii="Cambria Math" w:hAnsi="Cambria Math"/>
                  </w:rPr>
                  <m:t>2</m:t>
                </m:r>
              </m:sup>
            </m:sSup>
          </m:num>
          <m:den>
            <m:r>
              <w:rPr>
                <w:rFonts w:ascii="Cambria Math" w:hAnsi="Cambria Math"/>
              </w:rPr>
              <m:t>2m</m:t>
            </m:r>
          </m:den>
        </m:f>
        <m:r>
          <w:rPr>
            <w:rFonts w:ascii="Cambria Math" w:hAnsi="Cambria Math"/>
          </w:rPr>
          <m:t>+V</m:t>
        </m:r>
        <m:d>
          <m:dPr>
            <m:ctrlPr>
              <w:rPr>
                <w:rFonts w:ascii="Cambria Math" w:hAnsi="Cambria Math"/>
                <w:i/>
              </w:rPr>
            </m:ctrlPr>
          </m:dPr>
          <m:e>
            <m:r>
              <w:rPr>
                <w:rFonts w:ascii="Cambria Math" w:hAnsi="Cambria Math"/>
              </w:rPr>
              <m:t>r</m:t>
            </m:r>
          </m:e>
        </m:d>
        <m:r>
          <w:rPr>
            <w:rFonts w:ascii="Cambria Math" w:hAnsi="Cambria Math"/>
          </w:rPr>
          <m:t xml:space="preserve">  </m:t>
        </m:r>
      </m:oMath>
      <w:r w:rsidR="00624970">
        <w:rPr>
          <w:rFonts w:hint="eastAsia"/>
        </w:rPr>
        <w:t xml:space="preserve"> </w:t>
      </w:r>
      <w:r w:rsidR="00624970">
        <w:t xml:space="preserve">                                                             </w:t>
      </w:r>
      <w:r w:rsidR="00624970">
        <w:rPr>
          <w:rFonts w:hint="eastAsia"/>
        </w:rPr>
        <w:t>(</w:t>
      </w:r>
      <w:r w:rsidR="00624970">
        <w:t>22)</w:t>
      </w:r>
    </w:p>
    <w:p w14:paraId="3FB37260" w14:textId="77777777" w:rsidR="00624970" w:rsidRDefault="00624970" w:rsidP="00624970">
      <w:pPr>
        <w:spacing w:afterLines="60" w:after="144" w:line="360" w:lineRule="auto"/>
      </w:pPr>
      <w:r>
        <w:rPr>
          <w:rFonts w:hint="eastAsia"/>
        </w:rPr>
        <w:t>T</w:t>
      </w:r>
      <w:r>
        <w:t xml:space="preserve">he electron density can </w:t>
      </w:r>
      <w:r w:rsidRPr="00497F55">
        <w:rPr>
          <w:noProof/>
        </w:rPr>
        <w:t>be further expressed</w:t>
      </w:r>
      <w:r>
        <w:t xml:space="preserve"> as:</w:t>
      </w:r>
    </w:p>
    <w:p w14:paraId="6237994D" w14:textId="77777777" w:rsidR="00624970" w:rsidRPr="00836F71" w:rsidRDefault="00624970" w:rsidP="00624970">
      <w:pPr>
        <w:spacing w:afterLines="60" w:after="144" w:line="360" w:lineRule="auto"/>
        <w:jc w:val="right"/>
      </w:pPr>
      <m:oMath>
        <m:r>
          <w:rPr>
            <w:rFonts w:ascii="Cambria Math" w:hAnsi="Cambria Math"/>
          </w:rPr>
          <m:t>n</m:t>
        </m:r>
        <m:d>
          <m:dPr>
            <m:ctrlPr>
              <w:rPr>
                <w:rFonts w:ascii="Cambria Math" w:hAnsi="Cambria Math"/>
              </w:rPr>
            </m:ctrlPr>
          </m:dPr>
          <m:e>
            <m:r>
              <m:rPr>
                <m:sty m:val="b"/>
              </m:rPr>
              <w:rPr>
                <w:rFonts w:ascii="Cambria Math" w:hAnsi="Cambria Math"/>
              </w:rPr>
              <m:t>r</m:t>
            </m:r>
          </m:e>
        </m:d>
        <m:r>
          <w:rPr>
            <w:rFonts w:ascii="Cambria Math" w:hAnsi="Cambria Math"/>
          </w:rPr>
          <m:t>=</m:t>
        </m:r>
        <m:f>
          <m:fPr>
            <m:ctrlPr>
              <w:rPr>
                <w:rFonts w:ascii="Cambria Math" w:hAnsi="Cambria Math"/>
                <w:i/>
              </w:rPr>
            </m:ctrlPr>
          </m:fPr>
          <m:num>
            <m:r>
              <w:rPr>
                <w:rFonts w:ascii="Cambria Math" w:hAnsi="Cambria Math"/>
              </w:rPr>
              <m:t>8π</m:t>
            </m:r>
          </m:num>
          <m:den>
            <m:r>
              <w:rPr>
                <w:rFonts w:ascii="Cambria Math" w:hAnsi="Cambria Math"/>
              </w:rPr>
              <m:t>3</m:t>
            </m:r>
            <m:sSup>
              <m:sSupPr>
                <m:ctrlPr>
                  <w:rPr>
                    <w:rFonts w:ascii="Cambria Math" w:hAnsi="Cambria Math"/>
                    <w:i/>
                  </w:rPr>
                </m:ctrlPr>
              </m:sSupPr>
              <m:e>
                <m:r>
                  <w:rPr>
                    <w:rFonts w:ascii="Cambria Math" w:hAnsi="Cambria Math"/>
                  </w:rPr>
                  <m:t>h</m:t>
                </m:r>
              </m:e>
              <m:sup>
                <m:r>
                  <w:rPr>
                    <w:rFonts w:ascii="Cambria Math" w:hAnsi="Cambria Math"/>
                  </w:rPr>
                  <m:t>3</m:t>
                </m:r>
              </m:sup>
            </m:sSup>
          </m:den>
        </m:f>
        <m:r>
          <w:rPr>
            <w:rFonts w:ascii="Cambria Math" w:hAnsi="Cambria Math"/>
          </w:rPr>
          <m:t>[2m</m:t>
        </m:r>
        <m:d>
          <m:dPr>
            <m:ctrlPr>
              <w:rPr>
                <w:rFonts w:ascii="Cambria Math" w:hAnsi="Cambria Math"/>
                <w:i/>
              </w:rPr>
            </m:ctrlPr>
          </m:dPr>
          <m:e>
            <m:sSub>
              <m:sSubPr>
                <m:ctrlPr>
                  <w:rPr>
                    <w:rFonts w:ascii="Cambria Math" w:hAnsi="Cambria Math"/>
                  </w:rPr>
                </m:ctrlPr>
              </m:sSubPr>
              <m:e>
                <m:r>
                  <w:rPr>
                    <w:rFonts w:ascii="Cambria Math" w:hAnsi="Cambria Math"/>
                  </w:rPr>
                  <m:t>E</m:t>
                </m:r>
              </m:e>
              <m:sub>
                <m:r>
                  <w:rPr>
                    <w:rFonts w:ascii="Cambria Math" w:hAnsi="Cambria Math"/>
                  </w:rPr>
                  <m:t>F</m:t>
                </m:r>
              </m:sub>
            </m:sSub>
            <m:r>
              <w:rPr>
                <w:rFonts w:ascii="Cambria Math" w:hAnsi="Cambria Math"/>
              </w:rPr>
              <m:t>-V</m:t>
            </m:r>
            <m:d>
              <m:dPr>
                <m:ctrlPr>
                  <w:rPr>
                    <w:rFonts w:ascii="Cambria Math" w:hAnsi="Cambria Math"/>
                    <w:i/>
                  </w:rPr>
                </m:ctrlPr>
              </m:dPr>
              <m:e>
                <m:r>
                  <w:rPr>
                    <w:rFonts w:ascii="Cambria Math" w:hAnsi="Cambria Math"/>
                  </w:rPr>
                  <m:t>r</m:t>
                </m:r>
              </m:e>
            </m:d>
          </m:e>
        </m:d>
        <m:sSup>
          <m:sSupPr>
            <m:ctrlPr>
              <w:rPr>
                <w:rFonts w:ascii="Cambria Math" w:hAnsi="Cambria Math"/>
              </w:rPr>
            </m:ctrlPr>
          </m:sSupPr>
          <m:e>
            <m:r>
              <w:rPr>
                <w:rFonts w:ascii="Cambria Math" w:hAnsi="Cambria Math"/>
              </w:rPr>
              <m:t>]</m:t>
            </m:r>
          </m:e>
          <m:sup>
            <m:r>
              <w:rPr>
                <w:rFonts w:ascii="Cambria Math" w:hAnsi="Cambria Math"/>
              </w:rPr>
              <m:t>3/2</m:t>
            </m:r>
          </m:sup>
        </m:sSup>
      </m:oMath>
      <w:r>
        <w:rPr>
          <w:rFonts w:hint="eastAsia"/>
        </w:rPr>
        <w:t xml:space="preserve"> </w:t>
      </w:r>
      <w:r>
        <w:t xml:space="preserve">                                                 </w:t>
      </w:r>
      <w:r>
        <w:rPr>
          <w:rFonts w:hint="eastAsia"/>
        </w:rPr>
        <w:t>(</w:t>
      </w:r>
      <w:r>
        <w:t>23)</w:t>
      </w:r>
    </w:p>
    <w:p w14:paraId="0A01034E" w14:textId="77777777" w:rsidR="00624970" w:rsidRDefault="00624970" w:rsidP="00624970">
      <w:pPr>
        <w:spacing w:afterLines="60" w:after="144" w:line="360" w:lineRule="auto"/>
      </w:pPr>
      <w:r>
        <w:t xml:space="preserve">Using the </w:t>
      </w:r>
      <w:r>
        <w:rPr>
          <w:noProof/>
        </w:rPr>
        <w:t>F</w:t>
      </w:r>
      <w:r w:rsidRPr="00497F55">
        <w:rPr>
          <w:noProof/>
        </w:rPr>
        <w:t>ermi</w:t>
      </w:r>
      <w:r>
        <w:t xml:space="preserve"> energy as a parameter, the relationship between the potential term and electron density </w:t>
      </w:r>
      <w:r w:rsidRPr="00497F55">
        <w:rPr>
          <w:noProof/>
        </w:rPr>
        <w:t>was proposed</w:t>
      </w:r>
      <w:r>
        <w:t xml:space="preserve">. Thus, the simplified form of </w:t>
      </w:r>
      <w:r w:rsidRPr="008C71F2">
        <w:rPr>
          <w:i/>
          <w:noProof/>
        </w:rPr>
        <w:t>eq</w:t>
      </w:r>
      <w:r>
        <w:t xml:space="preserve">. 20 can </w:t>
      </w:r>
      <w:r w:rsidRPr="00497F55">
        <w:rPr>
          <w:noProof/>
        </w:rPr>
        <w:t>be formulated</w:t>
      </w:r>
      <w:r>
        <w:t xml:space="preserve">. Taking the fraction of electrons at position </w:t>
      </w:r>
      <w:r w:rsidRPr="008C71F2">
        <w:rPr>
          <w:i/>
          <w:noProof/>
        </w:rPr>
        <w:t>r</w:t>
      </w:r>
      <w:r w:rsidRPr="008C71F2">
        <w:rPr>
          <w:noProof/>
        </w:rPr>
        <w:t xml:space="preserve"> as</w:t>
      </w:r>
      <w:r>
        <w:t>:</w:t>
      </w:r>
    </w:p>
    <w:p w14:paraId="63E88320" w14:textId="77777777" w:rsidR="00624970" w:rsidRPr="00836F71" w:rsidRDefault="00077961" w:rsidP="00624970">
      <w:pPr>
        <w:spacing w:afterLines="60" w:after="144" w:line="360" w:lineRule="auto"/>
        <w:jc w:val="right"/>
      </w:pPr>
      <m:oMath>
        <m:sSub>
          <m:sSubPr>
            <m:ctrlPr>
              <w:rPr>
                <w:rFonts w:ascii="Cambria Math" w:hAnsi="Cambria Math"/>
                <w:i/>
              </w:rPr>
            </m:ctrlPr>
          </m:sSubPr>
          <m:e>
            <m:r>
              <w:rPr>
                <w:rFonts w:ascii="Cambria Math" w:hAnsi="Cambria Math"/>
              </w:rPr>
              <m:t>F</m:t>
            </m:r>
          </m:e>
          <m:sub>
            <m:r>
              <m:rPr>
                <m:sty m:val="bi"/>
              </m:rPr>
              <w:rPr>
                <w:rFonts w:ascii="Cambria Math" w:hAnsi="Cambria Math"/>
              </w:rPr>
              <m:t>r</m:t>
            </m:r>
          </m:sub>
        </m:sSub>
        <m:d>
          <m:dPr>
            <m:ctrlPr>
              <w:rPr>
                <w:rFonts w:ascii="Cambria Math" w:hAnsi="Cambria Math"/>
                <w:i/>
              </w:rPr>
            </m:ctrlPr>
          </m:dPr>
          <m:e>
            <m:r>
              <w:rPr>
                <w:rFonts w:ascii="Cambria Math" w:hAnsi="Cambria Math"/>
              </w:rPr>
              <m:t>p</m:t>
            </m:r>
          </m:e>
        </m:d>
        <m:r>
          <m:rPr>
            <m:sty m:val="p"/>
          </m:rPr>
          <w:rPr>
            <w:rFonts w:ascii="Cambria Math" w:hAnsi="Cambria Math"/>
          </w:rPr>
          <m:t>=</m:t>
        </m:r>
        <m:f>
          <m:fPr>
            <m:ctrlPr>
              <w:rPr>
                <w:rFonts w:ascii="Cambria Math" w:hAnsi="Cambria Math"/>
              </w:rPr>
            </m:ctrlPr>
          </m:fPr>
          <m:num>
            <m:r>
              <w:rPr>
                <w:rFonts w:ascii="Cambria Math" w:hAnsi="Cambria Math"/>
              </w:rPr>
              <m:t>dN</m:t>
            </m:r>
          </m:num>
          <m:den>
            <m:r>
              <w:rPr>
                <w:rFonts w:ascii="Cambria Math" w:hAnsi="Cambria Math"/>
              </w:rPr>
              <m:t>dp</m:t>
            </m:r>
          </m:den>
        </m:f>
        <m:r>
          <w:rPr>
            <w:rFonts w:ascii="Cambria Math" w:hAnsi="Cambria Math"/>
          </w:rPr>
          <m:t>=</m:t>
        </m:r>
        <m:f>
          <m:fPr>
            <m:ctrlPr>
              <w:rPr>
                <w:rFonts w:ascii="Cambria Math" w:hAnsi="Cambria Math"/>
                <w:i/>
              </w:rPr>
            </m:ctrlPr>
          </m:fPr>
          <m:num>
            <m:r>
              <w:rPr>
                <w:rFonts w:ascii="Cambria Math" w:hAnsi="Cambria Math"/>
              </w:rPr>
              <m:t>4π</m:t>
            </m:r>
            <m:sSup>
              <m:sSupPr>
                <m:ctrlPr>
                  <w:rPr>
                    <w:rFonts w:ascii="Cambria Math" w:hAnsi="Cambria Math"/>
                    <w:i/>
                  </w:rPr>
                </m:ctrlPr>
              </m:sSupPr>
              <m:e>
                <m:r>
                  <w:rPr>
                    <w:rFonts w:ascii="Cambria Math" w:hAnsi="Cambria Math"/>
                  </w:rPr>
                  <m:t>p</m:t>
                </m:r>
              </m:e>
              <m:sup>
                <m:r>
                  <w:rPr>
                    <w:rFonts w:ascii="Cambria Math" w:hAnsi="Cambria Math"/>
                  </w:rPr>
                  <m:t>2</m:t>
                </m:r>
              </m:sup>
            </m:sSup>
          </m:num>
          <m:den>
            <m:f>
              <m:fPr>
                <m:ctrlPr>
                  <w:rPr>
                    <w:rFonts w:ascii="Cambria Math" w:hAnsi="Cambria Math"/>
                    <w:i/>
                  </w:rPr>
                </m:ctrlPr>
              </m:fPr>
              <m:num>
                <m:r>
                  <w:rPr>
                    <w:rFonts w:ascii="Cambria Math" w:hAnsi="Cambria Math"/>
                  </w:rPr>
                  <m:t>4</m:t>
                </m:r>
              </m:num>
              <m:den>
                <m:r>
                  <w:rPr>
                    <w:rFonts w:ascii="Cambria Math" w:hAnsi="Cambria Math"/>
                  </w:rPr>
                  <m:t>3</m:t>
                </m:r>
              </m:den>
            </m:f>
            <m:r>
              <w:rPr>
                <w:rFonts w:ascii="Cambria Math" w:hAnsi="Cambria Math"/>
              </w:rPr>
              <m:t>π</m:t>
            </m:r>
            <m:sSubSup>
              <m:sSubSupPr>
                <m:ctrlPr>
                  <w:rPr>
                    <w:rFonts w:ascii="Cambria Math" w:hAnsi="Cambria Math"/>
                    <w:i/>
                  </w:rPr>
                </m:ctrlPr>
              </m:sSubSupPr>
              <m:e>
                <m:r>
                  <w:rPr>
                    <w:rFonts w:ascii="Cambria Math" w:hAnsi="Cambria Math"/>
                  </w:rPr>
                  <m:t>p</m:t>
                </m:r>
              </m:e>
              <m:sub>
                <m:r>
                  <w:rPr>
                    <w:rFonts w:ascii="Cambria Math" w:hAnsi="Cambria Math"/>
                  </w:rPr>
                  <m:t>F</m:t>
                </m:r>
              </m:sub>
              <m:sup>
                <m:r>
                  <w:rPr>
                    <w:rFonts w:ascii="Cambria Math" w:hAnsi="Cambria Math"/>
                  </w:rPr>
                  <m:t>3</m:t>
                </m:r>
              </m:sup>
            </m:sSubSup>
            <m:r>
              <w:rPr>
                <w:rFonts w:ascii="Cambria Math" w:hAnsi="Cambria Math"/>
              </w:rPr>
              <m:t>(</m:t>
            </m:r>
            <m:r>
              <m:rPr>
                <m:sty m:val="bi"/>
              </m:rPr>
              <w:rPr>
                <w:rFonts w:ascii="Cambria Math" w:hAnsi="Cambria Math"/>
              </w:rPr>
              <m:t>r</m:t>
            </m:r>
            <m:r>
              <w:rPr>
                <w:rFonts w:ascii="Cambria Math" w:hAnsi="Cambria Math"/>
              </w:rPr>
              <m:t>)</m:t>
            </m:r>
          </m:den>
        </m:f>
      </m:oMath>
      <w:r w:rsidR="00624970">
        <w:rPr>
          <w:rFonts w:hint="eastAsia"/>
        </w:rPr>
        <w:t xml:space="preserve"> </w:t>
      </w:r>
      <w:r w:rsidR="00624970">
        <w:t xml:space="preserve">                                                          </w:t>
      </w:r>
      <w:r w:rsidR="00624970" w:rsidRPr="0089662C">
        <w:rPr>
          <w:i/>
        </w:rPr>
        <w:t xml:space="preserve"> </w:t>
      </w:r>
      <w:r w:rsidR="00624970">
        <w:t>(24)</w:t>
      </w:r>
    </w:p>
    <w:p w14:paraId="69FB60E0" w14:textId="77777777" w:rsidR="00624970" w:rsidRDefault="00624970" w:rsidP="00624970">
      <w:pPr>
        <w:spacing w:afterLines="60" w:after="144" w:line="360" w:lineRule="auto"/>
      </w:pPr>
      <w:r>
        <w:rPr>
          <w:rFonts w:hint="eastAsia"/>
        </w:rPr>
        <w:t>T</w:t>
      </w:r>
      <w:r>
        <w:t xml:space="preserve">he kinetic energy of an electron at position </w:t>
      </w:r>
      <w:r w:rsidRPr="00C80AE6">
        <w:rPr>
          <w:i/>
        </w:rPr>
        <w:t>r</w:t>
      </w:r>
      <w:r>
        <w:t xml:space="preserve"> can </w:t>
      </w:r>
      <w:r w:rsidRPr="00497F55">
        <w:rPr>
          <w:noProof/>
        </w:rPr>
        <w:t>be expressed</w:t>
      </w:r>
      <w:r>
        <w:t xml:space="preserve"> as: </w:t>
      </w:r>
    </w:p>
    <w:p w14:paraId="6BC0740C" w14:textId="77777777" w:rsidR="00624970" w:rsidRPr="004805B1" w:rsidRDefault="00624970" w:rsidP="00624970">
      <w:pPr>
        <w:spacing w:afterLines="60" w:after="144" w:line="360" w:lineRule="auto"/>
        <w:jc w:val="right"/>
      </w:pPr>
      <m:oMath>
        <m:r>
          <w:rPr>
            <w:rFonts w:ascii="Cambria Math" w:hAnsi="Cambria Math"/>
          </w:rPr>
          <m:t>t</m:t>
        </m:r>
        <m:d>
          <m:dPr>
            <m:ctrlPr>
              <w:rPr>
                <w:rFonts w:ascii="Cambria Math" w:hAnsi="Cambria Math"/>
                <w:i/>
              </w:rPr>
            </m:ctrlPr>
          </m:dPr>
          <m:e>
            <m:r>
              <m:rPr>
                <m:sty m:val="bi"/>
              </m:rPr>
              <w:rPr>
                <w:rFonts w:ascii="Cambria Math" w:hAnsi="Cambria Math"/>
              </w:rPr>
              <m:t>r</m:t>
            </m:r>
          </m:e>
        </m:d>
        <m:r>
          <m:rPr>
            <m:sty m:val="p"/>
          </m:rPr>
          <w:rPr>
            <w:rFonts w:ascii="Cambria Math" w:hAnsi="Cambria Math"/>
          </w:rPr>
          <m:t>=</m:t>
        </m:r>
        <m:nary>
          <m:naryPr>
            <m:limLoc m:val="undOvr"/>
            <m:subHide m:val="1"/>
            <m:supHide m:val="1"/>
            <m:ctrlPr>
              <w:rPr>
                <w:rFonts w:ascii="Cambria Math" w:hAnsi="Cambria Math"/>
              </w:rPr>
            </m:ctrlPr>
          </m:naryPr>
          <m:sub/>
          <m:sup/>
          <m:e>
            <m:r>
              <w:rPr>
                <w:rFonts w:ascii="Cambria Math" w:hAnsi="Cambria Math"/>
              </w:rPr>
              <m:t>n</m:t>
            </m:r>
            <m:d>
              <m:dPr>
                <m:ctrlPr>
                  <w:rPr>
                    <w:rFonts w:ascii="Cambria Math" w:hAnsi="Cambria Math"/>
                  </w:rPr>
                </m:ctrlPr>
              </m:dPr>
              <m:e>
                <m:r>
                  <m:rPr>
                    <m:sty m:val="bi"/>
                  </m:rPr>
                  <w:rPr>
                    <w:rFonts w:ascii="Cambria Math" w:hAnsi="Cambria Math"/>
                  </w:rPr>
                  <m:t>r</m:t>
                </m:r>
                <m:ctrlPr>
                  <w:rPr>
                    <w:rFonts w:ascii="Cambria Math" w:hAnsi="Cambria Math"/>
                    <w:i/>
                  </w:rPr>
                </m:ctrlPr>
              </m:e>
            </m:d>
          </m:e>
        </m:nary>
        <m:nary>
          <m:naryPr>
            <m:limLoc m:val="undOvr"/>
            <m:subHide m:val="1"/>
            <m:supHide m:val="1"/>
            <m:ctrlPr>
              <w:rPr>
                <w:rFonts w:ascii="Cambria Math" w:hAnsi="Cambria Math"/>
              </w:rPr>
            </m:ctrlPr>
          </m:naryPr>
          <m:sub/>
          <m:sup/>
          <m:e>
            <m:f>
              <m:fPr>
                <m:ctrlPr>
                  <w:rPr>
                    <w:rFonts w:ascii="Cambria Math" w:hAnsi="Cambria Math"/>
                    <w:i/>
                  </w:rPr>
                </m:ctrlPr>
              </m:fPr>
              <m:num>
                <m:sSup>
                  <m:sSupPr>
                    <m:ctrlPr>
                      <w:rPr>
                        <w:rFonts w:ascii="Cambria Math" w:hAnsi="Cambria Math"/>
                        <w:i/>
                      </w:rPr>
                    </m:ctrlPr>
                  </m:sSupPr>
                  <m:e>
                    <m:r>
                      <w:rPr>
                        <w:rFonts w:ascii="Cambria Math" w:hAnsi="Cambria Math"/>
                      </w:rPr>
                      <m:t>p</m:t>
                    </m:r>
                  </m:e>
                  <m:sup>
                    <m:r>
                      <w:rPr>
                        <w:rFonts w:ascii="Cambria Math" w:hAnsi="Cambria Math"/>
                      </w:rPr>
                      <m:t>2</m:t>
                    </m:r>
                  </m:sup>
                </m:sSup>
              </m:num>
              <m:den>
                <m:r>
                  <w:rPr>
                    <w:rFonts w:ascii="Cambria Math" w:hAnsi="Cambria Math"/>
                  </w:rPr>
                  <m:t>2</m:t>
                </m:r>
                <m:sSub>
                  <m:sSubPr>
                    <m:ctrlPr>
                      <w:rPr>
                        <w:rFonts w:ascii="Cambria Math" w:hAnsi="Cambria Math"/>
                        <w:i/>
                      </w:rPr>
                    </m:ctrlPr>
                  </m:sSubPr>
                  <m:e>
                    <m:r>
                      <w:rPr>
                        <w:rFonts w:ascii="Cambria Math" w:hAnsi="Cambria Math"/>
                      </w:rPr>
                      <m:t>m</m:t>
                    </m:r>
                  </m:e>
                  <m:sub>
                    <m:r>
                      <w:rPr>
                        <w:rFonts w:ascii="Cambria Math" w:hAnsi="Cambria Math"/>
                      </w:rPr>
                      <m:t>e</m:t>
                    </m:r>
                  </m:sub>
                </m:sSub>
              </m:den>
            </m:f>
          </m:e>
        </m:nary>
        <m:sSub>
          <m:sSubPr>
            <m:ctrlPr>
              <w:rPr>
                <w:rFonts w:ascii="Cambria Math" w:hAnsi="Cambria Math"/>
                <w:i/>
              </w:rPr>
            </m:ctrlPr>
          </m:sSubPr>
          <m:e>
            <m:r>
              <w:rPr>
                <w:rFonts w:ascii="Cambria Math" w:hAnsi="Cambria Math"/>
              </w:rPr>
              <m:t>F</m:t>
            </m:r>
          </m:e>
          <m:sub>
            <m:r>
              <m:rPr>
                <m:sty m:val="bi"/>
              </m:rPr>
              <w:rPr>
                <w:rFonts w:ascii="Cambria Math" w:hAnsi="Cambria Math"/>
              </w:rPr>
              <m:t>r</m:t>
            </m:r>
          </m:sub>
        </m:sSub>
        <m:d>
          <m:dPr>
            <m:ctrlPr>
              <w:rPr>
                <w:rFonts w:ascii="Cambria Math" w:hAnsi="Cambria Math"/>
                <w:i/>
              </w:rPr>
            </m:ctrlPr>
          </m:dPr>
          <m:e>
            <m:r>
              <w:rPr>
                <w:rFonts w:ascii="Cambria Math" w:hAnsi="Cambria Math"/>
              </w:rPr>
              <m:t>p</m:t>
            </m:r>
          </m:e>
        </m:d>
        <m:r>
          <w:rPr>
            <w:rFonts w:ascii="Cambria Math" w:hAnsi="Cambria Math"/>
          </w:rPr>
          <m:t xml:space="preserve"> dpdr</m:t>
        </m:r>
      </m:oMath>
      <w:r>
        <w:rPr>
          <w:rFonts w:hint="eastAsia"/>
        </w:rPr>
        <w:t>=</w:t>
      </w:r>
      <m:oMath>
        <m:f>
          <m:fPr>
            <m:ctrlPr>
              <w:rPr>
                <w:rFonts w:ascii="Cambria Math" w:hAnsi="Cambria Math"/>
              </w:rPr>
            </m:ctrlPr>
          </m:fPr>
          <m:num>
            <m:r>
              <w:rPr>
                <w:rFonts w:ascii="Cambria Math" w:hAnsi="Cambria Math"/>
              </w:rPr>
              <m:t>3</m:t>
            </m:r>
            <m:sSup>
              <m:sSupPr>
                <m:ctrlPr>
                  <w:rPr>
                    <w:rFonts w:ascii="Cambria Math" w:hAnsi="Cambria Math"/>
                    <w:i/>
                  </w:rPr>
                </m:ctrlPr>
              </m:sSupPr>
              <m:e>
                <m:r>
                  <w:rPr>
                    <w:rFonts w:ascii="Cambria Math" w:hAnsi="Cambria Math"/>
                  </w:rPr>
                  <m:t>h</m:t>
                </m:r>
              </m:e>
              <m:sup>
                <m:r>
                  <w:rPr>
                    <w:rFonts w:ascii="Cambria Math" w:hAnsi="Cambria Math"/>
                  </w:rPr>
                  <m:t>2</m:t>
                </m:r>
              </m:sup>
            </m:sSup>
          </m:num>
          <m:den>
            <m:r>
              <w:rPr>
                <w:rFonts w:ascii="Cambria Math" w:hAnsi="Cambria Math"/>
              </w:rPr>
              <m:t>40</m:t>
            </m:r>
            <m:sSub>
              <m:sSubPr>
                <m:ctrlPr>
                  <w:rPr>
                    <w:rFonts w:ascii="Cambria Math" w:hAnsi="Cambria Math"/>
                    <w:i/>
                  </w:rPr>
                </m:ctrlPr>
              </m:sSubPr>
              <m:e>
                <m:r>
                  <w:rPr>
                    <w:rFonts w:ascii="Cambria Math" w:hAnsi="Cambria Math"/>
                  </w:rPr>
                  <m:t>m</m:t>
                </m:r>
              </m:e>
              <m:sub>
                <m:r>
                  <w:rPr>
                    <w:rFonts w:ascii="Cambria Math" w:hAnsi="Cambria Math"/>
                  </w:rPr>
                  <m:t>e</m:t>
                </m:r>
              </m:sub>
            </m:sSub>
          </m:den>
        </m:f>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π</m:t>
            </m:r>
          </m:den>
        </m:f>
        <m:sSup>
          <m:sSupPr>
            <m:ctrlPr>
              <w:rPr>
                <w:rFonts w:ascii="Cambria Math" w:hAnsi="Cambria Math"/>
                <w:i/>
              </w:rPr>
            </m:ctrlPr>
          </m:sSupPr>
          <m:e>
            <m:r>
              <w:rPr>
                <w:rFonts w:ascii="Cambria Math" w:hAnsi="Cambria Math"/>
              </w:rPr>
              <m:t>)</m:t>
            </m:r>
          </m:e>
          <m:sup>
            <m:r>
              <w:rPr>
                <w:rFonts w:ascii="Cambria Math" w:hAnsi="Cambria Math"/>
              </w:rPr>
              <m:t>2/3</m:t>
            </m:r>
          </m:sup>
        </m:sSup>
        <m:r>
          <w:rPr>
            <w:rFonts w:ascii="Cambria Math" w:hAnsi="Cambria Math"/>
          </w:rPr>
          <m:t>n(r</m:t>
        </m:r>
        <m:sSup>
          <m:sSupPr>
            <m:ctrlPr>
              <w:rPr>
                <w:rFonts w:ascii="Cambria Math" w:hAnsi="Cambria Math"/>
                <w:i/>
              </w:rPr>
            </m:ctrlPr>
          </m:sSupPr>
          <m:e>
            <m:r>
              <w:rPr>
                <w:rFonts w:ascii="Cambria Math" w:hAnsi="Cambria Math"/>
              </w:rPr>
              <m:t>)</m:t>
            </m:r>
          </m:e>
          <m:sup>
            <m:r>
              <w:rPr>
                <w:rFonts w:ascii="Cambria Math" w:hAnsi="Cambria Math"/>
              </w:rPr>
              <m:t>5/3</m:t>
            </m:r>
          </m:sup>
        </m:sSup>
      </m:oMath>
      <w:r>
        <w:rPr>
          <w:rFonts w:hint="eastAsia"/>
        </w:rPr>
        <w:t xml:space="preserve"> </w:t>
      </w:r>
      <w:r>
        <w:t xml:space="preserve">                                  (25)</w:t>
      </w:r>
    </w:p>
    <w:p w14:paraId="5130E82B" w14:textId="77777777" w:rsidR="00624970" w:rsidRDefault="00624970" w:rsidP="00624970">
      <w:pPr>
        <w:spacing w:afterLines="60" w:after="144" w:line="360" w:lineRule="auto"/>
      </w:pPr>
      <w:r>
        <w:rPr>
          <w:rFonts w:hint="eastAsia"/>
        </w:rPr>
        <w:t>F</w:t>
      </w:r>
      <w:r>
        <w:t>or the system, the kinetic energy of all electrons can be expressed as:</w:t>
      </w:r>
    </w:p>
    <w:p w14:paraId="5C47A48B" w14:textId="77777777" w:rsidR="00624970" w:rsidRPr="00AC40B2" w:rsidRDefault="00624970" w:rsidP="00624970">
      <w:pPr>
        <w:spacing w:afterLines="60" w:after="144" w:line="360" w:lineRule="auto"/>
        <w:jc w:val="right"/>
      </w:pPr>
      <m:oMath>
        <m:r>
          <w:rPr>
            <w:rFonts w:ascii="Cambria Math" w:hAnsi="Cambria Math"/>
          </w:rPr>
          <m:t>T</m:t>
        </m:r>
        <m:d>
          <m:dPr>
            <m:ctrlPr>
              <w:rPr>
                <w:rFonts w:ascii="Cambria Math" w:hAnsi="Cambria Math"/>
                <w:i/>
              </w:rPr>
            </m:ctrlPr>
          </m:dPr>
          <m:e>
            <m:r>
              <m:rPr>
                <m:sty m:val="bi"/>
              </m:rPr>
              <w:rPr>
                <w:rFonts w:ascii="Cambria Math" w:hAnsi="Cambria Math"/>
              </w:rPr>
              <m:t>r</m:t>
            </m:r>
          </m:e>
        </m:d>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t(</m:t>
            </m:r>
            <m:r>
              <m:rPr>
                <m:sty m:val="bi"/>
              </m:rPr>
              <w:rPr>
                <w:rFonts w:ascii="Cambria Math" w:hAnsi="Cambria Math"/>
              </w:rPr>
              <m:t>r</m:t>
            </m:r>
            <m:r>
              <w:rPr>
                <w:rFonts w:ascii="Cambria Math" w:hAnsi="Cambria Math"/>
              </w:rPr>
              <m:t>)dr</m:t>
            </m:r>
          </m:e>
        </m:nary>
        <m:r>
          <w:rPr>
            <w:rFonts w:ascii="Cambria Math" w:hAnsi="Cambria Math"/>
          </w:rPr>
          <m:t>=</m:t>
        </m:r>
        <m:f>
          <m:fPr>
            <m:ctrlPr>
              <w:rPr>
                <w:rFonts w:ascii="Cambria Math" w:hAnsi="Cambria Math"/>
              </w:rPr>
            </m:ctrlPr>
          </m:fPr>
          <m:num>
            <m:r>
              <w:rPr>
                <w:rFonts w:ascii="Cambria Math" w:hAnsi="Cambria Math"/>
              </w:rPr>
              <m:t>3</m:t>
            </m:r>
            <m:sSup>
              <m:sSupPr>
                <m:ctrlPr>
                  <w:rPr>
                    <w:rFonts w:ascii="Cambria Math" w:hAnsi="Cambria Math"/>
                    <w:i/>
                  </w:rPr>
                </m:ctrlPr>
              </m:sSupPr>
              <m:e>
                <m:r>
                  <w:rPr>
                    <w:rFonts w:ascii="Cambria Math" w:hAnsi="Cambria Math"/>
                  </w:rPr>
                  <m:t>h</m:t>
                </m:r>
              </m:e>
              <m:sup>
                <m:r>
                  <w:rPr>
                    <w:rFonts w:ascii="Cambria Math" w:hAnsi="Cambria Math"/>
                  </w:rPr>
                  <m:t>2</m:t>
                </m:r>
              </m:sup>
            </m:sSup>
          </m:num>
          <m:den>
            <m:r>
              <w:rPr>
                <w:rFonts w:ascii="Cambria Math" w:hAnsi="Cambria Math"/>
              </w:rPr>
              <m:t>40</m:t>
            </m:r>
            <m:sSub>
              <m:sSubPr>
                <m:ctrlPr>
                  <w:rPr>
                    <w:rFonts w:ascii="Cambria Math" w:hAnsi="Cambria Math"/>
                    <w:i/>
                  </w:rPr>
                </m:ctrlPr>
              </m:sSubPr>
              <m:e>
                <m:r>
                  <w:rPr>
                    <w:rFonts w:ascii="Cambria Math" w:hAnsi="Cambria Math"/>
                  </w:rPr>
                  <m:t>m</m:t>
                </m:r>
              </m:e>
              <m:sub>
                <m:r>
                  <w:rPr>
                    <w:rFonts w:ascii="Cambria Math" w:hAnsi="Cambria Math"/>
                  </w:rPr>
                  <m:t>e</m:t>
                </m:r>
              </m:sub>
            </m:sSub>
          </m:den>
        </m:f>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π</m:t>
            </m:r>
          </m:den>
        </m:f>
        <m:sSup>
          <m:sSupPr>
            <m:ctrlPr>
              <w:rPr>
                <w:rFonts w:ascii="Cambria Math" w:hAnsi="Cambria Math"/>
                <w:i/>
              </w:rPr>
            </m:ctrlPr>
          </m:sSupPr>
          <m:e>
            <m:r>
              <w:rPr>
                <w:rFonts w:ascii="Cambria Math" w:hAnsi="Cambria Math"/>
              </w:rPr>
              <m:t>)</m:t>
            </m:r>
          </m:e>
          <m:sup>
            <m:r>
              <w:rPr>
                <w:rFonts w:ascii="Cambria Math" w:hAnsi="Cambria Math"/>
              </w:rPr>
              <m:t>2/3</m:t>
            </m:r>
          </m:sup>
        </m:sSup>
        <m:nary>
          <m:naryPr>
            <m:limLoc m:val="undOvr"/>
            <m:subHide m:val="1"/>
            <m:supHide m:val="1"/>
            <m:ctrlPr>
              <w:rPr>
                <w:rFonts w:ascii="Cambria Math" w:hAnsi="Cambria Math"/>
                <w:i/>
              </w:rPr>
            </m:ctrlPr>
          </m:naryPr>
          <m:sub/>
          <m:sup/>
          <m:e>
            <m:r>
              <w:rPr>
                <w:rFonts w:ascii="Cambria Math" w:hAnsi="Cambria Math"/>
              </w:rPr>
              <m:t>n(r</m:t>
            </m:r>
            <m:sSup>
              <m:sSupPr>
                <m:ctrlPr>
                  <w:rPr>
                    <w:rFonts w:ascii="Cambria Math" w:hAnsi="Cambria Math"/>
                    <w:i/>
                  </w:rPr>
                </m:ctrlPr>
              </m:sSupPr>
              <m:e>
                <m:r>
                  <w:rPr>
                    <w:rFonts w:ascii="Cambria Math" w:hAnsi="Cambria Math"/>
                  </w:rPr>
                  <m:t>)</m:t>
                </m:r>
              </m:e>
              <m:sup>
                <m:r>
                  <w:rPr>
                    <w:rFonts w:ascii="Cambria Math" w:hAnsi="Cambria Math"/>
                  </w:rPr>
                  <m:t>5/3</m:t>
                </m:r>
              </m:sup>
            </m:sSup>
          </m:e>
        </m:nary>
        <m:sSup>
          <m:sSupPr>
            <m:ctrlPr>
              <w:rPr>
                <w:rFonts w:ascii="Cambria Math" w:hAnsi="Cambria Math"/>
                <w:i/>
              </w:rPr>
            </m:ctrlPr>
          </m:sSupPr>
          <m:e>
            <m:r>
              <w:rPr>
                <w:rFonts w:ascii="Cambria Math" w:hAnsi="Cambria Math"/>
              </w:rPr>
              <m:t>d</m:t>
            </m:r>
          </m:e>
          <m:sup>
            <m:r>
              <w:rPr>
                <w:rFonts w:ascii="Cambria Math" w:hAnsi="Cambria Math"/>
              </w:rPr>
              <m:t>3</m:t>
            </m:r>
          </m:sup>
        </m:sSup>
        <m:r>
          <w:rPr>
            <w:rFonts w:ascii="Cambria Math" w:hAnsi="Cambria Math"/>
          </w:rPr>
          <m:t>r</m:t>
        </m:r>
      </m:oMath>
      <w:r>
        <w:rPr>
          <w:rFonts w:hint="eastAsia"/>
        </w:rPr>
        <w:t xml:space="preserve"> </w:t>
      </w:r>
      <w:r>
        <w:t xml:space="preserve">                                     </w:t>
      </w:r>
      <w:r>
        <w:rPr>
          <w:rFonts w:hint="eastAsia"/>
        </w:rPr>
        <w:t>(</w:t>
      </w:r>
      <w:r>
        <w:t>26)</w:t>
      </w:r>
    </w:p>
    <w:p w14:paraId="43804A0E" w14:textId="77777777" w:rsidR="00624970" w:rsidRDefault="00624970" w:rsidP="00624970">
      <w:pPr>
        <w:spacing w:afterLines="60" w:after="144" w:line="360" w:lineRule="auto"/>
      </w:pPr>
      <w:r>
        <w:rPr>
          <w:rFonts w:hint="eastAsia"/>
        </w:rPr>
        <w:t>S</w:t>
      </w:r>
      <w:r>
        <w:t>imilarly, for the interaction between electrons and nuclei, the potential energy can be expressed as:</w:t>
      </w:r>
    </w:p>
    <w:p w14:paraId="2BA5C198" w14:textId="77777777" w:rsidR="00624970" w:rsidRDefault="00077961" w:rsidP="00624970">
      <w:pPr>
        <w:spacing w:afterLines="60" w:after="144" w:line="360" w:lineRule="auto"/>
        <w:jc w:val="right"/>
      </w:pPr>
      <m:oMath>
        <m:sSub>
          <m:sSubPr>
            <m:ctrlPr>
              <w:rPr>
                <w:rFonts w:ascii="Cambria Math" w:hAnsi="Cambria Math"/>
              </w:rPr>
            </m:ctrlPr>
          </m:sSubPr>
          <m:e>
            <m:acc>
              <m:accPr>
                <m:ctrlPr>
                  <w:rPr>
                    <w:rFonts w:ascii="Cambria Math" w:hAnsi="Cambria Math"/>
                  </w:rPr>
                </m:ctrlPr>
              </m:accPr>
              <m:e>
                <m:r>
                  <w:rPr>
                    <w:rFonts w:ascii="Cambria Math" w:hAnsi="Cambria Math"/>
                  </w:rPr>
                  <m:t>V</m:t>
                </m:r>
              </m:e>
            </m:acc>
          </m:e>
          <m:sub>
            <m:r>
              <w:rPr>
                <w:rFonts w:ascii="Cambria Math" w:hAnsi="Cambria Math"/>
              </w:rPr>
              <m:t>en</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total</m:t>
            </m:r>
          </m:sub>
        </m:sSub>
        <m:r>
          <w:rPr>
            <w:rFonts w:ascii="Cambria Math" w:hAnsi="Cambria Math"/>
          </w:rPr>
          <m:t>n(r)</m:t>
        </m:r>
        <m:nary>
          <m:naryPr>
            <m:limLoc m:val="undOvr"/>
            <m:subHide m:val="1"/>
            <m:supHide m:val="1"/>
            <m:ctrlPr>
              <w:rPr>
                <w:rFonts w:ascii="Cambria Math" w:hAnsi="Cambria Math"/>
                <w:i/>
              </w:rPr>
            </m:ctrlPr>
          </m:naryPr>
          <m:sub/>
          <m:sup/>
          <m:e>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2</m:t>
                    </m:r>
                  </m:sup>
                </m:sSup>
              </m:num>
              <m:den>
                <m:r>
                  <w:rPr>
                    <w:rFonts w:ascii="Cambria Math" w:hAnsi="Cambria Math"/>
                  </w:rPr>
                  <m:t>r</m:t>
                </m:r>
              </m:den>
            </m:f>
            <m:sSup>
              <m:sSupPr>
                <m:ctrlPr>
                  <w:rPr>
                    <w:rFonts w:ascii="Cambria Math" w:hAnsi="Cambria Math"/>
                    <w:i/>
                  </w:rPr>
                </m:ctrlPr>
              </m:sSupPr>
              <m:e>
                <m:r>
                  <w:rPr>
                    <w:rFonts w:ascii="Cambria Math" w:hAnsi="Cambria Math"/>
                  </w:rPr>
                  <m:t>d</m:t>
                </m:r>
              </m:e>
              <m:sup>
                <m:r>
                  <w:rPr>
                    <w:rFonts w:ascii="Cambria Math" w:hAnsi="Cambria Math"/>
                  </w:rPr>
                  <m:t>3</m:t>
                </m:r>
              </m:sup>
            </m:sSup>
            <m:r>
              <w:rPr>
                <w:rFonts w:ascii="Cambria Math" w:hAnsi="Cambria Math"/>
              </w:rPr>
              <m:t>r</m:t>
            </m:r>
          </m:e>
        </m:nary>
      </m:oMath>
      <w:r w:rsidR="00624970">
        <w:rPr>
          <w:rFonts w:hint="eastAsia"/>
        </w:rPr>
        <w:t xml:space="preserve"> </w:t>
      </w:r>
      <w:r w:rsidR="00624970">
        <w:t xml:space="preserve">                                                   </w:t>
      </w:r>
      <w:r w:rsidR="00624970">
        <w:rPr>
          <w:rFonts w:hint="eastAsia"/>
        </w:rPr>
        <w:t>(</w:t>
      </w:r>
      <w:r w:rsidR="00624970">
        <w:t>27)</w:t>
      </w:r>
    </w:p>
    <w:p w14:paraId="1100BB24" w14:textId="77777777" w:rsidR="00624970" w:rsidRDefault="00624970" w:rsidP="00624970">
      <w:pPr>
        <w:spacing w:afterLines="60" w:after="144" w:line="360" w:lineRule="auto"/>
      </w:pPr>
      <w:r>
        <w:t xml:space="preserve">The interaction between electron and electron can </w:t>
      </w:r>
      <w:r w:rsidRPr="00497F55">
        <w:rPr>
          <w:noProof/>
        </w:rPr>
        <w:t>be expressed</w:t>
      </w:r>
      <w:r>
        <w:t xml:space="preserve"> as:</w:t>
      </w:r>
    </w:p>
    <w:p w14:paraId="6417FC2A" w14:textId="77777777" w:rsidR="00624970" w:rsidRPr="00AC40B2" w:rsidRDefault="00077961" w:rsidP="00624970">
      <w:pPr>
        <w:spacing w:afterLines="60" w:after="144" w:line="360" w:lineRule="auto"/>
        <w:jc w:val="right"/>
      </w:pPr>
      <m:oMath>
        <m:sSub>
          <m:sSubPr>
            <m:ctrlPr>
              <w:rPr>
                <w:rFonts w:ascii="Cambria Math" w:hAnsi="Cambria Math"/>
              </w:rPr>
            </m:ctrlPr>
          </m:sSubPr>
          <m:e>
            <m:acc>
              <m:accPr>
                <m:ctrlPr>
                  <w:rPr>
                    <w:rFonts w:ascii="Cambria Math" w:hAnsi="Cambria Math"/>
                  </w:rPr>
                </m:ctrlPr>
              </m:accPr>
              <m:e>
                <m:r>
                  <w:rPr>
                    <w:rFonts w:ascii="Cambria Math" w:hAnsi="Cambria Math"/>
                  </w:rPr>
                  <m:t>V</m:t>
                </m:r>
              </m:e>
            </m:acc>
          </m:e>
          <m:sub>
            <m:r>
              <w:rPr>
                <w:rFonts w:ascii="Cambria Math" w:hAnsi="Cambria Math"/>
              </w:rPr>
              <m:t>ee</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2</m:t>
                </m:r>
              </m:sup>
            </m:sSup>
          </m:num>
          <m:den>
            <m:r>
              <w:rPr>
                <w:rFonts w:ascii="Cambria Math" w:hAnsi="Cambria Math"/>
              </w:rPr>
              <m:t>2</m:t>
            </m:r>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n(r)n(r')</m:t>
                </m:r>
              </m:num>
              <m:den>
                <m:d>
                  <m:dPr>
                    <m:begChr m:val="|"/>
                    <m:endChr m:val="|"/>
                    <m:ctrlPr>
                      <w:rPr>
                        <w:rFonts w:ascii="Cambria Math" w:hAnsi="Cambria Math"/>
                        <w:i/>
                      </w:rPr>
                    </m:ctrlPr>
                  </m:dPr>
                  <m:e>
                    <m:r>
                      <w:rPr>
                        <w:rFonts w:ascii="Cambria Math" w:hAnsi="Cambria Math"/>
                      </w:rPr>
                      <m:t>r-r'</m:t>
                    </m:r>
                  </m:e>
                </m:d>
              </m:den>
            </m:f>
            <m:sSup>
              <m:sSupPr>
                <m:ctrlPr>
                  <w:rPr>
                    <w:rFonts w:ascii="Cambria Math" w:hAnsi="Cambria Math"/>
                    <w:i/>
                  </w:rPr>
                </m:ctrlPr>
              </m:sSupPr>
              <m:e>
                <m:r>
                  <w:rPr>
                    <w:rFonts w:ascii="Cambria Math" w:hAnsi="Cambria Math"/>
                  </w:rPr>
                  <m:t>d</m:t>
                </m:r>
              </m:e>
              <m:sup>
                <m:r>
                  <w:rPr>
                    <w:rFonts w:ascii="Cambria Math" w:hAnsi="Cambria Math"/>
                  </w:rPr>
                  <m:t>3</m:t>
                </m:r>
              </m:sup>
            </m:sSup>
            <m:r>
              <w:rPr>
                <w:rFonts w:ascii="Cambria Math" w:hAnsi="Cambria Math"/>
              </w:rPr>
              <m:t>r</m:t>
            </m:r>
            <m:sSup>
              <m:sSupPr>
                <m:ctrlPr>
                  <w:rPr>
                    <w:rFonts w:ascii="Cambria Math" w:hAnsi="Cambria Math"/>
                    <w:i/>
                  </w:rPr>
                </m:ctrlPr>
              </m:sSupPr>
              <m:e>
                <m:r>
                  <w:rPr>
                    <w:rFonts w:ascii="Cambria Math" w:hAnsi="Cambria Math"/>
                  </w:rPr>
                  <m:t>d</m:t>
                </m:r>
              </m:e>
              <m:sup>
                <m:r>
                  <w:rPr>
                    <w:rFonts w:ascii="Cambria Math" w:hAnsi="Cambria Math"/>
                  </w:rPr>
                  <m:t>3</m:t>
                </m:r>
              </m:sup>
            </m:sSup>
            <m:r>
              <w:rPr>
                <w:rFonts w:ascii="Cambria Math" w:hAnsi="Cambria Math"/>
              </w:rPr>
              <m:t>r'</m:t>
            </m:r>
          </m:e>
        </m:nary>
      </m:oMath>
      <w:r w:rsidR="00624970">
        <w:rPr>
          <w:rFonts w:hint="eastAsia"/>
        </w:rPr>
        <w:t xml:space="preserve"> </w:t>
      </w:r>
      <w:r w:rsidR="00624970">
        <w:t xml:space="preserve">                                                    </w:t>
      </w:r>
      <w:r w:rsidR="00624970">
        <w:rPr>
          <w:rFonts w:hint="eastAsia"/>
        </w:rPr>
        <w:t>(</w:t>
      </w:r>
      <w:r w:rsidR="00624970">
        <w:t>28)</w:t>
      </w:r>
    </w:p>
    <w:p w14:paraId="0731B7EB" w14:textId="77777777" w:rsidR="00624970" w:rsidRDefault="00624970" w:rsidP="00624970">
      <w:pPr>
        <w:spacing w:afterLines="60" w:after="144" w:line="360" w:lineRule="auto"/>
      </w:pPr>
      <w:r>
        <w:rPr>
          <w:rFonts w:hint="eastAsia"/>
        </w:rPr>
        <w:t>T</w:t>
      </w:r>
      <w:r>
        <w:t xml:space="preserve">hus, the expression of </w:t>
      </w:r>
      <w:r w:rsidRPr="008C71F2">
        <w:rPr>
          <w:i/>
          <w:noProof/>
        </w:rPr>
        <w:t>eq</w:t>
      </w:r>
      <w:r>
        <w:t xml:space="preserve">. 20 can now </w:t>
      </w:r>
      <w:r w:rsidRPr="00497F55">
        <w:rPr>
          <w:noProof/>
        </w:rPr>
        <w:t>be transformed</w:t>
      </w:r>
      <w:r>
        <w:t xml:space="preserve"> to:</w:t>
      </w:r>
    </w:p>
    <w:p w14:paraId="196971FD" w14:textId="77777777" w:rsidR="00624970" w:rsidRDefault="00077961" w:rsidP="00624970">
      <w:pPr>
        <w:spacing w:afterLines="60" w:after="144" w:line="360" w:lineRule="auto"/>
        <w:jc w:val="right"/>
      </w:pPr>
      <m:oMath>
        <m:acc>
          <m:accPr>
            <m:ctrlPr>
              <w:rPr>
                <w:rFonts w:ascii="Cambria Math" w:hAnsi="Cambria Math"/>
              </w:rPr>
            </m:ctrlPr>
          </m:accPr>
          <m:e>
            <m:r>
              <w:rPr>
                <w:rFonts w:ascii="Cambria Math" w:hAnsi="Cambria Math"/>
              </w:rPr>
              <m:t>H</m:t>
            </m:r>
          </m:e>
        </m:acc>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T</m:t>
                </m:r>
              </m:e>
            </m:acc>
          </m:e>
          <m:sub>
            <m:r>
              <w:rPr>
                <w:rFonts w:ascii="Cambria Math" w:hAnsi="Cambria Math"/>
              </w:rPr>
              <m:t>E</m:t>
            </m:r>
          </m:sub>
        </m:sSub>
        <m: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V</m:t>
                </m:r>
              </m:e>
            </m:acc>
          </m:e>
          <m:sub>
            <m:r>
              <w:rPr>
                <w:rFonts w:ascii="Cambria Math" w:hAnsi="Cambria Math"/>
              </w:rPr>
              <m:t>en</m:t>
            </m:r>
          </m:sub>
        </m:sSub>
        <m: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V</m:t>
                </m:r>
              </m:e>
            </m:acc>
          </m:e>
          <m:sub>
            <m:r>
              <w:rPr>
                <w:rFonts w:ascii="Cambria Math" w:hAnsi="Cambria Math"/>
              </w:rPr>
              <m:t>ee</m:t>
            </m:r>
          </m:sub>
        </m:sSub>
        <m:r>
          <w:rPr>
            <w:rFonts w:ascii="Cambria Math" w:hAnsi="Cambria Math"/>
          </w:rPr>
          <m:t>=</m:t>
        </m:r>
        <m:f>
          <m:fPr>
            <m:ctrlPr>
              <w:rPr>
                <w:rFonts w:ascii="Cambria Math" w:hAnsi="Cambria Math"/>
              </w:rPr>
            </m:ctrlPr>
          </m:fPr>
          <m:num>
            <m:r>
              <w:rPr>
                <w:rFonts w:ascii="Cambria Math" w:hAnsi="Cambria Math"/>
              </w:rPr>
              <m:t>3</m:t>
            </m:r>
            <m:sSup>
              <m:sSupPr>
                <m:ctrlPr>
                  <w:rPr>
                    <w:rFonts w:ascii="Cambria Math" w:hAnsi="Cambria Math"/>
                    <w:i/>
                  </w:rPr>
                </m:ctrlPr>
              </m:sSupPr>
              <m:e>
                <m:r>
                  <w:rPr>
                    <w:rFonts w:ascii="Cambria Math" w:hAnsi="Cambria Math"/>
                  </w:rPr>
                  <m:t>h</m:t>
                </m:r>
              </m:e>
              <m:sup>
                <m:r>
                  <w:rPr>
                    <w:rFonts w:ascii="Cambria Math" w:hAnsi="Cambria Math"/>
                  </w:rPr>
                  <m:t>2</m:t>
                </m:r>
              </m:sup>
            </m:sSup>
          </m:num>
          <m:den>
            <m:r>
              <w:rPr>
                <w:rFonts w:ascii="Cambria Math" w:hAnsi="Cambria Math"/>
              </w:rPr>
              <m:t>40</m:t>
            </m:r>
            <m:sSub>
              <m:sSubPr>
                <m:ctrlPr>
                  <w:rPr>
                    <w:rFonts w:ascii="Cambria Math" w:hAnsi="Cambria Math"/>
                    <w:i/>
                  </w:rPr>
                </m:ctrlPr>
              </m:sSubPr>
              <m:e>
                <m:r>
                  <w:rPr>
                    <w:rFonts w:ascii="Cambria Math" w:hAnsi="Cambria Math"/>
                  </w:rPr>
                  <m:t>m</m:t>
                </m:r>
              </m:e>
              <m:sub>
                <m:r>
                  <w:rPr>
                    <w:rFonts w:ascii="Cambria Math" w:hAnsi="Cambria Math"/>
                  </w:rPr>
                  <m:t>e</m:t>
                </m:r>
              </m:sub>
            </m:sSub>
          </m:den>
        </m:f>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π</m:t>
            </m:r>
          </m:den>
        </m:f>
        <m:sSup>
          <m:sSupPr>
            <m:ctrlPr>
              <w:rPr>
                <w:rFonts w:ascii="Cambria Math" w:hAnsi="Cambria Math"/>
                <w:i/>
              </w:rPr>
            </m:ctrlPr>
          </m:sSupPr>
          <m:e>
            <m:r>
              <w:rPr>
                <w:rFonts w:ascii="Cambria Math" w:hAnsi="Cambria Math"/>
              </w:rPr>
              <m:t>)</m:t>
            </m:r>
          </m:e>
          <m:sup>
            <m:f>
              <m:fPr>
                <m:ctrlPr>
                  <w:rPr>
                    <w:rFonts w:ascii="Cambria Math" w:hAnsi="Cambria Math"/>
                    <w:i/>
                  </w:rPr>
                </m:ctrlPr>
              </m:fPr>
              <m:num>
                <m:r>
                  <w:rPr>
                    <w:rFonts w:ascii="Cambria Math" w:hAnsi="Cambria Math"/>
                  </w:rPr>
                  <m:t>2</m:t>
                </m:r>
              </m:num>
              <m:den>
                <m:r>
                  <w:rPr>
                    <w:rFonts w:ascii="Cambria Math" w:hAnsi="Cambria Math"/>
                  </w:rPr>
                  <m:t>3</m:t>
                </m:r>
              </m:den>
            </m:f>
          </m:sup>
        </m:sSup>
        <m:nary>
          <m:naryPr>
            <m:limLoc m:val="undOvr"/>
            <m:subHide m:val="1"/>
            <m:supHide m:val="1"/>
            <m:ctrlPr>
              <w:rPr>
                <w:rFonts w:ascii="Cambria Math" w:hAnsi="Cambria Math"/>
                <w:i/>
              </w:rPr>
            </m:ctrlPr>
          </m:naryPr>
          <m:sub/>
          <m:sup/>
          <m:e>
            <m:r>
              <w:rPr>
                <w:rFonts w:ascii="Cambria Math" w:hAnsi="Cambria Math"/>
              </w:rPr>
              <m:t>n(r</m:t>
            </m:r>
            <m:sSup>
              <m:sSupPr>
                <m:ctrlPr>
                  <w:rPr>
                    <w:rFonts w:ascii="Cambria Math" w:hAnsi="Cambria Math"/>
                    <w:i/>
                  </w:rPr>
                </m:ctrlPr>
              </m:sSupPr>
              <m:e>
                <m:r>
                  <w:rPr>
                    <w:rFonts w:ascii="Cambria Math" w:hAnsi="Cambria Math"/>
                  </w:rPr>
                  <m:t>)</m:t>
                </m:r>
              </m:e>
              <m:sup>
                <m:f>
                  <m:fPr>
                    <m:ctrlPr>
                      <w:rPr>
                        <w:rFonts w:ascii="Cambria Math" w:hAnsi="Cambria Math"/>
                        <w:i/>
                      </w:rPr>
                    </m:ctrlPr>
                  </m:fPr>
                  <m:num>
                    <m:r>
                      <w:rPr>
                        <w:rFonts w:ascii="Cambria Math" w:hAnsi="Cambria Math"/>
                      </w:rPr>
                      <m:t>5</m:t>
                    </m:r>
                  </m:num>
                  <m:den>
                    <m:r>
                      <w:rPr>
                        <w:rFonts w:ascii="Cambria Math" w:hAnsi="Cambria Math"/>
                      </w:rPr>
                      <m:t>3</m:t>
                    </m:r>
                  </m:den>
                </m:f>
              </m:sup>
            </m:sSup>
          </m:e>
        </m:nary>
        <m:sSup>
          <m:sSupPr>
            <m:ctrlPr>
              <w:rPr>
                <w:rFonts w:ascii="Cambria Math" w:hAnsi="Cambria Math"/>
                <w:i/>
              </w:rPr>
            </m:ctrlPr>
          </m:sSupPr>
          <m:e>
            <m:r>
              <w:rPr>
                <w:rFonts w:ascii="Cambria Math" w:hAnsi="Cambria Math"/>
              </w:rPr>
              <m:t>d</m:t>
            </m:r>
          </m:e>
          <m:sup>
            <m:r>
              <w:rPr>
                <w:rFonts w:ascii="Cambria Math" w:hAnsi="Cambria Math"/>
              </w:rPr>
              <m:t>3</m:t>
            </m:r>
          </m:sup>
        </m:sSup>
        <m:r>
          <w:rPr>
            <w:rFonts w:ascii="Cambria Math" w:hAnsi="Cambria Math"/>
          </w:rPr>
          <m:t>r-</m:t>
        </m:r>
        <m:sSub>
          <m:sSubPr>
            <m:ctrlPr>
              <w:rPr>
                <w:rFonts w:ascii="Cambria Math" w:hAnsi="Cambria Math"/>
                <w:i/>
              </w:rPr>
            </m:ctrlPr>
          </m:sSubPr>
          <m:e>
            <m:r>
              <w:rPr>
                <w:rFonts w:ascii="Cambria Math" w:hAnsi="Cambria Math"/>
              </w:rPr>
              <m:t>Z</m:t>
            </m:r>
          </m:e>
          <m:sub>
            <m:r>
              <w:rPr>
                <w:rFonts w:ascii="Cambria Math" w:hAnsi="Cambria Math"/>
              </w:rPr>
              <m:t>total</m:t>
            </m:r>
          </m:sub>
        </m:sSub>
        <m:r>
          <w:rPr>
            <w:rFonts w:ascii="Cambria Math" w:hAnsi="Cambria Math"/>
          </w:rPr>
          <m:t>n</m:t>
        </m:r>
        <m:d>
          <m:dPr>
            <m:ctrlPr>
              <w:rPr>
                <w:rFonts w:ascii="Cambria Math" w:hAnsi="Cambria Math"/>
                <w:i/>
              </w:rPr>
            </m:ctrlPr>
          </m:dPr>
          <m:e>
            <m:r>
              <w:rPr>
                <w:rFonts w:ascii="Cambria Math" w:hAnsi="Cambria Math"/>
              </w:rPr>
              <m:t>r</m:t>
            </m:r>
          </m:e>
        </m:d>
        <m:nary>
          <m:naryPr>
            <m:limLoc m:val="undOvr"/>
            <m:subHide m:val="1"/>
            <m:supHide m:val="1"/>
            <m:ctrlPr>
              <w:rPr>
                <w:rFonts w:ascii="Cambria Math" w:hAnsi="Cambria Math"/>
                <w:i/>
              </w:rPr>
            </m:ctrlPr>
          </m:naryPr>
          <m:sub/>
          <m:sup/>
          <m:e>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2</m:t>
                    </m:r>
                  </m:sup>
                </m:sSup>
              </m:num>
              <m:den>
                <m:r>
                  <w:rPr>
                    <w:rFonts w:ascii="Cambria Math" w:hAnsi="Cambria Math"/>
                  </w:rPr>
                  <m:t>r</m:t>
                </m:r>
              </m:den>
            </m:f>
            <m:sSup>
              <m:sSupPr>
                <m:ctrlPr>
                  <w:rPr>
                    <w:rFonts w:ascii="Cambria Math" w:hAnsi="Cambria Math"/>
                    <w:i/>
                  </w:rPr>
                </m:ctrlPr>
              </m:sSupPr>
              <m:e>
                <m:r>
                  <w:rPr>
                    <w:rFonts w:ascii="Cambria Math" w:hAnsi="Cambria Math"/>
                  </w:rPr>
                  <m:t>d</m:t>
                </m:r>
              </m:e>
              <m:sup>
                <m:r>
                  <w:rPr>
                    <w:rFonts w:ascii="Cambria Math" w:hAnsi="Cambria Math"/>
                  </w:rPr>
                  <m:t>3</m:t>
                </m:r>
              </m:sup>
            </m:sSup>
            <m:r>
              <w:rPr>
                <w:rFonts w:ascii="Cambria Math" w:hAnsi="Cambria Math"/>
              </w:rPr>
              <m:t>r</m:t>
            </m:r>
          </m:e>
        </m:nary>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2</m:t>
                </m:r>
              </m:sup>
            </m:sSup>
          </m:num>
          <m:den>
            <m:r>
              <w:rPr>
                <w:rFonts w:ascii="Cambria Math" w:hAnsi="Cambria Math"/>
              </w:rPr>
              <m:t>2</m:t>
            </m:r>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n(r)n(r')</m:t>
                </m:r>
              </m:num>
              <m:den>
                <m:d>
                  <m:dPr>
                    <m:begChr m:val="|"/>
                    <m:endChr m:val="|"/>
                    <m:ctrlPr>
                      <w:rPr>
                        <w:rFonts w:ascii="Cambria Math" w:hAnsi="Cambria Math"/>
                        <w:i/>
                      </w:rPr>
                    </m:ctrlPr>
                  </m:dPr>
                  <m:e>
                    <m:r>
                      <w:rPr>
                        <w:rFonts w:ascii="Cambria Math" w:hAnsi="Cambria Math"/>
                      </w:rPr>
                      <m:t>r-r'</m:t>
                    </m:r>
                  </m:e>
                </m:d>
              </m:den>
            </m:f>
            <m:sSup>
              <m:sSupPr>
                <m:ctrlPr>
                  <w:rPr>
                    <w:rFonts w:ascii="Cambria Math" w:hAnsi="Cambria Math"/>
                    <w:i/>
                  </w:rPr>
                </m:ctrlPr>
              </m:sSupPr>
              <m:e>
                <m:r>
                  <w:rPr>
                    <w:rFonts w:ascii="Cambria Math" w:hAnsi="Cambria Math"/>
                  </w:rPr>
                  <m:t>d</m:t>
                </m:r>
              </m:e>
              <m:sup>
                <m:r>
                  <w:rPr>
                    <w:rFonts w:ascii="Cambria Math" w:hAnsi="Cambria Math"/>
                  </w:rPr>
                  <m:t>3</m:t>
                </m:r>
              </m:sup>
            </m:sSup>
            <m:r>
              <w:rPr>
                <w:rFonts w:ascii="Cambria Math" w:hAnsi="Cambria Math"/>
              </w:rPr>
              <m:t>r</m:t>
            </m:r>
            <m:sSup>
              <m:sSupPr>
                <m:ctrlPr>
                  <w:rPr>
                    <w:rFonts w:ascii="Cambria Math" w:hAnsi="Cambria Math"/>
                    <w:i/>
                  </w:rPr>
                </m:ctrlPr>
              </m:sSupPr>
              <m:e>
                <m:r>
                  <w:rPr>
                    <w:rFonts w:ascii="Cambria Math" w:hAnsi="Cambria Math"/>
                  </w:rPr>
                  <m:t>d</m:t>
                </m:r>
              </m:e>
              <m:sup>
                <m:r>
                  <w:rPr>
                    <w:rFonts w:ascii="Cambria Math" w:hAnsi="Cambria Math"/>
                  </w:rPr>
                  <m:t>3</m:t>
                </m:r>
              </m:sup>
            </m:sSup>
            <m:r>
              <w:rPr>
                <w:rFonts w:ascii="Cambria Math" w:hAnsi="Cambria Math"/>
              </w:rPr>
              <m:t>r'</m:t>
            </m:r>
          </m:e>
        </m:nary>
      </m:oMath>
      <w:r w:rsidR="00624970">
        <w:rPr>
          <w:rFonts w:hint="eastAsia"/>
        </w:rPr>
        <w:t xml:space="preserve"> </w:t>
      </w:r>
      <w:r w:rsidR="00624970">
        <w:t xml:space="preserve">     </w:t>
      </w:r>
      <w:r w:rsidR="00624970">
        <w:rPr>
          <w:rFonts w:hint="eastAsia"/>
        </w:rPr>
        <w:t>(</w:t>
      </w:r>
      <w:r w:rsidR="00624970">
        <w:t>29)</w:t>
      </w:r>
    </w:p>
    <w:p w14:paraId="7D46B28D" w14:textId="77777777" w:rsidR="00624970" w:rsidRDefault="00624970" w:rsidP="00624970">
      <w:pPr>
        <w:spacing w:afterLines="60" w:after="144" w:line="360" w:lineRule="auto"/>
        <w:jc w:val="both"/>
      </w:pPr>
      <w:r>
        <w:t xml:space="preserve">In comparison with </w:t>
      </w:r>
      <w:r w:rsidRPr="006B2891">
        <w:rPr>
          <w:i/>
        </w:rPr>
        <w:t>eq</w:t>
      </w:r>
      <w:r>
        <w:t>. 18, the Thomas Fermi approximation has simplified the expression significantly. However, the idea of utilising the dens</w:t>
      </w:r>
      <w:r w:rsidRPr="008C71F2">
        <w:rPr>
          <w:noProof/>
        </w:rPr>
        <w:t xml:space="preserve">ity of </w:t>
      </w:r>
      <w:r>
        <w:t xml:space="preserve">electrons to represent system energy, instead of wave functions, leads to the evolution of density functional theory. </w:t>
      </w:r>
      <w:r w:rsidRPr="1F1ED559">
        <w:t>T</w:t>
      </w:r>
      <w:r>
        <w:t xml:space="preserve">o prove a solid base for the application of using the </w:t>
      </w:r>
      <w:r w:rsidRPr="008C71F2">
        <w:rPr>
          <w:noProof/>
        </w:rPr>
        <w:t>density</w:t>
      </w:r>
      <w:r>
        <w:t xml:space="preserve"> of electrons, to represent the energy of a condensed matter system instead of the </w:t>
      </w:r>
      <w:r w:rsidRPr="008C71F2">
        <w:rPr>
          <w:noProof/>
        </w:rPr>
        <w:t>wave</w:t>
      </w:r>
      <w:r>
        <w:t xml:space="preserve"> function, Hohenberg and Kohn proposed two new theorems</w:t>
      </w:r>
      <w:r>
        <w:fldChar w:fldCharType="begin" w:fldLock="1"/>
      </w:r>
      <w:r>
        <w:instrText>ADDIN CSL_CITATION {"citationItems":[{"id":"ITEM-1","itemData":{"DOI":"10.1103/PhysRev.136.B864","ISBN":"0163-1829","ISSN":"0031899X","PMID":"14995397","abstract":"This paper deals with the ground state of an interacting electron gas in an external potent</w:instrText>
      </w:r>
      <w:r>
        <w:rPr>
          <w:rFonts w:hint="eastAsia"/>
        </w:rPr>
        <w:instrText>ial v(r). It is proved that there exists a universal functional of the density, F[n(r)], independent of v(r), such that the expression E</w:instrText>
      </w:r>
      <w:r>
        <w:rPr>
          <w:rFonts w:hint="eastAsia"/>
        </w:rPr>
        <w:instrText>≡∫</w:instrText>
      </w:r>
      <w:r>
        <w:rPr>
          <w:rFonts w:hint="eastAsia"/>
        </w:rPr>
        <w:instrText>v(r)n(r)dr+F[n(r)] has as its minimum value the correct ground-state energy associated with v(r). The functional F[n(</w:instrText>
      </w:r>
      <w:r>
        <w:instrText>r)] is then discussed for two situations: (1) n(r)=n0+ñ(r), ñ/n0</w:instrText>
      </w:r>
      <w:r>
        <w:rPr>
          <w:rFonts w:ascii="Cambria Math" w:hAnsi="Cambria Math" w:cs="Cambria Math"/>
        </w:rPr>
        <w:instrText>≪</w:instrText>
      </w:r>
      <w:r>
        <w:instrText>1, and (2) n(r)=ϕ(r/r0) with ϕ arbitrary and r0</w:instrText>
      </w:r>
      <w:r>
        <w:rPr>
          <w:rFonts w:hint="eastAsia"/>
        </w:rPr>
        <w:instrText>→∞</w:instrText>
      </w:r>
      <w:r>
        <w:instrText>. In both cases F can be expressed entirely in terms of the correlation energy and linear and higher order electronic polarizabilities of a uniform electron gas. This approach also sheds some light on generalized Thomas-Fermi methods and their limitations. Some new extensions of these methods are presented.","author":[{"dropping-particle":"","family":"Hohenberg","given":"P.","non-dropping-particle":"","parse-names":false,"suffix":""},{"dropping-particle":"","family":"Kohn","given":"W.","non-dropping-particle":"","parse-names":false,"suffix":""}],"container-title":"Physical Review","id":"ITEM-1","issued":{"date-parts":[["1964"]]},"title":"Inhomogeneous electron gas","type":"article-journal"},"uris":["http://www.mendeley.com/documents/?uuid=930bb3e5-3674-49fa-8c73-4c94f643776d","http://www.mendeley.com/documents/?uuid=ae4a14d3-f67d-41b0-a338-bca5223825a0"]}],"mendeley":{"formattedCitation":"[63]","plainTextFormattedCitation":"[63]","previouslyFormattedCitation":"[63]"},"properties":{"noteIndex":0},"schema":"https://github.com/citation-style-language/schema/raw/master/csl-citation.json"}</w:instrText>
      </w:r>
      <w:r>
        <w:fldChar w:fldCharType="separate"/>
      </w:r>
      <w:r w:rsidRPr="003B39BC">
        <w:rPr>
          <w:noProof/>
        </w:rPr>
        <w:t>[63]</w:t>
      </w:r>
      <w:r>
        <w:fldChar w:fldCharType="end"/>
      </w:r>
      <w:r>
        <w:t>:</w:t>
      </w:r>
    </w:p>
    <w:p w14:paraId="1C3CBB8B" w14:textId="77777777" w:rsidR="00624970" w:rsidRDefault="00624970" w:rsidP="00624970">
      <w:pPr>
        <w:pStyle w:val="a7"/>
        <w:numPr>
          <w:ilvl w:val="0"/>
          <w:numId w:val="2"/>
        </w:numPr>
        <w:spacing w:afterLines="60" w:after="144" w:line="360" w:lineRule="auto"/>
        <w:jc w:val="both"/>
      </w:pPr>
      <w:r>
        <w:t xml:space="preserve">In </w:t>
      </w:r>
      <w:r w:rsidRPr="00497F55">
        <w:rPr>
          <w:noProof/>
        </w:rPr>
        <w:t>a many-body system</w:t>
      </w:r>
      <w:r>
        <w:t xml:space="preserve">, under certain external potential fields, the interactions and exchange between electrons cannot </w:t>
      </w:r>
      <w:r w:rsidRPr="00497F55">
        <w:rPr>
          <w:noProof/>
        </w:rPr>
        <w:t>be neglected</w:t>
      </w:r>
      <w:r>
        <w:t>. Through the electron density, the ground state energy and Hamiltonian can be uniquely determined.</w:t>
      </w:r>
    </w:p>
    <w:p w14:paraId="60F381C3" w14:textId="77777777" w:rsidR="00624970" w:rsidRDefault="00624970" w:rsidP="00624970">
      <w:pPr>
        <w:pStyle w:val="a7"/>
        <w:numPr>
          <w:ilvl w:val="0"/>
          <w:numId w:val="2"/>
        </w:numPr>
        <w:spacing w:afterLines="60" w:after="144" w:line="360" w:lineRule="auto"/>
        <w:jc w:val="both"/>
      </w:pPr>
      <w:r>
        <w:t xml:space="preserve"> </w:t>
      </w:r>
      <w:r>
        <w:rPr>
          <w:noProof/>
        </w:rPr>
        <w:t>T</w:t>
      </w:r>
      <w:r w:rsidRPr="00497F55">
        <w:rPr>
          <w:noProof/>
        </w:rPr>
        <w:t>he variational</w:t>
      </w:r>
      <w:r>
        <w:t xml:space="preserve"> principle, similar to the variational </w:t>
      </w:r>
      <w:r w:rsidRPr="00497F55">
        <w:rPr>
          <w:noProof/>
        </w:rPr>
        <w:t>optimi</w:t>
      </w:r>
      <w:r>
        <w:rPr>
          <w:noProof/>
        </w:rPr>
        <w:t>s</w:t>
      </w:r>
      <w:r w:rsidRPr="00497F55">
        <w:rPr>
          <w:noProof/>
        </w:rPr>
        <w:t>ation</w:t>
      </w:r>
      <w:r>
        <w:t xml:space="preserve"> of orbitals used in the </w:t>
      </w:r>
      <w:bookmarkStart w:id="74" w:name="OLE_LINK15"/>
      <w:bookmarkStart w:id="75" w:name="OLE_LINK16"/>
      <w:r>
        <w:t>Hartree-Fock</w:t>
      </w:r>
      <w:bookmarkEnd w:id="74"/>
      <w:bookmarkEnd w:id="75"/>
      <w:r>
        <w:t xml:space="preserve"> (HK)</w:t>
      </w:r>
      <w:r>
        <w:fldChar w:fldCharType="begin" w:fldLock="1"/>
      </w:r>
      <w:r>
        <w:instrText>ADDIN CSL_CITATION {"citationItems":[{"id":"ITEM-1","itemData":{"DOI":"10.1017/S0305004100011920","ISBN":"0305-0041","ISSN":"14698064","PMID":"746","abstract":"The methods of solution of the wave equation for a central field given in the previous paper are applied to various atoms. For the core electrons, the details of the interaction of the electrons in a single nk group are neglected, but an approximate correction is made for the fact that the distributed charge of an electron does not contribute to the field acting on itself (§2). For a given atom the object of the work is to find a field such that the solutions of the wave equation for the core electrons in this field (corrected as just mentioned for each core electron) give a distribution of charge which reproduces the field. This is called the self-consistent field, and the process of finding it is one of successive approximation (§ 3). Approximations to the self-consistent field have been found for He (§ 4), Rb+ (§ 5), Na+, Cl− (§ 9). For He the energy parameter for the solution of the wave equation for one electron in the self-consistent field of the nucleus and the other corresponds to an ionisation potential of 24·85 volts (observed 24·6 volts); this agreement suggests that for other atoms the values of the energy parameter in the self-consistent field (corrected for each core electron) will probably give good approximations to the X-ray terms (§4). The most extensive work has been carried out for Rb+. The distribution of charge given by the wave functions in the self-consistent field is compared with the distribution calculated by other methods (§ 6). The values of X-ray and optical terms calculated from the self-consistent field show satisfactory agreement with those observed (§ 7). The wave mechanical analogue of the case in which on the orbital model an internal and an external orbit of the same energy are possible is discussed (§ 8).","author":[{"dropping-particle":"","family":"Hartree","given":"D. R.","non-dropping-particle":"","parse-names":false,"suffix":""}],"container-title":"Mathematical Proceedings of the Cambridge Philosophical Society","id":"ITEM-1","issued":{"date-parts":[["1928"]]},"title":"The Wave Mechanics of an Atom with a Non-Coulomb Central Field. Part II. Some Results and Discussion","type":"article-journal"},"uris":["http://www.mendeley.com/documents/?uuid=381e2670-7cea-42b6-84b4-85a3efe63fd2","http://www.mendeley.com/documents/?uuid=56481244-945f-4d67-95a7-0cf675a06bed"]}],"mendeley":{"formattedCitation":"[64]","plainTextFormattedCitation":"[64]","previouslyFormattedCitation":"[64]"},"properties":{"noteIndex":0},"schema":"https://github.com/citation-style-language/schema/raw/master/csl-citation.json"}</w:instrText>
      </w:r>
      <w:r>
        <w:fldChar w:fldCharType="separate"/>
      </w:r>
      <w:r w:rsidRPr="003B39BC">
        <w:rPr>
          <w:noProof/>
        </w:rPr>
        <w:t>[64]</w:t>
      </w:r>
      <w:r>
        <w:fldChar w:fldCharType="end"/>
      </w:r>
      <w:r>
        <w:t xml:space="preserve"> method, is proposed to determine the wave function and the energy of </w:t>
      </w:r>
      <w:r w:rsidRPr="00497F55">
        <w:rPr>
          <w:noProof/>
        </w:rPr>
        <w:t>many</w:t>
      </w:r>
      <w:r>
        <w:rPr>
          <w:noProof/>
        </w:rPr>
        <w:t>-</w:t>
      </w:r>
      <w:r w:rsidRPr="00497F55">
        <w:rPr>
          <w:noProof/>
        </w:rPr>
        <w:t>body</w:t>
      </w:r>
      <w:r>
        <w:t xml:space="preserve"> </w:t>
      </w:r>
      <w:r w:rsidRPr="00497F55">
        <w:rPr>
          <w:noProof/>
        </w:rPr>
        <w:t>system</w:t>
      </w:r>
      <w:r>
        <w:rPr>
          <w:noProof/>
        </w:rPr>
        <w:t>s</w:t>
      </w:r>
      <w:r>
        <w:t xml:space="preserve"> in a </w:t>
      </w:r>
      <w:r w:rsidRPr="008C71F2">
        <w:rPr>
          <w:noProof/>
        </w:rPr>
        <w:t>stationary</w:t>
      </w:r>
      <w:r>
        <w:t xml:space="preserve"> state. Here for any </w:t>
      </w:r>
      <w:r w:rsidRPr="00497F55">
        <w:rPr>
          <w:noProof/>
        </w:rPr>
        <w:t>many</w:t>
      </w:r>
      <w:r>
        <w:rPr>
          <w:noProof/>
        </w:rPr>
        <w:t>-</w:t>
      </w:r>
      <w:r w:rsidRPr="00497F55">
        <w:rPr>
          <w:noProof/>
        </w:rPr>
        <w:t>body</w:t>
      </w:r>
      <w:r>
        <w:t xml:space="preserve"> </w:t>
      </w:r>
      <w:r w:rsidRPr="00497F55">
        <w:rPr>
          <w:noProof/>
        </w:rPr>
        <w:t>system</w:t>
      </w:r>
      <w:r>
        <w:rPr>
          <w:noProof/>
        </w:rPr>
        <w:t>s</w:t>
      </w:r>
      <w:r>
        <w:t xml:space="preserve">, an exact electron density </w:t>
      </w:r>
      <m:oMath>
        <m:sSub>
          <m:sSubPr>
            <m:ctrlPr>
              <w:rPr>
                <w:rFonts w:ascii="Cambria Math" w:hAnsi="Cambria Math"/>
              </w:rPr>
            </m:ctrlPr>
          </m:sSubPr>
          <m:e>
            <m:r>
              <w:rPr>
                <w:rFonts w:ascii="Cambria Math" w:hAnsi="Cambria Math"/>
              </w:rPr>
              <m:t>n</m:t>
            </m:r>
          </m:e>
          <m:sub>
            <m:r>
              <w:rPr>
                <w:rFonts w:ascii="Cambria Math" w:hAnsi="Cambria Math"/>
              </w:rPr>
              <m:t>0</m:t>
            </m:r>
          </m:sub>
        </m:sSub>
        <m:r>
          <w:rPr>
            <w:rFonts w:ascii="Cambria Math" w:hAnsi="Cambria Math"/>
          </w:rPr>
          <m:t>(</m:t>
        </m:r>
        <m:r>
          <m:rPr>
            <m:sty m:val="bi"/>
          </m:rPr>
          <w:rPr>
            <w:rFonts w:ascii="Cambria Math" w:hAnsi="Cambria Math"/>
          </w:rPr>
          <m:t>r</m:t>
        </m:r>
        <m:r>
          <w:rPr>
            <w:rFonts w:ascii="Cambria Math" w:hAnsi="Cambria Math"/>
          </w:rPr>
          <m:t>)</m:t>
        </m:r>
      </m:oMath>
      <w:r>
        <w:t xml:space="preserve"> exists, which minimises the energy function to the gr</w:t>
      </w:r>
      <w:r w:rsidRPr="008C71F2">
        <w:rPr>
          <w:noProof/>
        </w:rPr>
        <w:t>ound s</w:t>
      </w:r>
      <w:r>
        <w:t>tate as:</w:t>
      </w:r>
    </w:p>
    <w:p w14:paraId="78C5ED81" w14:textId="77777777" w:rsidR="00624970" w:rsidRDefault="00624970" w:rsidP="00624970">
      <w:pPr>
        <w:spacing w:afterLines="60" w:after="144" w:line="360" w:lineRule="auto"/>
        <w:jc w:val="right"/>
      </w:pPr>
      <m:oMath>
        <m:r>
          <w:rPr>
            <w:rFonts w:ascii="Cambria Math" w:hAnsi="Cambria Math"/>
          </w:rPr>
          <m:t>E</m:t>
        </m:r>
        <m:d>
          <m:dPr>
            <m:begChr m:val="["/>
            <m:endChr m:val="]"/>
            <m:ctrlPr>
              <w:rPr>
                <w:rFonts w:ascii="Cambria Math" w:hAnsi="Cambria Math"/>
                <w:i/>
              </w:rPr>
            </m:ctrlPr>
          </m:dPr>
          <m:e>
            <m:sSub>
              <m:sSubPr>
                <m:ctrlPr>
                  <w:rPr>
                    <w:rFonts w:ascii="Cambria Math" w:hAnsi="Cambria Math"/>
                  </w:rPr>
                </m:ctrlPr>
              </m:sSubPr>
              <m:e>
                <m:r>
                  <w:rPr>
                    <w:rFonts w:ascii="Cambria Math" w:hAnsi="Cambria Math"/>
                  </w:rPr>
                  <m:t>n</m:t>
                </m:r>
              </m:e>
              <m:sub>
                <m:r>
                  <w:rPr>
                    <w:rFonts w:ascii="Cambria Math" w:hAnsi="Cambria Math"/>
                  </w:rPr>
                  <m:t>0</m:t>
                </m:r>
              </m:sub>
            </m:sSub>
          </m:e>
        </m:d>
        <m:r>
          <w:rPr>
            <w:rFonts w:ascii="Cambria Math" w:hAnsi="Cambria Math"/>
          </w:rPr>
          <m:t>=</m:t>
        </m:r>
        <m:nary>
          <m:naryPr>
            <m:limLoc m:val="undOvr"/>
            <m:subHide m:val="1"/>
            <m:supHide m:val="1"/>
            <m:ctrlPr>
              <w:rPr>
                <w:rFonts w:ascii="Cambria Math" w:hAnsi="Cambria Math"/>
                <w:i/>
              </w:rPr>
            </m:ctrlPr>
          </m:naryPr>
          <m:sub/>
          <m:sup/>
          <m:e>
            <m:sSub>
              <m:sSubPr>
                <m:ctrlPr>
                  <w:rPr>
                    <w:rFonts w:ascii="Cambria Math" w:hAnsi="Cambria Math"/>
                  </w:rPr>
                </m:ctrlPr>
              </m:sSubPr>
              <m:e>
                <m:r>
                  <w:rPr>
                    <w:rFonts w:ascii="Cambria Math" w:hAnsi="Cambria Math"/>
                  </w:rPr>
                  <m:t>n</m:t>
                </m:r>
              </m:e>
              <m:sub>
                <m:r>
                  <w:rPr>
                    <w:rFonts w:ascii="Cambria Math" w:hAnsi="Cambria Math"/>
                  </w:rPr>
                  <m:t>0</m:t>
                </m:r>
              </m:sub>
            </m:sSub>
            <m:r>
              <w:rPr>
                <w:rFonts w:ascii="Cambria Math" w:hAnsi="Cambria Math"/>
              </w:rPr>
              <m:t>(</m:t>
            </m:r>
            <m:r>
              <m:rPr>
                <m:sty m:val="bi"/>
              </m:rPr>
              <w:rPr>
                <w:rFonts w:ascii="Cambria Math" w:hAnsi="Cambria Math"/>
              </w:rPr>
              <m:t>r</m:t>
            </m:r>
            <m: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V</m:t>
                    </m:r>
                  </m:e>
                </m:acc>
              </m:e>
              <m:sub>
                <m:r>
                  <w:rPr>
                    <w:rFonts w:ascii="Cambria Math" w:hAnsi="Cambria Math"/>
                  </w:rPr>
                  <m:t>en</m:t>
                </m:r>
              </m:sub>
            </m:sSub>
            <m:r>
              <w:rPr>
                <w:rFonts w:ascii="Cambria Math" w:hAnsi="Cambria Math"/>
              </w:rPr>
              <m:t>d</m:t>
            </m:r>
            <m:r>
              <m:rPr>
                <m:sty m:val="bi"/>
              </m:rPr>
              <w:rPr>
                <w:rFonts w:ascii="Cambria Math" w:hAnsi="Cambria Math"/>
              </w:rPr>
              <m:t>r</m:t>
            </m:r>
          </m:e>
        </m:nary>
        <m: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ee</m:t>
            </m:r>
          </m:sub>
        </m:sSub>
        <m: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0</m:t>
            </m:r>
          </m:sub>
        </m:sSub>
        <m:r>
          <w:rPr>
            <w:rFonts w:ascii="Cambria Math" w:hAnsi="Cambria Math"/>
          </w:rPr>
          <m:t>]+T[</m:t>
        </m:r>
        <m:sSub>
          <m:sSubPr>
            <m:ctrlPr>
              <w:rPr>
                <w:rFonts w:ascii="Cambria Math" w:hAnsi="Cambria Math"/>
              </w:rPr>
            </m:ctrlPr>
          </m:sSubPr>
          <m:e>
            <m:r>
              <w:rPr>
                <w:rFonts w:ascii="Cambria Math" w:hAnsi="Cambria Math"/>
              </w:rPr>
              <m:t>n</m:t>
            </m:r>
          </m:e>
          <m:sub>
            <m:r>
              <w:rPr>
                <w:rFonts w:ascii="Cambria Math" w:hAnsi="Cambria Math"/>
              </w:rPr>
              <m:t>0</m:t>
            </m:r>
          </m:sub>
        </m:sSub>
        <m:r>
          <w:rPr>
            <w:rFonts w:ascii="Cambria Math" w:hAnsi="Cambria Math"/>
          </w:rPr>
          <m:t>]</m:t>
        </m:r>
      </m:oMath>
      <w:r>
        <w:t>=</w:t>
      </w:r>
      <m:oMath>
        <m:r>
          <w:rPr>
            <w:rFonts w:ascii="Cambria Math" w:hAnsi="Cambria Math"/>
          </w:rPr>
          <m:t xml:space="preserve"> </m:t>
        </m:r>
        <m:nary>
          <m:naryPr>
            <m:limLoc m:val="undOvr"/>
            <m:subHide m:val="1"/>
            <m:supHide m:val="1"/>
            <m:ctrlPr>
              <w:rPr>
                <w:rFonts w:ascii="Cambria Math" w:hAnsi="Cambria Math"/>
                <w:i/>
              </w:rPr>
            </m:ctrlPr>
          </m:naryPr>
          <m:sub/>
          <m:sup/>
          <m:e>
            <m:sSub>
              <m:sSubPr>
                <m:ctrlPr>
                  <w:rPr>
                    <w:rFonts w:ascii="Cambria Math" w:hAnsi="Cambria Math"/>
                  </w:rPr>
                </m:ctrlPr>
              </m:sSubPr>
              <m:e>
                <m:r>
                  <w:rPr>
                    <w:rFonts w:ascii="Cambria Math" w:hAnsi="Cambria Math"/>
                  </w:rPr>
                  <m:t>n</m:t>
                </m:r>
              </m:e>
              <m:sub>
                <m:r>
                  <w:rPr>
                    <w:rFonts w:ascii="Cambria Math" w:hAnsi="Cambria Math"/>
                  </w:rPr>
                  <m:t>0</m:t>
                </m:r>
              </m:sub>
            </m:sSub>
            <m:r>
              <w:rPr>
                <w:rFonts w:ascii="Cambria Math" w:hAnsi="Cambria Math"/>
              </w:rPr>
              <m:t>(</m:t>
            </m:r>
            <m:r>
              <m:rPr>
                <m:sty m:val="bi"/>
              </m:rPr>
              <w:rPr>
                <w:rFonts w:ascii="Cambria Math" w:hAnsi="Cambria Math"/>
              </w:rPr>
              <m:t>r</m:t>
            </m:r>
            <m: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V</m:t>
                    </m:r>
                  </m:e>
                </m:acc>
              </m:e>
              <m:sub>
                <m:r>
                  <w:rPr>
                    <w:rFonts w:ascii="Cambria Math" w:hAnsi="Cambria Math"/>
                  </w:rPr>
                  <m:t>en</m:t>
                </m:r>
              </m:sub>
            </m:sSub>
            <m:r>
              <w:rPr>
                <w:rFonts w:ascii="Cambria Math" w:hAnsi="Cambria Math"/>
              </w:rPr>
              <m:t>d</m:t>
            </m:r>
            <m:r>
              <m:rPr>
                <m:sty m:val="bi"/>
              </m:rPr>
              <w:rPr>
                <w:rFonts w:ascii="Cambria Math" w:hAnsi="Cambria Math"/>
              </w:rPr>
              <m:t>r</m:t>
            </m:r>
          </m:e>
        </m:nary>
      </m:oMath>
      <w:r>
        <w:t>+</w:t>
      </w:r>
      <m:oMath>
        <m:sSub>
          <m:sSubPr>
            <m:ctrlPr>
              <w:rPr>
                <w:rFonts w:ascii="Cambria Math" w:hAnsi="Cambria Math"/>
              </w:rPr>
            </m:ctrlPr>
          </m:sSubPr>
          <m:e>
            <m:r>
              <w:rPr>
                <w:rFonts w:ascii="Cambria Math" w:hAnsi="Cambria Math"/>
              </w:rPr>
              <m:t>F</m:t>
            </m:r>
          </m:e>
          <m:sub>
            <m:r>
              <w:rPr>
                <w:rFonts w:ascii="Cambria Math" w:hAnsi="Cambria Math"/>
              </w:rPr>
              <m:t>HK</m:t>
            </m:r>
          </m:sub>
        </m:sSub>
        <m: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0</m:t>
            </m:r>
          </m:sub>
        </m:sSub>
        <m:r>
          <w:rPr>
            <w:rFonts w:ascii="Cambria Math" w:hAnsi="Cambria Math"/>
          </w:rPr>
          <m:t>]</m:t>
        </m:r>
      </m:oMath>
      <w:r>
        <w:rPr>
          <w:rFonts w:hint="eastAsia"/>
        </w:rPr>
        <w:t xml:space="preserve"> </w:t>
      </w:r>
      <w:r>
        <w:t xml:space="preserve">                    (30)</w:t>
      </w:r>
    </w:p>
    <w:p w14:paraId="5C355BA2" w14:textId="77777777" w:rsidR="00624970" w:rsidRDefault="00624970" w:rsidP="00624970">
      <w:pPr>
        <w:spacing w:afterLines="60" w:after="144" w:line="360" w:lineRule="auto"/>
        <w:jc w:val="both"/>
      </w:pPr>
      <w:r>
        <w:lastRenderedPageBreak/>
        <w:t xml:space="preserve">Analogous to the previous Born-Oppenheimer approximation, the expression for the energy can be </w:t>
      </w:r>
      <w:r w:rsidRPr="00497F55">
        <w:rPr>
          <w:noProof/>
        </w:rPr>
        <w:t>separate</w:t>
      </w:r>
      <w:r>
        <w:rPr>
          <w:noProof/>
        </w:rPr>
        <w:t>d</w:t>
      </w:r>
      <w:r>
        <w:t xml:space="preserve"> into two parts, as the first term in </w:t>
      </w:r>
      <w:r w:rsidRPr="008C71F2">
        <w:rPr>
          <w:i/>
          <w:noProof/>
        </w:rPr>
        <w:t>eq</w:t>
      </w:r>
      <w:r>
        <w:t xml:space="preserve">. 20 (the term required to be solved) and the other terms can be </w:t>
      </w:r>
      <w:r w:rsidRPr="00497F55">
        <w:rPr>
          <w:noProof/>
        </w:rPr>
        <w:t>regar</w:t>
      </w:r>
      <w:r>
        <w:rPr>
          <w:noProof/>
        </w:rPr>
        <w:t>de</w:t>
      </w:r>
      <w:r w:rsidRPr="00497F55">
        <w:rPr>
          <w:noProof/>
        </w:rPr>
        <w:t>d</w:t>
      </w:r>
      <w:r>
        <w:t xml:space="preserve"> as </w:t>
      </w:r>
      <w:r w:rsidRPr="00497F55">
        <w:rPr>
          <w:noProof/>
        </w:rPr>
        <w:t>a universal</w:t>
      </w:r>
      <w:r>
        <w:t xml:space="preserve"> value, independent </w:t>
      </w:r>
      <w:r>
        <w:rPr>
          <w:noProof/>
        </w:rPr>
        <w:t>of</w:t>
      </w:r>
      <w:r>
        <w:t xml:space="preserve"> the system, which can be calculated by electron density. However, it is difficult to calculate the last </w:t>
      </w:r>
      <w:r w:rsidRPr="00497F55">
        <w:rPr>
          <w:noProof/>
        </w:rPr>
        <w:t>two</w:t>
      </w:r>
      <w:r>
        <w:rPr>
          <w:noProof/>
        </w:rPr>
        <w:t xml:space="preserve"> </w:t>
      </w:r>
      <w:r w:rsidRPr="00497F55">
        <w:rPr>
          <w:noProof/>
        </w:rPr>
        <w:t>term</w:t>
      </w:r>
      <w:r>
        <w:rPr>
          <w:noProof/>
        </w:rPr>
        <w:t>s</w:t>
      </w:r>
      <w:r>
        <w:t xml:space="preserve"> in </w:t>
      </w:r>
      <w:r w:rsidRPr="00C80AE6">
        <w:rPr>
          <w:i/>
        </w:rPr>
        <w:t>eq</w:t>
      </w:r>
      <w:r>
        <w:t xml:space="preserve">. 20 under the HK theorem. </w:t>
      </w:r>
    </w:p>
    <w:p w14:paraId="060933BE" w14:textId="77777777" w:rsidR="00624970" w:rsidRDefault="00624970" w:rsidP="00624970">
      <w:pPr>
        <w:spacing w:afterLines="60" w:after="144" w:line="360" w:lineRule="auto"/>
        <w:jc w:val="both"/>
      </w:pPr>
      <w:r>
        <w:t xml:space="preserve">Considering </w:t>
      </w:r>
      <m:oMath>
        <m:sSub>
          <m:sSubPr>
            <m:ctrlPr>
              <w:rPr>
                <w:rFonts w:ascii="Cambria Math" w:hAnsi="Cambria Math"/>
              </w:rPr>
            </m:ctrlPr>
          </m:sSubPr>
          <m:e>
            <m:r>
              <w:rPr>
                <w:rFonts w:ascii="Cambria Math" w:hAnsi="Cambria Math"/>
              </w:rPr>
              <m:t>F</m:t>
            </m:r>
          </m:e>
          <m:sub>
            <m:r>
              <w:rPr>
                <w:rFonts w:ascii="Cambria Math" w:hAnsi="Cambria Math"/>
              </w:rPr>
              <m:t>HK</m:t>
            </m:r>
          </m:sub>
        </m:sSub>
        <m: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0</m:t>
            </m:r>
          </m:sub>
        </m:sSub>
        <m:r>
          <w:rPr>
            <w:rFonts w:ascii="Cambria Math" w:hAnsi="Cambria Math"/>
          </w:rPr>
          <m:t>]</m:t>
        </m:r>
      </m:oMath>
      <w:r>
        <w:t xml:space="preserve"> is always expressed as: </w:t>
      </w:r>
    </w:p>
    <w:p w14:paraId="2A12A3FE" w14:textId="77777777" w:rsidR="00624970" w:rsidRPr="00CA1D60" w:rsidRDefault="00077961" w:rsidP="00624970">
      <w:pPr>
        <w:spacing w:afterLines="60" w:after="144" w:line="360" w:lineRule="auto"/>
        <w:jc w:val="right"/>
      </w:pPr>
      <m:oMath>
        <m:sSub>
          <m:sSubPr>
            <m:ctrlPr>
              <w:rPr>
                <w:rFonts w:ascii="Cambria Math" w:hAnsi="Cambria Math"/>
              </w:rPr>
            </m:ctrlPr>
          </m:sSubPr>
          <m:e>
            <m:r>
              <w:rPr>
                <w:rFonts w:ascii="Cambria Math" w:hAnsi="Cambria Math"/>
              </w:rPr>
              <m:t>F</m:t>
            </m:r>
          </m:e>
          <m:sub>
            <m:r>
              <w:rPr>
                <w:rFonts w:ascii="Cambria Math" w:hAnsi="Cambria Math"/>
              </w:rPr>
              <m:t>HK</m:t>
            </m:r>
          </m:sub>
        </m:sSub>
        <m:d>
          <m:dPr>
            <m:begChr m:val="["/>
            <m:endChr m:val="]"/>
            <m:ctrlPr>
              <w:rPr>
                <w:rFonts w:ascii="Cambria Math" w:hAnsi="Cambria Math"/>
                <w:i/>
              </w:rPr>
            </m:ctrlPr>
          </m:dPr>
          <m:e>
            <m:sSub>
              <m:sSubPr>
                <m:ctrlPr>
                  <w:rPr>
                    <w:rFonts w:ascii="Cambria Math" w:hAnsi="Cambria Math"/>
                  </w:rPr>
                </m:ctrlPr>
              </m:sSubPr>
              <m:e>
                <m:r>
                  <w:rPr>
                    <w:rFonts w:ascii="Cambria Math" w:hAnsi="Cambria Math"/>
                  </w:rPr>
                  <m:t>n</m:t>
                </m:r>
              </m:e>
              <m:sub>
                <m:r>
                  <w:rPr>
                    <w:rFonts w:ascii="Cambria Math" w:hAnsi="Cambria Math"/>
                  </w:rPr>
                  <m:t>0</m:t>
                </m:r>
              </m:sub>
            </m:sSub>
          </m:e>
        </m:d>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nary>
          <m:naryPr>
            <m:chr m:val="∬"/>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m:t>
                </m:r>
                <m:r>
                  <m:rPr>
                    <m:sty m:val="bi"/>
                  </m:rPr>
                  <w:rPr>
                    <w:rFonts w:ascii="Cambria Math" w:hAnsi="Cambria Math"/>
                  </w:rPr>
                  <m:t>r</m:t>
                </m:r>
                <m:r>
                  <w:rPr>
                    <w:rFonts w:ascii="Cambria Math" w:hAnsi="Cambria Math"/>
                  </w:rPr>
                  <m:t>)n(</m:t>
                </m:r>
                <m:r>
                  <m:rPr>
                    <m:sty m:val="bi"/>
                  </m:rPr>
                  <w:rPr>
                    <w:rFonts w:ascii="Cambria Math" w:hAnsi="Cambria Math"/>
                  </w:rPr>
                  <m:t>r'</m:t>
                </m:r>
                <m:r>
                  <w:rPr>
                    <w:rFonts w:ascii="Cambria Math" w:hAnsi="Cambria Math"/>
                  </w:rPr>
                  <m:t>)</m:t>
                </m:r>
              </m:num>
              <m:den>
                <m:d>
                  <m:dPr>
                    <m:begChr m:val="|"/>
                    <m:endChr m:val="|"/>
                    <m:ctrlPr>
                      <w:rPr>
                        <w:rFonts w:ascii="Cambria Math" w:hAnsi="Cambria Math"/>
                        <w:i/>
                      </w:rPr>
                    </m:ctrlPr>
                  </m:dPr>
                  <m:e>
                    <m:r>
                      <m:rPr>
                        <m:sty m:val="bi"/>
                      </m:rPr>
                      <w:rPr>
                        <w:rFonts w:ascii="Cambria Math" w:hAnsi="Cambria Math"/>
                      </w:rPr>
                      <m:t>r</m:t>
                    </m:r>
                    <m:r>
                      <w:rPr>
                        <w:rFonts w:ascii="Cambria Math" w:hAnsi="Cambria Math"/>
                      </w:rPr>
                      <m:t>-</m:t>
                    </m:r>
                    <m:r>
                      <m:rPr>
                        <m:sty m:val="bi"/>
                      </m:rPr>
                      <w:rPr>
                        <w:rFonts w:ascii="Cambria Math" w:hAnsi="Cambria Math"/>
                      </w:rPr>
                      <m:t>r'</m:t>
                    </m:r>
                  </m:e>
                </m:d>
              </m:den>
            </m:f>
          </m:e>
        </m:nary>
        <m:r>
          <w:rPr>
            <w:rFonts w:ascii="Cambria Math" w:hAnsi="Cambria Math"/>
          </w:rPr>
          <m:t>d</m:t>
        </m:r>
        <m:r>
          <m:rPr>
            <m:sty m:val="bi"/>
          </m:rPr>
          <w:rPr>
            <w:rFonts w:ascii="Cambria Math" w:hAnsi="Cambria Math"/>
          </w:rPr>
          <m:t>r</m:t>
        </m:r>
        <m:r>
          <w:rPr>
            <w:rFonts w:ascii="Cambria Math" w:hAnsi="Cambria Math"/>
          </w:rPr>
          <m:t>d</m:t>
        </m:r>
        <m:sSup>
          <m:sSupPr>
            <m:ctrlPr>
              <w:rPr>
                <w:rFonts w:ascii="Cambria Math" w:hAnsi="Cambria Math"/>
                <w:b/>
                <w:i/>
              </w:rPr>
            </m:ctrlPr>
          </m:sSupPr>
          <m:e>
            <m:r>
              <m:rPr>
                <m:sty m:val="bi"/>
              </m:rPr>
              <w:rPr>
                <w:rFonts w:ascii="Cambria Math" w:hAnsi="Cambria Math"/>
              </w:rPr>
              <m:t>r</m:t>
            </m:r>
          </m:e>
          <m:sup>
            <m:r>
              <m:rPr>
                <m:sty m:val="bi"/>
              </m:rPr>
              <w:rPr>
                <w:rFonts w:ascii="Cambria Math" w:hAnsi="Cambria Math"/>
              </w:rPr>
              <m:t>'</m:t>
            </m:r>
          </m:sup>
        </m:sSup>
        <m:r>
          <m:rPr>
            <m:sty m:val="b"/>
          </m:rP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xc</m:t>
            </m:r>
          </m:sub>
        </m:sSub>
        <m:r>
          <m:rPr>
            <m:sty m:val="b"/>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0</m:t>
            </m:r>
          </m:sub>
        </m:sSub>
        <m:r>
          <m:rPr>
            <m:sty m:val="b"/>
          </m:rPr>
          <w:rPr>
            <w:rFonts w:ascii="Cambria Math" w:hAnsi="Cambria Math"/>
          </w:rPr>
          <m:t>]+</m:t>
        </m:r>
        <m:r>
          <w:rPr>
            <w:rFonts w:ascii="Cambria Math" w:hAnsi="Cambria Math"/>
          </w:rPr>
          <m:t>T[</m:t>
        </m:r>
        <m:sSub>
          <m:sSubPr>
            <m:ctrlPr>
              <w:rPr>
                <w:rFonts w:ascii="Cambria Math" w:hAnsi="Cambria Math"/>
              </w:rPr>
            </m:ctrlPr>
          </m:sSubPr>
          <m:e>
            <m:r>
              <w:rPr>
                <w:rFonts w:ascii="Cambria Math" w:hAnsi="Cambria Math"/>
              </w:rPr>
              <m:t>n</m:t>
            </m:r>
          </m:e>
          <m:sub>
            <m:r>
              <w:rPr>
                <w:rFonts w:ascii="Cambria Math" w:hAnsi="Cambria Math"/>
              </w:rPr>
              <m:t>0</m:t>
            </m:r>
          </m:sub>
        </m:sSub>
        <m:r>
          <w:rPr>
            <w:rFonts w:ascii="Cambria Math" w:hAnsi="Cambria Math"/>
          </w:rPr>
          <m:t>]</m:t>
        </m:r>
      </m:oMath>
      <w:r w:rsidR="00624970">
        <w:rPr>
          <w:rFonts w:hint="eastAsia"/>
        </w:rPr>
        <w:t xml:space="preserve"> </w:t>
      </w:r>
      <w:r w:rsidR="00624970">
        <w:t xml:space="preserve">                                     </w:t>
      </w:r>
      <w:r w:rsidR="00624970">
        <w:rPr>
          <w:rFonts w:hint="eastAsia"/>
        </w:rPr>
        <w:t>(</w:t>
      </w:r>
      <w:r w:rsidR="00624970">
        <w:t>31)</w:t>
      </w:r>
    </w:p>
    <w:p w14:paraId="282A01F2" w14:textId="77777777" w:rsidR="00624970" w:rsidRDefault="00624970" w:rsidP="00624970">
      <w:pPr>
        <w:spacing w:afterLines="60" w:after="144" w:line="360" w:lineRule="auto"/>
        <w:jc w:val="both"/>
      </w:pPr>
      <w:r>
        <w:t>Here</w:t>
      </w:r>
      <w:r w:rsidRPr="50EA2604">
        <w:t>,</w:t>
      </w:r>
      <w:r>
        <w:t xml:space="preserve"> the first </w:t>
      </w:r>
      <w:r w:rsidRPr="00497F55">
        <w:rPr>
          <w:noProof/>
        </w:rPr>
        <w:t>two-term</w:t>
      </w:r>
      <w:r>
        <w:rPr>
          <w:noProof/>
        </w:rPr>
        <w:t>s</w:t>
      </w:r>
      <w:r>
        <w:t xml:space="preserve"> include all electron interactions</w:t>
      </w:r>
      <w:r w:rsidRPr="50EA2604">
        <w:t>;</w:t>
      </w:r>
      <w:r>
        <w:t xml:space="preserve"> Coulomb repulsion between electrons which is known as the </w:t>
      </w:r>
      <w:r w:rsidRPr="008C71F2">
        <w:rPr>
          <w:noProof/>
        </w:rPr>
        <w:t>Hartee</w:t>
      </w:r>
      <w:r>
        <w:t xml:space="preserve"> energy</w:t>
      </w:r>
      <w:r w:rsidRPr="50EA2604">
        <w:t xml:space="preserve"> </w:t>
      </w:r>
      <m:oMath>
        <m:sSub>
          <m:sSubPr>
            <m:ctrlPr>
              <w:rPr>
                <w:rFonts w:ascii="Cambria Math" w:hAnsi="Cambria Math"/>
              </w:rPr>
            </m:ctrlPr>
          </m:sSubPr>
          <m:e>
            <m:r>
              <w:rPr>
                <w:rFonts w:ascii="Cambria Math" w:hAnsi="Cambria Math"/>
              </w:rPr>
              <m:t>E</m:t>
            </m:r>
          </m:e>
          <m:sub>
            <m:r>
              <w:rPr>
                <w:rFonts w:ascii="Cambria Math" w:hAnsi="Cambria Math"/>
              </w:rPr>
              <m:t>xc</m:t>
            </m:r>
          </m:sub>
        </m:sSub>
        <m:r>
          <m:rPr>
            <m:sty m:val="b"/>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0</m:t>
            </m:r>
          </m:sub>
        </m:sSub>
        <m:r>
          <w:rPr>
            <w:rFonts w:ascii="Cambria Math" w:hAnsi="Cambria Math"/>
          </w:rPr>
          <m:t>]</m:t>
        </m:r>
      </m:oMath>
      <w:r w:rsidRPr="50EA2604">
        <w:t xml:space="preserve">, </w:t>
      </w:r>
      <w:r>
        <w:t>represents the non-Coulombic electron-electron interactions</w:t>
      </w:r>
      <w:r w:rsidRPr="50EA2604">
        <w:t xml:space="preserve"> </w:t>
      </w:r>
      <w:r>
        <w:t xml:space="preserve">and includes the exchange and self-interaction corrections of electrons. The last term is the kinetic energy of electrons. To solve the problem of exchange and correlation functional </w:t>
      </w:r>
      <m:oMath>
        <m:sSub>
          <m:sSubPr>
            <m:ctrlPr>
              <w:rPr>
                <w:rFonts w:ascii="Cambria Math" w:hAnsi="Cambria Math"/>
              </w:rPr>
            </m:ctrlPr>
          </m:sSubPr>
          <m:e>
            <m:r>
              <w:rPr>
                <w:rFonts w:ascii="Cambria Math" w:hAnsi="Cambria Math"/>
              </w:rPr>
              <m:t>E</m:t>
            </m:r>
          </m:e>
          <m:sub>
            <m:r>
              <w:rPr>
                <w:rFonts w:ascii="Cambria Math" w:hAnsi="Cambria Math"/>
              </w:rPr>
              <m:t>xc</m:t>
            </m:r>
          </m:sub>
        </m:sSub>
        <m:r>
          <m:rPr>
            <m:sty m:val="b"/>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0</m:t>
            </m:r>
          </m:sub>
        </m:sSub>
        <m:r>
          <w:rPr>
            <w:rFonts w:ascii="Cambria Math" w:hAnsi="Cambria Math"/>
          </w:rPr>
          <m:t>]</m:t>
        </m:r>
      </m:oMath>
      <w:r>
        <w:t>, Kohn and Sham(KS)</w:t>
      </w:r>
      <w:r>
        <w:fldChar w:fldCharType="begin" w:fldLock="1"/>
      </w:r>
      <w:r>
        <w:instrText>ADDIN CSL_CITATION {"citationItems":[{"id":"ITEM-1","itemData":{"DOI":"10.1103/PhysRev.140.A1133","ISBN":"9783540373674","ISSN":"0031899X","PMID":"20432011","abstract":"From a theory of Hohenberg and Kohn, approximation methods for treating an inhomogeneous system of interacting electrons are developed. These methods are exact for systems of slowly varying or high density. For the ground state, they lead to self-consistent equations analogous to the Hartree and Hartree-Fock equations, respectively. In these equations the exchange and correlation portions of the chemical potential of a uniform electron gas appear as additional effective potentials. (The exchange portion of our effective potential differs from that due to Slater by a factor of -';.) Electronic systems at finite temperatures and in magnetic lelds are also treated by similar methods. An appendix deals with a further correction for systems with short-wavelength density oscillations.","author":[{"dropping-particle":"","family":"Kohn","given":"W.","non-dropping-particle":"","parse-names":false,"suffix":""},{"dropping-particle":"","family":"Sham","given":"L. J.","non-dropping-particle":"","parse-names":false,"suffix":""}],"container-title":"Physical Review","id":"ITEM-1","issued":{"date-parts":[["1965"]]},"title":"Self-consistent equations including exchange and correlation effects","type":"article-journal"},"uris":["http://www.mendeley.com/documents/?uuid=9fb8f148-5ce5-42bf-9abc-5ef6210431a7","http://www.mendeley.com/documents/?uuid=8fc0ed35-c353-4daf-b9a2-270c38ca8768"]}],"mendeley":{"formattedCitation":"[65]","plainTextFormattedCitation":"[65]","previouslyFormattedCitation":"[65]"},"properties":{"noteIndex":0},"schema":"https://github.com/citation-style-language/schema/raw/master/csl-citation.json"}</w:instrText>
      </w:r>
      <w:r>
        <w:fldChar w:fldCharType="separate"/>
      </w:r>
      <w:r w:rsidRPr="003B39BC">
        <w:rPr>
          <w:noProof/>
        </w:rPr>
        <w:t>[65]</w:t>
      </w:r>
      <w:r>
        <w:fldChar w:fldCharType="end"/>
      </w:r>
      <w:r w:rsidRPr="50EA2604">
        <w:t xml:space="preserve"> </w:t>
      </w:r>
      <w:r>
        <w:t>proposed an approximation to solve the complex electron-electron interactions. The density of electrons can be expressed as the expectation value of the electron wave function of KS orbitals as:</w:t>
      </w:r>
    </w:p>
    <w:p w14:paraId="6E995D01" w14:textId="77777777" w:rsidR="00624970" w:rsidRDefault="00624970" w:rsidP="00624970">
      <w:pPr>
        <w:spacing w:afterLines="60" w:after="144" w:line="360" w:lineRule="auto"/>
        <w:jc w:val="right"/>
      </w:pPr>
      <m:oMath>
        <m:r>
          <w:rPr>
            <w:rFonts w:ascii="Cambria Math" w:hAnsi="Cambria Math"/>
          </w:rPr>
          <m:t>n</m:t>
        </m:r>
        <m:d>
          <m:dPr>
            <m:ctrlPr>
              <w:rPr>
                <w:rFonts w:ascii="Cambria Math" w:hAnsi="Cambria Math"/>
                <w:i/>
              </w:rPr>
            </m:ctrlPr>
          </m:dPr>
          <m:e>
            <m:r>
              <m:rPr>
                <m:sty m:val="bi"/>
              </m:rPr>
              <w:rPr>
                <w:rFonts w:ascii="Cambria Math" w:hAnsi="Cambria Math"/>
              </w:rPr>
              <m:t>r</m:t>
            </m:r>
          </m:e>
        </m:d>
        <m:r>
          <w:rPr>
            <w:rFonts w:ascii="Cambria Math" w:hAnsi="Cambria Math"/>
          </w:rPr>
          <m:t>=</m:t>
        </m:r>
        <m:nary>
          <m:naryPr>
            <m:chr m:val="∑"/>
            <m:limLoc m:val="subSup"/>
            <m:ctrlPr>
              <w:rPr>
                <w:rFonts w:ascii="Cambria Math" w:hAnsi="Cambria Math"/>
              </w:rPr>
            </m:ctrlPr>
          </m:naryPr>
          <m:sub>
            <m:r>
              <w:rPr>
                <w:rFonts w:ascii="Cambria Math" w:hAnsi="Cambria Math"/>
              </w:rPr>
              <m:t>i</m:t>
            </m:r>
          </m:sub>
          <m:sup>
            <m:r>
              <w:rPr>
                <w:rFonts w:ascii="Cambria Math" w:hAnsi="Cambria Math"/>
              </w:rPr>
              <m:t>N</m:t>
            </m:r>
          </m:sup>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eastAsia="等线" w:hAnsi="Cambria Math" w:cs="GreekC"/>
                          </w:rPr>
                          <m:t>ψ</m:t>
                        </m:r>
                      </m:e>
                      <m:sub>
                        <m:r>
                          <w:rPr>
                            <w:rFonts w:ascii="Cambria Math" w:hAnsi="Cambria Math"/>
                          </w:rPr>
                          <m:t>i</m:t>
                        </m:r>
                      </m:sub>
                    </m:sSub>
                    <m:r>
                      <w:rPr>
                        <w:rFonts w:ascii="Cambria Math" w:hAnsi="Cambria Math"/>
                      </w:rPr>
                      <m:t>(</m:t>
                    </m:r>
                    <m:r>
                      <m:rPr>
                        <m:sty m:val="bi"/>
                      </m:rPr>
                      <w:rPr>
                        <w:rFonts w:ascii="Cambria Math" w:hAnsi="Cambria Math"/>
                      </w:rPr>
                      <m:t>r</m:t>
                    </m:r>
                    <m:r>
                      <w:rPr>
                        <w:rFonts w:ascii="Cambria Math" w:hAnsi="Cambria Math"/>
                      </w:rPr>
                      <m:t>)</m:t>
                    </m:r>
                  </m:e>
                </m:d>
              </m:e>
              <m:sup>
                <m:r>
                  <w:rPr>
                    <w:rFonts w:ascii="Cambria Math" w:hAnsi="Cambria Math"/>
                  </w:rPr>
                  <m:t>2</m:t>
                </m:r>
              </m:sup>
            </m:sSup>
          </m:e>
        </m:nary>
      </m:oMath>
      <w:r>
        <w:t xml:space="preserve">                                                                  (32)</w:t>
      </w:r>
    </w:p>
    <w:p w14:paraId="0C91E322" w14:textId="77777777" w:rsidR="00624970" w:rsidRDefault="00624970" w:rsidP="00624970">
      <w:pPr>
        <w:spacing w:afterLines="60" w:after="144" w:line="360" w:lineRule="auto"/>
        <w:jc w:val="both"/>
      </w:pPr>
      <w:r>
        <w:t xml:space="preserve">Here, </w:t>
      </w:r>
      <w:bookmarkStart w:id="76" w:name="OLE_LINK17"/>
      <w:bookmarkStart w:id="77" w:name="OLE_LINK18"/>
      <m:oMath>
        <m:sSub>
          <m:sSubPr>
            <m:ctrlPr>
              <w:rPr>
                <w:rFonts w:ascii="Cambria Math" w:hAnsi="Cambria Math"/>
                <w:i/>
              </w:rPr>
            </m:ctrlPr>
          </m:sSubPr>
          <m:e>
            <m:r>
              <w:rPr>
                <w:rFonts w:ascii="Cambria Math" w:eastAsia="等线" w:hAnsi="Cambria Math" w:cs="GreekC"/>
              </w:rPr>
              <m:t>ψ</m:t>
            </m:r>
          </m:e>
          <m:sub>
            <m:r>
              <w:rPr>
                <w:rFonts w:ascii="Cambria Math" w:hAnsi="Cambria Math"/>
              </w:rPr>
              <m:t>i</m:t>
            </m:r>
          </m:sub>
        </m:sSub>
        <m:r>
          <w:rPr>
            <w:rFonts w:ascii="Cambria Math" w:hAnsi="Cambria Math"/>
          </w:rPr>
          <m:t>(</m:t>
        </m:r>
        <m:r>
          <m:rPr>
            <m:sty m:val="bi"/>
          </m:rPr>
          <w:rPr>
            <w:rFonts w:ascii="Cambria Math" w:hAnsi="Cambria Math"/>
          </w:rPr>
          <m:t>r</m:t>
        </m:r>
        <m:r>
          <w:rPr>
            <w:rFonts w:ascii="Cambria Math" w:hAnsi="Cambria Math"/>
          </w:rPr>
          <m:t>)</m:t>
        </m:r>
      </m:oMath>
      <w:bookmarkEnd w:id="76"/>
      <w:bookmarkEnd w:id="77"/>
      <w:r w:rsidRPr="00036138">
        <w:t xml:space="preserve"> is </w:t>
      </w:r>
      <w:r>
        <w:t>a sin</w:t>
      </w:r>
      <w:r w:rsidRPr="008C71F2">
        <w:rPr>
          <w:noProof/>
        </w:rPr>
        <w:t>gle el</w:t>
      </w:r>
      <w:r>
        <w:t>ectron wave function of</w:t>
      </w:r>
      <w:r w:rsidRPr="00036138">
        <w:t xml:space="preserve"> KS orbitals</w:t>
      </w:r>
      <w:r>
        <w:t xml:space="preserve">. Thus substituting </w:t>
      </w:r>
      <w:r w:rsidRPr="00C80AE6">
        <w:rPr>
          <w:i/>
        </w:rPr>
        <w:t>eq</w:t>
      </w:r>
      <w:r>
        <w:t xml:space="preserve">. 32 into </w:t>
      </w:r>
      <w:r w:rsidRPr="00C80AE6">
        <w:rPr>
          <w:i/>
        </w:rPr>
        <w:t>eq</w:t>
      </w:r>
      <w:r>
        <w:t>. 31, the expression of the ground state can now be transformed as:</w:t>
      </w:r>
    </w:p>
    <w:p w14:paraId="53C334E4" w14:textId="77777777" w:rsidR="00624970" w:rsidRDefault="00077961" w:rsidP="00624970">
      <w:pPr>
        <w:spacing w:afterLines="60" w:after="144" w:line="360" w:lineRule="auto"/>
        <w:jc w:val="right"/>
      </w:pPr>
      <m:oMath>
        <m:sSub>
          <m:sSubPr>
            <m:ctrlPr>
              <w:rPr>
                <w:rFonts w:ascii="Cambria Math" w:hAnsi="Cambria Math"/>
              </w:rPr>
            </m:ctrlPr>
          </m:sSubPr>
          <m:e>
            <m:r>
              <w:rPr>
                <w:rFonts w:ascii="Cambria Math" w:hAnsi="Cambria Math"/>
              </w:rPr>
              <m:t>F</m:t>
            </m:r>
          </m:e>
          <m:sub>
            <m:r>
              <w:rPr>
                <w:rFonts w:ascii="Cambria Math" w:hAnsi="Cambria Math"/>
              </w:rPr>
              <m:t>HK</m:t>
            </m:r>
          </m:sub>
        </m:sSub>
        <m:d>
          <m:dPr>
            <m:begChr m:val="["/>
            <m:endChr m:val="]"/>
            <m:ctrlPr>
              <w:rPr>
                <w:rFonts w:ascii="Cambria Math" w:hAnsi="Cambria Math"/>
                <w:i/>
              </w:rPr>
            </m:ctrlPr>
          </m:dPr>
          <m:e>
            <m:r>
              <w:rPr>
                <w:rFonts w:ascii="Cambria Math" w:hAnsi="Cambria Math"/>
              </w:rPr>
              <m:t>n</m:t>
            </m:r>
          </m:e>
        </m:d>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nary>
          <m:naryPr>
            <m:chr m:val="∬"/>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m:t>
                </m:r>
                <m:r>
                  <m:rPr>
                    <m:sty m:val="bi"/>
                  </m:rPr>
                  <w:rPr>
                    <w:rFonts w:ascii="Cambria Math" w:hAnsi="Cambria Math"/>
                  </w:rPr>
                  <m:t>r</m:t>
                </m:r>
                <m:r>
                  <w:rPr>
                    <w:rFonts w:ascii="Cambria Math" w:hAnsi="Cambria Math"/>
                  </w:rPr>
                  <m:t>)n(</m:t>
                </m:r>
                <m:r>
                  <m:rPr>
                    <m:sty m:val="bi"/>
                  </m:rPr>
                  <w:rPr>
                    <w:rFonts w:ascii="Cambria Math" w:hAnsi="Cambria Math"/>
                  </w:rPr>
                  <m:t>r'</m:t>
                </m:r>
                <m:r>
                  <w:rPr>
                    <w:rFonts w:ascii="Cambria Math" w:hAnsi="Cambria Math"/>
                  </w:rPr>
                  <m:t>)</m:t>
                </m:r>
              </m:num>
              <m:den>
                <m:d>
                  <m:dPr>
                    <m:begChr m:val="|"/>
                    <m:endChr m:val="|"/>
                    <m:ctrlPr>
                      <w:rPr>
                        <w:rFonts w:ascii="Cambria Math" w:hAnsi="Cambria Math"/>
                        <w:i/>
                      </w:rPr>
                    </m:ctrlPr>
                  </m:dPr>
                  <m:e>
                    <m:r>
                      <m:rPr>
                        <m:sty m:val="bi"/>
                      </m:rPr>
                      <w:rPr>
                        <w:rFonts w:ascii="Cambria Math" w:hAnsi="Cambria Math"/>
                      </w:rPr>
                      <m:t>r</m:t>
                    </m:r>
                    <m:r>
                      <w:rPr>
                        <w:rFonts w:ascii="Cambria Math" w:hAnsi="Cambria Math"/>
                      </w:rPr>
                      <m:t>-</m:t>
                    </m:r>
                    <m:r>
                      <m:rPr>
                        <m:sty m:val="bi"/>
                      </m:rPr>
                      <w:rPr>
                        <w:rFonts w:ascii="Cambria Math" w:hAnsi="Cambria Math"/>
                      </w:rPr>
                      <m:t>r'</m:t>
                    </m:r>
                  </m:e>
                </m:d>
              </m:den>
            </m:f>
          </m:e>
        </m:nary>
        <m:r>
          <w:rPr>
            <w:rFonts w:ascii="Cambria Math" w:hAnsi="Cambria Math"/>
          </w:rPr>
          <m:t>d</m:t>
        </m:r>
        <m:r>
          <m:rPr>
            <m:sty m:val="bi"/>
          </m:rPr>
          <w:rPr>
            <w:rFonts w:ascii="Cambria Math" w:hAnsi="Cambria Math"/>
          </w:rPr>
          <m:t>r</m:t>
        </m:r>
        <m:r>
          <w:rPr>
            <w:rFonts w:ascii="Cambria Math" w:hAnsi="Cambria Math"/>
          </w:rPr>
          <m:t>d</m:t>
        </m:r>
        <m:sSup>
          <m:sSupPr>
            <m:ctrlPr>
              <w:rPr>
                <w:rFonts w:ascii="Cambria Math" w:hAnsi="Cambria Math"/>
                <w:b/>
                <w:i/>
              </w:rPr>
            </m:ctrlPr>
          </m:sSupPr>
          <m:e>
            <m:r>
              <m:rPr>
                <m:sty m:val="bi"/>
              </m:rPr>
              <w:rPr>
                <w:rFonts w:ascii="Cambria Math" w:hAnsi="Cambria Math"/>
              </w:rPr>
              <m:t>r</m:t>
            </m:r>
          </m:e>
          <m:sup>
            <m:r>
              <m:rPr>
                <m:sty m:val="bi"/>
              </m:rPr>
              <w:rPr>
                <w:rFonts w:ascii="Cambria Math" w:hAnsi="Cambria Math"/>
              </w:rPr>
              <m:t>'</m:t>
            </m:r>
          </m:sup>
        </m:sSup>
        <m:r>
          <m:rPr>
            <m:sty m:val="b"/>
          </m:rP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xc</m:t>
            </m:r>
          </m:sub>
        </m:sSub>
        <m:r>
          <m:rPr>
            <m:sty m:val="b"/>
          </m:rPr>
          <w:rPr>
            <w:rFonts w:ascii="Cambria Math" w:hAnsi="Cambria Math"/>
          </w:rPr>
          <m:t>[</m:t>
        </m:r>
        <m:r>
          <w:rPr>
            <w:rFonts w:ascii="Cambria Math" w:hAnsi="Cambria Math"/>
          </w:rPr>
          <m:t>n</m:t>
        </m:r>
        <m:r>
          <m:rPr>
            <m:sty m:val="b"/>
          </m:rP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nary>
              <m:naryPr>
                <m:limLoc m:val="undOvr"/>
                <m:subHide m:val="1"/>
                <m:supHide m:val="1"/>
                <m:ctrlPr>
                  <w:rPr>
                    <w:rFonts w:ascii="Cambria Math" w:hAnsi="Cambria Math"/>
                    <w:i/>
                  </w:rPr>
                </m:ctrlPr>
              </m:naryPr>
              <m:sub/>
              <m:sup/>
              <m:e>
                <m:r>
                  <w:rPr>
                    <w:rFonts w:ascii="Cambria Math" w:hAnsi="Cambria Math"/>
                  </w:rPr>
                  <m:t>d</m:t>
                </m:r>
                <m:r>
                  <m:rPr>
                    <m:sty m:val="bi"/>
                  </m:rPr>
                  <w:rPr>
                    <w:rFonts w:ascii="Cambria Math" w:hAnsi="Cambria Math"/>
                  </w:rPr>
                  <m:t>r</m:t>
                </m:r>
                <m:sSubSup>
                  <m:sSubSupPr>
                    <m:ctrlPr>
                      <w:rPr>
                        <w:rFonts w:ascii="Cambria Math" w:hAnsi="Cambria Math"/>
                        <w:i/>
                      </w:rPr>
                    </m:ctrlPr>
                  </m:sSubSupPr>
                  <m:e>
                    <m:r>
                      <w:rPr>
                        <w:rFonts w:ascii="Cambria Math" w:eastAsia="等线" w:hAnsi="Cambria Math" w:cs="GreekC"/>
                      </w:rPr>
                      <m:t>ψ</m:t>
                    </m:r>
                  </m:e>
                  <m:sub>
                    <m:r>
                      <w:rPr>
                        <w:rFonts w:ascii="Cambria Math" w:hAnsi="Cambria Math"/>
                      </w:rPr>
                      <m:t>i</m:t>
                    </m:r>
                  </m:sub>
                  <m:sup>
                    <m:r>
                      <w:rPr>
                        <w:rFonts w:ascii="Cambria Math" w:hAnsi="Cambria Math"/>
                      </w:rPr>
                      <m:t>*</m:t>
                    </m:r>
                  </m:sup>
                </m:sSubSup>
                <m:r>
                  <w:rPr>
                    <w:rFonts w:ascii="Cambria Math" w:hAnsi="Cambria Math"/>
                  </w:rPr>
                  <m:t>(</m:t>
                </m:r>
                <m:r>
                  <m:rPr>
                    <m:sty m:val="bi"/>
                  </m:rPr>
                  <w:rPr>
                    <w:rFonts w:ascii="Cambria Math" w:hAnsi="Cambria Math"/>
                  </w:rPr>
                  <m:t>r</m:t>
                </m:r>
                <m:r>
                  <w:rPr>
                    <w:rFonts w:ascii="Cambria Math" w:hAnsi="Cambria Math"/>
                  </w:rPr>
                  <m:t>)(</m:t>
                </m:r>
                <m:r>
                  <m:rPr>
                    <m:sty m:val="p"/>
                  </m:rPr>
                  <w:rPr>
                    <w:rFonts w:ascii="Cambria Math" w:hAnsi="Cambria Math"/>
                  </w:rPr>
                  <m:t>-</m:t>
                </m:r>
                <m:f>
                  <m:fPr>
                    <m:ctrlPr>
                      <w:rPr>
                        <w:rFonts w:ascii="Cambria Math" w:hAnsi="Cambria Math" w:cstheme="minorHAnsi"/>
                      </w:rPr>
                    </m:ctrlPr>
                  </m:fPr>
                  <m:num>
                    <m:sSup>
                      <m:sSupPr>
                        <m:ctrlPr>
                          <w:rPr>
                            <w:rFonts w:ascii="Cambria Math" w:eastAsia="CIDFont+F9" w:hAnsi="Cambria Math" w:cs="CIDFont+F9"/>
                            <w:b/>
                            <w:sz w:val="21"/>
                            <w:szCs w:val="21"/>
                          </w:rPr>
                        </m:ctrlPr>
                      </m:sSupPr>
                      <m:e>
                        <m:r>
                          <m:rPr>
                            <m:sty m:val="b"/>
                          </m:rPr>
                          <w:rPr>
                            <w:rFonts w:ascii="Cambria Math" w:eastAsia="CIDFont+F9" w:hAnsi="Cambria Math" w:cs="CIDFont+F9" w:hint="eastAsia"/>
                            <w:sz w:val="21"/>
                            <w:szCs w:val="21"/>
                          </w:rPr>
                          <m:t>ℏ</m:t>
                        </m:r>
                      </m:e>
                      <m:sup>
                        <m:r>
                          <m:rPr>
                            <m:sty m:val="bi"/>
                          </m:rPr>
                          <w:rPr>
                            <w:rFonts w:ascii="Cambria Math" w:eastAsia="CIDFont+F9" w:hAnsi="Cambria Math" w:cs="CIDFont+F9"/>
                            <w:sz w:val="21"/>
                            <w:szCs w:val="21"/>
                          </w:rPr>
                          <m:t>2</m:t>
                        </m:r>
                      </m:sup>
                    </m:sSup>
                  </m:num>
                  <m:den>
                    <m:r>
                      <w:rPr>
                        <w:rFonts w:ascii="Cambria Math" w:hAnsi="Cambria Math" w:cstheme="minorHAnsi"/>
                      </w:rPr>
                      <m:t>2</m:t>
                    </m:r>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e</m:t>
                        </m:r>
                      </m:sub>
                    </m:sSub>
                  </m:den>
                </m:f>
                <m:sSup>
                  <m:sSupPr>
                    <m:ctrlPr>
                      <w:rPr>
                        <w:rFonts w:ascii="Cambria Math" w:hAnsi="Cambria Math"/>
                        <w:i/>
                      </w:rPr>
                    </m:ctrlPr>
                  </m:sSupPr>
                  <m:e>
                    <m:r>
                      <m:rPr>
                        <m:sty m:val="p"/>
                      </m:rPr>
                      <w:rPr>
                        <w:rFonts w:ascii="Cambria Math" w:hAnsi="Cambria Math"/>
                      </w:rPr>
                      <m:t>∇</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eastAsia="等线" w:hAnsi="Cambria Math" w:cs="GreekC"/>
                      </w:rPr>
                      <m:t>ψ</m:t>
                    </m:r>
                  </m:e>
                  <m:sub>
                    <m:r>
                      <w:rPr>
                        <w:rFonts w:ascii="Cambria Math" w:hAnsi="Cambria Math"/>
                      </w:rPr>
                      <m:t>i</m:t>
                    </m:r>
                  </m:sub>
                </m:sSub>
                <m:r>
                  <w:rPr>
                    <w:rFonts w:ascii="Cambria Math" w:hAnsi="Cambria Math"/>
                  </w:rPr>
                  <m:t>(</m:t>
                </m:r>
                <m:r>
                  <m:rPr>
                    <m:sty m:val="bi"/>
                  </m:rPr>
                  <w:rPr>
                    <w:rFonts w:ascii="Cambria Math" w:hAnsi="Cambria Math"/>
                  </w:rPr>
                  <m:t>r</m:t>
                </m:r>
                <m:r>
                  <w:rPr>
                    <w:rFonts w:ascii="Cambria Math" w:hAnsi="Cambria Math"/>
                  </w:rPr>
                  <m:t>)</m:t>
                </m:r>
              </m:e>
            </m:nary>
          </m:e>
        </m:nary>
      </m:oMath>
      <w:r w:rsidR="00624970">
        <w:rPr>
          <w:rFonts w:hint="eastAsia"/>
        </w:rPr>
        <w:t xml:space="preserve"> </w:t>
      </w:r>
      <w:r w:rsidR="00624970">
        <w:t xml:space="preserve">            </w:t>
      </w:r>
      <w:r w:rsidR="00624970">
        <w:rPr>
          <w:rFonts w:hint="eastAsia"/>
        </w:rPr>
        <w:t>(</w:t>
      </w:r>
      <w:r w:rsidR="00624970">
        <w:t>33)</w:t>
      </w:r>
    </w:p>
    <w:p w14:paraId="02D0E8BF" w14:textId="77777777" w:rsidR="00624970" w:rsidRDefault="00624970" w:rsidP="00624970">
      <w:pPr>
        <w:spacing w:afterLines="60" w:after="144" w:line="360" w:lineRule="auto"/>
      </w:pPr>
      <w:r>
        <w:t xml:space="preserve">The potential of </w:t>
      </w:r>
      <w:r w:rsidRPr="00284674">
        <w:t>exchange-correlation</w:t>
      </w:r>
      <w:r>
        <w:t xml:space="preserve"> (xc) term can </w:t>
      </w:r>
      <w:r w:rsidRPr="00497F55">
        <w:rPr>
          <w:noProof/>
        </w:rPr>
        <w:t>be derived</w:t>
      </w:r>
      <w:r>
        <w:t xml:space="preserve"> by derivation of the </w:t>
      </w:r>
      <m:oMath>
        <m:sSub>
          <m:sSubPr>
            <m:ctrlPr>
              <w:rPr>
                <w:rFonts w:ascii="Cambria Math" w:hAnsi="Cambria Math"/>
              </w:rPr>
            </m:ctrlPr>
          </m:sSubPr>
          <m:e>
            <m:r>
              <w:rPr>
                <w:rFonts w:ascii="Cambria Math" w:hAnsi="Cambria Math"/>
              </w:rPr>
              <m:t>E</m:t>
            </m:r>
          </m:e>
          <m:sub>
            <m:r>
              <w:rPr>
                <w:rFonts w:ascii="Cambria Math" w:hAnsi="Cambria Math"/>
              </w:rPr>
              <m:t>xc</m:t>
            </m:r>
          </m:sub>
        </m:sSub>
        <m:r>
          <m:rPr>
            <m:sty m:val="b"/>
          </m:rPr>
          <w:rPr>
            <w:rFonts w:ascii="Cambria Math" w:hAnsi="Cambria Math"/>
          </w:rPr>
          <m:t>[</m:t>
        </m:r>
        <m:r>
          <w:rPr>
            <w:rFonts w:ascii="Cambria Math" w:hAnsi="Cambria Math"/>
          </w:rPr>
          <m:t>n</m:t>
        </m:r>
        <m:r>
          <m:rPr>
            <m:sty m:val="b"/>
          </m:rPr>
          <w:rPr>
            <w:rFonts w:ascii="Cambria Math" w:hAnsi="Cambria Math"/>
          </w:rPr>
          <m:t>]</m:t>
        </m:r>
      </m:oMath>
      <w:r>
        <w:rPr>
          <w:b/>
        </w:rPr>
        <w:t xml:space="preserve"> </w:t>
      </w:r>
      <w:r w:rsidRPr="00A852C8">
        <w:t>as:</w:t>
      </w:r>
    </w:p>
    <w:p w14:paraId="237D99AA" w14:textId="77777777" w:rsidR="00624970" w:rsidRPr="007230EA" w:rsidRDefault="00077961" w:rsidP="00624970">
      <w:pPr>
        <w:spacing w:afterLines="60" w:after="144" w:line="360" w:lineRule="auto"/>
        <w:jc w:val="right"/>
      </w:pPr>
      <m:oMath>
        <m:sSub>
          <m:sSubPr>
            <m:ctrlPr>
              <w:rPr>
                <w:rFonts w:ascii="Cambria Math" w:hAnsi="Cambria Math"/>
              </w:rPr>
            </m:ctrlPr>
          </m:sSubPr>
          <m:e>
            <m:r>
              <w:rPr>
                <w:rFonts w:ascii="Cambria Math" w:hAnsi="Cambria Math"/>
              </w:rPr>
              <m:t>V</m:t>
            </m:r>
          </m:e>
          <m:sub>
            <m:r>
              <w:rPr>
                <w:rFonts w:ascii="Cambria Math" w:hAnsi="Cambria Math"/>
              </w:rPr>
              <m:t>xc</m:t>
            </m:r>
          </m:sub>
        </m:sSub>
        <m:d>
          <m:dPr>
            <m:begChr m:val="["/>
            <m:endChr m:val="]"/>
            <m:ctrlPr>
              <w:rPr>
                <w:rFonts w:ascii="Cambria Math" w:hAnsi="Cambria Math"/>
                <w:b/>
              </w:rPr>
            </m:ctrlPr>
          </m:dPr>
          <m:e>
            <m:r>
              <w:rPr>
                <w:rFonts w:ascii="Cambria Math" w:hAnsi="Cambria Math"/>
              </w:rPr>
              <m:t>n</m:t>
            </m:r>
          </m:e>
        </m:d>
        <m:r>
          <m:rPr>
            <m:sty m:val="b"/>
          </m:rPr>
          <w:rPr>
            <w:rFonts w:ascii="Cambria Math" w:hAnsi="Cambria Math"/>
          </w:rPr>
          <m:t>=</m:t>
        </m:r>
        <m:f>
          <m:fPr>
            <m:ctrlPr>
              <w:rPr>
                <w:rFonts w:ascii="Cambria Math" w:hAnsi="Cambria Math"/>
                <w:b/>
              </w:rPr>
            </m:ctrlPr>
          </m:fPr>
          <m:num>
            <m:r>
              <w:rPr>
                <w:rFonts w:ascii="Cambria Math" w:hAnsi="Cambria Math"/>
              </w:rPr>
              <m:t>δ</m:t>
            </m:r>
            <m:sSub>
              <m:sSubPr>
                <m:ctrlPr>
                  <w:rPr>
                    <w:rFonts w:ascii="Cambria Math" w:hAnsi="Cambria Math"/>
                  </w:rPr>
                </m:ctrlPr>
              </m:sSubPr>
              <m:e>
                <m:r>
                  <w:rPr>
                    <w:rFonts w:ascii="Cambria Math" w:hAnsi="Cambria Math"/>
                  </w:rPr>
                  <m:t>E</m:t>
                </m:r>
              </m:e>
              <m:sub>
                <m:r>
                  <w:rPr>
                    <w:rFonts w:ascii="Cambria Math" w:hAnsi="Cambria Math"/>
                  </w:rPr>
                  <m:t>xc</m:t>
                </m:r>
              </m:sub>
            </m:sSub>
            <m:r>
              <m:rPr>
                <m:sty m:val="b"/>
              </m:rPr>
              <w:rPr>
                <w:rFonts w:ascii="Cambria Math" w:hAnsi="Cambria Math"/>
              </w:rPr>
              <m:t>[</m:t>
            </m:r>
            <m:r>
              <w:rPr>
                <w:rFonts w:ascii="Cambria Math" w:hAnsi="Cambria Math"/>
              </w:rPr>
              <m:t>n(</m:t>
            </m:r>
            <m:r>
              <m:rPr>
                <m:sty m:val="bi"/>
              </m:rPr>
              <w:rPr>
                <w:rFonts w:ascii="Cambria Math" w:hAnsi="Cambria Math"/>
              </w:rPr>
              <m:t>r</m:t>
            </m:r>
            <m:r>
              <w:rPr>
                <w:rFonts w:ascii="Cambria Math" w:hAnsi="Cambria Math"/>
              </w:rPr>
              <m:t>)</m:t>
            </m:r>
            <m:r>
              <m:rPr>
                <m:sty m:val="b"/>
              </m:rPr>
              <w:rPr>
                <w:rFonts w:ascii="Cambria Math" w:hAnsi="Cambria Math"/>
              </w:rPr>
              <m:t>]</m:t>
            </m:r>
          </m:num>
          <m:den>
            <m:r>
              <w:rPr>
                <w:rFonts w:ascii="Cambria Math" w:hAnsi="Cambria Math"/>
              </w:rPr>
              <m:t>δn(</m:t>
            </m:r>
            <m:r>
              <m:rPr>
                <m:sty m:val="bi"/>
              </m:rPr>
              <w:rPr>
                <w:rFonts w:ascii="Cambria Math" w:hAnsi="Cambria Math"/>
              </w:rPr>
              <m:t>r</m:t>
            </m:r>
            <m:r>
              <w:rPr>
                <w:rFonts w:ascii="Cambria Math" w:hAnsi="Cambria Math"/>
              </w:rPr>
              <m:t>)</m:t>
            </m:r>
          </m:den>
        </m:f>
      </m:oMath>
      <w:r w:rsidR="00624970">
        <w:rPr>
          <w:rFonts w:hint="eastAsia"/>
          <w:b/>
        </w:rPr>
        <w:t xml:space="preserve"> </w:t>
      </w:r>
      <w:r w:rsidR="00624970">
        <w:rPr>
          <w:b/>
        </w:rPr>
        <w:t xml:space="preserve">                                                                   </w:t>
      </w:r>
      <w:r w:rsidR="00624970" w:rsidRPr="007230EA">
        <w:rPr>
          <w:rFonts w:hint="eastAsia"/>
        </w:rPr>
        <w:t>(</w:t>
      </w:r>
      <w:r w:rsidR="00624970" w:rsidRPr="007230EA">
        <w:t>34)</w:t>
      </w:r>
    </w:p>
    <w:p w14:paraId="247CE408" w14:textId="77777777" w:rsidR="00624970" w:rsidRDefault="00624970" w:rsidP="00624970">
      <w:pPr>
        <w:spacing w:afterLines="60" w:after="144" w:line="360" w:lineRule="auto"/>
        <w:jc w:val="both"/>
      </w:pPr>
      <w:r>
        <w:t xml:space="preserve">The exchange and correlation potential </w:t>
      </w:r>
      <m:oMath>
        <m:sSub>
          <m:sSubPr>
            <m:ctrlPr>
              <w:rPr>
                <w:rFonts w:ascii="Cambria Math" w:hAnsi="Cambria Math"/>
              </w:rPr>
            </m:ctrlPr>
          </m:sSubPr>
          <m:e>
            <m:r>
              <w:rPr>
                <w:rFonts w:ascii="Cambria Math" w:hAnsi="Cambria Math"/>
              </w:rPr>
              <m:t>V</m:t>
            </m:r>
          </m:e>
          <m:sub>
            <m:r>
              <w:rPr>
                <w:rFonts w:ascii="Cambria Math" w:hAnsi="Cambria Math"/>
              </w:rPr>
              <m:t>xc</m:t>
            </m:r>
          </m:sub>
        </m:sSub>
      </m:oMath>
      <w:r>
        <w:t xml:space="preserve"> and the corresponding exchange and correlation energy </w:t>
      </w:r>
      <m:oMath>
        <m:sSub>
          <m:sSubPr>
            <m:ctrlPr>
              <w:rPr>
                <w:rFonts w:ascii="Cambria Math" w:hAnsi="Cambria Math"/>
              </w:rPr>
            </m:ctrlPr>
          </m:sSubPr>
          <m:e>
            <m:r>
              <w:rPr>
                <w:rFonts w:ascii="Cambria Math" w:hAnsi="Cambria Math"/>
              </w:rPr>
              <m:t>E</m:t>
            </m:r>
          </m:e>
          <m:sub>
            <m:r>
              <w:rPr>
                <w:rFonts w:ascii="Cambria Math" w:hAnsi="Cambria Math"/>
              </w:rPr>
              <m:t>xc</m:t>
            </m:r>
          </m:sub>
        </m:sSub>
      </m:oMath>
      <w:r>
        <w:t xml:space="preserve"> is not known, howeve</w:t>
      </w:r>
      <w:r w:rsidRPr="008C71F2">
        <w:rPr>
          <w:noProof/>
        </w:rPr>
        <w:t>r</w:t>
      </w:r>
      <w:r>
        <w:rPr>
          <w:noProof/>
        </w:rPr>
        <w:t>,</w:t>
      </w:r>
      <w:r w:rsidRPr="008C71F2">
        <w:rPr>
          <w:noProof/>
        </w:rPr>
        <w:t xml:space="preserve"> compa</w:t>
      </w:r>
      <w:r>
        <w:t xml:space="preserve">red with the original form. The KS approximation has simplified the equation and includes all unknown variables in the HK functional into the xc term. To solve the only unknown term in the KS theorem, several approximations were proposed. Two key approximations are the </w:t>
      </w:r>
      <w:bookmarkStart w:id="78" w:name="OLE_LINK19"/>
      <w:bookmarkStart w:id="79" w:name="OLE_LINK20"/>
      <w:r>
        <w:t>local density approximation</w:t>
      </w:r>
      <w:bookmarkEnd w:id="78"/>
      <w:bookmarkEnd w:id="79"/>
      <w:r>
        <w:t xml:space="preserve"> (LDA)</w:t>
      </w:r>
      <w:r>
        <w:fldChar w:fldCharType="begin" w:fldLock="1"/>
      </w:r>
      <w:r>
        <w:instrText>ADDIN CSL_CITATION {"citationItems":[{"id":"ITEM-1","itemData":{"DOI":"10.1017/S0305004100016108","ISBN":"0305004100016","ISSN":"14698064","PMID":"731","abstract":"ABSTRACT For dealing with atoms involving many electrons the accurate\\nquantum theory, involving a solution of the wave equation in many-dimensional\\nspace, is far too complicated to be practicable. One must therefore\\nresort to approximate methods. The best of these is Hartree's method\\nof the self-consistent field. Even this, however, is hardly practicable\\nwhen one has to deal with very many electrons, so that one then requires\\na still simpler and rougher method. Such a method is provided by\\nThomas' atomic model, in which the electrons are regarded as forming\\na perfect gas satisfying the Fermi statistics and occupying the region\\nof phase space of lowest energy. This region of phase space is assumed\\nto be saturated, with two electrons with opposite spins in each volume\\n(2πh)3, and the remainder is assumed to be empty. Although this model\\nhitherto has not been justified theoretically, it seems to be a plausible\\napproximation for the interior of a heavy atom and one may expect\\nit to give with some accuracy the distribution of electric charge\\nthere.","author":[{"dropping-particle":"","family":"Dirac","given":"P. A. M.","non-dropping-particle":"","parse-names":false,"suffix":""}],"container-title":"Mathematical Proceedings of the Cambridge Philosophical Society","id":"ITEM-1","issued":{"date-parts":[["1930"]]},"title":"Note on Exchange Phenomena in the Thomas Atom","type":"article-journal"},"uris":["http://www.mendeley.com/documents/?uuid=d3bcf269-85c3-473b-9495-4013ceebee28","http://www.mendeley.com/documents/?uuid=67721d35-a16f-4fb9-9fb1-a93914ae7a5e"]},{"id":"ITEM-2","itemData":{"DOI":"10.1007/978-3-319-14045-2_37","ISBN":"9783540373674","ISSN":"15449998","PMID":"25221443","abstract":"We introduce a density-dependent bonding descriptor that enables simultaneous visualization of both covalent and noncovalent interactions. The proposed quantity is tailored to reveal the regions of space, where the total electron density results from a strong overlap of shell, atomic, or molecular densities. We show that this approach is successful in describing a variety of bonding patterns as well as nonbonding contacts. The Density Overlap Regions Indicator (DORI) analysis is also exploited to visualize and quantify the concept of electronic compactness in supramolecular chemistry. In particular, the scalar field is used to compare the compactness in molecular crystals, with a special emphasis on quaterthiophene derivatives with enhanced charge mobilities.","author":[{"dropping-particle":"","family":"Blanchard","given":"P.","non-dropping-particle":"","parse-names":false,"suffix":""},{"dropping-particle":"","family":"Brüning","given":"E.","non-dropping-particle":"","parse-names":false,"suffix":""}],"container-title":"Progress in Mathematical Physics","id":"ITEM-2","issued":{"date-parts":[["2015"]]},"title":"Density functional theory of atoms and molecules","type":"chapter"},"uris":["http://www.mendeley.com/documents/?uuid=2298b4c0-ae11-4065-b15c-30702f9298ee","http://www.mendeley.com/documents/?uuid=1c4bf857-e176-46f7-a430-2264b9584332"]}],"mendeley":{"formattedCitation":"[66,67]","plainTextFormattedCitation":"[66,67]","previouslyFormattedCitation":"[66,67]"},"properties":{"noteIndex":0},"schema":"https://github.com/citation-style-language/schema/raw/master/csl-citation.json"}</w:instrText>
      </w:r>
      <w:r>
        <w:fldChar w:fldCharType="separate"/>
      </w:r>
      <w:r w:rsidRPr="003B39BC">
        <w:rPr>
          <w:noProof/>
        </w:rPr>
        <w:t>[66,67]</w:t>
      </w:r>
      <w:r>
        <w:fldChar w:fldCharType="end"/>
      </w:r>
      <w:r>
        <w:t xml:space="preserve"> and generalised gradient approximation (GGA)</w:t>
      </w:r>
      <w:r>
        <w:fldChar w:fldCharType="begin" w:fldLock="1"/>
      </w:r>
      <w:r>
        <w:instrText>ADDIN CSL_CITATION {"citationItems":[{"id":"ITEM-1","itemData":{"DOI":"10.1103/PhysRevLett.77.3865","ISBN":"9780596529321","ISSN":"10797114","PMID":"10062328","abstract":"Generalized gradient approximations (GGA’s) for the exchange-correlation energy improve upon the local spin density (LSD) description of atoms, molecules, and solids. We present a simple derivation of a simple GGA, in which all parameters (other than those in LSD) are fundamental constants. Only general features of the detailed construction underlying the Perdew-Wang 1991 (PW91) GGA are invoked. Improvements over PW91 include an accurate description of the linear response of the uniform electron gas, correct behavior under uniform scaling, and a smoother potential.","author":[{"dropping-particle":"","family":"Perdew","given":"John P.","non-dropping-particle":"","parse-names":false,"suffix":""},{"dropping-particle":"","family":"Burke","given":"Kieron","non-dropping-particle":"","parse-names":false,"suffix":""},{"dropping-particle":"","family":"Ernzerhof","given":"Matthias","non-dropping-particle":"","parse-names":false,"suffix":""}],"container-title":"Physical Review Letters","id":"ITEM-1","issued":{"date-parts":[["1996"]]},"title":"Generalized gradient approximation made simple","type":"article-journal"},"uris":["http://www.mendeley.com/documents/?uuid=2293ac7e-631a-43eb-83d9-96d27973095d","http://www.mendeley.com/documents/?uuid=67f76030-df2f-4bfe-847e-e0d96657d1cc"]}],"mendeley":{"formattedCitation":"[68]","plainTextFormattedCitation":"[68]","previouslyFormattedCitation":"[68]"},"properties":{"noteIndex":0},"schema":"https://github.com/citation-style-language/schema/raw/master/csl-citation.json"}</w:instrText>
      </w:r>
      <w:r>
        <w:fldChar w:fldCharType="separate"/>
      </w:r>
      <w:r w:rsidRPr="003B39BC">
        <w:rPr>
          <w:noProof/>
        </w:rPr>
        <w:t>[68]</w:t>
      </w:r>
      <w:r>
        <w:fldChar w:fldCharType="end"/>
      </w:r>
      <w:r>
        <w:t xml:space="preserve">. Depending on the electronic environment of condensed matter, the variation of electron density is vastly different. For a delocalised system, the uniform electron gas model is applied. The exchange-correlation function is considered to be determined by a dozen </w:t>
      </w:r>
      <w:r w:rsidRPr="00497F55">
        <w:rPr>
          <w:noProof/>
        </w:rPr>
        <w:t>un</w:t>
      </w:r>
      <w:r>
        <w:t>iformly distributed electrons with the same e</w:t>
      </w:r>
      <w:r w:rsidRPr="008C71F2">
        <w:rPr>
          <w:noProof/>
        </w:rPr>
        <w:t>lect</w:t>
      </w:r>
      <w:r>
        <w:t>ron density as:</w:t>
      </w:r>
    </w:p>
    <w:p w14:paraId="6644C625" w14:textId="77777777" w:rsidR="00624970" w:rsidRPr="00284674" w:rsidRDefault="00077961" w:rsidP="00624970">
      <w:pPr>
        <w:spacing w:afterLines="60" w:after="144" w:line="360" w:lineRule="auto"/>
        <w:jc w:val="right"/>
      </w:pPr>
      <m:oMath>
        <m:sSubSup>
          <m:sSubSupPr>
            <m:ctrlPr>
              <w:rPr>
                <w:rFonts w:ascii="Cambria Math" w:hAnsi="Cambria Math"/>
                <w:i/>
              </w:rPr>
            </m:ctrlPr>
          </m:sSubSupPr>
          <m:e>
            <m:r>
              <w:rPr>
                <w:rFonts w:ascii="Cambria Math" w:hAnsi="Cambria Math"/>
              </w:rPr>
              <m:t>V</m:t>
            </m:r>
          </m:e>
          <m:sub>
            <m:r>
              <w:rPr>
                <w:rFonts w:ascii="Cambria Math" w:hAnsi="Cambria Math"/>
              </w:rPr>
              <m:t>xc</m:t>
            </m:r>
          </m:sub>
          <m:sup>
            <m:r>
              <w:rPr>
                <w:rFonts w:ascii="Cambria Math" w:hAnsi="Cambria Math"/>
              </w:rPr>
              <m:t>LDA</m:t>
            </m:r>
          </m:sup>
        </m:sSubSup>
        <m:r>
          <w:rPr>
            <w:rFonts w:ascii="Cambria Math" w:hAnsi="Cambria Math"/>
          </w:rPr>
          <m:t>=</m:t>
        </m:r>
        <m:sSubSup>
          <m:sSubSupPr>
            <m:ctrlPr>
              <w:rPr>
                <w:rFonts w:ascii="Cambria Math" w:hAnsi="Cambria Math"/>
                <w:i/>
              </w:rPr>
            </m:ctrlPr>
          </m:sSubSupPr>
          <m:e>
            <m:r>
              <w:rPr>
                <w:rFonts w:ascii="Cambria Math" w:hAnsi="Cambria Math"/>
              </w:rPr>
              <m:t>V</m:t>
            </m:r>
          </m:e>
          <m:sub>
            <m:r>
              <w:rPr>
                <w:rFonts w:ascii="Cambria Math" w:hAnsi="Cambria Math"/>
              </w:rPr>
              <m:t>xc</m:t>
            </m:r>
          </m:sub>
          <m:sup>
            <m:r>
              <m:rPr>
                <m:sty m:val="p"/>
              </m:rPr>
              <w:rPr>
                <w:rFonts w:ascii="Cambria Math" w:hAnsi="Cambria Math"/>
              </w:rPr>
              <m:t>electron gas</m:t>
            </m:r>
          </m:sup>
        </m:sSubSup>
        <m:r>
          <w:rPr>
            <w:rFonts w:ascii="Cambria Math" w:hAnsi="Cambria Math"/>
          </w:rPr>
          <m:t>[n(</m:t>
        </m:r>
        <m:r>
          <m:rPr>
            <m:sty m:val="bi"/>
          </m:rPr>
          <w:rPr>
            <w:rFonts w:ascii="Cambria Math" w:hAnsi="Cambria Math"/>
          </w:rPr>
          <m:t>r</m:t>
        </m:r>
        <m:r>
          <w:rPr>
            <w:rFonts w:ascii="Cambria Math" w:hAnsi="Cambria Math"/>
          </w:rPr>
          <m:t>)]</m:t>
        </m:r>
      </m:oMath>
      <w:r w:rsidR="00624970">
        <w:rPr>
          <w:rFonts w:hint="eastAsia"/>
        </w:rPr>
        <w:t xml:space="preserve"> </w:t>
      </w:r>
      <w:r w:rsidR="00624970">
        <w:t xml:space="preserve">                                                        </w:t>
      </w:r>
      <w:r w:rsidR="00624970">
        <w:rPr>
          <w:rFonts w:hint="eastAsia"/>
        </w:rPr>
        <w:t>(</w:t>
      </w:r>
      <w:r w:rsidR="00624970">
        <w:t>35)</w:t>
      </w:r>
    </w:p>
    <w:p w14:paraId="77725EF7" w14:textId="77777777" w:rsidR="00624970" w:rsidRDefault="00624970" w:rsidP="00624970">
      <w:pPr>
        <w:spacing w:afterLines="60" w:after="144" w:line="360" w:lineRule="auto"/>
        <w:jc w:val="both"/>
      </w:pPr>
      <w:r w:rsidRPr="00497F55">
        <w:rPr>
          <w:noProof/>
        </w:rPr>
        <w:t>This</w:t>
      </w:r>
      <w:r>
        <w:t xml:space="preserve"> is known as LDA. In some systems with </w:t>
      </w:r>
      <w:r w:rsidRPr="00497F55">
        <w:rPr>
          <w:noProof/>
        </w:rPr>
        <w:t>locali</w:t>
      </w:r>
      <w:r>
        <w:rPr>
          <w:noProof/>
        </w:rPr>
        <w:t>s</w:t>
      </w:r>
      <w:r w:rsidRPr="00497F55">
        <w:rPr>
          <w:noProof/>
        </w:rPr>
        <w:t>ed</w:t>
      </w:r>
      <w:r>
        <w:t xml:space="preserve"> bonds, such as </w:t>
      </w:r>
      <w:r w:rsidRPr="008C71F2">
        <w:rPr>
          <w:noProof/>
        </w:rPr>
        <w:t>covalent</w:t>
      </w:r>
      <w:r>
        <w:t xml:space="preserve"> bonds where the electron density varies </w:t>
      </w:r>
      <w:r w:rsidRPr="00497F55">
        <w:rPr>
          <w:noProof/>
        </w:rPr>
        <w:t>rapidly</w:t>
      </w:r>
      <w:r>
        <w:rPr>
          <w:noProof/>
        </w:rPr>
        <w:t xml:space="preserve"> and</w:t>
      </w:r>
      <w:r>
        <w:t xml:space="preserve"> the variation of the density of electrons requires consideration in the expression of exchange and correlation function. Such approximation is noted as GGA:</w:t>
      </w:r>
    </w:p>
    <w:p w14:paraId="79B22EA6" w14:textId="77777777" w:rsidR="00624970" w:rsidRPr="00284674" w:rsidRDefault="00077961" w:rsidP="00624970">
      <w:pPr>
        <w:spacing w:afterLines="60" w:after="144" w:line="360" w:lineRule="auto"/>
        <w:jc w:val="right"/>
      </w:pPr>
      <m:oMath>
        <m:sSubSup>
          <m:sSubSupPr>
            <m:ctrlPr>
              <w:rPr>
                <w:rFonts w:ascii="Cambria Math" w:hAnsi="Cambria Math"/>
                <w:i/>
              </w:rPr>
            </m:ctrlPr>
          </m:sSubSupPr>
          <m:e>
            <m:r>
              <w:rPr>
                <w:rFonts w:ascii="Cambria Math" w:hAnsi="Cambria Math"/>
              </w:rPr>
              <m:t>V</m:t>
            </m:r>
          </m:e>
          <m:sub>
            <m:r>
              <w:rPr>
                <w:rFonts w:ascii="Cambria Math" w:hAnsi="Cambria Math"/>
              </w:rPr>
              <m:t>xc</m:t>
            </m:r>
          </m:sub>
          <m:sup>
            <m:r>
              <w:rPr>
                <w:rFonts w:ascii="Cambria Math" w:hAnsi="Cambria Math"/>
              </w:rPr>
              <m:t>GGA</m:t>
            </m:r>
          </m:sup>
        </m:sSubSup>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xc</m:t>
            </m:r>
          </m:sub>
        </m:sSub>
        <m:r>
          <w:rPr>
            <w:rFonts w:ascii="Cambria Math" w:hAnsi="Cambria Math"/>
          </w:rPr>
          <m:t>[n</m:t>
        </m:r>
        <m:d>
          <m:dPr>
            <m:ctrlPr>
              <w:rPr>
                <w:rFonts w:ascii="Cambria Math" w:hAnsi="Cambria Math"/>
                <w:i/>
              </w:rPr>
            </m:ctrlPr>
          </m:dPr>
          <m:e>
            <m:r>
              <m:rPr>
                <m:sty m:val="bi"/>
              </m:rPr>
              <w:rPr>
                <w:rFonts w:ascii="Cambria Math" w:hAnsi="Cambria Math"/>
              </w:rPr>
              <m:t>r</m:t>
            </m:r>
          </m:e>
        </m:d>
        <m:r>
          <w:rPr>
            <w:rFonts w:ascii="Cambria Math" w:hAnsi="Cambria Math"/>
          </w:rPr>
          <m:t>,</m:t>
        </m:r>
        <m:r>
          <m:rPr>
            <m:sty m:val="p"/>
          </m:rPr>
          <w:rPr>
            <w:rFonts w:ascii="Cambria Math" w:hAnsi="Cambria Math"/>
          </w:rPr>
          <m:t>∇</m:t>
        </m:r>
        <m:r>
          <w:rPr>
            <w:rFonts w:ascii="Cambria Math" w:hAnsi="Cambria Math"/>
          </w:rPr>
          <m:t>n(</m:t>
        </m:r>
        <m:r>
          <m:rPr>
            <m:sty m:val="bi"/>
          </m:rPr>
          <w:rPr>
            <w:rFonts w:ascii="Cambria Math" w:hAnsi="Cambria Math"/>
          </w:rPr>
          <m:t>r</m:t>
        </m:r>
        <m:r>
          <w:rPr>
            <w:rFonts w:ascii="Cambria Math" w:hAnsi="Cambria Math"/>
          </w:rPr>
          <m:t>)]</m:t>
        </m:r>
      </m:oMath>
      <w:r w:rsidR="00624970">
        <w:rPr>
          <w:rFonts w:hint="eastAsia"/>
        </w:rPr>
        <w:t xml:space="preserve"> </w:t>
      </w:r>
      <w:r w:rsidR="00624970">
        <w:t xml:space="preserve">                                                         </w:t>
      </w:r>
      <w:r w:rsidR="00624970">
        <w:rPr>
          <w:rFonts w:hint="eastAsia"/>
        </w:rPr>
        <w:t>(</w:t>
      </w:r>
      <w:r w:rsidR="00624970">
        <w:t>36)</w:t>
      </w:r>
    </w:p>
    <w:p w14:paraId="43B49F80" w14:textId="77777777" w:rsidR="00624970" w:rsidRDefault="00624970" w:rsidP="00624970">
      <w:pPr>
        <w:spacing w:afterLines="60" w:after="144" w:line="360" w:lineRule="auto"/>
        <w:jc w:val="both"/>
      </w:pPr>
      <w:r>
        <w:t xml:space="preserve">Currently, the most generally accepted mathematical description of the GGA method was proposed by </w:t>
      </w:r>
      <w:bookmarkStart w:id="80" w:name="OLE_LINK21"/>
      <w:bookmarkStart w:id="81" w:name="OLE_LINK22"/>
      <w:bookmarkStart w:id="82" w:name="OLE_LINK23"/>
      <w:r>
        <w:t>Perdew</w:t>
      </w:r>
      <w:bookmarkEnd w:id="80"/>
      <w:bookmarkEnd w:id="81"/>
      <w:bookmarkEnd w:id="82"/>
      <w:r>
        <w:t xml:space="preserve"> </w:t>
      </w:r>
      <w:r>
        <w:fldChar w:fldCharType="begin" w:fldLock="1"/>
      </w:r>
      <w:r>
        <w:instrText>ADDIN CSL_CITATION {"citationItems":[{"id":"ITEM-1","itemData":{"DOI":"10.1103/PhysRevLett.77.3865","ISBN":"9780596529321","ISSN":"10797114","PMID":"10062328","abstract":"Generalized gradient approximations (GGA’s) for the exchange-correlation energy improve upon the local spin density (LSD) description of atoms, molecules, and solids. We present a simple derivation of a simple GGA, in which all parameters (other than those in LSD) are fundamental constants. Only general features of the detailed construction underlying the Perdew-Wang 1991 (PW91) GGA are invoked. Improvements over PW91 include an accurate description of the linear response of the uniform electron gas, correct behavior under uniform scaling, and a smoother potential.","author":[{"dropping-particle":"","family":"Perdew","given":"John P.","non-dropping-particle":"","parse-names":false,"suffix":""},{"dropping-particle":"","family":"Burke","given":"Kieron","non-dropping-particle":"","parse-names":false,"suffix":""},{"dropping-particle":"","family":"Ernzerhof","given":"Matthias","non-dropping-particle":"","parse-names":false,"suffix":""}],"container-title":"Physical Review Letters","id":"ITEM-1","issued":{"date-parts":[["1996"]]},"title":"Generalized gradient approximation made simple","type":"article-journal"},"uris":["http://www.mendeley.com/documents/?uuid=67f76030-df2f-4bfe-847e-e0d96657d1cc","http://www.mendeley.com/documents/?uuid=2293ac7e-631a-43eb-83d9-96d27973095d"]}],"mendeley":{"formattedCitation":"[68]","plainTextFormattedCitation":"[68]","previouslyFormattedCitation":"[68]"},"properties":{"noteIndex":0},"schema":"https://github.com/citation-style-language/schema/raw/master/csl-citation.json"}</w:instrText>
      </w:r>
      <w:r>
        <w:fldChar w:fldCharType="separate"/>
      </w:r>
      <w:r w:rsidRPr="003B39BC">
        <w:rPr>
          <w:noProof/>
        </w:rPr>
        <w:t>[68]</w:t>
      </w:r>
      <w:r>
        <w:fldChar w:fldCharType="end"/>
      </w:r>
      <w:r>
        <w:t xml:space="preserve"> and exhibited high performance in balancing the accuracy of the result and time. For particular conditions in which the interaction effect within electrons </w:t>
      </w:r>
      <w:r>
        <w:rPr>
          <w:noProof/>
        </w:rPr>
        <w:t>is</w:t>
      </w:r>
      <w:r>
        <w:t xml:space="preserve"> strongly correlated, a Hubbard correction term </w:t>
      </w:r>
      <w:r>
        <w:rPr>
          <w:noProof/>
        </w:rPr>
        <w:t>is required</w:t>
      </w:r>
      <w:r>
        <w:t xml:space="preserve"> to be added to the equation</w:t>
      </w:r>
      <w:r>
        <w:fldChar w:fldCharType="begin" w:fldLock="1"/>
      </w:r>
      <w:r>
        <w:instrText>ADDIN CSL_CITATION {"citationItems":[{"id":"ITEM-1","itemData":{"DOI":"10.1103/PhysRevB.57.1505","ISBN":"0163-1829","ISSN":"1550235X","PMID":"10021600","abstract":"We demonstrate how by taking better account of electron correlations in the 3d shell of metal ions in nickel oxide it is possible to improve the description of both electron energy loss spectra and parameters characterizing the structural stability of the material compared with local spin density functional theory.","author":[{"dropping-particle":"","family":"Dudarev","given":"S.","non-dropping-particle":"","parse-names":false,"suffix":""},{"dropping-particle":"","family":"Botton","given":"G.","non-dropping-particle":"","parse-names":false,"suffix":""}],"container-title":"Physical Review B - Condensed Matter and Materials Physics","id":"ITEM-1","issued":{"date-parts":[["1998"]]},"title":"Electron-energy-loss spectra and the structural stability of nickel oxide: An LSDA+U study","type":"article-journal"},"uris":["http://www.mendeley.com/documents/?uuid=134fc04b-98cd-4d48-ba18-eda381174e01","http://www.mendeley.com/documents/?uuid=f220d7f4-e057-410f-aa5a-a7437ab77794"]},{"id":"ITEM-2","itemData":{"DOI":"10.1103/PhysRevB.52.R5467","ISBN":"0163-1829 (Print)\\n0163-1829 (Linking)","ISSN":"01631829","PMID":"9981806","abstract":"Evidence is presented that within the density-functional theory orbital polarization has to be treated on an equal footing with spin polarization and charge density for strongly interacting electron systems. Using a basis-set independent generalization of the LDA+U functional, we show that electronic orbital ordering is a necessary condition to obtain the correct crystal structure and parameters of the exchange interaction for the Mott-Hubbard insulator KCuF3.","author":[{"dropping-particle":"","family":"Liechtenstein","given":"A. I.","non-dropping-particle":"","parse-names":false,"suffix":""},{"dropping-particle":"","family":"Anisimov","given":"V. I.","non-dropping-particle":"","parse-names":false,"suffix":""},{"dropping-particle":"","family":"Zaanen","given":"J.","non-dropping-particle":"","parse-names":false,"suffix":""}],"container-title":"Physical Review B","id":"ITEM-2","issued":{"date-parts":[["1995"]]},"title":"Density-functional theory and strong interactions: Orbital ordering in Mott-Hubbard insulators","type":"article-journal"},"uris":["http://www.mendeley.com/documents/?uuid=15406059-3d81-4b92-a1e3-1ffa14c7a9ae","http://www.mendeley.com/documents/?uuid=6460dec5-fc72-402e-9919-353a0a74921e"]}],"mendeley":{"formattedCitation":"[69,70]","plainTextFormattedCitation":"[69,70]","previouslyFormattedCitation":"[69,70]"},"properties":{"noteIndex":0},"schema":"https://github.com/citation-style-language/schema/raw/master/csl-citation.json"}</w:instrText>
      </w:r>
      <w:r>
        <w:fldChar w:fldCharType="separate"/>
      </w:r>
      <w:r w:rsidRPr="003B39BC">
        <w:rPr>
          <w:noProof/>
        </w:rPr>
        <w:t>[69,70]</w:t>
      </w:r>
      <w:r>
        <w:fldChar w:fldCharType="end"/>
      </w:r>
      <w:r>
        <w:t xml:space="preserve">. </w:t>
      </w:r>
      <w:r w:rsidRPr="008C71F2">
        <w:rPr>
          <w:noProof/>
        </w:rPr>
        <w:t>This</w:t>
      </w:r>
      <w:r>
        <w:rPr>
          <w:noProof/>
        </w:rPr>
        <w:t xml:space="preserve"> correction term is</w:t>
      </w:r>
      <w:r>
        <w:t xml:space="preserve"> known as LDA+U and GGA+U. Another important parameter that should be considered in the application of DFT is Pseudopotentials. </w:t>
      </w:r>
      <w:r w:rsidRPr="003B758E">
        <w:t xml:space="preserve">With the help of the KS method in a </w:t>
      </w:r>
      <w:r>
        <w:t>man</w:t>
      </w:r>
      <w:r w:rsidRPr="003B758E">
        <w:t>y body system, the solving process of eq. 18 is simplified. However, to obtain the energy of the whole system, the calculation become</w:t>
      </w:r>
      <w:r>
        <w:t>s</w:t>
      </w:r>
      <w:r w:rsidRPr="003B758E">
        <w:t xml:space="preserve"> very complex when solving the KS equation for all electrons.</w:t>
      </w:r>
      <w:r>
        <w:t xml:space="preserve"> A simple approximation consider</w:t>
      </w:r>
      <w:r>
        <w:rPr>
          <w:rFonts w:hint="eastAsia"/>
        </w:rPr>
        <w:t>s</w:t>
      </w:r>
      <w:r>
        <w:t xml:space="preserve"> valence electrons as an </w:t>
      </w:r>
      <w:r w:rsidRPr="00497F55">
        <w:rPr>
          <w:noProof/>
        </w:rPr>
        <w:t>effective</w:t>
      </w:r>
      <w:r>
        <w:t xml:space="preserve"> charge for the interaction within electrons, while the other electrons were assumed to remain fixed (normally the core electrons will remain unchanged during bonding and de-bonding in condensed matter). By freezing core electrons and only allowing valence electrons to </w:t>
      </w:r>
      <w:r w:rsidRPr="008C71F2">
        <w:rPr>
          <w:noProof/>
        </w:rPr>
        <w:t>remain</w:t>
      </w:r>
      <w:r>
        <w:t xml:space="preserve"> active during the calculation, the process can </w:t>
      </w:r>
      <w:r w:rsidRPr="00497F55">
        <w:rPr>
          <w:noProof/>
        </w:rPr>
        <w:t>be simplified</w:t>
      </w:r>
      <w:r>
        <w:t xml:space="preserve"> significantly. The potentials used to represent the charge of core electrons </w:t>
      </w:r>
      <w:r w:rsidRPr="00497F55">
        <w:rPr>
          <w:noProof/>
        </w:rPr>
        <w:t>and</w:t>
      </w:r>
      <w:r>
        <w:t xml:space="preserve"> valence electrons </w:t>
      </w:r>
      <w:r w:rsidRPr="00497F55">
        <w:rPr>
          <w:noProof/>
        </w:rPr>
        <w:t>are named</w:t>
      </w:r>
      <w:r>
        <w:t xml:space="preserve"> pseudopotentials </w:t>
      </w:r>
      <w:r>
        <w:fldChar w:fldCharType="begin" w:fldLock="1"/>
      </w:r>
      <w:r>
        <w:instrText>ADDIN CSL_CITATION {"citationItems":[{"id":"ITEM-1","itemData":{"DOI":"10.1002/cphc.201100387","ISBN":"1439-4235","ISSN":"14394235","PMID":"21809427","abstract":"A short review is presented on one of the most successful theories for electronic structure calculations, the pseudopotential approximation, originally introduced by Hans G. A. Hellmann in 1934. Recent developments in relativistic quantum theory allow for the accurate adjustment of pseudopotential parameters to valence spectra, producing results for properties of atoms, molecules, and the solid-state in excellent agreement with more accurate all-electron results if a small-core definition is used. Thus the relativistic pseudopotential approximation is now the most widely applied method for systems containing heavy elements.","author":[{"dropping-particle":"","family":"Schwerdtfeger","given":"Peter","non-dropping-particle":"","parse-names":false,"suffix":""}],"container-title":"ChemPhysChem","id":"ITEM-1","issued":{"date-parts":[["2011"]]},"title":"The pseudopotential approximation in electronic structure theory","type":"article-journal"},"uris":["http://www.mendeley.com/documents/?uuid=3bd8db2e-bc25-42f0-9857-252d41ea9cac","http://www.mendeley.com/documents/?uuid=461fcb7c-09a3-4ff6-9935-890ed534eb6d"]}],"mendeley":{"formattedCitation":"[71]","plainTextFormattedCitation":"[71]","previouslyFormattedCitation":"[71]"},"properties":{"noteIndex":0},"schema":"https://github.com/citation-style-language/schema/raw/master/csl-citation.json"}</w:instrText>
      </w:r>
      <w:r>
        <w:fldChar w:fldCharType="separate"/>
      </w:r>
      <w:r w:rsidRPr="003B39BC">
        <w:rPr>
          <w:noProof/>
        </w:rPr>
        <w:t>[71]</w:t>
      </w:r>
      <w:r>
        <w:fldChar w:fldCharType="end"/>
      </w:r>
      <w:r>
        <w:t xml:space="preserve">. A </w:t>
      </w:r>
      <w:r w:rsidRPr="00497F55">
        <w:rPr>
          <w:noProof/>
        </w:rPr>
        <w:t>well</w:t>
      </w:r>
      <w:r>
        <w:rPr>
          <w:noProof/>
        </w:rPr>
        <w:t>-</w:t>
      </w:r>
      <w:r w:rsidRPr="00497F55">
        <w:rPr>
          <w:noProof/>
        </w:rPr>
        <w:t>known</w:t>
      </w:r>
      <w:r>
        <w:t xml:space="preserve"> method </w:t>
      </w:r>
      <w:r>
        <w:rPr>
          <w:noProof/>
        </w:rPr>
        <w:t>of</w:t>
      </w:r>
      <w:r>
        <w:t xml:space="preserve"> generating pseudopotentials is the </w:t>
      </w:r>
      <w:bookmarkStart w:id="83" w:name="OLE_LINK24"/>
      <w:bookmarkStart w:id="84" w:name="OLE_LINK25"/>
      <w:r>
        <w:t>projector-augmented wave</w:t>
      </w:r>
      <w:bookmarkEnd w:id="83"/>
      <w:bookmarkEnd w:id="84"/>
      <w:r>
        <w:t xml:space="preserve"> (PAW) method </w:t>
      </w:r>
      <w:r>
        <w:fldChar w:fldCharType="begin" w:fldLock="1"/>
      </w:r>
      <w:r>
        <w:instrText>ADDIN CSL_CITATION {"citationItems":[{"id":"ITEM-1","itemData":{"DOI":"10.1103/PhysRevB.50.17953","ISBN":"0163-1829 (Print)\\n0163-1829 (Linking)","ISSN":"01631829","PMID":"9976227","abstract":"An approach for electronic structure calculations is described that generalizes both the pseudopotential method and the linear augmented-plane-wave (LAPW) method in a natural way. The method allows high-quality first-principles molecular-dynamics calculations to be performed using the original fictitious Lagrangian approach of Car and Parrinello. Like the LAPW method it can be used to treat first-row and transition-metal elements with affordable effort and provides access to the full wave function. The augmentation procedure is generalized in that partial-wave expansions are not determined by the value and the derivative of the envelope function at some muffin-tin radius, but rather by the overlap with localized projector functions. The pseudopotential approach based on generalized separable pseudopotentials can be regained by a simple approximation.","author":[{"dropping-particle":"","family":"Blöchl","given":"P. E.","non-dropping-particle":"","parse-names":false,"suffix":""}],"container-title":"Physical Review B","id":"ITEM-1","issued":{"date-parts":[["1994"]]},"title":"Projector augmented-wave method","type":"article-journal"},"uris":["http://www.mendeley.com/documents/?uuid=989f7b9e-cf79-46c2-ac68-f175443a155c","http://www.mendeley.com/documents/?uuid=2a0f67bb-64ab-4238-a0d6-3b500347eed7"]}],"mendeley":{"formattedCitation":"[72]","plainTextFormattedCitation":"[72]","previouslyFormattedCitation":"[72]"},"properties":{"noteIndex":0},"schema":"https://github.com/citation-style-language/schema/raw/master/csl-citation.json"}</w:instrText>
      </w:r>
      <w:r>
        <w:fldChar w:fldCharType="separate"/>
      </w:r>
      <w:r w:rsidRPr="003B39BC">
        <w:rPr>
          <w:noProof/>
        </w:rPr>
        <w:t>[72]</w:t>
      </w:r>
      <w:r>
        <w:fldChar w:fldCharType="end"/>
      </w:r>
      <w:r>
        <w:t xml:space="preserve">. Compared with the results calculated by using full-electron potentials, the application of pseudopotentials in DFT has similar precision and accelerates the calculation process considerably. </w:t>
      </w:r>
    </w:p>
    <w:p w14:paraId="0357BB75" w14:textId="77777777" w:rsidR="00624970" w:rsidRDefault="00624970" w:rsidP="00624970">
      <w:pPr>
        <w:spacing w:afterLines="60" w:after="144" w:line="360" w:lineRule="auto"/>
        <w:jc w:val="both"/>
      </w:pPr>
      <w:r>
        <w:t xml:space="preserve">In the application of DFT to solve </w:t>
      </w:r>
      <w:r w:rsidRPr="008C71F2">
        <w:rPr>
          <w:noProof/>
        </w:rPr>
        <w:t>problem</w:t>
      </w:r>
      <w:r>
        <w:rPr>
          <w:noProof/>
        </w:rPr>
        <w:t>s</w:t>
      </w:r>
      <w:r>
        <w:t xml:space="preserve"> in </w:t>
      </w:r>
      <w:r w:rsidRPr="008C71F2">
        <w:rPr>
          <w:noProof/>
        </w:rPr>
        <w:t>real</w:t>
      </w:r>
      <w:r>
        <w:t xml:space="preserve"> </w:t>
      </w:r>
      <w:r w:rsidRPr="00497F55">
        <w:rPr>
          <w:noProof/>
        </w:rPr>
        <w:t>condense</w:t>
      </w:r>
      <w:r>
        <w:rPr>
          <w:noProof/>
        </w:rPr>
        <w:t>d</w:t>
      </w:r>
      <w:r>
        <w:t xml:space="preserve"> matter systems, the first step is to simulate the environment of the real system. A periodic boundary condition is needed to perform the calculation. Depending on the structure of the system, which can </w:t>
      </w:r>
      <w:r w:rsidRPr="00497F55">
        <w:rPr>
          <w:noProof/>
        </w:rPr>
        <w:t>be further represent</w:t>
      </w:r>
      <w:r>
        <w:rPr>
          <w:noProof/>
        </w:rPr>
        <w:t>ed</w:t>
      </w:r>
      <w:r>
        <w:t xml:space="preserve"> by their primitive cell vector, the wave function that satisfies Bloch’s theorem can be expressed as:</w:t>
      </w:r>
    </w:p>
    <w:p w14:paraId="57BF35B1" w14:textId="77777777" w:rsidR="00624970" w:rsidRPr="002F6C6E" w:rsidRDefault="00077961" w:rsidP="00624970">
      <w:pPr>
        <w:spacing w:afterLines="60" w:after="144" w:line="360" w:lineRule="auto"/>
        <w:jc w:val="right"/>
      </w:pPr>
      <m:oMath>
        <m:sSub>
          <m:sSubPr>
            <m:ctrlPr>
              <w:rPr>
                <w:rFonts w:ascii="Cambria Math" w:hAnsi="Cambria Math"/>
                <w:i/>
              </w:rPr>
            </m:ctrlPr>
          </m:sSubPr>
          <m:e>
            <m:r>
              <w:rPr>
                <w:rFonts w:ascii="Cambria Math" w:hAnsi="Cambria Math"/>
              </w:rPr>
              <m:t>ψ</m:t>
            </m:r>
          </m:e>
          <m:sub>
            <m:r>
              <w:rPr>
                <w:rFonts w:ascii="Cambria Math" w:hAnsi="Cambria Math"/>
              </w:rPr>
              <m:t>k</m:t>
            </m:r>
          </m:sub>
        </m:sSub>
        <m:d>
          <m:dPr>
            <m:ctrlPr>
              <w:rPr>
                <w:rFonts w:ascii="Cambria Math" w:hAnsi="Cambria Math"/>
                <w:i/>
              </w:rPr>
            </m:ctrlPr>
          </m:dPr>
          <m:e>
            <m:r>
              <w:rPr>
                <w:rFonts w:ascii="Cambria Math" w:hAnsi="Cambria Math"/>
              </w:rPr>
              <m:t>r</m:t>
            </m:r>
          </m:e>
        </m:d>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i</m:t>
            </m:r>
            <m:r>
              <m:rPr>
                <m:sty m:val="bi"/>
              </m:rPr>
              <w:rPr>
                <w:rFonts w:ascii="Cambria Math" w:hAnsi="Cambria Math"/>
              </w:rPr>
              <m:t>kr</m:t>
            </m:r>
          </m:sup>
        </m:sSup>
        <m:sSub>
          <m:sSubPr>
            <m:ctrlPr>
              <w:rPr>
                <w:rFonts w:ascii="Cambria Math" w:hAnsi="Cambria Math"/>
                <w:i/>
              </w:rPr>
            </m:ctrlPr>
          </m:sSubPr>
          <m:e>
            <m:r>
              <w:rPr>
                <w:rFonts w:ascii="Cambria Math" w:hAnsi="Cambria Math"/>
              </w:rPr>
              <m:t>u</m:t>
            </m:r>
          </m:e>
          <m:sub>
            <m:r>
              <w:rPr>
                <w:rFonts w:ascii="Cambria Math" w:hAnsi="Cambria Math"/>
              </w:rPr>
              <m:t>k</m:t>
            </m:r>
          </m:sub>
        </m:sSub>
        <m:r>
          <w:rPr>
            <w:rFonts w:ascii="Cambria Math" w:hAnsi="Cambria Math"/>
          </w:rPr>
          <m:t>(r)</m:t>
        </m:r>
      </m:oMath>
      <w:r w:rsidR="00624970">
        <w:rPr>
          <w:rFonts w:hint="eastAsia"/>
        </w:rPr>
        <w:t xml:space="preserve"> </w:t>
      </w:r>
      <w:r w:rsidR="00624970">
        <w:t xml:space="preserve">                                                                    </w:t>
      </w:r>
      <w:r w:rsidR="00624970">
        <w:rPr>
          <w:rFonts w:hint="eastAsia"/>
        </w:rPr>
        <w:t>(</w:t>
      </w:r>
      <w:r w:rsidR="00624970">
        <w:t>37)</w:t>
      </w:r>
    </w:p>
    <w:p w14:paraId="5D7BBE5C" w14:textId="77777777" w:rsidR="00624970" w:rsidRDefault="00624970" w:rsidP="00624970">
      <w:pPr>
        <w:spacing w:afterLines="60" w:after="144" w:line="360" w:lineRule="auto"/>
        <w:jc w:val="both"/>
      </w:pPr>
      <w:r>
        <w:t xml:space="preserve">Here, </w:t>
      </w:r>
      <m:oMath>
        <m:sSub>
          <m:sSubPr>
            <m:ctrlPr>
              <w:rPr>
                <w:rFonts w:ascii="Cambria Math" w:hAnsi="Cambria Math"/>
                <w:i/>
              </w:rPr>
            </m:ctrlPr>
          </m:sSubPr>
          <m:e>
            <m:r>
              <w:rPr>
                <w:rFonts w:ascii="Cambria Math" w:hAnsi="Cambria Math"/>
              </w:rPr>
              <m:t>u</m:t>
            </m:r>
          </m:e>
          <m:sub>
            <m:r>
              <w:rPr>
                <w:rFonts w:ascii="Cambria Math" w:hAnsi="Cambria Math"/>
              </w:rPr>
              <m:t>k</m:t>
            </m:r>
          </m:sub>
        </m:sSub>
        <m:r>
          <w:rPr>
            <w:rFonts w:ascii="Cambria Math" w:hAnsi="Cambria Math"/>
          </w:rPr>
          <m:t>(</m:t>
        </m:r>
        <m:r>
          <m:rPr>
            <m:sty m:val="bi"/>
          </m:rPr>
          <w:rPr>
            <w:rFonts w:ascii="Cambria Math" w:hAnsi="Cambria Math"/>
          </w:rPr>
          <m:t>r</m:t>
        </m:r>
        <m:r>
          <w:rPr>
            <w:rFonts w:ascii="Cambria Math" w:hAnsi="Cambria Math"/>
          </w:rPr>
          <m:t>)</m:t>
        </m:r>
      </m:oMath>
      <w:r>
        <w:t xml:space="preserve"> is a periodic function with </w:t>
      </w:r>
      <w:r>
        <w:rPr>
          <w:noProof/>
        </w:rPr>
        <w:t>the</w:t>
      </w:r>
      <w:r w:rsidRPr="008C71F2">
        <w:rPr>
          <w:noProof/>
        </w:rPr>
        <w:t xml:space="preserve"> </w:t>
      </w:r>
      <w:r>
        <w:t>sam</w:t>
      </w:r>
      <w:r w:rsidRPr="008C71F2">
        <w:rPr>
          <w:noProof/>
        </w:rPr>
        <w:t>e</w:t>
      </w:r>
      <w:r>
        <w:rPr>
          <w:noProof/>
        </w:rPr>
        <w:t xml:space="preserve"> </w:t>
      </w:r>
      <w:r w:rsidRPr="008C71F2">
        <w:rPr>
          <w:noProof/>
        </w:rPr>
        <w:t>pe</w:t>
      </w:r>
      <w:r>
        <w:t xml:space="preserve">riodicity of the primitive cell and </w:t>
      </w:r>
      <m:oMath>
        <m:sSup>
          <m:sSupPr>
            <m:ctrlPr>
              <w:rPr>
                <w:rFonts w:ascii="Cambria Math" w:hAnsi="Cambria Math"/>
                <w:i/>
              </w:rPr>
            </m:ctrlPr>
          </m:sSupPr>
          <m:e>
            <m:r>
              <w:rPr>
                <w:rFonts w:ascii="Cambria Math" w:hAnsi="Cambria Math"/>
              </w:rPr>
              <m:t>e</m:t>
            </m:r>
          </m:e>
          <m:sup>
            <m:r>
              <w:rPr>
                <w:rFonts w:ascii="Cambria Math" w:hAnsi="Cambria Math"/>
              </w:rPr>
              <m:t>i</m:t>
            </m:r>
            <m:r>
              <m:rPr>
                <m:sty m:val="bi"/>
              </m:rPr>
              <w:rPr>
                <w:rFonts w:ascii="Cambria Math" w:hAnsi="Cambria Math"/>
              </w:rPr>
              <m:t>kr</m:t>
            </m:r>
          </m:sup>
        </m:sSup>
      </m:oMath>
      <w:r>
        <w:t xml:space="preserve"> is an arbitrary phase factor, by expanding the periodic function </w:t>
      </w:r>
      <m:oMath>
        <m:sSub>
          <m:sSubPr>
            <m:ctrlPr>
              <w:rPr>
                <w:rFonts w:ascii="Cambria Math" w:hAnsi="Cambria Math"/>
                <w:i/>
              </w:rPr>
            </m:ctrlPr>
          </m:sSubPr>
          <m:e>
            <m:r>
              <w:rPr>
                <w:rFonts w:ascii="Cambria Math" w:hAnsi="Cambria Math"/>
              </w:rPr>
              <m:t>u</m:t>
            </m:r>
          </m:e>
          <m:sub>
            <m:r>
              <w:rPr>
                <w:rFonts w:ascii="Cambria Math" w:hAnsi="Cambria Math"/>
              </w:rPr>
              <m:t>k</m:t>
            </m:r>
          </m:sub>
        </m:sSub>
        <m:r>
          <w:rPr>
            <w:rFonts w:ascii="Cambria Math" w:hAnsi="Cambria Math"/>
          </w:rPr>
          <m:t>(</m:t>
        </m:r>
        <m:r>
          <m:rPr>
            <m:sty m:val="bi"/>
          </m:rPr>
          <w:rPr>
            <w:rFonts w:ascii="Cambria Math" w:hAnsi="Cambria Math"/>
          </w:rPr>
          <m:t>r</m:t>
        </m:r>
        <m:r>
          <w:rPr>
            <w:rFonts w:ascii="Cambria Math" w:hAnsi="Cambria Math"/>
          </w:rPr>
          <m:t>)</m:t>
        </m:r>
      </m:oMath>
      <w:r>
        <w:t xml:space="preserve"> using plane wave functions as a Fourier series: </w:t>
      </w:r>
    </w:p>
    <w:p w14:paraId="6F42C14F" w14:textId="77777777" w:rsidR="00624970" w:rsidRPr="0010321C" w:rsidRDefault="00077961" w:rsidP="00624970">
      <w:pPr>
        <w:spacing w:afterLines="60" w:after="144" w:line="360" w:lineRule="auto"/>
        <w:jc w:val="right"/>
      </w:pPr>
      <m:oMath>
        <m:sSub>
          <m:sSubPr>
            <m:ctrlPr>
              <w:rPr>
                <w:rFonts w:ascii="Cambria Math" w:hAnsi="Cambria Math"/>
                <w:i/>
              </w:rPr>
            </m:ctrlPr>
          </m:sSubPr>
          <m:e>
            <m:r>
              <w:rPr>
                <w:rFonts w:ascii="Cambria Math" w:hAnsi="Cambria Math"/>
              </w:rPr>
              <m:t>u</m:t>
            </m:r>
          </m:e>
          <m:sub>
            <m:r>
              <w:rPr>
                <w:rFonts w:ascii="Cambria Math" w:hAnsi="Cambria Math"/>
              </w:rPr>
              <m:t>k</m:t>
            </m:r>
          </m:sub>
        </m:sSub>
        <m:d>
          <m:dPr>
            <m:ctrlPr>
              <w:rPr>
                <w:rFonts w:ascii="Cambria Math" w:hAnsi="Cambria Math"/>
                <w:i/>
              </w:rPr>
            </m:ctrlPr>
          </m:dPr>
          <m:e>
            <m:r>
              <w:rPr>
                <w:rFonts w:ascii="Cambria Math" w:hAnsi="Cambria Math"/>
              </w:rPr>
              <m:t>r</m:t>
            </m:r>
          </m:e>
        </m:d>
        <m:r>
          <m:rPr>
            <m:sty m:val="p"/>
          </m:rPr>
          <w:rPr>
            <w:rFonts w:ascii="Cambria Math" w:hAnsi="Cambria Math"/>
          </w:rPr>
          <m:t>=</m:t>
        </m:r>
        <m:nary>
          <m:naryPr>
            <m:chr m:val="∑"/>
            <m:limLoc m:val="undOvr"/>
            <m:supHide m:val="1"/>
            <m:ctrlPr>
              <w:rPr>
                <w:rFonts w:ascii="Cambria Math" w:hAnsi="Cambria Math"/>
              </w:rPr>
            </m:ctrlPr>
          </m:naryPr>
          <m:sub>
            <m:r>
              <w:rPr>
                <w:rFonts w:ascii="Cambria Math" w:hAnsi="Cambria Math"/>
              </w:rPr>
              <m:t>G</m:t>
            </m:r>
          </m:sub>
          <m:sup/>
          <m:e>
            <m:sSup>
              <m:sSupPr>
                <m:ctrlPr>
                  <w:rPr>
                    <w:rFonts w:ascii="Cambria Math" w:hAnsi="Cambria Math"/>
                    <w:i/>
                  </w:rPr>
                </m:ctrlPr>
              </m:sSupPr>
              <m:e>
                <m:r>
                  <w:rPr>
                    <w:rFonts w:ascii="Cambria Math" w:hAnsi="Cambria Math"/>
                  </w:rPr>
                  <m:t>e</m:t>
                </m:r>
              </m:e>
              <m:sup>
                <m:r>
                  <w:rPr>
                    <w:rFonts w:ascii="Cambria Math" w:hAnsi="Cambria Math"/>
                  </w:rPr>
                  <m:t>iGr</m:t>
                </m:r>
              </m:sup>
            </m:sSup>
            <m:sSub>
              <m:sSubPr>
                <m:ctrlPr>
                  <w:rPr>
                    <w:rFonts w:ascii="Cambria Math" w:hAnsi="Cambria Math"/>
                    <w:i/>
                  </w:rPr>
                </m:ctrlPr>
              </m:sSubPr>
              <m:e>
                <m:r>
                  <w:rPr>
                    <w:rFonts w:ascii="Cambria Math" w:hAnsi="Cambria Math"/>
                  </w:rPr>
                  <m:t>c</m:t>
                </m:r>
              </m:e>
              <m:sub>
                <m:r>
                  <w:rPr>
                    <w:rFonts w:ascii="Cambria Math" w:hAnsi="Cambria Math"/>
                  </w:rPr>
                  <m:t>G,k</m:t>
                </m:r>
              </m:sub>
            </m:sSub>
          </m:e>
        </m:nary>
      </m:oMath>
      <w:r w:rsidR="00624970">
        <w:rPr>
          <w:rFonts w:hint="eastAsia"/>
        </w:rPr>
        <w:t xml:space="preserve"> </w:t>
      </w:r>
      <w:r w:rsidR="00624970">
        <w:t xml:space="preserve">                                                                    </w:t>
      </w:r>
      <w:r w:rsidR="00624970">
        <w:rPr>
          <w:rFonts w:hint="eastAsia"/>
        </w:rPr>
        <w:t>(</w:t>
      </w:r>
      <w:r w:rsidR="00624970">
        <w:t>38)</w:t>
      </w:r>
    </w:p>
    <w:p w14:paraId="6EFEF77F" w14:textId="3FEFFABF" w:rsidR="00624970" w:rsidRDefault="00624970" w:rsidP="00624970">
      <w:pPr>
        <w:spacing w:afterLines="60" w:after="144" w:line="360" w:lineRule="auto"/>
        <w:jc w:val="both"/>
      </w:pPr>
      <w:r>
        <w:lastRenderedPageBreak/>
        <w:t xml:space="preserve">While G represents the </w:t>
      </w:r>
      <w:r w:rsidRPr="008C71F2">
        <w:rPr>
          <w:noProof/>
        </w:rPr>
        <w:t>reciprocal</w:t>
      </w:r>
      <w:r>
        <w:t xml:space="preserve"> lattice vector of </w:t>
      </w:r>
      <w:r w:rsidR="005918C3">
        <w:t xml:space="preserve">the </w:t>
      </w:r>
      <w:r>
        <w:t xml:space="preserve">primitive cell in real space and </w:t>
      </w:r>
      <m:oMath>
        <m:sSub>
          <m:sSubPr>
            <m:ctrlPr>
              <w:rPr>
                <w:rFonts w:ascii="Cambria Math" w:hAnsi="Cambria Math"/>
                <w:i/>
              </w:rPr>
            </m:ctrlPr>
          </m:sSubPr>
          <m:e>
            <m:r>
              <w:rPr>
                <w:rFonts w:ascii="Cambria Math" w:hAnsi="Cambria Math"/>
              </w:rPr>
              <m:t>c</m:t>
            </m:r>
          </m:e>
          <m:sub>
            <m:r>
              <w:rPr>
                <w:rFonts w:ascii="Cambria Math" w:hAnsi="Cambria Math"/>
              </w:rPr>
              <m:t>G,k</m:t>
            </m:r>
          </m:sub>
        </m:sSub>
      </m:oMath>
      <w:r>
        <w:t xml:space="preserve"> are complex Fourier coefficients.  Thus </w:t>
      </w:r>
      <w:r w:rsidRPr="00C80AE6">
        <w:rPr>
          <w:i/>
        </w:rPr>
        <w:t>eq</w:t>
      </w:r>
      <w:r>
        <w:t>. 38 can now be expressed as:</w:t>
      </w:r>
    </w:p>
    <w:p w14:paraId="4669B075" w14:textId="77777777" w:rsidR="00624970" w:rsidRDefault="00624970" w:rsidP="00624970">
      <w:pPr>
        <w:spacing w:afterLines="60" w:after="144" w:line="360" w:lineRule="auto"/>
        <w:jc w:val="right"/>
      </w:pPr>
      <w:r>
        <w:t xml:space="preserve"> </w:t>
      </w:r>
      <m:oMath>
        <m:r>
          <m:rPr>
            <m:sty m:val="p"/>
          </m:rPr>
          <w:rPr>
            <w:rFonts w:ascii="Cambria Math" w:hAnsi="Cambria Math"/>
          </w:rPr>
          <w:br/>
        </m:r>
        <m:sSub>
          <m:sSubPr>
            <m:ctrlPr>
              <w:rPr>
                <w:rFonts w:ascii="Cambria Math" w:hAnsi="Cambria Math"/>
                <w:i/>
              </w:rPr>
            </m:ctrlPr>
          </m:sSubPr>
          <m:e>
            <m:r>
              <w:rPr>
                <w:rFonts w:ascii="Cambria Math" w:hAnsi="Cambria Math"/>
              </w:rPr>
              <m:t>ψ</m:t>
            </m:r>
          </m:e>
          <m:sub>
            <m:r>
              <w:rPr>
                <w:rFonts w:ascii="Cambria Math" w:hAnsi="Cambria Math"/>
              </w:rPr>
              <m:t>k</m:t>
            </m:r>
          </m:sub>
        </m:sSub>
        <m:d>
          <m:dPr>
            <m:ctrlPr>
              <w:rPr>
                <w:rFonts w:ascii="Cambria Math" w:hAnsi="Cambria Math"/>
                <w:i/>
              </w:rPr>
            </m:ctrlPr>
          </m:dPr>
          <m:e>
            <m:r>
              <w:rPr>
                <w:rFonts w:ascii="Cambria Math" w:hAnsi="Cambria Math"/>
              </w:rPr>
              <m:t>r</m:t>
            </m:r>
          </m:e>
        </m:d>
        <m:r>
          <w:rPr>
            <w:rFonts w:ascii="Cambria Math" w:hAnsi="Cambria Math"/>
          </w:rPr>
          <m:t>=</m:t>
        </m:r>
        <m:nary>
          <m:naryPr>
            <m:chr m:val="∑"/>
            <m:limLoc m:val="undOvr"/>
            <m:supHide m:val="1"/>
            <m:ctrlPr>
              <w:rPr>
                <w:rFonts w:ascii="Cambria Math" w:hAnsi="Cambria Math"/>
              </w:rPr>
            </m:ctrlPr>
          </m:naryPr>
          <m:sub>
            <m:r>
              <w:rPr>
                <w:rFonts w:ascii="Cambria Math" w:hAnsi="Cambria Math"/>
              </w:rPr>
              <m:t>G</m:t>
            </m:r>
          </m:sub>
          <m:sup/>
          <m:e>
            <m:sSup>
              <m:sSupPr>
                <m:ctrlPr>
                  <w:rPr>
                    <w:rFonts w:ascii="Cambria Math" w:hAnsi="Cambria Math"/>
                    <w:i/>
                  </w:rPr>
                </m:ctrlPr>
              </m:sSupPr>
              <m:e>
                <m:r>
                  <w:rPr>
                    <w:rFonts w:ascii="Cambria Math" w:hAnsi="Cambria Math"/>
                  </w:rPr>
                  <m:t>e</m:t>
                </m:r>
              </m:e>
              <m:sup>
                <m:r>
                  <w:rPr>
                    <w:rFonts w:ascii="Cambria Math" w:hAnsi="Cambria Math"/>
                  </w:rPr>
                  <m:t>i(</m:t>
                </m:r>
                <m:r>
                  <m:rPr>
                    <m:sty m:val="bi"/>
                  </m:rPr>
                  <w:rPr>
                    <w:rFonts w:ascii="Cambria Math" w:hAnsi="Cambria Math"/>
                  </w:rPr>
                  <m:t>G</m:t>
                </m:r>
                <m:r>
                  <w:rPr>
                    <w:rFonts w:ascii="Cambria Math" w:hAnsi="Cambria Math"/>
                  </w:rPr>
                  <m:t>+</m:t>
                </m:r>
                <m:r>
                  <m:rPr>
                    <m:sty m:val="bi"/>
                  </m:rPr>
                  <w:rPr>
                    <w:rFonts w:ascii="Cambria Math" w:hAnsi="Cambria Math"/>
                  </w:rPr>
                  <m:t>k</m:t>
                </m:r>
                <m:r>
                  <w:rPr>
                    <w:rFonts w:ascii="Cambria Math" w:hAnsi="Cambria Math"/>
                  </w:rPr>
                  <m:t>)</m:t>
                </m:r>
                <m:r>
                  <m:rPr>
                    <m:sty m:val="bi"/>
                  </m:rPr>
                  <w:rPr>
                    <w:rFonts w:ascii="Cambria Math" w:hAnsi="Cambria Math"/>
                  </w:rPr>
                  <m:t>r</m:t>
                </m:r>
              </m:sup>
            </m:sSup>
            <m:sSub>
              <m:sSubPr>
                <m:ctrlPr>
                  <w:rPr>
                    <w:rFonts w:ascii="Cambria Math" w:hAnsi="Cambria Math"/>
                    <w:i/>
                  </w:rPr>
                </m:ctrlPr>
              </m:sSubPr>
              <m:e>
                <m:r>
                  <w:rPr>
                    <w:rFonts w:ascii="Cambria Math" w:hAnsi="Cambria Math"/>
                  </w:rPr>
                  <m:t>c</m:t>
                </m:r>
              </m:e>
              <m:sub>
                <m:r>
                  <w:rPr>
                    <w:rFonts w:ascii="Cambria Math" w:hAnsi="Cambria Math"/>
                  </w:rPr>
                  <m:t>G,k</m:t>
                </m:r>
              </m:sub>
            </m:sSub>
          </m:e>
        </m:nary>
      </m:oMath>
      <w:r>
        <w:rPr>
          <w:rFonts w:hint="eastAsia"/>
        </w:rPr>
        <w:t xml:space="preserve"> </w:t>
      </w:r>
      <w:r>
        <w:t xml:space="preserve">                                                              </w:t>
      </w:r>
      <w:r>
        <w:rPr>
          <w:rFonts w:hint="eastAsia"/>
        </w:rPr>
        <w:t>(</w:t>
      </w:r>
      <w:r>
        <w:t>39)</w:t>
      </w:r>
    </w:p>
    <w:p w14:paraId="5FA352F1" w14:textId="77777777" w:rsidR="00624970" w:rsidRDefault="00624970" w:rsidP="00624970">
      <w:pPr>
        <w:spacing w:afterLines="60" w:after="144" w:line="360" w:lineRule="auto"/>
        <w:jc w:val="both"/>
      </w:pPr>
      <w:r>
        <w:t xml:space="preserve">Two parameters need to </w:t>
      </w:r>
      <w:r w:rsidRPr="00497F55">
        <w:rPr>
          <w:noProof/>
        </w:rPr>
        <w:t>be considered</w:t>
      </w:r>
      <w:r>
        <w:t xml:space="preserve"> when solving </w:t>
      </w:r>
      <w:r w:rsidRPr="008C71F2">
        <w:rPr>
          <w:i/>
          <w:noProof/>
        </w:rPr>
        <w:t>eq</w:t>
      </w:r>
      <w:r>
        <w:t>. 39</w:t>
      </w:r>
      <w:r>
        <w:rPr>
          <w:rFonts w:hint="eastAsia"/>
        </w:rPr>
        <w:t>.</w:t>
      </w:r>
      <w:r>
        <w:t xml:space="preserve"> First is the selection of </w:t>
      </w:r>
      <w:r w:rsidRPr="001B35DB">
        <w:rPr>
          <w:b/>
          <w:i/>
        </w:rPr>
        <w:t>k</w:t>
      </w:r>
      <w:r>
        <w:rPr>
          <w:b/>
          <w:i/>
        </w:rPr>
        <w:t xml:space="preserve"> </w:t>
      </w:r>
      <w:r>
        <w:t xml:space="preserve">points. Though the expression of </w:t>
      </w:r>
      <w:r w:rsidRPr="008C71F2">
        <w:rPr>
          <w:i/>
          <w:noProof/>
        </w:rPr>
        <w:t>eq</w:t>
      </w:r>
      <w:r>
        <w:t xml:space="preserve">. </w:t>
      </w:r>
      <w:r w:rsidRPr="00497F55">
        <w:rPr>
          <w:noProof/>
        </w:rPr>
        <w:t>39</w:t>
      </w:r>
      <w:r>
        <w:t xml:space="preserve"> which represents integrations over all </w:t>
      </w:r>
      <w:r w:rsidRPr="008C71F2">
        <w:rPr>
          <w:b/>
          <w:i/>
          <w:noProof/>
        </w:rPr>
        <w:t>k</w:t>
      </w:r>
      <w:r w:rsidRPr="008C71F2">
        <w:rPr>
          <w:noProof/>
        </w:rPr>
        <w:t xml:space="preserve"> in</w:t>
      </w:r>
      <w:r>
        <w:t xml:space="preserve"> the Brillouin zone allowing the most precise result, there </w:t>
      </w:r>
      <w:r w:rsidRPr="00497F55">
        <w:rPr>
          <w:noProof/>
        </w:rPr>
        <w:t>exist</w:t>
      </w:r>
      <w:r>
        <w:rPr>
          <w:noProof/>
        </w:rPr>
        <w:t>s</w:t>
      </w:r>
      <w:r>
        <w:t xml:space="preserve"> </w:t>
      </w:r>
      <w:r>
        <w:rPr>
          <w:noProof/>
        </w:rPr>
        <w:t>the</w:t>
      </w:r>
      <w:r w:rsidRPr="00497F55">
        <w:rPr>
          <w:noProof/>
        </w:rPr>
        <w:t xml:space="preserve"> best</w:t>
      </w:r>
      <w:r>
        <w:t xml:space="preserve"> point to balance the time usage and precision of the result when selecting </w:t>
      </w:r>
      <w:r w:rsidRPr="00A0420B">
        <w:rPr>
          <w:b/>
          <w:i/>
        </w:rPr>
        <w:t>k</w:t>
      </w:r>
      <w:r>
        <w:t xml:space="preserve"> points. A convergence is needed to select the </w:t>
      </w:r>
      <w:r w:rsidRPr="008C71F2">
        <w:rPr>
          <w:noProof/>
        </w:rPr>
        <w:t>best</w:t>
      </w:r>
      <w:r>
        <w:t xml:space="preserve"> </w:t>
      </w:r>
      <w:r w:rsidRPr="00A0420B">
        <w:rPr>
          <w:b/>
          <w:i/>
        </w:rPr>
        <w:t>k</w:t>
      </w:r>
      <w:r>
        <w:t xml:space="preserve"> points number. Similarly, another term is the selection of </w:t>
      </w:r>
      <w:r w:rsidRPr="006E114A">
        <w:rPr>
          <w:b/>
        </w:rPr>
        <w:t>G</w:t>
      </w:r>
      <w:r w:rsidRPr="006E114A">
        <w:t>.</w:t>
      </w:r>
      <w:r>
        <w:t xml:space="preserve"> According to </w:t>
      </w:r>
      <w:r w:rsidRPr="008C71F2">
        <w:rPr>
          <w:i/>
          <w:noProof/>
        </w:rPr>
        <w:t>eq</w:t>
      </w:r>
      <w:r>
        <w:t xml:space="preserve">. 39, the sum of the plane wave set is over all possible G vectors, but it is impossible to do the </w:t>
      </w:r>
      <w:r w:rsidRPr="00497F55">
        <w:rPr>
          <w:noProof/>
        </w:rPr>
        <w:t>summation</w:t>
      </w:r>
      <w:r>
        <w:t xml:space="preserve"> over infinite </w:t>
      </w:r>
      <w:r w:rsidRPr="00904566">
        <w:rPr>
          <w:b/>
        </w:rPr>
        <w:t>G</w:t>
      </w:r>
      <w:r w:rsidRPr="00904566">
        <w:t>.</w:t>
      </w:r>
      <w:r>
        <w:t xml:space="preserve"> However, considering </w:t>
      </w:r>
      <m:oMath>
        <m:sSub>
          <m:sSubPr>
            <m:ctrlPr>
              <w:rPr>
                <w:rFonts w:ascii="Cambria Math" w:hAnsi="Cambria Math"/>
                <w:i/>
              </w:rPr>
            </m:ctrlPr>
          </m:sSubPr>
          <m:e>
            <m:r>
              <w:rPr>
                <w:rFonts w:ascii="Cambria Math" w:hAnsi="Cambria Math"/>
              </w:rPr>
              <m:t>c</m:t>
            </m:r>
          </m:e>
          <m:sub>
            <m:r>
              <w:rPr>
                <w:rFonts w:ascii="Cambria Math" w:hAnsi="Cambria Math"/>
              </w:rPr>
              <m:t>G,k</m:t>
            </m:r>
          </m:sub>
        </m:sSub>
      </m:oMath>
      <w:r>
        <w:t xml:space="preserve"> becomes smaller as </w:t>
      </w:r>
      <m:oMath>
        <m:sSup>
          <m:sSupPr>
            <m:ctrlPr>
              <w:rPr>
                <w:rFonts w:ascii="Cambria Math" w:hAnsi="Cambria Math"/>
              </w:rPr>
            </m:ctrlPr>
          </m:sSupPr>
          <m:e>
            <m:d>
              <m:dPr>
                <m:begChr m:val="|"/>
                <m:endChr m:val="|"/>
                <m:ctrlPr>
                  <w:rPr>
                    <w:rFonts w:ascii="Cambria Math" w:hAnsi="Cambria Math"/>
                  </w:rPr>
                </m:ctrlPr>
              </m:dPr>
              <m:e>
                <m:r>
                  <m:rPr>
                    <m:sty m:val="bi"/>
                  </m:rPr>
                  <w:rPr>
                    <w:rFonts w:ascii="Cambria Math" w:hAnsi="Cambria Math"/>
                  </w:rPr>
                  <m:t>G</m:t>
                </m:r>
              </m:e>
            </m:d>
          </m:e>
          <m:sup>
            <m:r>
              <w:rPr>
                <w:rFonts w:ascii="Cambria Math" w:hAnsi="Cambria Math"/>
              </w:rPr>
              <m:t>2</m:t>
            </m:r>
          </m:sup>
        </m:sSup>
      </m:oMath>
      <w:r>
        <w:t xml:space="preserve"> becomes larger, it is possible to find the best </w:t>
      </w:r>
      <w:r w:rsidRPr="00904566">
        <w:rPr>
          <w:b/>
        </w:rPr>
        <w:t>G</w:t>
      </w:r>
      <w:r>
        <w:t xml:space="preserve"> to solve </w:t>
      </w:r>
      <w:r w:rsidRPr="00C80AE6">
        <w:rPr>
          <w:i/>
        </w:rPr>
        <w:t>eq</w:t>
      </w:r>
      <w:r>
        <w:t xml:space="preserve">. 39. Making an approximation of the kinetic energy term in </w:t>
      </w:r>
      <w:r w:rsidRPr="00C80AE6">
        <w:rPr>
          <w:i/>
        </w:rPr>
        <w:t>eq</w:t>
      </w:r>
      <w:r>
        <w:t>. 20, the energy term can be expressed as:</w:t>
      </w:r>
    </w:p>
    <w:p w14:paraId="17B1CA9C" w14:textId="77777777" w:rsidR="00624970" w:rsidRPr="002F6C6E" w:rsidRDefault="00624970" w:rsidP="00624970">
      <w:pPr>
        <w:spacing w:afterLines="60" w:after="144" w:line="360" w:lineRule="auto"/>
        <w:jc w:val="right"/>
      </w:pPr>
      <m:oMath>
        <m:r>
          <w:rPr>
            <w:rFonts w:ascii="Cambria Math" w:hAnsi="Cambria Math"/>
          </w:rPr>
          <m:t>E</m:t>
        </m:r>
        <m:d>
          <m:dPr>
            <m:ctrlPr>
              <w:rPr>
                <w:rFonts w:ascii="Cambria Math" w:hAnsi="Cambria Math"/>
              </w:rPr>
            </m:ctrlPr>
          </m:dPr>
          <m:e>
            <m:r>
              <m:rPr>
                <m:sty m:val="bi"/>
              </m:rPr>
              <w:rPr>
                <w:rFonts w:ascii="Cambria Math" w:hAnsi="Cambria Math"/>
              </w:rPr>
              <m:t>k</m:t>
            </m:r>
          </m:e>
        </m:d>
        <m:r>
          <m:rPr>
            <m:sty m:val="p"/>
          </m:rPr>
          <w:rPr>
            <w:rFonts w:ascii="Cambria Math" w:hAnsi="Cambria Math"/>
          </w:rPr>
          <m:t>=-</m:t>
        </m:r>
        <m:f>
          <m:fPr>
            <m:ctrlPr>
              <w:rPr>
                <w:rFonts w:ascii="Cambria Math" w:hAnsi="Cambria Math" w:cstheme="minorHAnsi"/>
              </w:rPr>
            </m:ctrlPr>
          </m:fPr>
          <m:num>
            <m:sSup>
              <m:sSupPr>
                <m:ctrlPr>
                  <w:rPr>
                    <w:rFonts w:ascii="Cambria Math" w:eastAsia="CIDFont+F9" w:hAnsi="Cambria Math" w:cs="CIDFont+F9"/>
                    <w:b/>
                    <w:sz w:val="21"/>
                    <w:szCs w:val="21"/>
                  </w:rPr>
                </m:ctrlPr>
              </m:sSupPr>
              <m:e>
                <m:r>
                  <m:rPr>
                    <m:sty m:val="b"/>
                  </m:rPr>
                  <w:rPr>
                    <w:rFonts w:ascii="Cambria Math" w:eastAsia="CIDFont+F9" w:hAnsi="Cambria Math" w:cs="CIDFont+F9" w:hint="eastAsia"/>
                    <w:sz w:val="21"/>
                    <w:szCs w:val="21"/>
                  </w:rPr>
                  <m:t>ℏ</m:t>
                </m:r>
              </m:e>
              <m:sup>
                <m:r>
                  <m:rPr>
                    <m:sty m:val="bi"/>
                  </m:rPr>
                  <w:rPr>
                    <w:rFonts w:ascii="Cambria Math" w:eastAsia="CIDFont+F9" w:hAnsi="Cambria Math" w:cs="CIDFont+F9"/>
                    <w:sz w:val="21"/>
                    <w:szCs w:val="21"/>
                  </w:rPr>
                  <m:t>2</m:t>
                </m:r>
              </m:sup>
            </m:sSup>
          </m:num>
          <m:den>
            <m:r>
              <w:rPr>
                <w:rFonts w:ascii="Cambria Math" w:hAnsi="Cambria Math" w:cstheme="minorHAnsi"/>
              </w:rPr>
              <m:t>2</m:t>
            </m:r>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e</m:t>
                </m:r>
              </m:sub>
            </m:sSub>
          </m:den>
        </m:f>
        <m:nary>
          <m:naryPr>
            <m:limLoc m:val="undOvr"/>
            <m:subHide m:val="1"/>
            <m:supHide m:val="1"/>
            <m:ctrlPr>
              <w:rPr>
                <w:rFonts w:ascii="Cambria Math" w:hAnsi="Cambria Math"/>
                <w:i/>
              </w:rPr>
            </m:ctrlPr>
          </m:naryPr>
          <m:sub/>
          <m:sup/>
          <m:e>
            <m:sSubSup>
              <m:sSubSupPr>
                <m:ctrlPr>
                  <w:rPr>
                    <w:rFonts w:ascii="Cambria Math" w:hAnsi="Cambria Math"/>
                    <w:i/>
                  </w:rPr>
                </m:ctrlPr>
              </m:sSubSupPr>
              <m:e>
                <m:r>
                  <w:rPr>
                    <w:rFonts w:ascii="Cambria Math" w:eastAsia="等线" w:hAnsi="Cambria Math" w:cs="GreekC"/>
                  </w:rPr>
                  <m:t>ψ</m:t>
                </m:r>
              </m:e>
              <m:sub>
                <m:r>
                  <w:rPr>
                    <w:rFonts w:ascii="Cambria Math" w:hAnsi="Cambria Math"/>
                  </w:rPr>
                  <m:t>i</m:t>
                </m:r>
              </m:sub>
              <m:sup>
                <m:r>
                  <w:rPr>
                    <w:rFonts w:ascii="Cambria Math" w:hAnsi="Cambria Math"/>
                  </w:rPr>
                  <m:t>*</m:t>
                </m:r>
              </m:sup>
            </m:sSubSup>
            <m:d>
              <m:dPr>
                <m:ctrlPr>
                  <w:rPr>
                    <w:rFonts w:ascii="Cambria Math" w:hAnsi="Cambria Math"/>
                    <w:i/>
                  </w:rPr>
                </m:ctrlPr>
              </m:dPr>
              <m:e>
                <m:r>
                  <m:rPr>
                    <m:sty m:val="bi"/>
                  </m:rPr>
                  <w:rPr>
                    <w:rFonts w:ascii="Cambria Math" w:hAnsi="Cambria Math"/>
                  </w:rPr>
                  <m:t>r</m:t>
                </m:r>
              </m:e>
            </m:d>
            <m:sSup>
              <m:sSupPr>
                <m:ctrlPr>
                  <w:rPr>
                    <w:rFonts w:ascii="Cambria Math" w:hAnsi="Cambria Math"/>
                    <w:i/>
                  </w:rPr>
                </m:ctrlPr>
              </m:sSupPr>
              <m:e>
                <m:r>
                  <m:rPr>
                    <m:sty m:val="p"/>
                  </m:rPr>
                  <w:rPr>
                    <w:rFonts w:ascii="Cambria Math" w:hAnsi="Cambria Math"/>
                  </w:rPr>
                  <m:t>∇</m:t>
                </m:r>
              </m:e>
              <m:sup>
                <m:r>
                  <w:rPr>
                    <w:rFonts w:ascii="Cambria Math" w:hAnsi="Cambria Math"/>
                  </w:rPr>
                  <m:t>2</m:t>
                </m:r>
              </m:sup>
            </m:sSup>
            <m:sSub>
              <m:sSubPr>
                <m:ctrlPr>
                  <w:rPr>
                    <w:rFonts w:ascii="Cambria Math" w:hAnsi="Cambria Math"/>
                    <w:i/>
                  </w:rPr>
                </m:ctrlPr>
              </m:sSubPr>
              <m:e>
                <m:r>
                  <w:rPr>
                    <w:rFonts w:ascii="Cambria Math" w:eastAsia="等线" w:hAnsi="Cambria Math" w:cs="GreekC"/>
                  </w:rPr>
                  <m:t>ψ</m:t>
                </m:r>
              </m:e>
              <m:sub>
                <m:r>
                  <w:rPr>
                    <w:rFonts w:ascii="Cambria Math" w:hAnsi="Cambria Math"/>
                  </w:rPr>
                  <m:t>i</m:t>
                </m:r>
              </m:sub>
            </m:sSub>
            <m:d>
              <m:dPr>
                <m:ctrlPr>
                  <w:rPr>
                    <w:rFonts w:ascii="Cambria Math" w:hAnsi="Cambria Math"/>
                    <w:i/>
                  </w:rPr>
                </m:ctrlPr>
              </m:dPr>
              <m:e>
                <m:r>
                  <m:rPr>
                    <m:sty m:val="bi"/>
                  </m:rPr>
                  <w:rPr>
                    <w:rFonts w:ascii="Cambria Math" w:hAnsi="Cambria Math"/>
                  </w:rPr>
                  <m:t>r</m:t>
                </m:r>
              </m:e>
            </m:d>
          </m:e>
        </m:nary>
        <m:sSup>
          <m:sSupPr>
            <m:ctrlPr>
              <w:rPr>
                <w:rFonts w:ascii="Cambria Math" w:hAnsi="Cambria Math"/>
                <w:i/>
              </w:rPr>
            </m:ctrlPr>
          </m:sSupPr>
          <m:e>
            <m:r>
              <w:rPr>
                <w:rFonts w:ascii="Cambria Math" w:hAnsi="Cambria Math"/>
              </w:rPr>
              <m:t>d</m:t>
            </m:r>
          </m:e>
          <m:sup>
            <m:r>
              <w:rPr>
                <w:rFonts w:ascii="Cambria Math" w:hAnsi="Cambria Math"/>
              </w:rPr>
              <m:t>3</m:t>
            </m:r>
          </m:sup>
        </m:sSup>
        <m:r>
          <m:rPr>
            <m:sty m:val="bi"/>
          </m:rPr>
          <w:rPr>
            <w:rFonts w:ascii="Cambria Math" w:hAnsi="Cambria Math"/>
          </w:rPr>
          <m:t>r</m:t>
        </m:r>
        <m:r>
          <m:rPr>
            <m:sty m:val="p"/>
          </m:rPr>
          <w:rPr>
            <w:rFonts w:ascii="Cambria Math" w:hAnsi="Cambria Math"/>
          </w:rPr>
          <m:t>≈</m:t>
        </m:r>
        <m:f>
          <m:fPr>
            <m:ctrlPr>
              <w:rPr>
                <w:rFonts w:ascii="Cambria Math" w:hAnsi="Cambria Math" w:cstheme="minorHAnsi"/>
              </w:rPr>
            </m:ctrlPr>
          </m:fPr>
          <m:num>
            <m:sSup>
              <m:sSupPr>
                <m:ctrlPr>
                  <w:rPr>
                    <w:rFonts w:ascii="Cambria Math" w:eastAsia="CIDFont+F9" w:hAnsi="Cambria Math" w:cs="CIDFont+F9"/>
                    <w:b/>
                    <w:sz w:val="21"/>
                    <w:szCs w:val="21"/>
                  </w:rPr>
                </m:ctrlPr>
              </m:sSupPr>
              <m:e>
                <m:r>
                  <m:rPr>
                    <m:sty m:val="b"/>
                  </m:rPr>
                  <w:rPr>
                    <w:rFonts w:ascii="Cambria Math" w:eastAsia="CIDFont+F9" w:hAnsi="Cambria Math" w:cs="CIDFont+F9" w:hint="eastAsia"/>
                    <w:sz w:val="21"/>
                    <w:szCs w:val="21"/>
                  </w:rPr>
                  <m:t>ℏ</m:t>
                </m:r>
              </m:e>
              <m:sup>
                <m:r>
                  <m:rPr>
                    <m:sty m:val="bi"/>
                  </m:rPr>
                  <w:rPr>
                    <w:rFonts w:ascii="Cambria Math" w:eastAsia="CIDFont+F9" w:hAnsi="Cambria Math" w:cs="CIDFont+F9"/>
                    <w:sz w:val="21"/>
                    <w:szCs w:val="21"/>
                  </w:rPr>
                  <m:t>2</m:t>
                </m:r>
              </m:sup>
            </m:sSup>
          </m:num>
          <m:den>
            <m:r>
              <w:rPr>
                <w:rFonts w:ascii="Cambria Math" w:hAnsi="Cambria Math" w:cstheme="minorHAnsi"/>
              </w:rPr>
              <m:t>2</m:t>
            </m:r>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e</m:t>
                </m:r>
              </m:sub>
            </m:sSub>
          </m:den>
        </m:f>
        <m:sSup>
          <m:sSupPr>
            <m:ctrlPr>
              <w:rPr>
                <w:rFonts w:ascii="Cambria Math" w:hAnsi="Cambria Math" w:cstheme="minorHAnsi"/>
                <w:i/>
              </w:rPr>
            </m:ctrlPr>
          </m:sSupPr>
          <m:e>
            <m:d>
              <m:dPr>
                <m:ctrlPr>
                  <w:rPr>
                    <w:rFonts w:ascii="Cambria Math" w:hAnsi="Cambria Math" w:cstheme="minorHAnsi"/>
                    <w:i/>
                  </w:rPr>
                </m:ctrlPr>
              </m:dPr>
              <m:e>
                <m:r>
                  <m:rPr>
                    <m:sty m:val="bi"/>
                  </m:rPr>
                  <w:rPr>
                    <w:rFonts w:ascii="Cambria Math" w:hAnsi="Cambria Math" w:cstheme="minorHAnsi"/>
                  </w:rPr>
                  <m:t>k</m:t>
                </m:r>
                <m:r>
                  <w:rPr>
                    <w:rFonts w:ascii="Cambria Math" w:hAnsi="Cambria Math" w:cstheme="minorHAnsi"/>
                  </w:rPr>
                  <m:t>+</m:t>
                </m:r>
                <m:r>
                  <m:rPr>
                    <m:sty m:val="bi"/>
                  </m:rPr>
                  <w:rPr>
                    <w:rFonts w:ascii="Cambria Math" w:hAnsi="Cambria Math" w:cstheme="minorHAnsi"/>
                  </w:rPr>
                  <m:t>G</m:t>
                </m:r>
              </m:e>
            </m:d>
          </m:e>
          <m:sup>
            <m:r>
              <w:rPr>
                <w:rFonts w:ascii="Cambria Math" w:hAnsi="Cambria Math" w:cstheme="minorHAnsi"/>
              </w:rPr>
              <m:t>2</m:t>
            </m:r>
          </m:sup>
        </m:sSup>
        <m:r>
          <m:rPr>
            <m:sty m:val="p"/>
          </m:rPr>
          <w:rPr>
            <w:rFonts w:ascii="Cambria Math" w:hAnsi="Cambria Math"/>
          </w:rPr>
          <m:t>∝</m:t>
        </m:r>
        <m:f>
          <m:fPr>
            <m:ctrlPr>
              <w:rPr>
                <w:rFonts w:ascii="Cambria Math" w:hAnsi="Cambria Math" w:cstheme="minorHAnsi"/>
              </w:rPr>
            </m:ctrlPr>
          </m:fPr>
          <m:num>
            <m:sSup>
              <m:sSupPr>
                <m:ctrlPr>
                  <w:rPr>
                    <w:rFonts w:ascii="Cambria Math" w:eastAsia="CIDFont+F9" w:hAnsi="Cambria Math" w:cs="CIDFont+F9"/>
                    <w:b/>
                    <w:sz w:val="21"/>
                    <w:szCs w:val="21"/>
                  </w:rPr>
                </m:ctrlPr>
              </m:sSupPr>
              <m:e>
                <m:r>
                  <m:rPr>
                    <m:sty m:val="b"/>
                  </m:rPr>
                  <w:rPr>
                    <w:rFonts w:ascii="Cambria Math" w:eastAsia="CIDFont+F9" w:hAnsi="Cambria Math" w:cs="CIDFont+F9" w:hint="eastAsia"/>
                    <w:sz w:val="21"/>
                    <w:szCs w:val="21"/>
                  </w:rPr>
                  <m:t>ℏ</m:t>
                </m:r>
              </m:e>
              <m:sup>
                <m:r>
                  <m:rPr>
                    <m:sty m:val="bi"/>
                  </m:rPr>
                  <w:rPr>
                    <w:rFonts w:ascii="Cambria Math" w:eastAsia="CIDFont+F9" w:hAnsi="Cambria Math" w:cs="CIDFont+F9"/>
                    <w:sz w:val="21"/>
                    <w:szCs w:val="21"/>
                  </w:rPr>
                  <m:t>2</m:t>
                </m:r>
              </m:sup>
            </m:sSup>
          </m:num>
          <m:den>
            <m:r>
              <w:rPr>
                <w:rFonts w:ascii="Cambria Math" w:hAnsi="Cambria Math" w:cstheme="minorHAnsi"/>
              </w:rPr>
              <m:t>2</m:t>
            </m:r>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e</m:t>
                </m:r>
              </m:sub>
            </m:sSub>
          </m:den>
        </m:f>
        <m:sSup>
          <m:sSupPr>
            <m:ctrlPr>
              <w:rPr>
                <w:rFonts w:ascii="Cambria Math" w:hAnsi="Cambria Math" w:cstheme="minorHAnsi"/>
                <w:i/>
              </w:rPr>
            </m:ctrlPr>
          </m:sSupPr>
          <m:e>
            <m:r>
              <m:rPr>
                <m:sty m:val="bi"/>
              </m:rPr>
              <w:rPr>
                <w:rFonts w:ascii="Cambria Math" w:hAnsi="Cambria Math" w:cstheme="minorHAnsi"/>
              </w:rPr>
              <m:t>G</m:t>
            </m:r>
          </m:e>
          <m:sup>
            <m:r>
              <w:rPr>
                <w:rFonts w:ascii="Cambria Math" w:hAnsi="Cambria Math" w:cstheme="minorHAnsi"/>
              </w:rPr>
              <m:t>2</m:t>
            </m:r>
          </m:sup>
        </m:sSup>
        <m:r>
          <w:rPr>
            <w:rFonts w:ascii="Cambria Math" w:hAnsi="Cambria Math" w:cstheme="minorHAnsi"/>
          </w:rPr>
          <m:t>=</m:t>
        </m:r>
        <m:sSub>
          <m:sSubPr>
            <m:ctrlPr>
              <w:rPr>
                <w:rFonts w:ascii="Cambria Math" w:hAnsi="Cambria Math"/>
              </w:rPr>
            </m:ctrlPr>
          </m:sSubPr>
          <m:e>
            <m:r>
              <w:rPr>
                <w:rFonts w:ascii="Cambria Math" w:hAnsi="Cambria Math"/>
              </w:rPr>
              <m:t>E</m:t>
            </m:r>
          </m:e>
          <m:sub>
            <m:r>
              <w:rPr>
                <w:rFonts w:ascii="Cambria Math" w:hAnsi="Cambria Math"/>
              </w:rPr>
              <m:t>cut</m:t>
            </m:r>
          </m:sub>
        </m:sSub>
      </m:oMath>
      <w:r>
        <w:rPr>
          <w:rFonts w:hint="eastAsia"/>
        </w:rPr>
        <w:t xml:space="preserve"> </w:t>
      </w:r>
      <w:r>
        <w:t xml:space="preserve">               </w:t>
      </w:r>
      <w:r>
        <w:rPr>
          <w:rFonts w:hint="eastAsia"/>
        </w:rPr>
        <w:t>(</w:t>
      </w:r>
      <w:r>
        <w:t>40)</w:t>
      </w:r>
    </w:p>
    <w:p w14:paraId="1AB67B18" w14:textId="77777777" w:rsidR="00624970" w:rsidRPr="001B35DB" w:rsidRDefault="00624970" w:rsidP="00624970">
      <w:pPr>
        <w:spacing w:afterLines="60" w:after="144" w:line="360" w:lineRule="auto"/>
        <w:jc w:val="both"/>
      </w:pPr>
      <w:r>
        <w:t xml:space="preserve">Thus, the cut-off energy, </w:t>
      </w:r>
      <m:oMath>
        <m:sSub>
          <m:sSubPr>
            <m:ctrlPr>
              <w:rPr>
                <w:rFonts w:ascii="Cambria Math" w:hAnsi="Cambria Math"/>
              </w:rPr>
            </m:ctrlPr>
          </m:sSubPr>
          <m:e>
            <m:r>
              <w:rPr>
                <w:rFonts w:ascii="Cambria Math" w:hAnsi="Cambria Math"/>
              </w:rPr>
              <m:t>E</m:t>
            </m:r>
          </m:e>
          <m:sub>
            <m:r>
              <w:rPr>
                <w:rFonts w:ascii="Cambria Math" w:hAnsi="Cambria Math"/>
              </w:rPr>
              <m:t>cut</m:t>
            </m:r>
          </m:sub>
        </m:sSub>
      </m:oMath>
      <w:r>
        <w:t xml:space="preserve">, is proposed. When calculating </w:t>
      </w:r>
      <w:r w:rsidRPr="00C80AE6">
        <w:rPr>
          <w:i/>
        </w:rPr>
        <w:t>eq</w:t>
      </w:r>
      <w:r>
        <w:t xml:space="preserve">. 20 only plane waves whose energies are smaller than </w:t>
      </w:r>
      <m:oMath>
        <m:sSub>
          <m:sSubPr>
            <m:ctrlPr>
              <w:rPr>
                <w:rFonts w:ascii="Cambria Math" w:hAnsi="Cambria Math"/>
              </w:rPr>
            </m:ctrlPr>
          </m:sSubPr>
          <m:e>
            <m:r>
              <w:rPr>
                <w:rFonts w:ascii="Cambria Math" w:hAnsi="Cambria Math"/>
              </w:rPr>
              <m:t>E</m:t>
            </m:r>
          </m:e>
          <m:sub>
            <m:r>
              <w:rPr>
                <w:rFonts w:ascii="Cambria Math" w:hAnsi="Cambria Math"/>
              </w:rPr>
              <m:t>cut</m:t>
            </m:r>
          </m:sub>
        </m:sSub>
      </m:oMath>
      <w:r>
        <w:t xml:space="preserve"> were considered. After a convergence process, both </w:t>
      </w:r>
      <w:r w:rsidRPr="00F821D9">
        <w:rPr>
          <w:b/>
          <w:i/>
        </w:rPr>
        <w:t>k</w:t>
      </w:r>
      <w:r>
        <w:t xml:space="preserve"> points and </w:t>
      </w:r>
      <m:oMath>
        <m:sSub>
          <m:sSubPr>
            <m:ctrlPr>
              <w:rPr>
                <w:rFonts w:ascii="Cambria Math" w:hAnsi="Cambria Math"/>
              </w:rPr>
            </m:ctrlPr>
          </m:sSubPr>
          <m:e>
            <m:r>
              <w:rPr>
                <w:rFonts w:ascii="Cambria Math" w:hAnsi="Cambria Math"/>
              </w:rPr>
              <m:t>E</m:t>
            </m:r>
          </m:e>
          <m:sub>
            <m:r>
              <w:rPr>
                <w:rFonts w:ascii="Cambria Math" w:hAnsi="Cambria Math"/>
              </w:rPr>
              <m:t>cut</m:t>
            </m:r>
          </m:sub>
        </m:sSub>
      </m:oMath>
      <w:r>
        <w:t xml:space="preserve">  can be determined, following this the ground state energy can be derived. Currentl</w:t>
      </w:r>
      <w:r w:rsidRPr="00497F55">
        <w:rPr>
          <w:noProof/>
        </w:rPr>
        <w:t>y</w:t>
      </w:r>
      <w:r>
        <w:rPr>
          <w:noProof/>
        </w:rPr>
        <w:t>,</w:t>
      </w:r>
      <w:r w:rsidRPr="00497F55">
        <w:rPr>
          <w:noProof/>
        </w:rPr>
        <w:t xml:space="preserve"> there a</w:t>
      </w:r>
      <w:r>
        <w:t>re a number of software packages developed to solve this problem, VASP</w:t>
      </w:r>
      <w:r>
        <w:fldChar w:fldCharType="begin" w:fldLock="1"/>
      </w:r>
      <w:r>
        <w:instrText>ADDIN CSL_CITATION {"citationItems":[{"id":"ITEM-1","itemData":{"DOI":"10.1016/0022-3093(95)00355-X","ISBN":"0163-1829 (Print)\\n0163-1829 (Linking)","ISSN":"00223093","PMID":"9984901","abstract":"In recent years, ab initio molecular dynamics (MD) techniques have made a profound impact on the investigation of the structure of the electronic and dynamic properties of liquid and amorphous materials. In this paper, recent developments in this field are reviewed and it is shown that the exact calculation of the electronic groundstate at each MD timestep is feasible using modern iterative matrix diagonalization algorithms. Together with the use of ultrasoft pseudopotentials, ab initio MD simulations can be extended to open-shell transition metals with a high density of states at the Fermi-level. The technique is applied to a number of interesting cases: (a) liquid simple metals (Li, Na, Al, Ge), (b) liquid transition metals (Cu, V), and (c) the transition from a liquid metal to an amorphous semiconductor by the rapid quenching of Ge. © 1995, All rights reserved.","author":[{"dropping-particle":"","family":"Kresse","given":"G.","non-dropping-particle":"","parse-names":false,"suffix":""}],"container-title":"Journal of Non-Crystalline Solids","id":"ITEM-1","issued":{"date-parts":[["1995"]]},"title":"Ab initio molecular dynamics for liquid metals","type":"article-journal"},"uris":["http://www.mendeley.com/documents/?uuid=7221d884-d752-4701-ad39-cc38cfde7e2c","http://www.mendeley.com/documents/?uuid=9ed84f74-1538-4954-acbb-7145ee55c416"]}],"mendeley":{"formattedCitation":"[73]","plainTextFormattedCitation":"[73]","previouslyFormattedCitation":"[73]"},"properties":{"noteIndex":0},"schema":"https://github.com/citation-style-language/schema/raw/master/csl-citation.json"}</w:instrText>
      </w:r>
      <w:r>
        <w:fldChar w:fldCharType="separate"/>
      </w:r>
      <w:r w:rsidRPr="003B39BC">
        <w:rPr>
          <w:noProof/>
        </w:rPr>
        <w:t>[73]</w:t>
      </w:r>
      <w:r>
        <w:fldChar w:fldCharType="end"/>
      </w:r>
      <w:r>
        <w:t>, CASTEP</w:t>
      </w:r>
      <w:r>
        <w:fldChar w:fldCharType="begin" w:fldLock="1"/>
      </w:r>
      <w:r>
        <w:instrText>ADDIN CSL_CITATION {"citationItems":[{"id":"ITEM-1","itemData":{"DOI":"10.1088/0953-8984/14/11/301","ISBN":"0953-8984","ISSN":"09538984","PMID":"174901100002","abstract":"First-principles simulation, meaning density-functional theory calculations with plane waves and pseudopotentials, has become a prized technique in condensed-matter theory. Here I look at the basics of the suject, give a brief review of the theory, examining the strengths and weaknesses of its implementation, and illustrating some of the ways simulators approach problems through a small case study. I also discuss why and how modern software design methods have been used in writing a completely new modular version of the CASTEP code.","author":[{"dropping-particle":"","family":"Segall","given":"M. D.","non-dropping-particle":"","parse-names":false,"suffix":""},{"dropping-particle":"","family":"Lindan","given":"Philip J.D.","non-dropping-particle":"","parse-names":false,"suffix":""},{"dropping-particle":"","family":"Probert","given":"M. J.","non-dropping-particle":"","parse-names":false,"suffix":""},{"dropping-particle":"","family":"Pickard","given":"C. J.","non-dropping-particle":"","parse-names":false,"suffix":""},{"dropping-particle":"","family":"Hasnip","given":"P. J.","non-dropping-particle":"","parse-names":false,"suffix":""},{"dropping-particle":"","family":"Clark","given":"S. J.","non-dropping-particle":"","parse-names":false,"suffix":""},{"dropping-particle":"","family":"Payne","given":"M. C.","non-dropping-particle":"","parse-names":false,"suffix":""}],"container-title":"Journal of Physics Condensed Matter","id":"ITEM-1","issued":{"date-parts":[["2002"]]},"title":"First-principles simulation: Ideas, illustrations and the CASTEP code","type":"article-journal"},"uris":["http://www.mendeley.com/documents/?uuid=b523443e-493f-42e1-ac60-b1fa9babbeb7","http://www.mendeley.com/documents/?uuid=d03efecd-8569-4282-8add-e6abc475cdd4"]}],"mendeley":{"formattedCitation":"[74]","plainTextFormattedCitation":"[74]","previouslyFormattedCitation":"[74]"},"properties":{"noteIndex":0},"schema":"https://github.com/citation-style-language/schema/raw/master/csl-citation.json"}</w:instrText>
      </w:r>
      <w:r>
        <w:fldChar w:fldCharType="separate"/>
      </w:r>
      <w:r w:rsidRPr="003B39BC">
        <w:rPr>
          <w:noProof/>
        </w:rPr>
        <w:t>[74]</w:t>
      </w:r>
      <w:r>
        <w:fldChar w:fldCharType="end"/>
      </w:r>
      <w:r>
        <w:t xml:space="preserve">, EMTO-CPA </w:t>
      </w:r>
      <w:r>
        <w:fldChar w:fldCharType="begin" w:fldLock="1"/>
      </w:r>
      <w:r>
        <w:instrText>ADDIN CSL_CITATION {"citationItems":[{"id":"ITEM-1","itemData":{"DOI":"10.1007/978-1-84628-951-4","ISBN":"9781846289507","ISSN":"1098-6596","PMID":"14873118","abstract":"This is the only book to cover the most recent developments in applied quantum theory and their use in modeling materials properties. It describes new approaches to modeling disordered alloys and focuses on those approaches that combine the most efficient quantum-level theories of random alloys with the most sophisticated numerical techniques. In doing so, it establishes a theoretical insight into the electronic structure of complex materials such as stainless steels, Hume-Rothery alloys and silicates.","author":[{"dropping-particle":"","family":"Vitos","given":"Levente","non-dropping-particle":"","parse-names":false,"suffix":""}],"container-title":"Springer London","id":"ITEM-1","issued":{"date-parts":[["2007"]]},"title":"Computational Quantum Mechanics for Materials Engineers: The EMTO Method and Applications","type":"book"},"uris":["http://www.mendeley.com/documents/?uuid=1da40669-5574-4abf-ba63-4b3f2f239dd6","http://www.mendeley.com/documents/?uuid=f57dde9c-50b0-48a0-b4b0-8ad58a2d2bf5"]}],"mendeley":{"formattedCitation":"[75]","plainTextFormattedCitation":"[75]","previouslyFormattedCitation":"[75]"},"properties":{"noteIndex":0},"schema":"https://github.com/citation-style-language/schema/raw/master/csl-citation.json"}</w:instrText>
      </w:r>
      <w:r>
        <w:fldChar w:fldCharType="separate"/>
      </w:r>
      <w:r w:rsidRPr="003B39BC">
        <w:rPr>
          <w:noProof/>
        </w:rPr>
        <w:t>[75]</w:t>
      </w:r>
      <w:r>
        <w:fldChar w:fldCharType="end"/>
      </w:r>
      <w:r>
        <w:t>.</w:t>
      </w:r>
    </w:p>
    <w:p w14:paraId="659D18F0" w14:textId="77777777" w:rsidR="00624970" w:rsidRPr="001E3029" w:rsidRDefault="00624970" w:rsidP="00624970">
      <w:pPr>
        <w:pStyle w:val="4"/>
        <w:spacing w:before="0" w:afterLines="60" w:after="144" w:line="360" w:lineRule="auto"/>
        <w:rPr>
          <w:rFonts w:asciiTheme="minorHAnsi" w:hAnsiTheme="minorHAnsi"/>
          <w:b/>
          <w:i w:val="0"/>
          <w:color w:val="000000" w:themeColor="text1"/>
          <w:sz w:val="32"/>
          <w:szCs w:val="32"/>
        </w:rPr>
      </w:pPr>
      <w:bookmarkStart w:id="85" w:name="_Toc5618283"/>
      <w:r w:rsidRPr="001E3029">
        <w:rPr>
          <w:rFonts w:asciiTheme="minorHAnsi" w:hAnsiTheme="minorHAnsi"/>
          <w:b/>
          <w:i w:val="0"/>
          <w:color w:val="000000" w:themeColor="text1"/>
          <w:sz w:val="32"/>
          <w:szCs w:val="32"/>
        </w:rPr>
        <w:t>2.3.3.2 Predictions of HEAs phase stability by DFT</w:t>
      </w:r>
      <w:bookmarkEnd w:id="85"/>
    </w:p>
    <w:p w14:paraId="56D2AB7E" w14:textId="21F49434" w:rsidR="00624970" w:rsidRDefault="00624970" w:rsidP="00624970">
      <w:pPr>
        <w:spacing w:afterLines="60" w:after="144" w:line="360" w:lineRule="auto"/>
        <w:jc w:val="both"/>
      </w:pPr>
      <w:r w:rsidRPr="007D462F">
        <w:t xml:space="preserve">The phase stabilities of a </w:t>
      </w:r>
      <w:bookmarkStart w:id="86" w:name="OLE_LINK28"/>
      <w:r w:rsidRPr="007D462F">
        <w:t>designate</w:t>
      </w:r>
      <w:bookmarkEnd w:id="86"/>
      <w:r w:rsidRPr="007D462F">
        <w:t xml:space="preserve">d alloy system can be represented by the </w:t>
      </w:r>
      <w:r w:rsidRPr="008C71F2">
        <w:rPr>
          <w:noProof/>
        </w:rPr>
        <w:t>formation</w:t>
      </w:r>
      <w:r w:rsidRPr="007D462F">
        <w:t xml:space="preserve"> energy</w:t>
      </w:r>
      <w:r>
        <w:t>,</w:t>
      </w:r>
      <w:r w:rsidRPr="007D462F">
        <w:t xml:space="preserve"> </w:t>
      </w:r>
      <w:r w:rsidRPr="00497F55">
        <w:rPr>
          <w:noProof/>
        </w:rPr>
        <w:t>derived</w:t>
      </w:r>
      <w:r w:rsidRPr="5F7A2828">
        <w:t xml:space="preserve"> </w:t>
      </w:r>
      <w:r>
        <w:t>by</w:t>
      </w:r>
      <w:r w:rsidRPr="5F7A2828">
        <w:t xml:space="preserve"> </w:t>
      </w:r>
      <w:r w:rsidRPr="00497F55">
        <w:rPr>
          <w:noProof/>
        </w:rPr>
        <w:t>calculat</w:t>
      </w:r>
      <w:r>
        <w:rPr>
          <w:noProof/>
        </w:rPr>
        <w:t>ing</w:t>
      </w:r>
      <w:r w:rsidRPr="007D462F">
        <w:t xml:space="preserve"> the ground state energy of the system. </w:t>
      </w:r>
      <w:r>
        <w:t>O</w:t>
      </w:r>
      <w:r w:rsidRPr="007D462F">
        <w:t>nce the lattice structure and alloy components are determined</w:t>
      </w:r>
      <w:r w:rsidRPr="5F7A2828">
        <w:t>,</w:t>
      </w:r>
      <w:r w:rsidRPr="007D462F">
        <w:t xml:space="preserve"> the formation energy can </w:t>
      </w:r>
      <w:r w:rsidRPr="00497F55">
        <w:rPr>
          <w:noProof/>
        </w:rPr>
        <w:t>be calculated</w:t>
      </w:r>
      <w:r w:rsidRPr="5F7A2828">
        <w:t xml:space="preserve">. </w:t>
      </w:r>
      <w:r>
        <w:t>By</w:t>
      </w:r>
      <w:r w:rsidRPr="003263B7">
        <w:t xml:space="preserve"> comparing the formation energy of different possible lattice structures, the relative phase stability of targeted phase</w:t>
      </w:r>
      <w:r>
        <w:t>s</w:t>
      </w:r>
      <w:r w:rsidRPr="003263B7">
        <w:t xml:space="preserve"> over other structures can be derived. </w:t>
      </w:r>
      <w:r w:rsidRPr="007D462F">
        <w:t xml:space="preserve">The effectiveness and precision of using DFT to predict phase formation </w:t>
      </w:r>
      <w:r w:rsidRPr="00497F55">
        <w:rPr>
          <w:noProof/>
        </w:rPr>
        <w:t>ha</w:t>
      </w:r>
      <w:r>
        <w:rPr>
          <w:noProof/>
        </w:rPr>
        <w:t>s</w:t>
      </w:r>
      <w:r w:rsidRPr="5F7A2828">
        <w:t xml:space="preserve"> </w:t>
      </w:r>
      <w:r w:rsidRPr="00497F55">
        <w:rPr>
          <w:noProof/>
        </w:rPr>
        <w:t>been prove</w:t>
      </w:r>
      <w:r>
        <w:rPr>
          <w:noProof/>
        </w:rPr>
        <w:t>n</w:t>
      </w:r>
      <w:r w:rsidRPr="007D462F">
        <w:t xml:space="preserve"> in several binary alloy systems. An example is shown in </w:t>
      </w:r>
      <w:r>
        <w:t>Fig. 2-10</w:t>
      </w:r>
      <w:r w:rsidRPr="5F7A2828">
        <w:t xml:space="preserve"> </w:t>
      </w:r>
      <w:r>
        <w:t xml:space="preserve">for 30 Ti-X (X=Sc~Hg) alloy systems. Not only was the formation of the simple solid solution phase with BCC and </w:t>
      </w:r>
      <w:r>
        <w:rPr>
          <w:noProof/>
        </w:rPr>
        <w:t>HCP</w:t>
      </w:r>
      <w:r>
        <w:t xml:space="preserve"> structure </w:t>
      </w:r>
      <w:r w:rsidRPr="00497F55">
        <w:rPr>
          <w:noProof/>
        </w:rPr>
        <w:t>predicted</w:t>
      </w:r>
      <w:r>
        <w:rPr>
          <w:noProof/>
        </w:rPr>
        <w:t>,</w:t>
      </w:r>
      <w:r w:rsidRPr="5F7A2828">
        <w:t xml:space="preserve"> </w:t>
      </w:r>
      <w:r>
        <w:t>the isothermal omega phase</w:t>
      </w:r>
      <w:r w:rsidRPr="5F7A2828">
        <w:t xml:space="preserve"> (</w:t>
      </w:r>
      <w:r>
        <w:t xml:space="preserve">with space group P3m1) </w:t>
      </w:r>
      <w:r w:rsidRPr="00497F55">
        <w:rPr>
          <w:noProof/>
        </w:rPr>
        <w:t xml:space="preserve">was also </w:t>
      </w:r>
      <w:r>
        <w:rPr>
          <w:noProof/>
        </w:rPr>
        <w:t>determined</w:t>
      </w:r>
      <w:r>
        <w:t xml:space="preserve"> in this energy based phase diagram</w:t>
      </w:r>
      <w:bookmarkStart w:id="87" w:name="OLE_LINK54"/>
      <w:r>
        <w:t xml:space="preserve"> </w:t>
      </w:r>
      <w:r>
        <w:fldChar w:fldCharType="begin" w:fldLock="1"/>
      </w:r>
      <w:r>
        <w:instrText>ADDIN CSL_CITATION {"citationItems":[{"id":"ITEM-1","itemData":{"DOI":"10.1016/j.actamat.2016.04.059","ISBN":"1291701503375","ISSN":"13596454","abstract":"We have computed formation energies for all technologically relevant transition metal solutes in the α, β, and ω phases of Ti, employing ab initio simulations. We analyze and explain their periodic-table trends, and from their differences we derive stabilization energies which provide direct insight into phase stabilization effects of the various solutes with respect to α, β, and ω. This allows us to identify strong β stabilizers in the middle of each electronic d shell in consistency with experimental knowledge. Based on an extension of the stabilization energies to free energies we derive a wide range of Ti-transition metal phase diagrams. A detailed comparison to available experimental martensitic transformation temperatures and to measurements performed in this study shows that, despite some quantitative discrepancies, the qualitative trends can be expected to be correct. An important feature that is displayed by a limited range of the computed phase diagrams is a triple point at which the three phases, α, β, and ω, meet. This insight provides a plausible explanation for the complexity observed in gum metals, a class of Ti alloys with very special materials properties.","author":[{"dropping-particle":"","family":"Huang","given":"Liang Feng","non-dropping-particle":"","parse-names":false,"suffix":""},{"dropping-particle":"","family":"Grabowski","given":"Blazej","non-dropping-particle":"","parse-names":false,"suffix":""},{"dropping-particle":"","family":"Zhang","given":"Jian","non-dropping-particle":"","parse-names":false,"suffix":""},{"dropping-particle":"","family":"Lai","given":"Min Jie","non-dropping-particle":"","parse-names":false,"suffix":""},{"dropping-particle":"","family":"Tasan","given":"C. Cem","non-dropping-particle":"","parse-names":false,"suffix":""},{"dropping-particle":"","family":"Sandlöbes","given":"Stefanie","non-dropping-particle":"","parse-names":false,"suffix":""},{"dropping-particle":"","family":"Raabe","given":"Dierk","non-dropping-particle":"","parse-names":false,"suffix":""},{"dropping-particle":"","family":"Neugebauer","given":"Jörg","non-dropping-particle":"","parse-names":false,"suffix":""}],"container-title":"Acta Materialia","id":"ITEM-1","issued":{"date-parts":[["2016"]]},"title":"From electronic structure to phase diagrams: A bottom-up approach to understand the stability of titanium–transition metal alloys","type":"article-journal"},"uris":["http://www.mendeley.com/documents/?uuid=cb5b3640-f82a-46e3-8a50-4730ed2617b9","http://www.mendeley.com/documents/?uuid=b24cb7de-0844-4eca-94f8-7ee8e827a86b"]}],"mendeley":{"formattedCitation":"[76]","plainTextFormattedCitation":"[76]","previouslyFormattedCitation":"[76]"},"properties":{"noteIndex":0},"schema":"https://github.com/citation-style-language/schema/raw/master/csl-citation.json"}</w:instrText>
      </w:r>
      <w:r>
        <w:fldChar w:fldCharType="separate"/>
      </w:r>
      <w:r w:rsidRPr="003B39BC">
        <w:rPr>
          <w:noProof/>
        </w:rPr>
        <w:t>[76]</w:t>
      </w:r>
      <w:r>
        <w:fldChar w:fldCharType="end"/>
      </w:r>
      <w:bookmarkEnd w:id="87"/>
      <w:r w:rsidRPr="5F7A2828">
        <w:t xml:space="preserve">.  </w:t>
      </w:r>
    </w:p>
    <w:p w14:paraId="6B09E7B9" w14:textId="77777777" w:rsidR="00624970" w:rsidRDefault="00624970" w:rsidP="00624970">
      <w:pPr>
        <w:spacing w:afterLines="60" w:after="144" w:line="360" w:lineRule="auto"/>
        <w:jc w:val="center"/>
      </w:pPr>
      <w:r>
        <w:rPr>
          <w:b/>
          <w:bCs/>
          <w:noProof/>
          <w:lang w:val="en-US" w:eastAsia="en-US"/>
        </w:rPr>
        <w:lastRenderedPageBreak/>
        <w:drawing>
          <wp:inline distT="0" distB="0" distL="0" distR="0" wp14:anchorId="26D20FAD" wp14:editId="63B026CE">
            <wp:extent cx="4529455" cy="2914015"/>
            <wp:effectExtent l="0" t="0" r="4445" b="63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29455" cy="2914015"/>
                    </a:xfrm>
                    <a:prstGeom prst="rect">
                      <a:avLst/>
                    </a:prstGeom>
                    <a:noFill/>
                  </pic:spPr>
                </pic:pic>
              </a:graphicData>
            </a:graphic>
          </wp:inline>
        </w:drawing>
      </w:r>
    </w:p>
    <w:p w14:paraId="760B9412" w14:textId="1576A9D2" w:rsidR="00624970" w:rsidRPr="00A03FC4" w:rsidRDefault="00624970" w:rsidP="00624970">
      <w:pPr>
        <w:spacing w:afterLines="60" w:after="144" w:line="360" w:lineRule="auto"/>
        <w:rPr>
          <w:b/>
          <w:sz w:val="20"/>
        </w:rPr>
      </w:pPr>
      <w:bookmarkStart w:id="88" w:name="_Toc5617632"/>
      <w:bookmarkStart w:id="89" w:name="_Toc7364565"/>
      <w:bookmarkStart w:id="90" w:name="_Toc39312679"/>
      <w:r w:rsidRPr="00A03FC4">
        <w:rPr>
          <w:b/>
          <w:sz w:val="20"/>
        </w:rPr>
        <w:t>Figure</w:t>
      </w:r>
      <w:r>
        <w:rPr>
          <w:b/>
          <w:sz w:val="20"/>
        </w:rPr>
        <w:t xml:space="preserve"> 2-</w:t>
      </w:r>
      <w:r w:rsidRPr="008B6028">
        <w:rPr>
          <w:b/>
          <w:sz w:val="20"/>
        </w:rPr>
        <w:fldChar w:fldCharType="begin"/>
      </w:r>
      <w:r w:rsidRPr="008B6028">
        <w:rPr>
          <w:b/>
          <w:sz w:val="20"/>
        </w:rPr>
        <w:instrText xml:space="preserve"> SEQ Figure \* ARABIC </w:instrText>
      </w:r>
      <w:r w:rsidRPr="008B6028">
        <w:rPr>
          <w:b/>
          <w:sz w:val="20"/>
        </w:rPr>
        <w:fldChar w:fldCharType="separate"/>
      </w:r>
      <w:r>
        <w:rPr>
          <w:b/>
          <w:noProof/>
          <w:sz w:val="20"/>
        </w:rPr>
        <w:t>10</w:t>
      </w:r>
      <w:r w:rsidRPr="008B6028">
        <w:rPr>
          <w:b/>
          <w:sz w:val="20"/>
        </w:rPr>
        <w:fldChar w:fldCharType="end"/>
      </w:r>
      <w:r w:rsidRPr="00A03FC4">
        <w:rPr>
          <w:rFonts w:hint="eastAsia"/>
          <w:b/>
          <w:sz w:val="20"/>
        </w:rPr>
        <w:t xml:space="preserve"> </w:t>
      </w:r>
      <w:r w:rsidRPr="00A03FC4">
        <w:rPr>
          <w:b/>
          <w:sz w:val="20"/>
        </w:rPr>
        <w:t xml:space="preserve">Phase diagram </w:t>
      </w:r>
      <w:r w:rsidRPr="00A03FC4">
        <w:rPr>
          <w:rFonts w:hint="eastAsia"/>
          <w:b/>
          <w:sz w:val="20"/>
        </w:rPr>
        <w:t xml:space="preserve">of </w:t>
      </w:r>
      <w:r w:rsidRPr="008C71F2">
        <w:rPr>
          <w:rFonts w:hint="eastAsia"/>
          <w:b/>
          <w:noProof/>
          <w:sz w:val="20"/>
        </w:rPr>
        <w:t>Ti</w:t>
      </w:r>
      <w:r w:rsidRPr="008C71F2">
        <w:rPr>
          <w:rFonts w:hint="eastAsia"/>
          <w:b/>
          <w:noProof/>
          <w:sz w:val="20"/>
        </w:rPr>
        <w:t>–</w:t>
      </w:r>
      <w:r w:rsidRPr="008C71F2">
        <w:rPr>
          <w:b/>
          <w:noProof/>
          <w:sz w:val="20"/>
        </w:rPr>
        <w:t>X</w:t>
      </w:r>
      <w:r>
        <w:rPr>
          <w:b/>
          <w:noProof/>
          <w:sz w:val="20"/>
        </w:rPr>
        <w:t xml:space="preserve"> </w:t>
      </w:r>
      <w:r w:rsidRPr="00A03FC4">
        <w:rPr>
          <w:b/>
          <w:sz w:val="20"/>
        </w:rPr>
        <w:t>(X=Sc~Hg) binary</w:t>
      </w:r>
      <w:r w:rsidRPr="00A03FC4">
        <w:rPr>
          <w:rFonts w:hint="eastAsia"/>
          <w:b/>
          <w:sz w:val="20"/>
        </w:rPr>
        <w:t xml:space="preserve"> </w:t>
      </w:r>
      <w:r w:rsidRPr="00A03FC4">
        <w:rPr>
          <w:b/>
          <w:sz w:val="20"/>
        </w:rPr>
        <w:t>system</w:t>
      </w:r>
      <w:r w:rsidRPr="00A03FC4">
        <w:rPr>
          <w:rFonts w:hint="eastAsia"/>
          <w:b/>
          <w:sz w:val="20"/>
        </w:rPr>
        <w:t>.</w:t>
      </w:r>
      <w:r>
        <w:rPr>
          <w:b/>
          <w:sz w:val="20"/>
        </w:rPr>
        <w:t xml:space="preserve"> HCP</w:t>
      </w:r>
      <w:r w:rsidRPr="00A03FC4">
        <w:rPr>
          <w:b/>
          <w:sz w:val="20"/>
        </w:rPr>
        <w:t>,</w:t>
      </w:r>
      <w:r w:rsidRPr="00A03FC4">
        <w:rPr>
          <w:rFonts w:hint="eastAsia"/>
          <w:b/>
          <w:sz w:val="20"/>
        </w:rPr>
        <w:t xml:space="preserve"> </w:t>
      </w:r>
      <w:r>
        <w:rPr>
          <w:b/>
          <w:sz w:val="20"/>
        </w:rPr>
        <w:t>BCC</w:t>
      </w:r>
      <w:r w:rsidRPr="00A03FC4">
        <w:rPr>
          <w:b/>
          <w:sz w:val="20"/>
        </w:rPr>
        <w:t xml:space="preserve"> and </w:t>
      </w:r>
      <w:r w:rsidRPr="00A03FC4">
        <w:rPr>
          <w:rFonts w:hint="eastAsia"/>
          <w:b/>
          <w:sz w:val="20"/>
        </w:rPr>
        <w:t>o</w:t>
      </w:r>
      <w:r w:rsidRPr="00A03FC4">
        <w:rPr>
          <w:b/>
          <w:sz w:val="20"/>
        </w:rPr>
        <w:t>mega phase</w:t>
      </w:r>
      <w:r w:rsidRPr="00A03FC4">
        <w:rPr>
          <w:rFonts w:hint="eastAsia"/>
          <w:b/>
          <w:sz w:val="20"/>
        </w:rPr>
        <w:t xml:space="preserve"> </w:t>
      </w:r>
      <w:r w:rsidRPr="00A03FC4">
        <w:rPr>
          <w:b/>
          <w:sz w:val="20"/>
        </w:rPr>
        <w:t xml:space="preserve">are </w:t>
      </w:r>
      <w:r>
        <w:rPr>
          <w:b/>
          <w:sz w:val="20"/>
        </w:rPr>
        <w:t>presented</w:t>
      </w:r>
      <w:r w:rsidRPr="00A03FC4">
        <w:rPr>
          <w:b/>
          <w:sz w:val="20"/>
        </w:rPr>
        <w:t xml:space="preserve"> </w:t>
      </w:r>
      <w:r>
        <w:rPr>
          <w:b/>
          <w:sz w:val="20"/>
        </w:rPr>
        <w:t>in</w:t>
      </w:r>
      <w:r w:rsidRPr="00A03FC4">
        <w:rPr>
          <w:b/>
          <w:sz w:val="20"/>
        </w:rPr>
        <w:t xml:space="preserve"> yellow</w:t>
      </w:r>
      <w:r>
        <w:rPr>
          <w:b/>
          <w:sz w:val="20"/>
        </w:rPr>
        <w:t>,</w:t>
      </w:r>
      <w:r w:rsidRPr="00A03FC4">
        <w:rPr>
          <w:b/>
          <w:sz w:val="20"/>
        </w:rPr>
        <w:t xml:space="preserve"> red and blue </w:t>
      </w:r>
      <w:r>
        <w:rPr>
          <w:b/>
          <w:sz w:val="20"/>
        </w:rPr>
        <w:t xml:space="preserve">shading, </w:t>
      </w:r>
      <w:r w:rsidRPr="00A03FC4">
        <w:rPr>
          <w:b/>
          <w:sz w:val="20"/>
        </w:rPr>
        <w:t>respectively</w:t>
      </w:r>
      <w:r w:rsidRPr="00C02638">
        <w:rPr>
          <w:sz w:val="20"/>
        </w:rPr>
        <w:t xml:space="preserve"> </w:t>
      </w:r>
      <w:r w:rsidRPr="00C02638">
        <w:rPr>
          <w:sz w:val="20"/>
        </w:rPr>
        <w:fldChar w:fldCharType="begin" w:fldLock="1"/>
      </w:r>
      <w:r>
        <w:rPr>
          <w:sz w:val="20"/>
        </w:rPr>
        <w:instrText>ADDIN CSL_CITATION {"citationItems":[{"id":"ITEM-1","itemData":{"DOI":"10.1016/j.actamat.2016.04.059","ISBN":"1291701503375","ISSN":"13596454","abstract":"We have computed formation energies for all technologically relevant transition metal solutes in the α, β, and ω phases of Ti, employing ab initio simulations. We analyze and explain their periodic-table trends, and from their differences we derive stabilization energies which provide direct insight into phase stabilization effects of the various solutes with respect to α, β, and ω. This allows us to identify strong β stabilizers in the middle of each electronic d shell in consistency with experimental knowledge. Based on an extension of the stabilization energies to free energies we derive a wide range of Ti-transition metal phase diagrams. A detailed comparison to available experimental martensitic transformation temperatures and to measurements performed in this study shows that, despite some quantitative discrepancies, the qualitative trends can be expected to be correct. An important feature that is displayed by a limited range of the computed phase diagrams is a triple point at which the three phases, α, β, and ω, meet. This insight provides a plausible explanation for the complexity observed in gum metals, a class of Ti alloys with very special materials properties.","author":[{"dropping-particle":"","family":"Huang","given":"Liang Feng","non-dropping-particle":"","parse-names":false,"suffix":""},{"dropping-particle":"","family":"Grabowski","given":"Blazej","non-dropping-particle":"","parse-names":false,"suffix":""},{"dropping-particle":"","family":"Zhang","given":"Jian","non-dropping-particle":"","parse-names":false,"suffix":""},{"dropping-particle":"","family":"Lai","given":"Min Jie","non-dropping-particle":"","parse-names":false,"suffix":""},{"dropping-particle":"","family":"Tasan","given":"C. Cem","non-dropping-particle":"","parse-names":false,"suffix":""},{"dropping-particle":"","family":"Sandlöbes","given":"Stefanie","non-dropping-particle":"","parse-names":false,"suffix":""},{"dropping-particle":"","family":"Raabe","given":"Dierk","non-dropping-particle":"","parse-names":false,"suffix":""},{"dropping-particle":"","family":"Neugebauer","given":"Jörg","non-dropping-particle":"","parse-names":false,"suffix":""}],"container-title":"Acta Materialia","id":"ITEM-1","issued":{"date-parts":[["2016"]]},"title":"From electronic structure to phase diagrams: A bottom-up approach to understand the stability of titanium–transition metal alloys","type":"article-journal"},"uris":["http://www.mendeley.com/documents/?uuid=b24cb7de-0844-4eca-94f8-7ee8e827a86b","http://www.mendeley.com/documents/?uuid=cb5b3640-f82a-46e3-8a50-4730ed2617b9"]}],"mendeley":{"formattedCitation":"[76]","plainTextFormattedCitation":"[76]","previouslyFormattedCitation":"[76]"},"properties":{"noteIndex":0},"schema":"https://github.com/citation-style-language/schema/raw/master/csl-citation.json"}</w:instrText>
      </w:r>
      <w:r w:rsidRPr="00C02638">
        <w:rPr>
          <w:sz w:val="20"/>
        </w:rPr>
        <w:fldChar w:fldCharType="separate"/>
      </w:r>
      <w:bookmarkEnd w:id="88"/>
      <w:bookmarkEnd w:id="89"/>
      <w:r w:rsidRPr="003B39BC">
        <w:rPr>
          <w:noProof/>
          <w:sz w:val="20"/>
        </w:rPr>
        <w:t>[76]</w:t>
      </w:r>
      <w:r w:rsidRPr="00C02638">
        <w:rPr>
          <w:sz w:val="20"/>
        </w:rPr>
        <w:fldChar w:fldCharType="end"/>
      </w:r>
      <w:r>
        <w:rPr>
          <w:b/>
          <w:sz w:val="20"/>
        </w:rPr>
        <w:t>.</w:t>
      </w:r>
      <w:bookmarkEnd w:id="90"/>
    </w:p>
    <w:p w14:paraId="353C7E16" w14:textId="77777777" w:rsidR="00624970" w:rsidRDefault="00624970" w:rsidP="00624970">
      <w:pPr>
        <w:spacing w:afterLines="60" w:after="144" w:line="360" w:lineRule="auto"/>
        <w:jc w:val="both"/>
      </w:pPr>
      <w:r>
        <w:t>T</w:t>
      </w:r>
      <w:r w:rsidRPr="00330CB1">
        <w:t xml:space="preserve">he </w:t>
      </w:r>
      <w:r>
        <w:t xml:space="preserve">application of DFT to </w:t>
      </w:r>
      <w:r w:rsidRPr="008C71F2">
        <w:rPr>
          <w:noProof/>
        </w:rPr>
        <w:t>binary</w:t>
      </w:r>
      <w:r>
        <w:t xml:space="preserve"> systems was quite successful, however, the limits of using DFT on multi-component HEAs or any multi-component alloy system with components &gt;3 is evident. Firstly, to predict the relative phase stability of certain compositions, the calculation of selected phases with corresponding lattice structures are required. This is to determine those possessing with the </w:t>
      </w:r>
      <w:r w:rsidRPr="008C71F2">
        <w:rPr>
          <w:noProof/>
        </w:rPr>
        <w:t>lowest</w:t>
      </w:r>
      <w:r>
        <w:t xml:space="preserve"> formation energy as the most stable phase. For a </w:t>
      </w:r>
      <w:r w:rsidRPr="008C71F2">
        <w:rPr>
          <w:noProof/>
        </w:rPr>
        <w:t>multi-component</w:t>
      </w:r>
      <w:r>
        <w:t xml:space="preserve"> system, the candidate phases may vary significantly depending on the elements involved. For example, </w:t>
      </w:r>
      <w:r w:rsidRPr="00497F55">
        <w:rPr>
          <w:noProof/>
        </w:rPr>
        <w:t>although</w:t>
      </w:r>
      <w:r>
        <w:t xml:space="preserve"> the </w:t>
      </w:r>
      <w:r w:rsidRPr="00497F55">
        <w:rPr>
          <w:noProof/>
        </w:rPr>
        <w:t>matrix</w:t>
      </w:r>
      <w:r>
        <w:t xml:space="preserve"> phase of CoCrFeNi is FCC, by alloying with Al, the precipitated phases can be BCC, HCP, omega, FCC to L12</w:t>
      </w:r>
      <w:r>
        <w:fldChar w:fldCharType="begin" w:fldLock="1"/>
      </w:r>
      <w:r>
        <w:instrText>ADDIN CSL_CITATION {"citationItems":[{"id":"ITEM-1","itemData":{"DOI":"10.1007/s11837-013-0776-z","ISBN":"1047-4838\\r1543-1851","ISSN":"10474838","abstract":"The crystal lattice type is one of the dominant factors for controlling\\nthe mechanical behavior of high-entropy alloys (HEAs). For example, the\\nyield strength at room temperature varies from 300 MPa for the\\nface-centered-cubic (fcc) structured alloys, such as the CoCrCuFeNiTi\\n(x) system, to about 3,000 MPa for the body-centered-cubic (bcc)\\nstructured alloys, such as the AlCoCrFeNiTi (x) system. The values of\\nVickers hardness range from 100 to 900, depending on lattice types and\\nmicrostructures. As in conventional alloys with one or two principal\\nelements, the addition of minor alloying elements to HEAs can further\\nalter their mechanical properties, such as strength, plasticity,\\nhardness, etc. Excessive alloying may even result in the change of\\nlattice types of HEAs. In this report, we first review alloying effects\\non lattice types and properties of HEAs in five Al-containing HEA\\nsystems: Al (x) CoCrCuFeNi, Al (x) CoCrFeNi, Al (x) CrFe1.5MnNi0.5, Al\\n(x) CoCrFeNiTi, and Al (x) CrCuFeNi2. It is found that Al acts as a\\nstrong bcc stabilizer, and its addition enhances the strength of the\\nalloy at the cost of reduced ductility. The origins of such effects are\\nthen qualitatively discussed from the viewpoints of lattice-strain\\nenergies and electronic bonds. Quantification of the interaction between\\nAl and 3d transition metals in fcc, bcc, and intermetallic compounds is\\nillustrated in the thermodynamic modeling using the CALculation of PHAse\\nDiagram method.","author":[{"dropping-particle":"","family":"Tang","given":"Zhi","non-dropping-particle":"","parse-names":false,"suffix":""},{"dropping-particle":"","family":"Gao","given":"Michael C.","non-dropping-particle":"","parse-names":false,"suffix":""},{"dropping-particle":"","family":"Diao","given":"Haoyan","non-dropping-particle":"","parse-names":false,"suffix":""},{"dropping-particle":"","family":"Yang","given":"Tengfei","non-dropping-particle":"","parse-names":false,"suffix":""},{"dropping-particle":"","family":"Liu","given":"Junpeng","non-dropping-particle":"","parse-names":false,"suffix":""},{"dropping-particle":"","family":"Zuo","given":"Tingting","non-dropping-particle":"","parse-names":false,"suffix":""},{"dropping-particle":"","family":"Zhang","given":"Yong","non-dropping-particle":"","parse-names":false,"suffix":""},{"dropping-particle":"","family":"Lu","given":"Zhaoping","non-dropping-particle":"","parse-names":false,"suffix":""},{"dropping-particle":"","family":"Cheng","given":"Yongqiang","non-dropping-particle":"","parse-names":false,"suffix":""},{"dropping-particle":"","family":"Zhang","given":"Yanwen","non-dropping-particle":"","parse-names":false,"suffix":""},{"dropping-particle":"","family":"Dahmen","given":"Karin A.","non-dropping-particle":"","parse-names":false,"suffix":""},{"dropping-particle":"","family":"Liaw","given":"Peter K.","non-dropping-particle":"","parse-names":false,"suffix":""},{"dropping-particle":"","family":"Egami","given":"Takeshi","non-dropping-particle":"","parse-names":false,"suffix":""}],"container-title":"JOM","id":"ITEM-1","issued":{"date-parts":[["2013"]]},"title":"Aluminum alloying effects on lattice types, microstructures, and mechanical behavior of high-entropy alloys systems","type":"article-journal"},"uris":["http://www.mendeley.com/documents/?uuid=6bb48653-d61f-46db-9175-09f941f18b1d"]},{"id":"ITEM-2","itemData":{"DOI":"10.1038/srep32146","ISSN":"20452322","PMID":"27562023","abstract":"Materials performance is central to the satisfactory operation of current and future nuclear energy systems due to the severe irradiation environment in reactors. Searching for structural materials with excellent irradiation tolerance is crucial for developing the next generation nuclear reactors. Here, we report the irradiation responses of a novel multi-component alloy system, high entropy alloy (HEA) AlxCoCrFeNi (x = 0.1, 0.75 and 1.5), focusing on their precipitation behavior. It is found that the single phase system, Al 0.1 CoCrFeNi, exhibits a great phase stability against ion irradiation. No precipitate is observed even at the highest fluence. In contrast, numerous coherent precipitates are present in both multi-phase HEAs. Based on the irradiation-induced/enhanced precipitation theory, the excellent structural stability against precipitation of Al 0.1 CoCrFeNi is attributed to the high configurational entropy and low atomic diffusion, which reduces the thermodynamic driving force and kinetically restrains the formation of precipitate, respectively. For the multiphase HEAs, the phase separations and formation of ordered phases reduce the system configurational entropy, resulting in the similar precipitation behavior with corresponding binary or ternary conventional alloys. This study demonstrates the structural stability of single-phase HEAs under irradiation and provides important implications for searching for HEAs with higher irradiation tolerance.","author":[{"dropping-particle":"","family":"Yang","given":"Tengfei","non-dropping-particle":"","parse-names":false,"suffix":""},{"dropping-particle":"","family":"Xia","given":"Songqin","non-dropping-particle":"","parse-names":false,"suffix":""},{"dropping-particle":"","family":"Liu","given":"Shi","non-dropping-particle":"","parse-names":false,"suffix":""},{"dropping-particle":"","family":"Wang","given":"Chenxu","non-dropping-particle":"","parse-names":false,"suffix":""},{"dropping-particle":"","family":"Liu","given":"Shaoshuai","non-dropping-particle":"","parse-names":false,"suffix":""},{"dropping-particle":"","family":"Fang","given":"Yuan","non-dropping-particle":"","parse-names":false,"suffix":""},{"dropping-particle":"","family":"Zhang","given":"Yong","non-dropping-particle":"","parse-names":false,"suffix":""},{"dropping-particle":"","family":"Xue","given":"Jianming","non-dropping-particle":"","parse-names":false,"suffix":""},{"dropping-particle":"","family":"Yan","given":"Sha","non-dropping-particle":"","parse-names":false,"suffix":""},{"dropping-particle":"","family":"Wang","given":"Yugang","non-dropping-particle":"","parse-names":false,"suffix":""}],"container-title":"Scientific Reports","id":"ITEM-2","issued":{"date-parts":[["2016"]]},"title":"Precipitation behavior of AlxCoCrFeNi high entropy alloys under ion irradiation","type":"article-journal"},"uris":["http://www.mendeley.com/documents/?uuid=83d1878c-7a0d-4c3f-9954-846612ef2dec"]}],"mendeley":{"formattedCitation":"[11,12]","plainTextFormattedCitation":"[11,12]","previouslyFormattedCitation":"[11,12]"},"properties":{"noteIndex":0},"schema":"https://github.com/citation-style-language/schema/raw/master/csl-citation.json"}</w:instrText>
      </w:r>
      <w:r>
        <w:fldChar w:fldCharType="separate"/>
      </w:r>
      <w:r w:rsidRPr="003B39BC">
        <w:rPr>
          <w:noProof/>
        </w:rPr>
        <w:t>[11,12]</w:t>
      </w:r>
      <w:r>
        <w:fldChar w:fldCharType="end"/>
      </w:r>
      <w:r>
        <w:t xml:space="preserve">. </w:t>
      </w:r>
    </w:p>
    <w:p w14:paraId="6CBDDC18" w14:textId="52F18EFE" w:rsidR="00624970" w:rsidRDefault="00624970" w:rsidP="00624970">
      <w:pPr>
        <w:spacing w:afterLines="60" w:after="144" w:line="360" w:lineRule="auto"/>
        <w:jc w:val="both"/>
      </w:pPr>
      <w:r>
        <w:t xml:space="preserve">Secondly, for a designated lattice structure, even if the lattice parameter is given, the precise occupancy of a </w:t>
      </w:r>
      <w:r w:rsidRPr="00497F55">
        <w:rPr>
          <w:noProof/>
        </w:rPr>
        <w:t>state</w:t>
      </w:r>
      <w:r>
        <w:t xml:space="preserve"> by different components is difficult to simulate. This is e</w:t>
      </w:r>
      <w:r>
        <w:rPr>
          <w:rFonts w:hint="eastAsia"/>
        </w:rPr>
        <w:t>specially</w:t>
      </w:r>
      <w:r>
        <w:t xml:space="preserve"> relevant </w:t>
      </w:r>
      <w:r>
        <w:rPr>
          <w:rFonts w:hint="eastAsia"/>
        </w:rPr>
        <w:t>for</w:t>
      </w:r>
      <w:r>
        <w:t xml:space="preserve"> HEAs, as the ultimate objective is to simulate a disordered simple solid solution phase. For binary systems, it is possible to simulate a disordered solid solution phase, through substituting the components into an </w:t>
      </w:r>
      <w:r w:rsidRPr="00497F55">
        <w:rPr>
          <w:noProof/>
        </w:rPr>
        <w:t>equivalent</w:t>
      </w:r>
      <w:r>
        <w:t xml:space="preserve"> position of the </w:t>
      </w:r>
      <w:r w:rsidRPr="00497F55">
        <w:rPr>
          <w:noProof/>
        </w:rPr>
        <w:t>primitive</w:t>
      </w:r>
      <w:r>
        <w:t xml:space="preserve"> cell. However, as the number of components is increased, the number of </w:t>
      </w:r>
      <w:r w:rsidRPr="00497F55">
        <w:rPr>
          <w:noProof/>
        </w:rPr>
        <w:t>occup</w:t>
      </w:r>
      <w:r>
        <w:rPr>
          <w:noProof/>
        </w:rPr>
        <w:t>ied</w:t>
      </w:r>
      <w:r>
        <w:t xml:space="preserve"> states will increase, hence significantly increasing the difficulties </w:t>
      </w:r>
      <w:r w:rsidR="005918C3">
        <w:t>of</w:t>
      </w:r>
      <w:r>
        <w:t xml:space="preserve"> find</w:t>
      </w:r>
      <w:r w:rsidR="005918C3">
        <w:t>ing</w:t>
      </w:r>
      <w:r>
        <w:t xml:space="preserve"> the correct structure with the lowest energy states. </w:t>
      </w:r>
    </w:p>
    <w:p w14:paraId="4AB17735" w14:textId="77777777" w:rsidR="00624970" w:rsidRDefault="00624970" w:rsidP="00624970">
      <w:pPr>
        <w:spacing w:afterLines="60" w:after="144" w:line="360" w:lineRule="auto"/>
        <w:jc w:val="both"/>
      </w:pPr>
      <w:r w:rsidRPr="00546E04">
        <w:rPr>
          <w:noProof/>
        </w:rPr>
        <w:t xml:space="preserve">To solve the first </w:t>
      </w:r>
      <w:r>
        <w:rPr>
          <w:noProof/>
        </w:rPr>
        <w:t>limitation</w:t>
      </w:r>
      <w:r>
        <w:t xml:space="preserve">, the </w:t>
      </w:r>
      <w:r w:rsidRPr="008C71F2">
        <w:rPr>
          <w:noProof/>
        </w:rPr>
        <w:t>current</w:t>
      </w:r>
      <w:r>
        <w:t xml:space="preserve"> solution depends on the thermodynamic method such as CALPHD. The use of CALPHD has been proven effective in predicting potential phase formation tendency in multi-component alloys </w:t>
      </w:r>
      <w:r>
        <w:fldChar w:fldCharType="begin" w:fldLock="1"/>
      </w:r>
      <w:r>
        <w:instrText>ADDIN CSL_CITATION {"citationItems":[{"id":"ITEM-1","itemData":{"DOI":"10.1007/s11837-012-0365-6","ISBN":"1047-4838","ISSN":"10474838","PMID":"26830651","abstract":"Thermodynamic calculation is used to shed light on the design and development of high-entropy alloys (HEAs) in this article. A thermodynamic database for the Al-Co-Cr-Fe-Ni was developed, and phase diagrams of this system were calculated. The calculated results, such as primary solidified phases, which are fractions of stable phases at a given alloy composition, explain the published experimental observations fairly well for both as-cast and homogenized alloys. These calculations also confirm the effect of each element on the face-centered cubic (fcc)/body-centered cubic (bcc) structure transition as published in the literature. The role of thermodynamic calculation in aiding effective design of HEAs is clearly demonstrated by this work.","author":[{"dropping-particle":"","family":"Zhang","given":"Chuan","non-dropping-particle":"","parse-names":false,"suffix":""},{"dropping-particle":"","family":"Zhang","given":"Fan","non-dropping-particle":"","parse-names":false,"suffix":""},{"dropping-particle":"","family":"Chen","given":"Shuanglin","non-dropping-particle":"","parse-names":false,"suffix":""},{"dropping-particle":"","family":"Cao","given":"Weisheng","non-dropping-particle":"","parse-names":false,"suffix":""}],"container-title":"JOM","id":"ITEM-1","issued":{"date-parts":[["2012"]]},"title":"Computational thermodynamics aided high-entropy alloy design","type":"article-journal"},"uris":["http://www.mendeley.com/documents/?uuid=4982bdc7-92c9-467d-8df3-981fa360c1ca"]}],"mendeley":{"formattedCitation":"[77]","plainTextFormattedCitation":"[77]","previouslyFormattedCitation":"[77]"},"properties":{"noteIndex":0},"schema":"https://github.com/citation-style-language/schema/raw/master/csl-citation.json"}</w:instrText>
      </w:r>
      <w:r>
        <w:fldChar w:fldCharType="separate"/>
      </w:r>
      <w:r w:rsidRPr="003B39BC">
        <w:rPr>
          <w:noProof/>
        </w:rPr>
        <w:t>[77]</w:t>
      </w:r>
      <w:r>
        <w:fldChar w:fldCharType="end"/>
      </w:r>
      <w:r>
        <w:t xml:space="preserve">. From the phase diagram of simulated multi-component systems, the possible </w:t>
      </w:r>
      <w:r>
        <w:lastRenderedPageBreak/>
        <w:t xml:space="preserve">structures can be selected as candidates for </w:t>
      </w:r>
      <w:r w:rsidRPr="008C71F2">
        <w:rPr>
          <w:noProof/>
        </w:rPr>
        <w:t>further</w:t>
      </w:r>
      <w:r>
        <w:t xml:space="preserve"> investigation by the </w:t>
      </w:r>
      <w:r w:rsidRPr="0061147B">
        <w:rPr>
          <w:i/>
          <w:noProof/>
        </w:rPr>
        <w:t>ab initio</w:t>
      </w:r>
      <w:r>
        <w:t xml:space="preserve"> method. For lattice parameter convergence, </w:t>
      </w:r>
      <w:r w:rsidRPr="008C71F2">
        <w:rPr>
          <w:noProof/>
        </w:rPr>
        <w:t>currently</w:t>
      </w:r>
      <w:r>
        <w:rPr>
          <w:noProof/>
        </w:rPr>
        <w:t xml:space="preserve"> the</w:t>
      </w:r>
      <w:r>
        <w:t xml:space="preserve"> most utilised method applies experimental results as </w:t>
      </w:r>
      <w:r w:rsidRPr="008C71F2">
        <w:rPr>
          <w:noProof/>
        </w:rPr>
        <w:t>reference</w:t>
      </w:r>
      <w:r>
        <w:t xml:space="preserve"> to simulate similar composition lattice parameters of HEAs. The most </w:t>
      </w:r>
      <w:r>
        <w:rPr>
          <w:noProof/>
        </w:rPr>
        <w:t>complex</w:t>
      </w:r>
      <w:r>
        <w:t xml:space="preserve"> problem is simulating a disordered solid solution lattice with multi-principal components, where the occupancy sequence of the components is the most important concern. Considering the periodicity condition involved when using the DFT method, it is possible to create a primitive cell with a relatively disordered structure. </w:t>
      </w:r>
      <w:r>
        <w:rPr>
          <w:noProof/>
        </w:rPr>
        <w:t>H</w:t>
      </w:r>
      <w:r w:rsidRPr="00546E04">
        <w:rPr>
          <w:noProof/>
        </w:rPr>
        <w:t>owever</w:t>
      </w:r>
      <w:r>
        <w:rPr>
          <w:noProof/>
        </w:rPr>
        <w:t>,</w:t>
      </w:r>
      <w:r>
        <w:t xml:space="preserve"> due to the repeating atomic arrangements in the </w:t>
      </w:r>
      <w:r w:rsidRPr="008C71F2">
        <w:rPr>
          <w:noProof/>
        </w:rPr>
        <w:t>primitive</w:t>
      </w:r>
      <w:r>
        <w:t xml:space="preserve"> </w:t>
      </w:r>
      <w:r w:rsidRPr="00546E04">
        <w:rPr>
          <w:noProof/>
        </w:rPr>
        <w:t>cell</w:t>
      </w:r>
      <w:r>
        <w:rPr>
          <w:noProof/>
        </w:rPr>
        <w:t>,</w:t>
      </w:r>
      <w:r>
        <w:t xml:space="preserve"> it is impossible to simulate a real disordered structure. Through the creation of a supercell containing several primitive cells with relatively disordered atomic site occupancy, the disordered state can </w:t>
      </w:r>
      <w:r w:rsidRPr="00546E04">
        <w:rPr>
          <w:noProof/>
        </w:rPr>
        <w:t>be approximated</w:t>
      </w:r>
      <w:r>
        <w:t xml:space="preserve">. Commonly used methods include virtual crystal </w:t>
      </w:r>
      <w:r w:rsidRPr="00546E04">
        <w:rPr>
          <w:noProof/>
        </w:rPr>
        <w:t>approximation</w:t>
      </w:r>
      <w:r>
        <w:rPr>
          <w:noProof/>
        </w:rPr>
        <w:t xml:space="preserve"> </w:t>
      </w:r>
      <w:r w:rsidRPr="00546E04">
        <w:rPr>
          <w:noProof/>
        </w:rPr>
        <w:fldChar w:fldCharType="begin" w:fldLock="1"/>
      </w:r>
      <w:r>
        <w:rPr>
          <w:noProof/>
        </w:rPr>
        <w:instrText>ADDIN CSL_CITATION {"citationItems":[{"id":"ITEM-1","itemData":{"DOI":"10.1103/PhysRevB.61.7877","ISBN":"1098-0121","ISSN":"1550235X","PMID":"10991081","abstract":"We present an approach to the implementation of the virtual crystal approximation (VCA) for the study of properties of solid solutions in the context of density-functional methods. Our approach can easily be applied to any type of pseudopotential, and also has the advantage that it can be used to obtain estimates of the atomic forces that would arise if the real atoms were present, thus giving insight into the expected displacements in the real alloy. We have applied this VCA technique within the Vanderbilt ultrasoft-pseudopotential scheme to predict dielectric and piezoelectric properties of the Pb(Zr[0.5],Ti[0.5])O[3] solid solution in its paraelectric and ferroelectric phases, respectively. Comparison with calculations performed on ordered alloy supercells and with data on parents compounds demonstrates the adequacy of using the VCA for perovskite solid solutions. In particular, the VCA approach reproduces the anomalous Born effective charges and the large value of the piezoelectric coefficients.","author":[{"dropping-particle":"","family":"Bellaiche","given":"L.","non-dropping-particle":"","parse-names":false,"suffix":""},{"dropping-particle":"","family":"Vanderbilt","given":"David","non-dropping-particle":"","parse-names":false,"suffix":""}],"container-title":"Physical Review B - Condensed Matter and Materials Physics","id":"ITEM-1","issued":{"date-parts":[["2000"]]},"title":"Virtual crystal approximation revisited: Application to dielectric and piezoelectric properties of perovskites","type":"article-journal"},"uris":["http://www.mendeley.com/documents/?uuid=d506d48d-409f-4b14-b221-c14b7a3cad08","http://www.mendeley.com/documents/?uuid=7e23f2f8-c002-4025-8a7b-b020ba369660"]}],"mendeley":{"formattedCitation":"[78]","plainTextFormattedCitation":"[78]","previouslyFormattedCitation":"[78]"},"properties":{"noteIndex":0},"schema":"https://github.com/citation-style-language/schema/raw/master/csl-citation.json"}</w:instrText>
      </w:r>
      <w:r w:rsidRPr="00546E04">
        <w:rPr>
          <w:noProof/>
        </w:rPr>
        <w:fldChar w:fldCharType="separate"/>
      </w:r>
      <w:r w:rsidRPr="003B39BC">
        <w:rPr>
          <w:noProof/>
        </w:rPr>
        <w:t>[78]</w:t>
      </w:r>
      <w:r w:rsidRPr="00546E04">
        <w:rPr>
          <w:noProof/>
        </w:rPr>
        <w:fldChar w:fldCharType="end"/>
      </w:r>
      <w:r w:rsidRPr="00546E04">
        <w:rPr>
          <w:noProof/>
        </w:rPr>
        <w:t>,</w:t>
      </w:r>
      <w:r>
        <w:t xml:space="preserve"> and semi-empirical supercell methods. Regarding application with </w:t>
      </w:r>
      <w:r w:rsidRPr="008C71F2">
        <w:rPr>
          <w:noProof/>
        </w:rPr>
        <w:t>HEAs</w:t>
      </w:r>
      <w:r>
        <w:rPr>
          <w:noProof/>
        </w:rPr>
        <w:t>,</w:t>
      </w:r>
      <w:r>
        <w:t xml:space="preserve"> the most widely applied methods </w:t>
      </w:r>
      <w:bookmarkStart w:id="91" w:name="OLE_LINK29"/>
      <w:r>
        <w:t>are the special quasi-random structures</w:t>
      </w:r>
      <w:bookmarkEnd w:id="91"/>
      <w:r>
        <w:t xml:space="preserve"> (SQS) </w:t>
      </w:r>
      <w:r>
        <w:fldChar w:fldCharType="begin" w:fldLock="1"/>
      </w:r>
      <w:r>
        <w:instrText>ADDIN CSL_CITATION {"citationItems":[{"id":"ITEM-1","itemData":{"DOI":"10.1103/PhysRevLett.65.353","ISBN":"0031-9007","ISSN":"00319007","PMID":"10042897","abstract":"The crystal structure of Al23O27N5, which is an ideal stoichiometry of aluminum oxynitride (or alon), is a defect spinel in which a vacancy is present in the unit cell. Despite the lattice positions being fixed, the location of the vacancy and the positions of the five nitrogen atoms are not unique, presenting a challenge to the prediction of the crystal structure. This problem is analogous to random alloys, for which a technique has been developed to identify small scale simulation cells called special quasirandom structures (SQS). We present SQS for alon, and discuss the unique features of these structures for this material. We also modified the SQS methodology to identify the first cubic crystal structure for alon with the above stoichiometry.","author":[{"dropping-particle":"","family":"Zunger","given":"Alex","non-dropping-particle":"","parse-names":false,"suffix":""},{"dropping-particle":"","family":"Wei","given":"S. H.","non-dropping-particle":"","parse-names":false,"suffix":""},{"dropping-particle":"","family":"Ferreira","given":"L. G.","non-dropping-particle":"","parse-names":false,"suffix":""},{"dropping-particle":"","family":"Bernard","given":"James E.","non-dropping-particle":"","parse-names":false,"suffix":""}],"container-title":"Physical Review Letters","id":"ITEM-1","issued":{"date-parts":[["1990"]]},"title":"Special quasirandom structures","type":"article-journal"},"uris":["http://www.mendeley.com/documents/?uuid=d264af96-3a52-4a6f-9b41-61f96f8f3988","http://www.mendeley.com/documents/?uuid=7901bd67-f97b-4513-907f-ab021379f426"]}],"mendeley":{"formattedCitation":"[79]","plainTextFormattedCitation":"[79]","previouslyFormattedCitation":"[79]"},"properties":{"noteIndex":0},"schema":"https://github.com/citation-style-language/schema/raw/master/csl-citation.json"}</w:instrText>
      </w:r>
      <w:r>
        <w:fldChar w:fldCharType="separate"/>
      </w:r>
      <w:r w:rsidRPr="003B39BC">
        <w:rPr>
          <w:noProof/>
        </w:rPr>
        <w:t>[79]</w:t>
      </w:r>
      <w:r>
        <w:fldChar w:fldCharType="end"/>
      </w:r>
      <w:r>
        <w:t xml:space="preserve"> and </w:t>
      </w:r>
      <w:r>
        <w:rPr>
          <w:rFonts w:hint="eastAsia"/>
        </w:rPr>
        <w:t>the</w:t>
      </w:r>
      <w:r>
        <w:t xml:space="preserve"> </w:t>
      </w:r>
      <w:bookmarkStart w:id="92" w:name="OLE_LINK30"/>
      <w:bookmarkStart w:id="93" w:name="OLE_LINK31"/>
      <w:r>
        <w:t xml:space="preserve">coherent potential approximation </w:t>
      </w:r>
      <w:bookmarkEnd w:id="92"/>
      <w:bookmarkEnd w:id="93"/>
      <w:r>
        <w:t xml:space="preserve">method (CPA) </w:t>
      </w:r>
      <w:r>
        <w:fldChar w:fldCharType="begin" w:fldLock="1"/>
      </w:r>
      <w:r>
        <w:instrText xml:space="preserve">ADDIN CSL_CITATION {"citationItems":[{"id":"ITEM-1","itemData":{"DOI":"10.1103/PhysRev.156.809","ISBN":"0031-899X","ISSN":"0031899X","abstract":"We introduce a model of a substitutional alloy based on the concept of an effective or coherent potential which, when placed on every site of the alloy lattice, will simulate the electronic properties of the actual alloy. The coherent potential is necessarily a complex, energy-dependent quantity. We evaluate the model for the simple case of a one-dimensional alloy of δ-function potentials. In order to provide a basis for comparison, as well as to see if a simpler scheme will suffice, we also calculate the spectrum of the same alloy using the average t-matrix approximation introduced by Beeby. On the basis of these results, we conclude that the average t-matrix approximation is not adequate for the description of an actual transition-metal alloy, while the coherent-potential picture will provide a more reasonable facsimile of the density of states in such an alloy.","author":[{"dropping-particle":"","family":"Soven","given":"Paul","non-dropping-particle":"","parse-names":false,"suffix":""}],"container-title":"Physical Review","id":"ITEM-1","issued":{"date-parts":[["1967"]]},"title":"Coherent-potential model of substitutional disordered alloys","type":"article-journal"},"uris":["http://www.mendeley.com/documents/?uuid=78202062-a3c6-484c-86c4-a616ded1ea5b","http://www.mendeley.com/documents/?uuid=186210da-f682-45ac-943c-cfb9fd8c201b"]},{"id":"ITEM-2","itemData":{"DOI":"10.1143/PTPS.53.1","ISBN":"9780874216561","ISSN":"0375-9687","PMID":"15003161","abstract":"A detailed report is given of the fundamental aspects of the coherent potential theory which serves as the best single-site approximation to the ensemble-averaged one-particle Green's function &lt;G&gt; for restricted model Hamiltonian of elementary excitations in certain random lattices. The concept of the approximation is illustrated in a unified framework of the general perturbation method. Applications of the theory to various model systems and realistic problems of practical interest are reviewed and a wide range of physical properties in these systems are discussed. Particular attention is paid to the advantageous feature of the approach, and the successful results obtained in the applications are described in comparison with the conclusions due to the previous methods. Limitations of the theory are stated with emphasis on the problems which are left open and several recent attempts to extend the applicability of the method are also mentioned.","author":[{"dropping-particle":"","family":"Yonezawa","given":"Fumiko","non-dropping-particle":"","parse-names":false,"suffix":""},{"dropping-particle":"","family":"Morigaki","given":"Kazuo","non-dropping-particle":"","parse-names":false,"suffix":""}],"container-title":"Progress of Theoretical Physics Supplement","id":"ITEM-2","issued":{"date-parts":[["1973"]]},"title":"Coherent Potential Approximation","type":"article-journal"},"uris":["http://www.mendeley.com/documents/?uuid=bc18f9aa-03db-4881-b935-1a796579926b","http://www.mendeley.com/documents/?uuid=0afeec82-6578-443f-a7b4-20b9378702de"]},{"id":"ITEM-3","itemData":{"DOI":"10.1103/PhysRevB.21.3222","ISBN":"9788578110796","ISSN":"01631829","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w:instrText>
      </w:r>
      <w:r>
        <w:rPr>
          <w:rFonts w:hint="eastAsia"/>
        </w:rPr>
        <w:instrText xml:space="preserve">MM- GBSA calculations. Using the best RMSD among the top 10 scoring poses as a metric, the success rate (RMSD </w:instrText>
      </w:r>
      <w:r>
        <w:rPr>
          <w:rFonts w:hint="eastAsia"/>
        </w:rPr>
        <w:instrText>≤</w:instrText>
      </w:r>
      <w:r>
        <w:rPr>
          <w:rFonts w:hint="eastAsia"/>
        </w:rPr>
        <w:instrText xml:space="preserve"> 2.0 Å for the interface backbone atoms) increased from 21% with default Glide SP settings to 58% with the enhanced peptide sampling and scoring</w:instrText>
      </w:r>
      <w:r>
        <w:instrText xml:space="preserve">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approach.","author":[{"dropping-particle":"","family":"Faulkner","given":"J. S.","non-dropping-particle":"","parse-names":false,"suffix":""},{"dropping-particle":"","family":"Stocks","given":"G. M.","non-dropping-particle":"","parse-names":false,"suffix":""}],"container-title":"Physical Review B","id":"ITEM-3","issued":{"date-parts":[["1980"]]},"title":"Calculating properties with the coherent-potential approximation","type":"article-journal"},"uris":["http://www.mendeley.com/documents/?uuid=e8943560-c555-49a1-b785-7830a364ea65","http://www.mendeley.com/documents/?uuid=67889cb4-6165-4c49-9c7d-9f12cda07a53"]}],"mendeley":{"formattedCitation":"[80–82]","plainTextFormattedCitation":"[80–82]","previouslyFormattedCitation":"[80–82]"},"properties":{"noteIndex":0},"schema":"https://github.com/citation-style-language/schema/raw/master/csl-citation.json"}</w:instrText>
      </w:r>
      <w:r>
        <w:fldChar w:fldCharType="separate"/>
      </w:r>
      <w:r w:rsidRPr="003B39BC">
        <w:rPr>
          <w:noProof/>
        </w:rPr>
        <w:t>[80–82]</w:t>
      </w:r>
      <w:r>
        <w:fldChar w:fldCharType="end"/>
      </w:r>
      <w:r>
        <w:t xml:space="preserve">.     </w:t>
      </w:r>
    </w:p>
    <w:p w14:paraId="15371B13" w14:textId="60067233" w:rsidR="00624970" w:rsidRDefault="00624970" w:rsidP="00624970">
      <w:pPr>
        <w:spacing w:afterLines="60" w:after="144" w:line="360" w:lineRule="auto"/>
        <w:jc w:val="both"/>
      </w:pPr>
      <w:r w:rsidRPr="003B39BC">
        <w:t>As illustrated above, the use of DFT</w:t>
      </w:r>
      <w:r w:rsidR="005918C3">
        <w:t xml:space="preserve"> is</w:t>
      </w:r>
      <w:r w:rsidRPr="003B39BC">
        <w:t xml:space="preserve"> always combined with </w:t>
      </w:r>
      <w:r w:rsidRPr="003B39BC">
        <w:rPr>
          <w:noProof/>
        </w:rPr>
        <w:t>empirical</w:t>
      </w:r>
      <w:r w:rsidRPr="003B39BC">
        <w:t xml:space="preserve"> models to simplify the total calculation process, the </w:t>
      </w:r>
      <w:r w:rsidRPr="003B39BC">
        <w:rPr>
          <w:noProof/>
        </w:rPr>
        <w:t>rigid</w:t>
      </w:r>
      <w:r w:rsidRPr="003B39BC">
        <w:t xml:space="preserve"> bond model, SQS, etc. Leong</w:t>
      </w:r>
      <w:r>
        <w:t xml:space="preserve"> </w:t>
      </w:r>
      <w:r w:rsidRPr="0061147B">
        <w:rPr>
          <w:i/>
        </w:rPr>
        <w:t>et al.</w:t>
      </w:r>
      <w:r>
        <w:t xml:space="preserve"> </w:t>
      </w:r>
      <w:r w:rsidRPr="00BE0AB1">
        <w:fldChar w:fldCharType="begin" w:fldLock="1"/>
      </w:r>
      <w:r>
        <w:instrText>ADDIN CSL_CITATION {"citationItems":[{"id":"ITEM-1","itemData":{"DOI":"10.1038/srep39803","ISBN":"2045-2322 (Electronic)\r2045-2322 (Linking)","ISSN":"20452322","PMID":"28059106","abstract":"The Effect of Electronic Structure on the Phases Present in High Entropy Alloys","author":[{"dropping-particle":"","family":"Leong","given":"Zhaoyuan","non-dropping-particle":"","parse-names":false,"suffix":""},{"dropping-particle":"","family":"Wróbel","given":"Jan S.","non-dropping-particle":"","parse-names":false,"suffix":""},{"dropping-particle":"","family":"Dudarev","given":"Sergei L.","non-dropping-particle":"","parse-names":false,"suffix":""},{"dropping-particle":"","family":"Goodall","given":"Russell","non-dropping-particle":"","parse-names":false,"suffix":""},{"dropping-particle":"","family":"Todd","given":"Iain","non-dropping-particle":"","parse-names":false,"suffix":""},{"dropping-particle":"","family":"Nguyen-Manh","given":"Duc","non-dropping-particle":"","parse-names":false,"suffix":""}],"container-title":"Scientific Reports","id":"ITEM-1","issued":{"date-parts":[["2017"]]},"title":"The Effect of Electronic Structure on the Phases Present in High Entropy Alloys","type":"article-journal"},"uris":["http://www.mendeley.com/documents/?uuid=9a74995c-5cfe-4fc6-b1cb-6438ea951f18"]}],"mendeley":{"formattedCitation":"[23]","plainTextFormattedCitation":"[23]","previouslyFormattedCitation":"[23]"},"properties":{"noteIndex":0},"schema":"https://github.com/citation-style-language/schema/raw/master/csl-citation.json"}</w:instrText>
      </w:r>
      <w:r w:rsidRPr="00BE0AB1">
        <w:fldChar w:fldCharType="separate"/>
      </w:r>
      <w:r w:rsidRPr="003B39BC">
        <w:rPr>
          <w:noProof/>
        </w:rPr>
        <w:t>[23]</w:t>
      </w:r>
      <w:r w:rsidRPr="00BE0AB1">
        <w:fldChar w:fldCharType="end"/>
      </w:r>
      <w:r w:rsidRPr="00BE0AB1">
        <w:t xml:space="preserve"> </w:t>
      </w:r>
      <w:r>
        <w:t xml:space="preserve">discussed the potential of using </w:t>
      </w:r>
      <w:r w:rsidRPr="00F47123">
        <w:rPr>
          <w:i/>
          <w:iCs/>
        </w:rPr>
        <w:t>VEC</w:t>
      </w:r>
      <w:r>
        <w:t xml:space="preserve"> in predicting the structural stability of the </w:t>
      </w:r>
      <w:r w:rsidRPr="008C71F2">
        <w:rPr>
          <w:noProof/>
        </w:rPr>
        <w:t>majority</w:t>
      </w:r>
      <w:r>
        <w:t xml:space="preserve"> phase in magnetic HEAs by comparing </w:t>
      </w:r>
      <w:r w:rsidRPr="008C71F2">
        <w:rPr>
          <w:noProof/>
        </w:rPr>
        <w:t>simulated</w:t>
      </w:r>
      <w:r>
        <w:t xml:space="preserve"> results </w:t>
      </w:r>
      <w:r w:rsidRPr="00BE0AB1">
        <w:t xml:space="preserve">with </w:t>
      </w:r>
      <w:r w:rsidRPr="008C71F2">
        <w:rPr>
          <w:noProof/>
        </w:rPr>
        <w:t>experimental</w:t>
      </w:r>
      <w:r w:rsidRPr="00BE0AB1">
        <w:t xml:space="preserve"> result</w:t>
      </w:r>
      <w:bookmarkStart w:id="94" w:name="OLE_LINK52"/>
      <w:bookmarkStart w:id="95" w:name="OLE_LINK53"/>
      <w:r>
        <w:t xml:space="preserve">s as shown in Fig. 2-11. </w:t>
      </w:r>
      <w:bookmarkEnd w:id="94"/>
      <w:bookmarkEnd w:id="95"/>
      <w:r>
        <w:t>Through the application of the</w:t>
      </w:r>
      <w:r w:rsidRPr="00BE0AB1">
        <w:t xml:space="preserve"> </w:t>
      </w:r>
      <w:r>
        <w:br/>
      </w:r>
      <w:r w:rsidRPr="00F8731F">
        <w:rPr>
          <w:i/>
          <w:noProof/>
        </w:rPr>
        <w:t>ab initio</w:t>
      </w:r>
      <w:r w:rsidRPr="00BE0AB1">
        <w:t xml:space="preserve"> method with rigid bond </w:t>
      </w:r>
      <w:bookmarkStart w:id="96" w:name="OLE_LINK32"/>
      <w:bookmarkStart w:id="97" w:name="OLE_LINK33"/>
      <w:r w:rsidRPr="00BE0AB1">
        <w:t>approximation</w:t>
      </w:r>
      <w:r>
        <w:t>,</w:t>
      </w:r>
      <w:r w:rsidRPr="00BE0AB1">
        <w:t xml:space="preserve"> the </w:t>
      </w:r>
      <w:bookmarkEnd w:id="96"/>
      <w:bookmarkEnd w:id="97"/>
      <w:r>
        <w:t xml:space="preserve">relationship of valence electron concentration and phase stabilities in HEAs were demonstrated. Integrated from </w:t>
      </w:r>
      <w:r w:rsidRPr="00546E04">
        <w:rPr>
          <w:noProof/>
        </w:rPr>
        <w:t>polari</w:t>
      </w:r>
      <w:r>
        <w:rPr>
          <w:noProof/>
        </w:rPr>
        <w:t>s</w:t>
      </w:r>
      <w:r w:rsidRPr="00546E04">
        <w:rPr>
          <w:noProof/>
        </w:rPr>
        <w:t>ed</w:t>
      </w:r>
      <w:r>
        <w:t xml:space="preserve"> energy states, the number of </w:t>
      </w:r>
      <w:r w:rsidRPr="00F47123">
        <w:rPr>
          <w:i/>
          <w:iCs/>
        </w:rPr>
        <w:t>VEC</w:t>
      </w:r>
      <w:r>
        <w:t xml:space="preserve"> is a more precise value, compared with the empirical concept which only considered the electrons located on the </w:t>
      </w:r>
      <w:r w:rsidRPr="00546E04">
        <w:rPr>
          <w:noProof/>
        </w:rPr>
        <w:t>outer</w:t>
      </w:r>
      <w:r>
        <w:t xml:space="preserve"> shell. The effectiveness of this prediction method has been proven, as presented in the experimental results the phase separation point </w:t>
      </w:r>
      <w:r w:rsidRPr="00546E04">
        <w:rPr>
          <w:noProof/>
        </w:rPr>
        <w:t>is locate</w:t>
      </w:r>
      <w:r>
        <w:rPr>
          <w:noProof/>
        </w:rPr>
        <w:t>d</w:t>
      </w:r>
      <w:r>
        <w:t xml:space="preserve"> </w:t>
      </w:r>
      <w:r w:rsidRPr="008C71F2">
        <w:rPr>
          <w:noProof/>
        </w:rPr>
        <w:t>at</w:t>
      </w:r>
      <w:r>
        <w:t xml:space="preserve"> n&lt;7.6 for sigma phase in CCFN-V, n&lt;8.1 for B2 phase in CCFN-Al and n&lt;7.7 for C14 phase in CCFN-Ti. </w:t>
      </w:r>
      <w:r w:rsidRPr="004B3BAA">
        <w:t xml:space="preserve">Using this method, a new magnetic CoFeNiV HEA was developed. The corresponding phase formation </w:t>
      </w:r>
      <w:r>
        <w:t>was</w:t>
      </w:r>
      <w:r w:rsidRPr="004B3BAA">
        <w:t xml:space="preserve"> explained by the simulation result and further </w:t>
      </w:r>
      <w:r>
        <w:t>evidenced</w:t>
      </w:r>
      <w:r w:rsidRPr="004B3BAA">
        <w:t xml:space="preserve"> through experimental result</w:t>
      </w:r>
      <w:r>
        <w:t>s</w:t>
      </w:r>
      <w:r w:rsidRPr="004B3BAA">
        <w:t>.</w:t>
      </w:r>
    </w:p>
    <w:p w14:paraId="7E16742D" w14:textId="77777777" w:rsidR="00624970" w:rsidRDefault="00624970" w:rsidP="00624970">
      <w:pPr>
        <w:keepNext/>
        <w:spacing w:afterLines="60" w:after="144" w:line="360" w:lineRule="auto"/>
        <w:jc w:val="both"/>
      </w:pPr>
      <w:r w:rsidRPr="001C2B83">
        <w:rPr>
          <w:noProof/>
          <w:lang w:val="en-US" w:eastAsia="en-US"/>
        </w:rPr>
        <w:lastRenderedPageBreak/>
        <w:drawing>
          <wp:inline distT="0" distB="0" distL="0" distR="0" wp14:anchorId="77CD8732" wp14:editId="22C88B9E">
            <wp:extent cx="5883965" cy="2109605"/>
            <wp:effectExtent l="0" t="0" r="2540" b="5080"/>
            <wp:docPr id="16" name="图片 15" descr="图片包含 文字, 地图&#10;&#10;自动生成的说明">
              <a:extLst xmlns:a="http://schemas.openxmlformats.org/drawingml/2006/main">
                <a:ext uri="{FF2B5EF4-FFF2-40B4-BE49-F238E27FC236}">
                  <a16:creationId xmlns:a16="http://schemas.microsoft.com/office/drawing/2014/main" id="{096CD6AC-C66A-4B25-A6F1-F6E92E8D3F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图片包含 文字, 地图&#10;&#10;自动生成的说明">
                      <a:extLst>
                        <a:ext uri="{FF2B5EF4-FFF2-40B4-BE49-F238E27FC236}">
                          <a16:creationId xmlns:a16="http://schemas.microsoft.com/office/drawing/2014/main" id="{096CD6AC-C66A-4B25-A6F1-F6E92E8D3F3F}"/>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901833" cy="2116011"/>
                    </a:xfrm>
                    <a:prstGeom prst="rect">
                      <a:avLst/>
                    </a:prstGeom>
                  </pic:spPr>
                </pic:pic>
              </a:graphicData>
            </a:graphic>
          </wp:inline>
        </w:drawing>
      </w:r>
    </w:p>
    <w:p w14:paraId="3E73DF1B" w14:textId="20C9626F" w:rsidR="00624970" w:rsidRPr="0061147B" w:rsidRDefault="00624970" w:rsidP="00624970">
      <w:pPr>
        <w:spacing w:afterLines="60" w:after="144" w:line="360" w:lineRule="auto"/>
        <w:rPr>
          <w:szCs w:val="18"/>
        </w:rPr>
      </w:pPr>
      <w:bookmarkStart w:id="98" w:name="_Toc5617633"/>
      <w:bookmarkStart w:id="99" w:name="_Toc7364566"/>
      <w:bookmarkStart w:id="100" w:name="_Toc39312680"/>
      <w:r w:rsidRPr="00A03FC4">
        <w:rPr>
          <w:b/>
          <w:sz w:val="20"/>
          <w:szCs w:val="18"/>
        </w:rPr>
        <w:t>Figure</w:t>
      </w:r>
      <w:r>
        <w:rPr>
          <w:b/>
          <w:sz w:val="20"/>
          <w:szCs w:val="18"/>
        </w:rPr>
        <w:t xml:space="preserve"> 2-</w:t>
      </w:r>
      <w:r w:rsidRPr="008B6028">
        <w:rPr>
          <w:b/>
          <w:sz w:val="20"/>
        </w:rPr>
        <w:fldChar w:fldCharType="begin"/>
      </w:r>
      <w:r w:rsidRPr="008B6028">
        <w:rPr>
          <w:b/>
          <w:sz w:val="20"/>
        </w:rPr>
        <w:instrText xml:space="preserve"> SEQ Figure \* ARABIC </w:instrText>
      </w:r>
      <w:r w:rsidRPr="008B6028">
        <w:rPr>
          <w:b/>
          <w:sz w:val="20"/>
        </w:rPr>
        <w:fldChar w:fldCharType="separate"/>
      </w:r>
      <w:r>
        <w:rPr>
          <w:b/>
          <w:noProof/>
          <w:sz w:val="20"/>
        </w:rPr>
        <w:t>11</w:t>
      </w:r>
      <w:r w:rsidRPr="008B6028">
        <w:rPr>
          <w:b/>
          <w:sz w:val="20"/>
        </w:rPr>
        <w:fldChar w:fldCharType="end"/>
      </w:r>
      <w:r>
        <w:rPr>
          <w:b/>
          <w:sz w:val="20"/>
          <w:szCs w:val="18"/>
        </w:rPr>
        <w:t xml:space="preserve"> </w:t>
      </w:r>
      <w:r w:rsidRPr="00A03FC4">
        <w:rPr>
          <w:b/>
          <w:sz w:val="20"/>
          <w:szCs w:val="18"/>
        </w:rPr>
        <w:t xml:space="preserve">Comparison of </w:t>
      </w:r>
      <w:r>
        <w:rPr>
          <w:b/>
          <w:sz w:val="20"/>
          <w:szCs w:val="18"/>
        </w:rPr>
        <w:t xml:space="preserve">the </w:t>
      </w:r>
      <w:r w:rsidRPr="00546E04">
        <w:rPr>
          <w:b/>
          <w:noProof/>
          <w:sz w:val="20"/>
          <w:szCs w:val="18"/>
        </w:rPr>
        <w:t>simulated</w:t>
      </w:r>
      <w:r w:rsidRPr="00A03FC4">
        <w:rPr>
          <w:b/>
          <w:sz w:val="20"/>
          <w:szCs w:val="18"/>
        </w:rPr>
        <w:t xml:space="preserve"> result and experimental result for CCFN-X (X=Pd, Al</w:t>
      </w:r>
      <w:r w:rsidRPr="00546E04">
        <w:rPr>
          <w:b/>
          <w:noProof/>
          <w:sz w:val="20"/>
          <w:szCs w:val="18"/>
        </w:rPr>
        <w:t>, V</w:t>
      </w:r>
      <w:r w:rsidRPr="008C71F2">
        <w:rPr>
          <w:b/>
          <w:noProof/>
          <w:sz w:val="20"/>
          <w:szCs w:val="18"/>
        </w:rPr>
        <w:t>,Ti</w:t>
      </w:r>
      <w:r w:rsidRPr="00A03FC4">
        <w:rPr>
          <w:b/>
          <w:sz w:val="20"/>
          <w:szCs w:val="18"/>
        </w:rPr>
        <w:t xml:space="preserve">) HEAs. With increasing alloying contents, </w:t>
      </w:r>
      <w:r w:rsidRPr="00A03FC4">
        <w:rPr>
          <w:sz w:val="20"/>
          <w:szCs w:val="18"/>
        </w:rPr>
        <w:t>(</w:t>
      </w:r>
      <w:r w:rsidRPr="00A03FC4">
        <w:rPr>
          <w:b/>
          <w:sz w:val="20"/>
          <w:szCs w:val="18"/>
        </w:rPr>
        <w:t>a</w:t>
      </w:r>
      <w:r w:rsidRPr="00A03FC4">
        <w:rPr>
          <w:sz w:val="20"/>
          <w:szCs w:val="18"/>
        </w:rPr>
        <w:t xml:space="preserve">) 2-D plot of </w:t>
      </w:r>
      <w:r w:rsidRPr="00546E04">
        <w:rPr>
          <w:noProof/>
          <w:sz w:val="20"/>
          <w:szCs w:val="18"/>
        </w:rPr>
        <w:t>polari</w:t>
      </w:r>
      <w:r>
        <w:rPr>
          <w:noProof/>
          <w:sz w:val="20"/>
          <w:szCs w:val="18"/>
        </w:rPr>
        <w:t>s</w:t>
      </w:r>
      <w:r w:rsidRPr="00546E04">
        <w:rPr>
          <w:noProof/>
          <w:sz w:val="20"/>
          <w:szCs w:val="18"/>
        </w:rPr>
        <w:t>ed</w:t>
      </w:r>
      <w:r w:rsidRPr="00A03FC4">
        <w:rPr>
          <w:sz w:val="20"/>
          <w:szCs w:val="18"/>
        </w:rPr>
        <w:t xml:space="preserve"> band energy difference against VEC (</w:t>
      </w:r>
      <w:r w:rsidRPr="00A03FC4">
        <w:rPr>
          <w:b/>
          <w:sz w:val="20"/>
          <w:szCs w:val="18"/>
        </w:rPr>
        <w:t>b</w:t>
      </w:r>
      <w:r w:rsidRPr="00A03FC4">
        <w:rPr>
          <w:sz w:val="20"/>
          <w:szCs w:val="18"/>
        </w:rPr>
        <w:t>) ground state energy difference and (</w:t>
      </w:r>
      <w:r w:rsidRPr="00A03FC4">
        <w:rPr>
          <w:b/>
          <w:sz w:val="20"/>
          <w:szCs w:val="18"/>
        </w:rPr>
        <w:t>c</w:t>
      </w:r>
      <w:r w:rsidRPr="00A03FC4">
        <w:rPr>
          <w:sz w:val="20"/>
          <w:szCs w:val="18"/>
        </w:rPr>
        <w:t xml:space="preserve">) XRD patterns of corresponds compositions. The joint part of </w:t>
      </w:r>
      <w:r w:rsidRPr="008C71F2">
        <w:rPr>
          <w:noProof/>
          <w:sz w:val="20"/>
          <w:szCs w:val="18"/>
        </w:rPr>
        <w:t>transition</w:t>
      </w:r>
      <w:r w:rsidRPr="00A03FC4">
        <w:rPr>
          <w:sz w:val="20"/>
          <w:szCs w:val="18"/>
        </w:rPr>
        <w:t xml:space="preserve"> point between BCC-FCC, BCC-Intermetallic and intermetallic-FCC phases </w:t>
      </w:r>
      <w:r w:rsidRPr="00546E04">
        <w:rPr>
          <w:noProof/>
          <w:sz w:val="20"/>
          <w:szCs w:val="18"/>
        </w:rPr>
        <w:t>were denoted</w:t>
      </w:r>
      <w:r w:rsidRPr="00A03FC4">
        <w:rPr>
          <w:sz w:val="20"/>
          <w:szCs w:val="18"/>
        </w:rPr>
        <w:t xml:space="preserve"> by x(i-iii) </w:t>
      </w:r>
      <w:r w:rsidRPr="00A03FC4">
        <w:rPr>
          <w:sz w:val="20"/>
          <w:szCs w:val="18"/>
        </w:rPr>
        <w:fldChar w:fldCharType="begin" w:fldLock="1"/>
      </w:r>
      <w:r>
        <w:rPr>
          <w:sz w:val="20"/>
          <w:szCs w:val="18"/>
        </w:rPr>
        <w:instrText>ADDIN CSL_CITATION {"citationItems":[{"id":"ITEM-1","itemData":{"DOI":"10.1038/srep39803","ISBN":"2045-2322 (Electronic)\r2045-2322 (Linking)","ISSN":"20452322","PMID":"28059106","abstract":"The Effect of Electronic Structure on the Phases Present in High Entropy Alloys","author":[{"dropping-particle":"","family":"Leong","given":"Zhaoyuan","non-dropping-particle":"","parse-names":false,"suffix":""},{"dropping-particle":"","family":"Wróbel","given":"Jan S.","non-dropping-particle":"","parse-names":false,"suffix":""},{"dropping-particle":"","family":"Dudarev","given":"Sergei L.","non-dropping-particle":"","parse-names":false,"suffix":""},{"dropping-particle":"","family":"Goodall","given":"Russell","non-dropping-particle":"","parse-names":false,"suffix":""},{"dropping-particle":"","family":"Todd","given":"Iain","non-dropping-particle":"","parse-names":false,"suffix":""},{"dropping-particle":"","family":"Nguyen-Manh","given":"Duc","non-dropping-particle":"","parse-names":false,"suffix":""}],"container-title":"Scientific Reports","id":"ITEM-1","issued":{"date-parts":[["2017"]]},"title":"The Effect of Electronic Structure on the Phases Present in High Entropy Alloys","type":"article-journal"},"uris":["http://www.mendeley.com/documents/?uuid=9a74995c-5cfe-4fc6-b1cb-6438ea951f18"]}],"mendeley":{"formattedCitation":"[23]","plainTextFormattedCitation":"[23]","previouslyFormattedCitation":"[23]"},"properties":{"noteIndex":0},"schema":"https://github.com/citation-style-language/schema/raw/master/csl-citation.json"}</w:instrText>
      </w:r>
      <w:r w:rsidRPr="00A03FC4">
        <w:rPr>
          <w:sz w:val="20"/>
          <w:szCs w:val="18"/>
        </w:rPr>
        <w:fldChar w:fldCharType="separate"/>
      </w:r>
      <w:bookmarkEnd w:id="98"/>
      <w:bookmarkEnd w:id="99"/>
      <w:r w:rsidRPr="003B39BC">
        <w:rPr>
          <w:noProof/>
          <w:sz w:val="20"/>
          <w:szCs w:val="18"/>
        </w:rPr>
        <w:t>[23]</w:t>
      </w:r>
      <w:r w:rsidRPr="00A03FC4">
        <w:rPr>
          <w:sz w:val="20"/>
          <w:szCs w:val="18"/>
        </w:rPr>
        <w:fldChar w:fldCharType="end"/>
      </w:r>
      <w:r>
        <w:rPr>
          <w:sz w:val="20"/>
          <w:szCs w:val="18"/>
        </w:rPr>
        <w:t>.</w:t>
      </w:r>
      <w:bookmarkEnd w:id="100"/>
      <w:r w:rsidRPr="00A03FC4">
        <w:rPr>
          <w:szCs w:val="18"/>
        </w:rPr>
        <w:t xml:space="preserve">    </w:t>
      </w:r>
    </w:p>
    <w:p w14:paraId="7E42D2EA" w14:textId="719FB7A7" w:rsidR="00624970" w:rsidRDefault="00624970" w:rsidP="00624970">
      <w:pPr>
        <w:spacing w:afterLines="60" w:after="144" w:line="360" w:lineRule="auto"/>
        <w:jc w:val="both"/>
      </w:pPr>
      <w:r>
        <w:t xml:space="preserve">Several approaches </w:t>
      </w:r>
      <w:r w:rsidRPr="00546E04">
        <w:rPr>
          <w:noProof/>
        </w:rPr>
        <w:t>were conducted</w:t>
      </w:r>
      <w:r>
        <w:t xml:space="preserve"> by employing the </w:t>
      </w:r>
      <w:r w:rsidRPr="008B7F9D">
        <w:t>Exact Muffin-Tin Orbitals</w:t>
      </w:r>
      <w:r w:rsidRPr="007B58E4">
        <w:t xml:space="preserve"> </w:t>
      </w:r>
      <w:r>
        <w:t xml:space="preserve">(EMTO)-CPA method to investigation of HEA phase formation. </w:t>
      </w:r>
      <w:bookmarkStart w:id="101" w:name="OLE_LINK36"/>
      <w:bookmarkStart w:id="102" w:name="OLE_LINK37"/>
      <w:r>
        <w:t xml:space="preserve">Tian </w:t>
      </w:r>
      <w:r>
        <w:fldChar w:fldCharType="begin" w:fldLock="1"/>
      </w:r>
      <w:r>
        <w:instrText>ADDIN CSL_CITATION {"citationItems":[{"id":"ITEM-1","itemData":{"DOI":"10.1103/PhysRevB.88.085128","ISBN":"0925-8388","ISSN":"10980121","abstract":"First-principles alloy theory predicts that at room temperature the paramagnetic NiCoFeCrAl x high entropy alloys adopt the face centered cubic (fcc) structure for x 0.60 and the body centered cubic (bcc) structure for x 1.23, with an fcc-bcc duplex region in between the two pure phases. The calculated single-and polycrystal elastic parameters exhibit strong composition and crystal structure dependence. Based on the present theoretical findings, it is concluded that alloys around the equimolar NiCoFeCrAl composition have superior mechanical performance as compared to the single-phase regions. DOI: 10.1103/PhysRevB.88.085128 PACS number(s): 62.20.D−, 71.20.Be, 81.05.Bx","author":[{"dropping-particle":"","family":"Tian","given":"Fuyang","non-dropping-particle":"","parse-names":false,"suffix":""},{"dropping-particle":"","family":"Delczeg","given":"Lorand","non-dropping-particle":"","parse-names":false,"suffix":""},{"dropping-particle":"","family":"Chen","given":"Nanxian","non-dropping-particle":"","parse-names":false,"suffix":""},{"dropping-particle":"","family":"Varga","given":"Lajos Karoly","non-dropping-particle":"","parse-names":false,"suffix":""},{"dropping-particle":"","family":"Shen","given":"Jiang","non-dropping-particle":"","parse-names":false,"suffix":""},{"dropping-particle":"","family":"Vitos","given":"Levente","non-dropping-particle":"","parse-names":false,"suffix":""}],"container-title":"Physical Review B - Condensed Matter and Materials Physics","id":"ITEM-1","issued":{"date-parts":[["2013"]]},"title":"Structural stability of NiCoFeCrAlx high-entropy alloy from ab initio theory","type":"article-journal"},"uris":["http://www.mendeley.com/documents/?uuid=c1e19632-36d4-46c1-8cb6-ca5bbe11a590","http://www.mendeley.com/documents/?uuid=34c76444-8fc0-4cbb-9c5e-3861fa4c2eb9"]}],"mendeley":{"formattedCitation":"[83]","plainTextFormattedCitation":"[83]","previouslyFormattedCitation":"[83]"},"properties":{"noteIndex":0},"schema":"https://github.com/citation-style-language/schema/raw/master/csl-citation.json"}</w:instrText>
      </w:r>
      <w:r>
        <w:fldChar w:fldCharType="separate"/>
      </w:r>
      <w:r w:rsidRPr="003B39BC">
        <w:rPr>
          <w:noProof/>
        </w:rPr>
        <w:t>[83]</w:t>
      </w:r>
      <w:r>
        <w:fldChar w:fldCharType="end"/>
      </w:r>
      <w:r>
        <w:t xml:space="preserve"> s</w:t>
      </w:r>
      <w:r w:rsidRPr="00546E04">
        <w:rPr>
          <w:noProof/>
        </w:rPr>
        <w:t>imulate</w:t>
      </w:r>
      <w:r>
        <w:rPr>
          <w:noProof/>
        </w:rPr>
        <w:t>d</w:t>
      </w:r>
      <w:r>
        <w:t xml:space="preserve"> the CoCrFeNi-Al</w:t>
      </w:r>
      <w:r w:rsidRPr="00DA36DD">
        <w:rPr>
          <w:vertAlign w:val="subscript"/>
        </w:rPr>
        <w:t>x</w:t>
      </w:r>
      <w:bookmarkEnd w:id="101"/>
      <w:bookmarkEnd w:id="102"/>
      <w:r w:rsidRPr="00DA36DD">
        <w:rPr>
          <w:vertAlign w:val="subscript"/>
        </w:rPr>
        <w:t>(x=0</w:t>
      </w:r>
      <w:r>
        <w:rPr>
          <w:vertAlign w:val="subscript"/>
        </w:rPr>
        <w:t>-</w:t>
      </w:r>
      <w:r w:rsidRPr="00DA36DD">
        <w:rPr>
          <w:vertAlign w:val="subscript"/>
        </w:rPr>
        <w:t>2)</w:t>
      </w:r>
      <w:r>
        <w:t xml:space="preserve"> HEAs, by comparing the energy difference between BCC and </w:t>
      </w:r>
      <w:bookmarkStart w:id="103" w:name="OLE_LINK50"/>
      <w:bookmarkStart w:id="104" w:name="OLE_LINK51"/>
      <w:r>
        <w:t xml:space="preserve">FCC. </w:t>
      </w:r>
      <w:bookmarkEnd w:id="103"/>
      <w:bookmarkEnd w:id="104"/>
      <w:r>
        <w:t xml:space="preserve">The phase formation tendency </w:t>
      </w:r>
      <w:r>
        <w:rPr>
          <w:noProof/>
        </w:rPr>
        <w:t>is</w:t>
      </w:r>
      <w:r>
        <w:t xml:space="preserve"> differentiated in Fig. 2-12(a). By adding magnetic entropy and configurational entropy, the </w:t>
      </w:r>
      <w:r>
        <w:rPr>
          <w:noProof/>
        </w:rPr>
        <w:t>G</w:t>
      </w:r>
      <w:r w:rsidRPr="00546E04">
        <w:rPr>
          <w:noProof/>
        </w:rPr>
        <w:t>ibbs</w:t>
      </w:r>
      <w:r>
        <w:t xml:space="preserve"> free energy is calculated for temperatures of 0K, 300K and 600K. In this work, it was proposed that with the increase of temperature, the relative phase stabilities of the </w:t>
      </w:r>
      <w:r>
        <w:rPr>
          <w:noProof/>
        </w:rPr>
        <w:t>FCC</w:t>
      </w:r>
      <w:r>
        <w:t xml:space="preserve"> phase</w:t>
      </w:r>
      <w:r w:rsidR="005918C3">
        <w:t>s</w:t>
      </w:r>
      <w:r>
        <w:t xml:space="preserve"> were reduced with the addition of Al. Furthermore, the relation between </w:t>
      </w:r>
      <w:r w:rsidRPr="008B7F9D">
        <w:rPr>
          <w:i/>
          <w:iCs/>
        </w:rPr>
        <w:t>VEC</w:t>
      </w:r>
      <w:r>
        <w:t xml:space="preserve"> and phase stability was also calculated at 300K, where it was shown that the FCC phase remains stable when </w:t>
      </w:r>
      <w:r w:rsidRPr="009B3885">
        <w:rPr>
          <w:i/>
        </w:rPr>
        <w:t>VEC</w:t>
      </w:r>
      <m:oMath>
        <m:r>
          <m:rPr>
            <m:sty m:val="p"/>
          </m:rPr>
          <w:rPr>
            <w:rFonts w:ascii="Cambria Math" w:hAnsi="Cambria Math"/>
          </w:rPr>
          <m:t>≥</m:t>
        </m:r>
      </m:oMath>
      <w:r>
        <w:t xml:space="preserve">7.57, whilst the BCC phase was stable when </w:t>
      </w:r>
      <w:r w:rsidRPr="009B3885">
        <w:rPr>
          <w:i/>
        </w:rPr>
        <w:t>VEC</w:t>
      </w:r>
      <m:oMath>
        <m:r>
          <m:rPr>
            <m:sty m:val="p"/>
          </m:rPr>
          <w:rPr>
            <w:rFonts w:ascii="Cambria Math" w:hAnsi="Cambria Math"/>
          </w:rPr>
          <m:t>≤</m:t>
        </m:r>
      </m:oMath>
      <w:r>
        <w:t xml:space="preserve">7.04. In comparison with the experimental results of </w:t>
      </w:r>
      <w:r w:rsidRPr="009B3885">
        <w:rPr>
          <w:i/>
        </w:rPr>
        <w:t>VEC</w:t>
      </w:r>
      <w:r>
        <w:t xml:space="preserve"> range for stable FCC and BCC phases </w:t>
      </w:r>
      <w:r>
        <w:br/>
        <w:t xml:space="preserve">(FCC: 7.67-7.88, BCC: 7.06-7.29), with those derived from the empirical method developed by Guo </w:t>
      </w:r>
      <w:r>
        <w:fldChar w:fldCharType="begin" w:fldLock="1"/>
      </w:r>
      <w:r>
        <w:instrText>ADDIN CSL_CITATION {"citationItems":[{"id":"ITEM-1","itemData":{"DOI":"10.1016/S1002-0071(12)60080-X","ISBN":"1002-0071","ISSN":"10020071","PMID":"26830651","abstract":"The alloy design for equiatomic multi-component alloys was rationalized by statistically analyzing the atomic size difference, mixing enthalpy, mixing entropy, electronegativity, valence electron concentration among constituent elements in solid solutions forming high entropy alloys and amorphous alloys. Solid solution phases form and only form when the requirements of the atomic size difference, mixing enthalpy and mixing entropy are all met. The most significant difference between the solid solution forming high entropy alloys and bulk metallic glasses lies in the atomic size difference. These rules provide valuable guidance for the future development of high entropy alloys and bulk metallic glasses.","author":[{"dropping-particle":"","family":"Guo","given":"Sheng","non-dropping-particle":"","parse-names":false,"suffix":""},{"dropping-particle":"","family":"Liu","given":"C. T.","non-dropping-particle":"","parse-names":false,"suffix":""}],"container-title":"Progress in Natural Science: Materials International","id":"ITEM-1","issued":{"date-parts":[["2011"]]},"title":"Phase stability in high entropy alloys: Formation of solid-solution phase or amorphous phase","type":"article-journal"},"uris":["http://www.mendeley.com/documents/?uuid=3cf24bf9-28b8-4f01-bb91-02fa0ed4c6aa"]}],"mendeley":{"formattedCitation":"[28]","plainTextFormattedCitation":"[28]","previouslyFormattedCitation":"[28]"},"properties":{"noteIndex":0},"schema":"https://github.com/citation-style-language/schema/raw/master/csl-citation.json"}</w:instrText>
      </w:r>
      <w:r>
        <w:fldChar w:fldCharType="separate"/>
      </w:r>
      <w:r w:rsidRPr="003B39BC">
        <w:rPr>
          <w:noProof/>
        </w:rPr>
        <w:t>[28]</w:t>
      </w:r>
      <w:r>
        <w:fldChar w:fldCharType="end"/>
      </w:r>
      <w:r>
        <w:t xml:space="preserve"> (FCC:8.0, BCC:6.87), the </w:t>
      </w:r>
      <w:r w:rsidRPr="009B3885">
        <w:rPr>
          <w:i/>
        </w:rPr>
        <w:t xml:space="preserve">VEC </w:t>
      </w:r>
      <w:r>
        <w:t xml:space="preserve">range calculated by the EMTO-CPA method for stable FCC and BCC phases at room temperature was more accurate than the results derived from the empirical method. The accuracy of the EMTO-CPA method </w:t>
      </w:r>
      <w:r>
        <w:rPr>
          <w:noProof/>
        </w:rPr>
        <w:t xml:space="preserve">was well detailed </w:t>
      </w:r>
      <w:r>
        <w:t xml:space="preserve">in this work. </w:t>
      </w:r>
    </w:p>
    <w:p w14:paraId="64A25F7B" w14:textId="77777777" w:rsidR="00624970" w:rsidRDefault="00624970" w:rsidP="00624970">
      <w:pPr>
        <w:keepNext/>
        <w:spacing w:afterLines="60" w:after="144" w:line="360" w:lineRule="auto"/>
        <w:jc w:val="center"/>
      </w:pPr>
      <w:r w:rsidRPr="00E9081B">
        <w:rPr>
          <w:noProof/>
          <w:lang w:val="en-US" w:eastAsia="en-US"/>
        </w:rPr>
        <w:lastRenderedPageBreak/>
        <w:drawing>
          <wp:inline distT="0" distB="0" distL="0" distR="0" wp14:anchorId="02A0E905" wp14:editId="72181644">
            <wp:extent cx="5773950" cy="3458817"/>
            <wp:effectExtent l="0" t="0" r="0" b="8890"/>
            <wp:docPr id="15" name="图片 14" descr="图片包含 地图, 文字&#10;&#10;自动生成的说明">
              <a:extLst xmlns:a="http://schemas.openxmlformats.org/drawingml/2006/main">
                <a:ext uri="{FF2B5EF4-FFF2-40B4-BE49-F238E27FC236}">
                  <a16:creationId xmlns:a16="http://schemas.microsoft.com/office/drawing/2014/main" id="{E738E2FA-394D-4630-B2FA-A8A9155456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图片包含 地图, 文字&#10;&#10;自动生成的说明">
                      <a:extLst>
                        <a:ext uri="{FF2B5EF4-FFF2-40B4-BE49-F238E27FC236}">
                          <a16:creationId xmlns:a16="http://schemas.microsoft.com/office/drawing/2014/main" id="{E738E2FA-394D-4630-B2FA-A8A915545647}"/>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798131" cy="3473303"/>
                    </a:xfrm>
                    <a:prstGeom prst="rect">
                      <a:avLst/>
                    </a:prstGeom>
                  </pic:spPr>
                </pic:pic>
              </a:graphicData>
            </a:graphic>
          </wp:inline>
        </w:drawing>
      </w:r>
    </w:p>
    <w:p w14:paraId="4435D0EB" w14:textId="5791A786" w:rsidR="00624970" w:rsidRDefault="00624970" w:rsidP="00624970">
      <w:pPr>
        <w:spacing w:afterLines="60" w:after="144" w:line="360" w:lineRule="auto"/>
        <w:jc w:val="both"/>
      </w:pPr>
      <w:bookmarkStart w:id="105" w:name="_Toc5617634"/>
      <w:bookmarkStart w:id="106" w:name="_Toc7364567"/>
      <w:bookmarkStart w:id="107" w:name="_Toc39312681"/>
      <w:r w:rsidRPr="009B3885">
        <w:rPr>
          <w:b/>
          <w:sz w:val="20"/>
        </w:rPr>
        <w:t>F</w:t>
      </w:r>
      <w:r w:rsidRPr="00A03FC4">
        <w:rPr>
          <w:b/>
          <w:sz w:val="20"/>
        </w:rPr>
        <w:t>ig</w:t>
      </w:r>
      <w:r>
        <w:rPr>
          <w:b/>
          <w:sz w:val="20"/>
        </w:rPr>
        <w:t>ure 2-</w:t>
      </w:r>
      <w:r w:rsidRPr="008B6028">
        <w:rPr>
          <w:b/>
          <w:sz w:val="20"/>
        </w:rPr>
        <w:fldChar w:fldCharType="begin"/>
      </w:r>
      <w:r w:rsidRPr="008B6028">
        <w:rPr>
          <w:b/>
          <w:sz w:val="20"/>
        </w:rPr>
        <w:instrText xml:space="preserve"> SEQ Figure \* ARABIC </w:instrText>
      </w:r>
      <w:r w:rsidRPr="008B6028">
        <w:rPr>
          <w:b/>
          <w:sz w:val="20"/>
        </w:rPr>
        <w:fldChar w:fldCharType="separate"/>
      </w:r>
      <w:r>
        <w:rPr>
          <w:b/>
          <w:noProof/>
          <w:sz w:val="20"/>
        </w:rPr>
        <w:t>12</w:t>
      </w:r>
      <w:r w:rsidRPr="008B6028">
        <w:rPr>
          <w:b/>
          <w:sz w:val="20"/>
        </w:rPr>
        <w:fldChar w:fldCharType="end"/>
      </w:r>
      <w:r w:rsidRPr="00A03FC4">
        <w:rPr>
          <w:b/>
          <w:sz w:val="20"/>
        </w:rPr>
        <w:t xml:space="preserve"> Comparison of simulated result with various experimental result</w:t>
      </w:r>
      <w:r>
        <w:rPr>
          <w:b/>
          <w:sz w:val="20"/>
        </w:rPr>
        <w:t>s</w:t>
      </w:r>
      <w:r w:rsidRPr="00A03FC4">
        <w:rPr>
          <w:b/>
          <w:sz w:val="20"/>
        </w:rPr>
        <w:t xml:space="preserve"> </w:t>
      </w:r>
      <w:r w:rsidRPr="00A03FC4">
        <w:rPr>
          <w:sz w:val="20"/>
        </w:rPr>
        <w:t>(</w:t>
      </w:r>
      <w:r w:rsidRPr="00A03FC4">
        <w:rPr>
          <w:b/>
          <w:sz w:val="20"/>
        </w:rPr>
        <w:t>a</w:t>
      </w:r>
      <w:r w:rsidRPr="00A03FC4">
        <w:rPr>
          <w:sz w:val="20"/>
        </w:rPr>
        <w:t>) biplot of equilibrium volumes against Al contents in CoCrFeNi-Al</w:t>
      </w:r>
      <w:r w:rsidRPr="00DA36DD">
        <w:rPr>
          <w:sz w:val="20"/>
          <w:vertAlign w:val="subscript"/>
        </w:rPr>
        <w:t>x</w:t>
      </w:r>
      <w:r w:rsidRPr="00A03FC4">
        <w:rPr>
          <w:sz w:val="20"/>
        </w:rPr>
        <w:t xml:space="preserve"> HEAs. </w:t>
      </w:r>
      <w:r>
        <w:rPr>
          <w:sz w:val="20"/>
        </w:rPr>
        <w:t xml:space="preserve">The </w:t>
      </w:r>
      <w:r w:rsidRPr="00A03FC4">
        <w:rPr>
          <w:sz w:val="20"/>
        </w:rPr>
        <w:t>B</w:t>
      </w:r>
      <w:bookmarkStart w:id="108" w:name="OLE_LINK34"/>
      <w:bookmarkStart w:id="109" w:name="OLE_LINK35"/>
      <w:r w:rsidRPr="00A03FC4">
        <w:rPr>
          <w:sz w:val="20"/>
        </w:rPr>
        <w:t xml:space="preserve">iplot of equilibrium volume and ground state energy difference of </w:t>
      </w:r>
      <w:r>
        <w:rPr>
          <w:sz w:val="20"/>
        </w:rPr>
        <w:t>FCC</w:t>
      </w:r>
      <w:r w:rsidRPr="00A03FC4">
        <w:rPr>
          <w:sz w:val="20"/>
        </w:rPr>
        <w:t xml:space="preserve"> and </w:t>
      </w:r>
      <w:r>
        <w:rPr>
          <w:sz w:val="20"/>
        </w:rPr>
        <w:t>BCC</w:t>
      </w:r>
      <w:r w:rsidRPr="00A03FC4">
        <w:rPr>
          <w:sz w:val="20"/>
        </w:rPr>
        <w:t xml:space="preserve"> against Al contents</w:t>
      </w:r>
      <w:r>
        <w:rPr>
          <w:sz w:val="20"/>
        </w:rPr>
        <w:t>,</w:t>
      </w:r>
      <w:r w:rsidRPr="00A03FC4">
        <w:rPr>
          <w:sz w:val="20"/>
        </w:rPr>
        <w:t xml:space="preserve"> respectively. </w:t>
      </w:r>
      <w:bookmarkEnd w:id="108"/>
      <w:bookmarkEnd w:id="109"/>
      <w:r w:rsidRPr="00A03FC4">
        <w:rPr>
          <w:sz w:val="20"/>
        </w:rPr>
        <w:t>(</w:t>
      </w:r>
      <w:r w:rsidRPr="00A03FC4">
        <w:rPr>
          <w:b/>
          <w:sz w:val="20"/>
        </w:rPr>
        <w:t>b</w:t>
      </w:r>
      <w:r w:rsidRPr="00A03FC4">
        <w:rPr>
          <w:sz w:val="20"/>
        </w:rPr>
        <w:t xml:space="preserve">) </w:t>
      </w:r>
      <w:r>
        <w:rPr>
          <w:sz w:val="20"/>
        </w:rPr>
        <w:t xml:space="preserve">The </w:t>
      </w:r>
      <w:r w:rsidRPr="00A03FC4">
        <w:rPr>
          <w:sz w:val="20"/>
        </w:rPr>
        <w:t xml:space="preserve">Biplot of simulated </w:t>
      </w:r>
      <w:r>
        <w:rPr>
          <w:sz w:val="20"/>
        </w:rPr>
        <w:t>FCC</w:t>
      </w:r>
      <w:r w:rsidRPr="00A03FC4">
        <w:rPr>
          <w:sz w:val="20"/>
        </w:rPr>
        <w:t xml:space="preserve"> and </w:t>
      </w:r>
      <w:r>
        <w:rPr>
          <w:sz w:val="20"/>
        </w:rPr>
        <w:t>BCC</w:t>
      </w:r>
      <w:r w:rsidRPr="00A03FC4">
        <w:rPr>
          <w:sz w:val="20"/>
        </w:rPr>
        <w:t xml:space="preserve"> Gibbs free energy against Al content which </w:t>
      </w:r>
      <w:r w:rsidRPr="00546E04">
        <w:rPr>
          <w:noProof/>
          <w:sz w:val="20"/>
        </w:rPr>
        <w:t>is represent</w:t>
      </w:r>
      <w:r>
        <w:rPr>
          <w:noProof/>
          <w:sz w:val="20"/>
        </w:rPr>
        <w:t>ed</w:t>
      </w:r>
      <w:r w:rsidRPr="00A03FC4">
        <w:rPr>
          <w:sz w:val="20"/>
        </w:rPr>
        <w:t xml:space="preserve"> by y=x/(4+x) </w:t>
      </w:r>
      <w:r>
        <w:rPr>
          <w:sz w:val="20"/>
        </w:rPr>
        <w:t>with</w:t>
      </w:r>
      <w:r w:rsidRPr="00A03FC4">
        <w:rPr>
          <w:sz w:val="20"/>
        </w:rPr>
        <w:t xml:space="preserve"> x</w:t>
      </w:r>
      <w:r>
        <w:rPr>
          <w:sz w:val="20"/>
        </w:rPr>
        <w:t xml:space="preserve"> equal</w:t>
      </w:r>
      <w:r w:rsidRPr="00A03FC4">
        <w:rPr>
          <w:sz w:val="20"/>
        </w:rPr>
        <w:t xml:space="preserve"> to</w:t>
      </w:r>
      <w:r>
        <w:rPr>
          <w:sz w:val="20"/>
        </w:rPr>
        <w:t xml:space="preserve"> the</w:t>
      </w:r>
      <w:r w:rsidRPr="00A03FC4">
        <w:rPr>
          <w:sz w:val="20"/>
        </w:rPr>
        <w:t xml:space="preserve"> atomic fraction of Al </w:t>
      </w:r>
      <w:r w:rsidRPr="00A03FC4">
        <w:rPr>
          <w:sz w:val="20"/>
        </w:rPr>
        <w:fldChar w:fldCharType="begin" w:fldLock="1"/>
      </w:r>
      <w:r>
        <w:rPr>
          <w:sz w:val="20"/>
        </w:rPr>
        <w:instrText>ADDIN CSL_CITATION {"citationItems":[{"id":"ITEM-1","itemData":{"DOI":"10.1103/PhysRevB.88.085128","ISBN":"0925-8388","ISSN":"10980121","abstract":"First-principles alloy theory predicts that at room temperature the paramagnetic NiCoFeCrAl x high entropy alloys adopt the face centered cubic (fcc) structure for x 0.60 and the body centered cubic (bcc) structure for x 1.23, with an fcc-bcc duplex region in between the two pure phases. The calculated single-and polycrystal elastic parameters exhibit strong composition and crystal structure dependence. Based on the present theoretical findings, it is concluded that alloys around the equimolar NiCoFeCrAl composition have superior mechanical performance as compared to the single-phase regions. DOI: 10.1103/PhysRevB.88.085128 PACS number(s): 62.20.D−, 71.20.Be, 81.05.Bx","author":[{"dropping-particle":"","family":"Tian","given":"Fuyang","non-dropping-particle":"","parse-names":false,"suffix":""},{"dropping-particle":"","family":"Delczeg","given":"Lorand","non-dropping-particle":"","parse-names":false,"suffix":""},{"dropping-particle":"","family":"Chen","given":"Nanxian","non-dropping-particle":"","parse-names":false,"suffix":""},{"dropping-particle":"","family":"Varga","given":"Lajos Karoly","non-dropping-particle":"","parse-names":false,"suffix":""},{"dropping-particle":"","family":"Shen","given":"Jiang","non-dropping-particle":"","parse-names":false,"suffix":""},{"dropping-particle":"","family":"Vitos","given":"Levente","non-dropping-particle":"","parse-names":false,"suffix":""}],"container-title":"Physical Review B - Condensed Matter and Materials Physics","id":"ITEM-1","issued":{"date-parts":[["2013"]]},"title":"Structural stability of NiCoFeCrAlx high-entropy alloy from ab initio theory","type":"article-journal"},"uris":["http://www.mendeley.com/documents/?uuid=34c76444-8fc0-4cbb-9c5e-3861fa4c2eb9","http://www.mendeley.com/documents/?uuid=c1e19632-36d4-46c1-8cb6-ca5bbe11a590"]}],"mendeley":{"formattedCitation":"[83]","plainTextFormattedCitation":"[83]","previouslyFormattedCitation":"[83]"},"properties":{"noteIndex":0},"schema":"https://github.com/citation-style-language/schema/raw/master/csl-citation.json"}</w:instrText>
      </w:r>
      <w:r w:rsidRPr="00A03FC4">
        <w:rPr>
          <w:sz w:val="20"/>
        </w:rPr>
        <w:fldChar w:fldCharType="separate"/>
      </w:r>
      <w:bookmarkEnd w:id="105"/>
      <w:bookmarkEnd w:id="106"/>
      <w:r w:rsidRPr="003B39BC">
        <w:rPr>
          <w:noProof/>
          <w:sz w:val="20"/>
        </w:rPr>
        <w:t>[83]</w:t>
      </w:r>
      <w:r w:rsidRPr="00A03FC4">
        <w:rPr>
          <w:sz w:val="20"/>
        </w:rPr>
        <w:fldChar w:fldCharType="end"/>
      </w:r>
      <w:r>
        <w:rPr>
          <w:sz w:val="20"/>
        </w:rPr>
        <w:t>.</w:t>
      </w:r>
      <w:bookmarkEnd w:id="107"/>
      <w:r w:rsidRPr="00A03FC4">
        <w:t xml:space="preserve">   </w:t>
      </w:r>
    </w:p>
    <w:p w14:paraId="5F9C9C0A" w14:textId="17558804" w:rsidR="00624970" w:rsidRDefault="00624970" w:rsidP="00624970">
      <w:pPr>
        <w:spacing w:afterLines="60" w:after="144" w:line="360" w:lineRule="auto"/>
        <w:jc w:val="both"/>
      </w:pPr>
      <w:r>
        <w:t xml:space="preserve">Regarding the accuracy of the </w:t>
      </w:r>
      <w:r w:rsidRPr="008C71F2">
        <w:rPr>
          <w:noProof/>
        </w:rPr>
        <w:t>DFT</w:t>
      </w:r>
      <w:r>
        <w:t xml:space="preserve"> method, research has </w:t>
      </w:r>
      <w:r w:rsidRPr="00546E04">
        <w:rPr>
          <w:noProof/>
        </w:rPr>
        <w:t>start</w:t>
      </w:r>
      <w:r>
        <w:rPr>
          <w:noProof/>
        </w:rPr>
        <w:t>ed</w:t>
      </w:r>
      <w:r>
        <w:t xml:space="preserve"> to apply the </w:t>
      </w:r>
      <w:r w:rsidRPr="008C71F2">
        <w:rPr>
          <w:noProof/>
        </w:rPr>
        <w:t>DFT</w:t>
      </w:r>
      <w:r>
        <w:t xml:space="preserve"> method to improve the accuracy of the </w:t>
      </w:r>
      <w:r w:rsidRPr="008C71F2">
        <w:rPr>
          <w:noProof/>
        </w:rPr>
        <w:t>empirical</w:t>
      </w:r>
      <w:r>
        <w:t xml:space="preserve"> method. Considering the time cost of the </w:t>
      </w:r>
      <w:r w:rsidRPr="008C71F2">
        <w:rPr>
          <w:noProof/>
        </w:rPr>
        <w:t>DFT</w:t>
      </w:r>
      <w:r>
        <w:t xml:space="preserve"> method when applied to HEA systems, it is credible to develop a better semi-empirical method to help in the selection of candidates to predict phase formation. By collecting substantial data and high </w:t>
      </w:r>
      <w:r w:rsidRPr="00546E04">
        <w:rPr>
          <w:noProof/>
        </w:rPr>
        <w:t>throughput</w:t>
      </w:r>
      <w:r>
        <w:t xml:space="preserve"> DFT calculated formation enthalpy of binary alloy systems,</w:t>
      </w:r>
      <w:bookmarkStart w:id="110" w:name="OLE_LINK38"/>
      <w:r>
        <w:t xml:space="preserve"> </w:t>
      </w:r>
      <w:r w:rsidRPr="006A4F75">
        <w:t>Troparevsky</w:t>
      </w:r>
      <w:bookmarkEnd w:id="110"/>
      <w:r>
        <w:t xml:space="preserve"> </w:t>
      </w:r>
      <w:r>
        <w:fldChar w:fldCharType="begin" w:fldLock="1"/>
      </w:r>
      <w:r>
        <w:instrText>ADDIN CSL_CITATION {"citationItems":[{"id":"ITEM-1","itemData":{"DOI":"10.1103/PhysRevX.5.011041","ISBN":"2166-3831","ISSN":"21603308","PMID":"26415623","abstract":"High-entropy alloys constitute a new class of materials whose very existence poses fundamental questions regarding the physical principles underlying their unusual phase stability. Originally thought to be stabilized by the large entropy of mixing associated with their large number of components (five or more), these alloys have attracted attention for their potential applications. Yet, no model capable of robustly predicting which combinations of elements will form a single phase currently exists. Here, we propose a model that, through the use of high-throughput computation of the enthalpies of formation of binary compounds, predicts specific combinations of elements most likely to form single-phase, highentropy alloys. The model correctly identifies all known single-phase alloys while rejecting similar elemental combinations that are known to form an alloy comprising multiple phases. In addition, we predict numerous potential single-phase alloy compositions and provide three tables with the ten most likely five-, six-, and seven-component single-phase alloys to guide experimental searches.","author":[{"dropping-particle":"","family":"Troparevsky","given":"M. Claudia","non-dropping-particle":"","parse-names":false,"suffix":""},{"dropping-particle":"","family":"Morris","given":"James R.","non-dropping-particle":"","parse-names":false,"suffix":""},{"dropping-particle":"","family":"Kent","given":"Paul R.C.","non-dropping-particle":"","parse-names":false,"suffix":""},{"dropping-particle":"","family":"Lupini","given":"Andrew R.","non-dropping-particle":"","parse-names":false,"suffix":""},{"dropping-particle":"","family":"Stocks","given":"G. Malcolm","non-dropping-particle":"","parse-names":false,"suffix":""}],"container-title":"Physical Review X","id":"ITEM-1","issued":{"date-parts":[["2015"]]},"title":"Criteria for predicting the formation of single-phase high-entropy alloys","type":"article-journal"},"uris":["http://www.mendeley.com/documents/?uuid=be3ecf1c-f694-4665-bdb9-4e77d8166e6c"]}],"mendeley":{"formattedCitation":"[84]","plainTextFormattedCitation":"[84]","previouslyFormattedCitation":"[84]"},"properties":{"noteIndex":0},"schema":"https://github.com/citation-style-language/schema/raw/master/csl-citation.json"}</w:instrText>
      </w:r>
      <w:r>
        <w:fldChar w:fldCharType="separate"/>
      </w:r>
      <w:r w:rsidRPr="003B39BC">
        <w:rPr>
          <w:noProof/>
        </w:rPr>
        <w:t>[84]</w:t>
      </w:r>
      <w:r>
        <w:fldChar w:fldCharType="end"/>
      </w:r>
      <w:r>
        <w:t xml:space="preserve"> proposed a new dataset for formation enthalpy derived from the DFT method (Fig. 2-13(a)</w:t>
      </w:r>
      <w:bookmarkStart w:id="111" w:name="OLE_LINK49"/>
      <w:r>
        <w:t>)</w:t>
      </w:r>
      <w:bookmarkEnd w:id="111"/>
      <w:r>
        <w:t xml:space="preserve">. In this work, two ternary alloy based HEA systems </w:t>
      </w:r>
      <w:r w:rsidRPr="00546E04">
        <w:rPr>
          <w:noProof/>
        </w:rPr>
        <w:t xml:space="preserve">were </w:t>
      </w:r>
      <w:r>
        <w:rPr>
          <w:noProof/>
        </w:rPr>
        <w:t>assessed</w:t>
      </w:r>
      <w:r>
        <w:t xml:space="preserve"> for phase formation tendency, by using the simulated formation enthalpy as the </w:t>
      </w:r>
      <w:r w:rsidRPr="008C71F2">
        <w:rPr>
          <w:noProof/>
        </w:rPr>
        <w:t>main</w:t>
      </w:r>
      <w:r>
        <w:t xml:space="preserve"> factor and applying the simple criteria method. As presented in Fig. 2-13(b), the simulated results correlated well to the experimental results for phase formation prediction. </w:t>
      </w:r>
      <w:bookmarkStart w:id="112" w:name="OLE_LINK39"/>
      <w:bookmarkStart w:id="113" w:name="OLE_LINK40"/>
      <w:r>
        <w:rPr>
          <w:noProof/>
        </w:rPr>
        <w:t>Through</w:t>
      </w:r>
      <w:bookmarkEnd w:id="112"/>
      <w:bookmarkEnd w:id="113"/>
      <w:r>
        <w:t xml:space="preserve"> the assistance of DFT results, the accuracy of the </w:t>
      </w:r>
      <w:r w:rsidRPr="008C71F2">
        <w:rPr>
          <w:noProof/>
        </w:rPr>
        <w:t>semi-empirical</w:t>
      </w:r>
      <w:r>
        <w:t xml:space="preserve"> method can </w:t>
      </w:r>
      <w:r w:rsidRPr="00546E04">
        <w:rPr>
          <w:noProof/>
        </w:rPr>
        <w:t>be improved</w:t>
      </w:r>
      <w:r>
        <w:rPr>
          <w:noProof/>
        </w:rPr>
        <w:t xml:space="preserve"> </w:t>
      </w:r>
      <w:r>
        <w:t xml:space="preserve">when predicting HEA </w:t>
      </w:r>
      <w:r w:rsidRPr="008C71F2">
        <w:rPr>
          <w:noProof/>
        </w:rPr>
        <w:t>phase</w:t>
      </w:r>
      <w:r>
        <w:t xml:space="preserve"> formation. </w:t>
      </w:r>
    </w:p>
    <w:p w14:paraId="161B0F37" w14:textId="77777777" w:rsidR="00624970" w:rsidRDefault="00624970" w:rsidP="00624970">
      <w:pPr>
        <w:keepNext/>
        <w:spacing w:afterLines="60" w:after="144" w:line="360" w:lineRule="auto"/>
        <w:jc w:val="both"/>
      </w:pPr>
      <w:r w:rsidRPr="00546E04">
        <w:rPr>
          <w:b/>
          <w:noProof/>
          <w:sz w:val="20"/>
          <w:szCs w:val="20"/>
          <w:lang w:val="en-US" w:eastAsia="en-US"/>
        </w:rPr>
        <w:lastRenderedPageBreak/>
        <w:drawing>
          <wp:inline distT="0" distB="0" distL="0" distR="0" wp14:anchorId="211B2A6A" wp14:editId="2A36EAB8">
            <wp:extent cx="5925312" cy="2331202"/>
            <wp:effectExtent l="0" t="0" r="0" b="0"/>
            <wp:docPr id="13" name="图片 10" descr="图片包含 屏幕截图&#10;&#10;自动生成的说明">
              <a:extLst xmlns:a="http://schemas.openxmlformats.org/drawingml/2006/main">
                <a:ext uri="{FF2B5EF4-FFF2-40B4-BE49-F238E27FC236}">
                  <a16:creationId xmlns:a16="http://schemas.microsoft.com/office/drawing/2014/main" id="{11B1310F-B8F7-468E-9751-64EECD0717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图片包含 屏幕截图&#10;&#10;自动生成的说明">
                      <a:extLst>
                        <a:ext uri="{FF2B5EF4-FFF2-40B4-BE49-F238E27FC236}">
                          <a16:creationId xmlns:a16="http://schemas.microsoft.com/office/drawing/2014/main" id="{11B1310F-B8F7-468E-9751-64EECD071751}"/>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935111" cy="2335057"/>
                    </a:xfrm>
                    <a:prstGeom prst="rect">
                      <a:avLst/>
                    </a:prstGeom>
                  </pic:spPr>
                </pic:pic>
              </a:graphicData>
            </a:graphic>
          </wp:inline>
        </w:drawing>
      </w:r>
    </w:p>
    <w:p w14:paraId="272373D1" w14:textId="437FF525" w:rsidR="00624970" w:rsidRPr="0062750F" w:rsidRDefault="00624970" w:rsidP="00624970">
      <w:pPr>
        <w:spacing w:afterLines="60" w:after="144" w:line="360" w:lineRule="auto"/>
        <w:jc w:val="both"/>
        <w:rPr>
          <w:sz w:val="20"/>
          <w:szCs w:val="20"/>
        </w:rPr>
      </w:pPr>
      <w:bookmarkStart w:id="114" w:name="_Toc39312682"/>
      <w:bookmarkStart w:id="115" w:name="_Toc5617635"/>
      <w:bookmarkStart w:id="116" w:name="_Toc7364568"/>
      <w:r w:rsidRPr="00546E04">
        <w:rPr>
          <w:b/>
          <w:noProof/>
          <w:sz w:val="20"/>
          <w:szCs w:val="20"/>
        </w:rPr>
        <w:t>Fig</w:t>
      </w:r>
      <w:r>
        <w:rPr>
          <w:b/>
          <w:noProof/>
          <w:sz w:val="20"/>
          <w:szCs w:val="20"/>
        </w:rPr>
        <w:t>ure 2-</w:t>
      </w:r>
      <w:r w:rsidRPr="008B6028">
        <w:rPr>
          <w:b/>
          <w:sz w:val="20"/>
        </w:rPr>
        <w:fldChar w:fldCharType="begin"/>
      </w:r>
      <w:r w:rsidRPr="008B6028">
        <w:rPr>
          <w:b/>
          <w:sz w:val="20"/>
        </w:rPr>
        <w:instrText xml:space="preserve"> SEQ Figure \* ARABIC </w:instrText>
      </w:r>
      <w:r w:rsidRPr="008B6028">
        <w:rPr>
          <w:b/>
          <w:sz w:val="20"/>
        </w:rPr>
        <w:fldChar w:fldCharType="separate"/>
      </w:r>
      <w:r>
        <w:rPr>
          <w:b/>
          <w:noProof/>
          <w:sz w:val="20"/>
        </w:rPr>
        <w:t>13</w:t>
      </w:r>
      <w:r w:rsidRPr="008B6028">
        <w:rPr>
          <w:b/>
          <w:sz w:val="20"/>
        </w:rPr>
        <w:fldChar w:fldCharType="end"/>
      </w:r>
      <w:r w:rsidRPr="00546E04">
        <w:rPr>
          <w:noProof/>
          <w:sz w:val="20"/>
          <w:szCs w:val="20"/>
        </w:rPr>
        <w:t xml:space="preserve"> (</w:t>
      </w:r>
      <w:r w:rsidRPr="00546E04">
        <w:rPr>
          <w:b/>
          <w:noProof/>
          <w:sz w:val="20"/>
          <w:szCs w:val="20"/>
        </w:rPr>
        <w:t>a</w:t>
      </w:r>
      <w:r w:rsidRPr="00546E04">
        <w:rPr>
          <w:noProof/>
          <w:sz w:val="20"/>
          <w:szCs w:val="20"/>
        </w:rPr>
        <w:t>)The formation enthalpy matrix.</w:t>
      </w:r>
      <w:r w:rsidRPr="00A03FC4">
        <w:rPr>
          <w:sz w:val="20"/>
          <w:szCs w:val="20"/>
        </w:rPr>
        <w:t xml:space="preserve"> The energy of binary system formation enthalpy </w:t>
      </w:r>
      <w:r w:rsidRPr="00546E04">
        <w:rPr>
          <w:noProof/>
          <w:sz w:val="20"/>
          <w:szCs w:val="20"/>
        </w:rPr>
        <w:t>is calculated</w:t>
      </w:r>
      <w:r w:rsidRPr="00A03FC4">
        <w:rPr>
          <w:sz w:val="20"/>
          <w:szCs w:val="20"/>
        </w:rPr>
        <w:t xml:space="preserve"> for the most stable structure of binary compounds with </w:t>
      </w:r>
      <w:r>
        <w:rPr>
          <w:sz w:val="20"/>
          <w:szCs w:val="20"/>
        </w:rPr>
        <w:t xml:space="preserve">the </w:t>
      </w:r>
      <w:r w:rsidRPr="008C71F2">
        <w:rPr>
          <w:noProof/>
          <w:sz w:val="20"/>
          <w:szCs w:val="20"/>
        </w:rPr>
        <w:t>lowest</w:t>
      </w:r>
      <w:r w:rsidRPr="00A03FC4">
        <w:rPr>
          <w:sz w:val="20"/>
          <w:szCs w:val="20"/>
        </w:rPr>
        <w:t xml:space="preserve"> energy state. Numbers </w:t>
      </w:r>
      <w:r>
        <w:rPr>
          <w:sz w:val="20"/>
          <w:szCs w:val="20"/>
        </w:rPr>
        <w:t>possessing</w:t>
      </w:r>
      <w:r w:rsidRPr="00A03FC4">
        <w:rPr>
          <w:sz w:val="20"/>
          <w:szCs w:val="20"/>
        </w:rPr>
        <w:t xml:space="preserve"> light </w:t>
      </w:r>
      <w:r w:rsidRPr="00546E04">
        <w:rPr>
          <w:noProof/>
          <w:sz w:val="20"/>
          <w:szCs w:val="20"/>
        </w:rPr>
        <w:t>colo</w:t>
      </w:r>
      <w:r>
        <w:rPr>
          <w:noProof/>
          <w:sz w:val="20"/>
          <w:szCs w:val="20"/>
        </w:rPr>
        <w:t>u</w:t>
      </w:r>
      <w:r w:rsidRPr="00546E04">
        <w:rPr>
          <w:noProof/>
          <w:sz w:val="20"/>
          <w:szCs w:val="20"/>
        </w:rPr>
        <w:t>r</w:t>
      </w:r>
      <w:r>
        <w:rPr>
          <w:noProof/>
          <w:sz w:val="20"/>
          <w:szCs w:val="20"/>
        </w:rPr>
        <w:t>s</w:t>
      </w:r>
      <w:r w:rsidRPr="00A03FC4">
        <w:rPr>
          <w:sz w:val="20"/>
          <w:szCs w:val="20"/>
        </w:rPr>
        <w:t xml:space="preserve"> from white and green</w:t>
      </w:r>
      <w:r>
        <w:rPr>
          <w:sz w:val="20"/>
          <w:szCs w:val="20"/>
        </w:rPr>
        <w:t>,</w:t>
      </w:r>
      <w:r w:rsidRPr="00A03FC4">
        <w:rPr>
          <w:sz w:val="20"/>
          <w:szCs w:val="20"/>
        </w:rPr>
        <w:t xml:space="preserve"> represent compounds with </w:t>
      </w:r>
      <w:r>
        <w:rPr>
          <w:sz w:val="20"/>
          <w:szCs w:val="20"/>
        </w:rPr>
        <w:t xml:space="preserve">the </w:t>
      </w:r>
      <w:r w:rsidRPr="00A03FC4">
        <w:rPr>
          <w:sz w:val="20"/>
          <w:szCs w:val="20"/>
        </w:rPr>
        <w:t xml:space="preserve">solid solution phase as </w:t>
      </w:r>
      <w:r>
        <w:rPr>
          <w:sz w:val="20"/>
          <w:szCs w:val="20"/>
        </w:rPr>
        <w:t xml:space="preserve">the </w:t>
      </w:r>
      <w:r w:rsidRPr="008C71F2">
        <w:rPr>
          <w:noProof/>
          <w:sz w:val="20"/>
          <w:szCs w:val="20"/>
        </w:rPr>
        <w:t>most</w:t>
      </w:r>
      <w:r w:rsidRPr="00A03FC4">
        <w:rPr>
          <w:sz w:val="20"/>
          <w:szCs w:val="20"/>
        </w:rPr>
        <w:t xml:space="preserve"> stable structure</w:t>
      </w:r>
      <w:r>
        <w:rPr>
          <w:noProof/>
          <w:sz w:val="20"/>
          <w:szCs w:val="20"/>
        </w:rPr>
        <w:t xml:space="preserve">; and </w:t>
      </w:r>
      <w:r w:rsidRPr="00546E04">
        <w:rPr>
          <w:noProof/>
          <w:sz w:val="20"/>
          <w:szCs w:val="20"/>
        </w:rPr>
        <w:t>(</w:t>
      </w:r>
      <w:r w:rsidRPr="00A03FC4">
        <w:rPr>
          <w:b/>
          <w:sz w:val="20"/>
          <w:szCs w:val="20"/>
        </w:rPr>
        <w:t>b</w:t>
      </w:r>
      <w:r w:rsidRPr="00A03FC4">
        <w:rPr>
          <w:sz w:val="20"/>
          <w:szCs w:val="20"/>
        </w:rPr>
        <w:t xml:space="preserve">) </w:t>
      </w:r>
      <w:r>
        <w:rPr>
          <w:sz w:val="20"/>
          <w:szCs w:val="20"/>
        </w:rPr>
        <w:t>a p</w:t>
      </w:r>
      <w:r w:rsidRPr="00A03FC4">
        <w:rPr>
          <w:sz w:val="20"/>
          <w:szCs w:val="20"/>
        </w:rPr>
        <w:t>hase prediction table of two ternary alloy FeCoNi-XY and NbMoTaXY</w:t>
      </w:r>
      <w:r w:rsidRPr="007E738B">
        <w:rPr>
          <w:sz w:val="20"/>
          <w:szCs w:val="20"/>
        </w:rPr>
        <w:t xml:space="preserve"> </w:t>
      </w:r>
      <w:r w:rsidRPr="00A03FC4">
        <w:rPr>
          <w:sz w:val="20"/>
          <w:szCs w:val="20"/>
        </w:rPr>
        <w:t>HEA</w:t>
      </w:r>
      <w:r>
        <w:rPr>
          <w:sz w:val="20"/>
          <w:szCs w:val="20"/>
        </w:rPr>
        <w:t>s</w:t>
      </w:r>
      <w:r w:rsidRPr="00A03FC4">
        <w:rPr>
          <w:sz w:val="20"/>
          <w:szCs w:val="20"/>
        </w:rPr>
        <w:t xml:space="preserve">, </w:t>
      </w:r>
      <w:r>
        <w:rPr>
          <w:sz w:val="20"/>
          <w:szCs w:val="20"/>
        </w:rPr>
        <w:t xml:space="preserve">with </w:t>
      </w:r>
      <w:r w:rsidRPr="00A03FC4">
        <w:rPr>
          <w:sz w:val="20"/>
          <w:szCs w:val="20"/>
        </w:rPr>
        <w:t xml:space="preserve">the fourth and fifth principal components listed </w:t>
      </w:r>
      <w:r>
        <w:rPr>
          <w:sz w:val="20"/>
          <w:szCs w:val="20"/>
        </w:rPr>
        <w:t>on the</w:t>
      </w:r>
      <w:r w:rsidRPr="00A03FC4">
        <w:rPr>
          <w:sz w:val="20"/>
          <w:szCs w:val="20"/>
        </w:rPr>
        <w:t xml:space="preserve"> X and Y axis</w:t>
      </w:r>
      <w:r>
        <w:rPr>
          <w:sz w:val="20"/>
          <w:szCs w:val="20"/>
        </w:rPr>
        <w:t>.</w:t>
      </w:r>
      <w:r w:rsidRPr="00A03FC4">
        <w:rPr>
          <w:sz w:val="20"/>
          <w:szCs w:val="20"/>
        </w:rPr>
        <w:t xml:space="preserve"> </w:t>
      </w:r>
      <w:r>
        <w:rPr>
          <w:sz w:val="20"/>
          <w:szCs w:val="20"/>
        </w:rPr>
        <w:t>D</w:t>
      </w:r>
      <w:r w:rsidRPr="00A03FC4">
        <w:rPr>
          <w:sz w:val="20"/>
          <w:szCs w:val="20"/>
        </w:rPr>
        <w:t xml:space="preserve">iagonal entries </w:t>
      </w:r>
      <w:r>
        <w:rPr>
          <w:sz w:val="20"/>
          <w:szCs w:val="20"/>
        </w:rPr>
        <w:t xml:space="preserve">on </w:t>
      </w:r>
      <w:r w:rsidR="004A2B25">
        <w:rPr>
          <w:sz w:val="20"/>
          <w:szCs w:val="20"/>
        </w:rPr>
        <w:t>these</w:t>
      </w:r>
      <w:r w:rsidRPr="00A03FC4">
        <w:rPr>
          <w:sz w:val="20"/>
          <w:szCs w:val="20"/>
        </w:rPr>
        <w:t xml:space="preserve"> ax</w:t>
      </w:r>
      <w:r>
        <w:rPr>
          <w:sz w:val="20"/>
          <w:szCs w:val="20"/>
        </w:rPr>
        <w:t>es</w:t>
      </w:r>
      <w:r w:rsidRPr="00A03FC4">
        <w:rPr>
          <w:sz w:val="20"/>
          <w:szCs w:val="20"/>
        </w:rPr>
        <w:t xml:space="preserve"> indicate </w:t>
      </w:r>
      <w:r>
        <w:rPr>
          <w:sz w:val="20"/>
          <w:szCs w:val="20"/>
        </w:rPr>
        <w:t xml:space="preserve">the </w:t>
      </w:r>
      <w:r w:rsidRPr="00A03FC4">
        <w:rPr>
          <w:sz w:val="20"/>
          <w:szCs w:val="20"/>
        </w:rPr>
        <w:t xml:space="preserve">quaternary system and </w:t>
      </w:r>
      <w:r>
        <w:rPr>
          <w:sz w:val="20"/>
          <w:szCs w:val="20"/>
        </w:rPr>
        <w:t>the other</w:t>
      </w:r>
      <w:r w:rsidRPr="00A03FC4">
        <w:rPr>
          <w:sz w:val="20"/>
          <w:szCs w:val="20"/>
        </w:rPr>
        <w:t xml:space="preserve"> compositions are five component HEAs. </w:t>
      </w:r>
      <w:r>
        <w:rPr>
          <w:sz w:val="20"/>
          <w:szCs w:val="20"/>
        </w:rPr>
        <w:t>The g</w:t>
      </w:r>
      <w:r w:rsidRPr="00A03FC4">
        <w:rPr>
          <w:sz w:val="20"/>
          <w:szCs w:val="20"/>
        </w:rPr>
        <w:t xml:space="preserve">reen </w:t>
      </w:r>
      <w:r w:rsidRPr="00546E04">
        <w:rPr>
          <w:noProof/>
          <w:sz w:val="20"/>
          <w:szCs w:val="20"/>
        </w:rPr>
        <w:t>tri</w:t>
      </w:r>
      <w:r>
        <w:rPr>
          <w:noProof/>
          <w:sz w:val="20"/>
          <w:szCs w:val="20"/>
        </w:rPr>
        <w:t>a</w:t>
      </w:r>
      <w:r w:rsidRPr="00546E04">
        <w:rPr>
          <w:noProof/>
          <w:sz w:val="20"/>
          <w:szCs w:val="20"/>
        </w:rPr>
        <w:t>ngle</w:t>
      </w:r>
      <w:r>
        <w:rPr>
          <w:noProof/>
          <w:sz w:val="20"/>
          <w:szCs w:val="20"/>
        </w:rPr>
        <w:t>s</w:t>
      </w:r>
      <w:r w:rsidRPr="00A03FC4">
        <w:rPr>
          <w:sz w:val="20"/>
          <w:szCs w:val="20"/>
        </w:rPr>
        <w:t xml:space="preserve"> and red </w:t>
      </w:r>
      <w:r>
        <w:rPr>
          <w:sz w:val="20"/>
          <w:szCs w:val="20"/>
        </w:rPr>
        <w:t>circles</w:t>
      </w:r>
      <w:r w:rsidRPr="00A03FC4">
        <w:rPr>
          <w:sz w:val="20"/>
          <w:szCs w:val="20"/>
        </w:rPr>
        <w:t xml:space="preserve"> correspond to</w:t>
      </w:r>
      <w:r>
        <w:rPr>
          <w:sz w:val="20"/>
          <w:szCs w:val="20"/>
        </w:rPr>
        <w:t xml:space="preserve"> the</w:t>
      </w:r>
      <w:r w:rsidRPr="00A03FC4">
        <w:rPr>
          <w:sz w:val="20"/>
          <w:szCs w:val="20"/>
        </w:rPr>
        <w:t xml:space="preserve"> </w:t>
      </w:r>
      <w:r w:rsidRPr="008C71F2">
        <w:rPr>
          <w:noProof/>
          <w:sz w:val="20"/>
          <w:szCs w:val="20"/>
        </w:rPr>
        <w:t>solid</w:t>
      </w:r>
      <w:r w:rsidRPr="00A03FC4">
        <w:rPr>
          <w:sz w:val="20"/>
          <w:szCs w:val="20"/>
        </w:rPr>
        <w:t xml:space="preserve"> solution phase and complex phase with intermetallic phases</w:t>
      </w:r>
      <w:r>
        <w:rPr>
          <w:sz w:val="20"/>
          <w:szCs w:val="20"/>
        </w:rPr>
        <w:t>, respectively</w:t>
      </w:r>
      <w:r w:rsidRPr="00A03FC4">
        <w:rPr>
          <w:sz w:val="20"/>
          <w:szCs w:val="20"/>
        </w:rPr>
        <w:t xml:space="preserve">. </w:t>
      </w:r>
      <w:r>
        <w:rPr>
          <w:noProof/>
          <w:sz w:val="20"/>
          <w:szCs w:val="20"/>
        </w:rPr>
        <w:t>The t</w:t>
      </w:r>
      <w:r w:rsidRPr="008C71F2">
        <w:rPr>
          <w:noProof/>
          <w:sz w:val="20"/>
          <w:szCs w:val="20"/>
        </w:rPr>
        <w:t>icked</w:t>
      </w:r>
      <w:r w:rsidRPr="00A03FC4">
        <w:rPr>
          <w:sz w:val="20"/>
          <w:szCs w:val="20"/>
        </w:rPr>
        <w:t xml:space="preserve"> </w:t>
      </w:r>
      <w:r>
        <w:rPr>
          <w:sz w:val="20"/>
          <w:szCs w:val="20"/>
        </w:rPr>
        <w:t>denote</w:t>
      </w:r>
      <w:r w:rsidRPr="00A03FC4">
        <w:rPr>
          <w:sz w:val="20"/>
          <w:szCs w:val="20"/>
        </w:rPr>
        <w:t xml:space="preserve"> experimental</w:t>
      </w:r>
      <w:r>
        <w:rPr>
          <w:sz w:val="20"/>
          <w:szCs w:val="20"/>
        </w:rPr>
        <w:t>ly</w:t>
      </w:r>
      <w:r w:rsidRPr="00A03FC4">
        <w:rPr>
          <w:sz w:val="20"/>
          <w:szCs w:val="20"/>
        </w:rPr>
        <w:t xml:space="preserve"> </w:t>
      </w:r>
      <w:r>
        <w:rPr>
          <w:sz w:val="20"/>
          <w:szCs w:val="20"/>
        </w:rPr>
        <w:t>verified</w:t>
      </w:r>
      <w:r w:rsidRPr="00A03FC4">
        <w:rPr>
          <w:sz w:val="20"/>
          <w:szCs w:val="20"/>
        </w:rPr>
        <w:t xml:space="preserve"> compositions with relative element addition. </w:t>
      </w:r>
      <w:r w:rsidRPr="00A03FC4">
        <w:rPr>
          <w:sz w:val="20"/>
          <w:szCs w:val="20"/>
        </w:rPr>
        <w:fldChar w:fldCharType="begin" w:fldLock="1"/>
      </w:r>
      <w:r>
        <w:rPr>
          <w:sz w:val="20"/>
          <w:szCs w:val="20"/>
        </w:rPr>
        <w:instrText>ADDIN CSL_CITATION {"citationItems":[{"id":"ITEM-1","itemData":{"DOI":"10.1103/PhysRevX.5.011041","ISBN":"2166-3831","ISSN":"21603308","PMID":"26415623","abstract":"High-entropy alloys constitute a new class of materials whose very existence poses fundamental questions regarding the physical principles underlying their unusual phase stability. Originally thought to be stabilized by the large entropy of mixing associated with their large number of components (five or more), these alloys have attracted attention for their potential applications. Yet, no model capable of robustly predicting which combinations of elements will form a single phase currently exists. Here, we propose a model that, through the use of high-throughput computation of the enthalpies of formation of binary compounds, predicts specific combinations of elements most likely to form single-phase, highentropy alloys. The model correctly identifies all known single-phase alloys while rejecting similar elemental combinations that are known to form an alloy comprising multiple phases. In addition, we predict numerous potential single-phase alloy compositions and provide three tables with the ten most likely five-, six-, and seven-component single-phase alloys to guide experimental searches.","author":[{"dropping-particle":"","family":"Troparevsky","given":"M. Claudia","non-dropping-particle":"","parse-names":false,"suffix":""},{"dropping-particle":"","family":"Morris","given":"James R.","non-dropping-particle":"","parse-names":false,"suffix":""},{"dropping-particle":"","family":"Kent","given":"Paul R.C.","non-dropping-particle":"","parse-names":false,"suffix":""},{"dropping-particle":"","family":"Lupini","given":"Andrew R.","non-dropping-particle":"","parse-names":false,"suffix":""},{"dropping-particle":"","family":"Stocks","given":"G. Malcolm","non-dropping-particle":"","parse-names":false,"suffix":""}],"container-title":"Physical Review X","id":"ITEM-1","issued":{"date-parts":[["2015"]]},"title":"Criteria for predicting the formation of single-phase high-entropy alloys","type":"article-journal"},"uris":["http://www.mendeley.com/documents/?uuid=be3ecf1c-f694-4665-bdb9-4e77d8166e6c"]}],"mendeley":{"formattedCitation":"[84]","plainTextFormattedCitation":"[84]","previouslyFormattedCitation":"[84]"},"properties":{"noteIndex":0},"schema":"https://github.com/citation-style-language/schema/raw/master/csl-citation.json"}</w:instrText>
      </w:r>
      <w:r w:rsidRPr="00A03FC4">
        <w:rPr>
          <w:sz w:val="20"/>
          <w:szCs w:val="20"/>
        </w:rPr>
        <w:fldChar w:fldCharType="separate"/>
      </w:r>
      <w:bookmarkEnd w:id="115"/>
      <w:bookmarkEnd w:id="116"/>
      <w:r w:rsidRPr="003B39BC">
        <w:rPr>
          <w:noProof/>
          <w:sz w:val="20"/>
          <w:szCs w:val="20"/>
        </w:rPr>
        <w:t>[84]</w:t>
      </w:r>
      <w:bookmarkEnd w:id="114"/>
      <w:r w:rsidRPr="00A03FC4">
        <w:rPr>
          <w:sz w:val="20"/>
          <w:szCs w:val="20"/>
        </w:rPr>
        <w:fldChar w:fldCharType="end"/>
      </w:r>
    </w:p>
    <w:p w14:paraId="161EF3AB" w14:textId="77777777" w:rsidR="00624970" w:rsidRPr="001E3029" w:rsidRDefault="00624970" w:rsidP="00624970">
      <w:pPr>
        <w:pStyle w:val="2"/>
        <w:spacing w:before="0" w:afterLines="60" w:after="144" w:line="360" w:lineRule="auto"/>
        <w:rPr>
          <w:rFonts w:asciiTheme="minorHAnsi" w:hAnsiTheme="minorHAnsi"/>
          <w:b/>
          <w:noProof/>
          <w:color w:val="000000" w:themeColor="text1"/>
          <w:sz w:val="32"/>
          <w:szCs w:val="32"/>
        </w:rPr>
      </w:pPr>
      <w:bookmarkStart w:id="117" w:name="_Toc5618284"/>
      <w:bookmarkStart w:id="118" w:name="_Toc22052510"/>
      <w:r w:rsidRPr="001E3029">
        <w:rPr>
          <w:rFonts w:asciiTheme="minorHAnsi" w:hAnsiTheme="minorHAnsi"/>
          <w:b/>
          <w:noProof/>
          <w:color w:val="000000" w:themeColor="text1"/>
          <w:sz w:val="32"/>
          <w:szCs w:val="32"/>
        </w:rPr>
        <w:t xml:space="preserve">2.4 Prediction of mechanical performance of HEAs by empirical and </w:t>
      </w:r>
      <w:r>
        <w:rPr>
          <w:rFonts w:asciiTheme="minorHAnsi" w:hAnsiTheme="minorHAnsi"/>
          <w:b/>
          <w:noProof/>
          <w:color w:val="000000" w:themeColor="text1"/>
          <w:sz w:val="32"/>
          <w:szCs w:val="32"/>
        </w:rPr>
        <w:br/>
      </w:r>
      <w:r w:rsidRPr="00F8731F">
        <w:rPr>
          <w:rFonts w:asciiTheme="minorHAnsi" w:hAnsiTheme="minorHAnsi"/>
          <w:b/>
          <w:i/>
          <w:noProof/>
          <w:color w:val="000000" w:themeColor="text1"/>
          <w:sz w:val="32"/>
          <w:szCs w:val="32"/>
        </w:rPr>
        <w:t>ab initio</w:t>
      </w:r>
      <w:r w:rsidRPr="001E3029">
        <w:rPr>
          <w:rFonts w:asciiTheme="minorHAnsi" w:hAnsiTheme="minorHAnsi"/>
          <w:b/>
          <w:noProof/>
          <w:color w:val="000000" w:themeColor="text1"/>
          <w:sz w:val="32"/>
          <w:szCs w:val="32"/>
        </w:rPr>
        <w:t xml:space="preserve"> methods.</w:t>
      </w:r>
      <w:bookmarkEnd w:id="117"/>
      <w:bookmarkEnd w:id="118"/>
    </w:p>
    <w:p w14:paraId="3C769953" w14:textId="13D4177A" w:rsidR="00624970" w:rsidRPr="00A27DDF" w:rsidRDefault="00624970" w:rsidP="00624970">
      <w:pPr>
        <w:spacing w:afterLines="60" w:after="144" w:line="360" w:lineRule="auto"/>
        <w:jc w:val="both"/>
      </w:pPr>
      <w:r w:rsidRPr="00A27DDF">
        <w:t xml:space="preserve">The success of applying </w:t>
      </w:r>
      <w:r w:rsidRPr="008C71F2">
        <w:rPr>
          <w:noProof/>
        </w:rPr>
        <w:t>semi-empirical</w:t>
      </w:r>
      <w:r w:rsidRPr="00A27DDF">
        <w:t xml:space="preserve"> and </w:t>
      </w:r>
      <w:r w:rsidRPr="00F8731F">
        <w:rPr>
          <w:i/>
        </w:rPr>
        <w:t>ab initio</w:t>
      </w:r>
      <w:r w:rsidRPr="00A27DDF">
        <w:t xml:space="preserve"> method</w:t>
      </w:r>
      <w:r>
        <w:t>s</w:t>
      </w:r>
      <w:r w:rsidRPr="00A27DDF">
        <w:t xml:space="preserve"> in HEA phase formation predictions</w:t>
      </w:r>
      <w:r>
        <w:t>,</w:t>
      </w:r>
      <w:r w:rsidRPr="00A27DDF">
        <w:t xml:space="preserve"> </w:t>
      </w:r>
      <w:r>
        <w:t>has inspired research</w:t>
      </w:r>
      <w:r w:rsidRPr="00A27DDF">
        <w:t xml:space="preserve"> </w:t>
      </w:r>
      <w:r>
        <w:t>in a direction to</w:t>
      </w:r>
      <w:r w:rsidRPr="00A27DDF">
        <w:t xml:space="preserve"> </w:t>
      </w:r>
      <w:r>
        <w:t>develop</w:t>
      </w:r>
      <w:r w:rsidRPr="00A27DDF">
        <w:t xml:space="preserve"> predict</w:t>
      </w:r>
      <w:r>
        <w:t>ions of</w:t>
      </w:r>
      <w:r w:rsidRPr="00A27DDF">
        <w:t xml:space="preserve"> </w:t>
      </w:r>
      <w:r w:rsidRPr="008C71F2">
        <w:rPr>
          <w:noProof/>
        </w:rPr>
        <w:t>mechanical</w:t>
      </w:r>
      <w:r w:rsidRPr="00A27DDF">
        <w:t xml:space="preserve"> performance of potential HEAs</w:t>
      </w:r>
      <w:r>
        <w:t>. This is particularly related to the</w:t>
      </w:r>
      <w:r w:rsidRPr="00A27DDF">
        <w:t xml:space="preserve"> design of </w:t>
      </w:r>
      <w:r>
        <w:t>R</w:t>
      </w:r>
      <w:r w:rsidRPr="00A27DDF">
        <w:t xml:space="preserve">HEAs </w:t>
      </w:r>
      <w:r>
        <w:t xml:space="preserve">for which most have reported a </w:t>
      </w:r>
      <w:r w:rsidRPr="00A27DDF">
        <w:t>lack of ductility at ambient temperature</w:t>
      </w:r>
      <w:r>
        <w:t>s</w:t>
      </w:r>
      <w:r w:rsidRPr="0554E995">
        <w:t xml:space="preserve">. </w:t>
      </w:r>
      <w:r>
        <w:t>Unlike</w:t>
      </w:r>
      <w:r w:rsidRPr="00A27DDF">
        <w:t xml:space="preserve"> FCC HEAs </w:t>
      </w:r>
      <w:r>
        <w:t>which have</w:t>
      </w:r>
      <w:r w:rsidRPr="00A27DDF">
        <w:t xml:space="preserve"> 12 slip system</w:t>
      </w:r>
      <w:r>
        <w:t>s</w:t>
      </w:r>
      <w:r w:rsidRPr="00A27DDF">
        <w:t xml:space="preserve">, BCC HEAs (most of which are </w:t>
      </w:r>
      <w:r>
        <w:t>R</w:t>
      </w:r>
      <w:r w:rsidRPr="00A27DDF">
        <w:t>HEAs) possess 48 slip system</w:t>
      </w:r>
      <w:r>
        <w:t>s</w:t>
      </w:r>
      <w:r w:rsidRPr="00A27DDF">
        <w:t xml:space="preserve"> and</w:t>
      </w:r>
      <w:r>
        <w:t xml:space="preserve"> are</w:t>
      </w:r>
      <w:r w:rsidRPr="00A27DDF">
        <w:t xml:space="preserve"> expected to </w:t>
      </w:r>
      <w:r>
        <w:t>exhibit better</w:t>
      </w:r>
      <w:r w:rsidRPr="0554E995">
        <w:t xml:space="preserve"> </w:t>
      </w:r>
      <w:r>
        <w:t>plasticity</w:t>
      </w:r>
      <w:r w:rsidRPr="00A27DDF">
        <w:t xml:space="preserve"> during deformation. However, in FCC materials, the 12-slip system</w:t>
      </w:r>
      <w:r>
        <w:t>s</w:t>
      </w:r>
      <w:r w:rsidRPr="0554E995">
        <w:t xml:space="preserve"> </w:t>
      </w:r>
      <w:r w:rsidRPr="00A27DDF">
        <w:t>consis</w:t>
      </w:r>
      <w:r>
        <w:t>t</w:t>
      </w:r>
      <w:r w:rsidRPr="00A27DDF">
        <w:t xml:space="preserve"> of four {111}</w:t>
      </w:r>
      <w:r w:rsidRPr="00A27DDF">
        <w:rPr>
          <w:vertAlign w:val="subscript"/>
        </w:rPr>
        <w:t>FCC</w:t>
      </w:r>
      <w:r w:rsidRPr="00A27DDF">
        <w:t xml:space="preserve"> plane</w:t>
      </w:r>
      <w:r>
        <w:t>s</w:t>
      </w:r>
      <w:r w:rsidRPr="00A27DDF">
        <w:t xml:space="preserve"> and six &lt;110&gt;</w:t>
      </w:r>
      <w:r w:rsidRPr="00A27DDF">
        <w:rPr>
          <w:vertAlign w:val="subscript"/>
        </w:rPr>
        <w:t>FCC</w:t>
      </w:r>
      <w:r w:rsidRPr="00A27DDF">
        <w:t xml:space="preserve"> directions (common to two {111}</w:t>
      </w:r>
      <w:r w:rsidRPr="00A27DDF">
        <w:rPr>
          <w:vertAlign w:val="subscript"/>
        </w:rPr>
        <w:t>FCC</w:t>
      </w:r>
      <w:r w:rsidRPr="00A27DDF">
        <w:t xml:space="preserve"> plane</w:t>
      </w:r>
      <w:r>
        <w:t>s</w:t>
      </w:r>
      <w:r w:rsidRPr="00A27DDF">
        <w:t>)</w:t>
      </w:r>
      <w:r>
        <w:t>. This</w:t>
      </w:r>
      <w:r w:rsidRPr="00A27DDF">
        <w:t xml:space="preserve"> indicate</w:t>
      </w:r>
      <w:r>
        <w:t>s</w:t>
      </w:r>
      <w:r w:rsidRPr="00A27DDF">
        <w:t xml:space="preserve"> the activation of slip system</w:t>
      </w:r>
      <w:r>
        <w:t>s</w:t>
      </w:r>
      <w:r w:rsidRPr="00A27DDF">
        <w:t xml:space="preserve"> in FCC only requiring stress to exert along {111}&lt;110&gt;</w:t>
      </w:r>
      <w:r w:rsidRPr="00A27DDF">
        <w:rPr>
          <w:vertAlign w:val="subscript"/>
        </w:rPr>
        <w:t>FCC</w:t>
      </w:r>
      <w:r w:rsidRPr="0554E995">
        <w:t xml:space="preserve">. </w:t>
      </w:r>
      <w:r>
        <w:t>In terms of</w:t>
      </w:r>
      <w:r w:rsidRPr="00A27DDF">
        <w:t xml:space="preserve"> BCC alloys whose 48 slip systems can either be {110}&lt;111&gt;</w:t>
      </w:r>
      <w:r w:rsidRPr="00A27DDF">
        <w:rPr>
          <w:vertAlign w:val="subscript"/>
        </w:rPr>
        <w:t>BCC</w:t>
      </w:r>
      <w:r w:rsidRPr="00A27DDF">
        <w:t>, {211}&lt;111&gt;</w:t>
      </w:r>
      <w:r w:rsidRPr="00A27DDF">
        <w:rPr>
          <w:vertAlign w:val="subscript"/>
        </w:rPr>
        <w:t>BCC</w:t>
      </w:r>
      <w:r w:rsidRPr="00A27DDF">
        <w:t xml:space="preserve"> and {321}&lt;111&gt;</w:t>
      </w:r>
      <w:r>
        <w:rPr>
          <w:noProof/>
          <w:vertAlign w:val="subscript"/>
        </w:rPr>
        <w:t xml:space="preserve"> BCC</w:t>
      </w:r>
      <w:r w:rsidRPr="008C71F2">
        <w:rPr>
          <w:noProof/>
        </w:rPr>
        <w:t>,</w:t>
      </w:r>
      <w:r w:rsidRPr="0554E995">
        <w:t xml:space="preserve"> </w:t>
      </w:r>
      <w:r>
        <w:t>without a close</w:t>
      </w:r>
      <w:r w:rsidRPr="0554E995">
        <w:t>-</w:t>
      </w:r>
      <w:r>
        <w:t xml:space="preserve">packed slip plane and requiring much higher critical resolved shear stress to activate, the 48 slip systems cannot be activated simultaneously. This </w:t>
      </w:r>
      <w:r w:rsidRPr="00A27DDF">
        <w:t>result</w:t>
      </w:r>
      <w:r>
        <w:t>s</w:t>
      </w:r>
      <w:r w:rsidRPr="00A27DDF">
        <w:t xml:space="preserve"> in obstruction for</w:t>
      </w:r>
      <w:r>
        <w:t xml:space="preserve"> </w:t>
      </w:r>
      <w:r w:rsidRPr="00A27DDF">
        <w:t xml:space="preserve"> dislocation to slip and result</w:t>
      </w:r>
      <w:r w:rsidR="005918C3">
        <w:t>s</w:t>
      </w:r>
      <w:r w:rsidRPr="00A27DDF">
        <w:t xml:space="preserve"> in</w:t>
      </w:r>
      <w:r w:rsidRPr="0554E995">
        <w:t xml:space="preserve"> </w:t>
      </w:r>
      <w:r w:rsidRPr="008C71F2">
        <w:rPr>
          <w:noProof/>
        </w:rPr>
        <w:t>relative</w:t>
      </w:r>
      <w:r>
        <w:rPr>
          <w:noProof/>
        </w:rPr>
        <w:t>ly</w:t>
      </w:r>
      <w:r w:rsidRPr="00A27DDF">
        <w:t xml:space="preserve"> </w:t>
      </w:r>
      <w:r>
        <w:t>poor</w:t>
      </w:r>
      <w:r w:rsidRPr="00A27DDF">
        <w:t xml:space="preserve"> ductility. Thus, for BCC </w:t>
      </w:r>
      <w:r>
        <w:t>R</w:t>
      </w:r>
      <w:r w:rsidRPr="00A27DDF">
        <w:t xml:space="preserve">HEAs, </w:t>
      </w:r>
      <w:r w:rsidRPr="008C71F2">
        <w:rPr>
          <w:noProof/>
        </w:rPr>
        <w:t>the mechanical</w:t>
      </w:r>
      <w:r w:rsidRPr="00A27DDF">
        <w:t xml:space="preserve"> performance </w:t>
      </w:r>
      <w:r w:rsidRPr="00A27DDF">
        <w:lastRenderedPageBreak/>
        <w:t>is more sensitive to the intrinsic elasticity (isotropy or anisotropy)</w:t>
      </w:r>
      <w:r>
        <w:t xml:space="preserve"> </w:t>
      </w:r>
      <w:r w:rsidRPr="00A27DDF">
        <w:fldChar w:fldCharType="begin" w:fldLock="1"/>
      </w:r>
      <w:r>
        <w:instrText>ADDIN CSL_CITATION {"citationItems":[{"id":"ITEM-1","itemData":{"DOI":"10.1103/PhysRevLett.112.115503","ISSN":"00319007","abstract":"An important theoretical ductility criterion for group V and VI metal-based refractory alloys in body-centered cubic (bcc) lattices is the mechanical failure mode of their perfect crystals under tension along the weakest direction [100]. Pure Mo and W fail by cleavage and are deemed intrinsically brittle. However, first-principles calculations show that alloying with group IV or V transition metals can transform these materials into ones that display intrinsically ductile behavior, failing in shear under [100] tension. Remarkably, this transition can be understood as an electron filling effect with the intrinsically ductile response the manifestation of a Jahn-Teller distortion. DOI: 10.1103/PhysRevLett.112.115503 PACS numbers: 62.20.fk, 62.20.mj Refractory alloys based on group VI metals, molybde-num (Mo) and tungsten (W), are attractive for many important high-temperature applications, including critical components in fusion reactors and turbine engines [1–3]. However, they display a ductile-brittle transition as temper-ature drops, and their transition temperatures can be close to or even higher than room temperature depending on material microstructures and strain rates [4,5]. Thus, the lack of ductility at room temperature and even moderately high temperature is a critical bottleneck that limits large-scale industrial applications of Mo and W alloys [1,2]. There are two aspects of a material's ductility that can be addressed during alloy design. Most commonly, research-ers focus on modifying the so-called extrinsic features of the alloy (e.g., grain size, precipitate distribution, etc.) to passivate and blunt cracks before they propagate and lead to failure of the macroscopic part [2,6]. One can also focus on a second aspect of the alloy behavior, the intrinsic ductility of its perfect crystal. From the stress perspective, disloca-tion nucleation requires that the local shear stress on the slip plane should be near the corresponding ideal shear strength, while crack initiation requires that the local tensile stress on the direction perpendicular to the cleavage plane should be larger than the ideal tensile strength [7]. However, even under the loading direction perpendicular to the cleavage plane, some materials in perfect crystalline structures reach ideal shear strength along other orientations first so that they fail by shear deformation [8]. Under this circumstance of \" shear instability, \" dislocation nucleation will be acti-vated before crack…","author":[{"dropping-particle":"","family":"Qi","given":"Liang","non-dropping-particle":"","parse-names":false,"suffix":""},{"dropping-particle":"","family":"Chrzan","given":"D. C.","non-dropping-particle":"","parse-names":false,"suffix":""}],"container-title":"Physical Review Letters","id":"ITEM-1","issued":{"date-parts":[["2014"]]},"title":"Tuning ideal tensile strengths and intrinsic ductility of bcc refractory alloys","type":"article-journal"},"uris":["http://www.mendeley.com/documents/?uuid=85018fa3-b9de-4fd5-956a-dc01cac37ccd","http://www.mendeley.com/documents/?uuid=8775c02e-d01b-4dda-a56f-c36452ceb35d"]}],"mendeley":{"formattedCitation":"[85]","plainTextFormattedCitation":"[85]","previouslyFormattedCitation":"[85]"},"properties":{"noteIndex":0},"schema":"https://github.com/citation-style-language/schema/raw/master/csl-citation.json"}</w:instrText>
      </w:r>
      <w:r w:rsidRPr="00A27DDF">
        <w:fldChar w:fldCharType="separate"/>
      </w:r>
      <w:r w:rsidRPr="003B39BC">
        <w:rPr>
          <w:noProof/>
        </w:rPr>
        <w:t>[85]</w:t>
      </w:r>
      <w:r w:rsidRPr="00A27DDF">
        <w:fldChar w:fldCharType="end"/>
      </w:r>
      <w:r w:rsidRPr="00A27DDF">
        <w:t xml:space="preserve">. Early </w:t>
      </w:r>
      <w:r>
        <w:t>works</w:t>
      </w:r>
      <w:r w:rsidRPr="008C71F2">
        <w:rPr>
          <w:noProof/>
        </w:rPr>
        <w:t xml:space="preserve"> focus</w:t>
      </w:r>
      <w:r>
        <w:rPr>
          <w:noProof/>
        </w:rPr>
        <w:t>sed</w:t>
      </w:r>
      <w:r w:rsidRPr="00A27DDF">
        <w:t xml:space="preserve"> on using </w:t>
      </w:r>
      <w:r w:rsidRPr="006B2891">
        <w:rPr>
          <w:i/>
        </w:rPr>
        <w:t>VEC</w:t>
      </w:r>
      <w:r w:rsidRPr="00A27DDF">
        <w:t xml:space="preserve"> as</w:t>
      </w:r>
      <w:r>
        <w:t xml:space="preserve"> a</w:t>
      </w:r>
      <w:r w:rsidRPr="00A27DDF">
        <w:t xml:space="preserve"> guid</w:t>
      </w:r>
      <w:r>
        <w:t>e</w:t>
      </w:r>
      <w:r w:rsidRPr="00A27DDF">
        <w:t xml:space="preserve"> to find ductile </w:t>
      </w:r>
      <w:r>
        <w:t>R</w:t>
      </w:r>
      <w:r w:rsidRPr="00A27DDF">
        <w:t xml:space="preserve">HEA candidates. </w:t>
      </w:r>
      <w:r>
        <w:t xml:space="preserve">Through the </w:t>
      </w:r>
      <w:r w:rsidRPr="00572BE8">
        <w:rPr>
          <w:i/>
        </w:rPr>
        <w:t>ab initio</w:t>
      </w:r>
      <w:r>
        <w:t xml:space="preserve"> method, Qi </w:t>
      </w:r>
      <w:r w:rsidRPr="00A27DDF">
        <w:fldChar w:fldCharType="begin" w:fldLock="1"/>
      </w:r>
      <w:r>
        <w:instrText>ADDIN CSL_CITATION {"citationItems":[{"id":"ITEM-1","itemData":{"DOI":"10.1103/PhysRevLett.112.115503","ISSN":"00319007","abstract":"An important theoretical ductility criterion for group V and VI metal-based refractory alloys in body-centered cubic (bcc) lattices is the mechanical failure mode of their perfect crystals under tension along the weakest direction [100]. Pure Mo and W fail by cleavage and are deemed intrinsically brittle. However, first-principles calculations show that alloying with group IV or V transition metals can transform these materials into ones that display intrinsically ductile behavior, failing in shear under [100] tension. Remarkably, this transition can be understood as an electron filling effect with the intrinsically ductile response the manifestation of a Jahn-Teller distortion. DOI: 10.1103/PhysRevLett.112.115503 PACS numbers: 62.20.fk, 62.20.mj Refractory alloys based on group VI metals, molybde-num (Mo) and tungsten (W), are attractive for many important high-temperature applications, including critical components in fusion reactors and turbine engines [1–3]. However, they display a ductile-brittle transition as temper-ature drops, and their transition temperatures can be close to or even higher than room temperature depending on material microstructures and strain rates [4,5]. Thus, the lack of ductility at room temperature and even moderately high temperature is a critical bottleneck that limits large-scale industrial applications of Mo and W alloys [1,2]. There are two aspects of a material's ductility that can be addressed during alloy design. Most commonly, research-ers focus on modifying the so-called extrinsic features of the alloy (e.g., grain size, precipitate distribution, etc.) to passivate and blunt cracks before they propagate and lead to failure of the macroscopic part [2,6]. One can also focus on a second aspect of the alloy behavior, the intrinsic ductility of its perfect crystal. From the stress perspective, disloca-tion nucleation requires that the local shear stress on the slip plane should be near the corresponding ideal shear strength, while crack initiation requires that the local tensile stress on the direction perpendicular to the cleavage plane should be larger than the ideal tensile strength [7]. However, even under the loading direction perpendicular to the cleavage plane, some materials in perfect crystalline structures reach ideal shear strength along other orientations first so that they fail by shear deformation [8]. Under this circumstance of \" shear instability, \" dislocation nucleation will be acti-vated before crack…","author":[{"dropping-particle":"","family":"Qi","given":"Liang","non-dropping-particle":"","parse-names":false,"suffix":""},{"dropping-particle":"","family":"Chrzan","given":"D. C.","non-dropping-particle":"","parse-names":false,"suffix":""}],"container-title":"Physical Review Letters","id":"ITEM-1","issued":{"date-parts":[["2014"]]},"title":"Tuning ideal tensile strengths and intrinsic ductility of bcc refractory alloys","type":"article-journal"},"uris":["http://www.mendeley.com/documents/?uuid=8775c02e-d01b-4dda-a56f-c36452ceb35d","http://www.mendeley.com/documents/?uuid=85018fa3-b9de-4fd5-956a-dc01cac37ccd"]}],"mendeley":{"formattedCitation":"[85]","plainTextFormattedCitation":"[85]","previouslyFormattedCitation":"[85]"},"properties":{"noteIndex":0},"schema":"https://github.com/citation-style-language/schema/raw/master/csl-citation.json"}</w:instrText>
      </w:r>
      <w:r w:rsidRPr="00A27DDF">
        <w:fldChar w:fldCharType="separate"/>
      </w:r>
      <w:r w:rsidRPr="003B39BC">
        <w:rPr>
          <w:noProof/>
        </w:rPr>
        <w:t>[85]</w:t>
      </w:r>
      <w:r w:rsidRPr="00A27DDF">
        <w:fldChar w:fldCharType="end"/>
      </w:r>
      <w:r>
        <w:t xml:space="preserve"> concluded that</w:t>
      </w:r>
      <w:r w:rsidRPr="00A27DDF">
        <w:t xml:space="preserve"> the theoretical elasticity </w:t>
      </w:r>
      <w:r>
        <w:t>of BCC structure in RHEAs is</w:t>
      </w:r>
      <w:r w:rsidRPr="008C71F2">
        <w:rPr>
          <w:noProof/>
        </w:rPr>
        <w:t xml:space="preserve"> depend</w:t>
      </w:r>
      <w:r>
        <w:rPr>
          <w:noProof/>
        </w:rPr>
        <w:t>ent</w:t>
      </w:r>
      <w:r w:rsidRPr="00A27DDF">
        <w:t xml:space="preserve"> on the mechanical yield mode under tension along [100]</w:t>
      </w:r>
      <w:r w:rsidRPr="00A27DDF">
        <w:rPr>
          <w:vertAlign w:val="subscript"/>
        </w:rPr>
        <w:t>BCC</w:t>
      </w:r>
      <w:r w:rsidRPr="00A27DDF">
        <w:t xml:space="preserve"> direction</w:t>
      </w:r>
      <w:r w:rsidRPr="0554E995">
        <w:t>,</w:t>
      </w:r>
      <w:r w:rsidRPr="00A27DDF">
        <w:t xml:space="preserve"> which can be tuned by tailoring </w:t>
      </w:r>
      <w:r w:rsidRPr="006B2891">
        <w:rPr>
          <w:i/>
        </w:rPr>
        <w:t>VEC</w:t>
      </w:r>
      <w:r w:rsidRPr="00A27DDF">
        <w:t xml:space="preserve"> </w:t>
      </w:r>
      <w:r>
        <w:t xml:space="preserve">of </w:t>
      </w:r>
      <w:r w:rsidRPr="00A27DDF">
        <w:t>refractory alloys through alloying</w:t>
      </w:r>
      <w:r>
        <w:t>.</w:t>
      </w:r>
      <w:r w:rsidRPr="00A27DDF">
        <w:t xml:space="preserve"> Following this strategy, Sheikh </w:t>
      </w:r>
      <w:r w:rsidRPr="00572BE8">
        <w:rPr>
          <w:i/>
        </w:rPr>
        <w:t>et al.</w:t>
      </w:r>
      <w:r>
        <w:t xml:space="preserve"> </w:t>
      </w:r>
      <w:r w:rsidRPr="00A27DDF">
        <w:fldChar w:fldCharType="begin" w:fldLock="1"/>
      </w:r>
      <w:r>
        <w:instrText>ADDIN CSL_CITATION {"citationItems":[{"id":"ITEM-1","itemData":{"DOI":"10.1063/1.4966659","ISSN":"10897550","abstract":"Refractory high-entropy alloys (RHEAs), comprising group IV (Ti, Zr, Hf), V (V, Nb, Ta), and VI (Cr, Mo, W) refractory elements, can be potentially new generation high-temperature materials. However, most existing RHEAs lack room-temperature ductility, similar to conventional refractory metals and alloys. Here, we propose an alloy design strategy to intrinsically ductilize RHEAs based on the electron theory and more specifically to decrease the number of valence electrons through controlled alloying. A new ductile RHEA, Hf0.5Nb0.5Ta0.5Ti1.5Zr, was developed as a proof of concept, with a fracture stress of close to 1 GPa and an elongation of near 20%. The findings here will shed light on the development of ductile RHEAs for ultrahigh-temperature applications in aerospace and power-generation industries.","author":[{"dropping-particle":"","family":"Sheikh","given":"Saad","non-dropping-particle":"","parse-names":false,"suffix":""},{"dropping-particle":"","family":"Shafeie","given":"Samrand","non-dropping-particle":"","parse-names":false,"suffix":""},{"dropping-particle":"","family":"Hu","given":"Qiang","non-dropping-particle":"","parse-names":false,"suffix":""},{"dropping-particle":"","family":"Ahlström","given":"Johan","non-dropping-particle":"","parse-names":false,"suffix":""},{"dropping-particle":"","family":"Persson","given":"Christer","non-dropping-particle":"","parse-names":false,"suffix":""},{"dropping-particle":"","family":"Veselý","given":"Jaroslav","non-dropping-particle":"","parse-names":false,"suffix":""},{"dropping-particle":"","family":"Zýka","given":"Jiří","non-dropping-particle":"","parse-names":false,"suffix":""},{"dropping-particle":"","family":"Klement","given":"Uta","non-dropping-particle":"","parse-names":false,"suffix":""},{"dropping-particle":"","family":"Guo","given":"Sheng","non-dropping-particle":"","parse-names":false,"suffix":""}],"container-title":"Journal of Applied Physics","id":"ITEM-1","issued":{"date-parts":[["2016"]]},"title":"Alloy design for intrinsically ductile refractory high-entropy alloys","type":"article-journal"},"uris":["http://www.mendeley.com/documents/?uuid=4b98951f-9dad-4363-9d55-ac4750034622","http://www.mendeley.com/documents/?uuid=87a48e7d-7bf9-4880-86b7-016ab69ac92e"]}],"mendeley":{"formattedCitation":"[86]","plainTextFormattedCitation":"[86]","previouslyFormattedCitation":"[86]"},"properties":{"noteIndex":0},"schema":"https://github.com/citation-style-language/schema/raw/master/csl-citation.json"}</w:instrText>
      </w:r>
      <w:r w:rsidRPr="00A27DDF">
        <w:fldChar w:fldCharType="separate"/>
      </w:r>
      <w:r w:rsidRPr="003B39BC">
        <w:rPr>
          <w:noProof/>
        </w:rPr>
        <w:t>[86]</w:t>
      </w:r>
      <w:r w:rsidRPr="00A27DDF">
        <w:fldChar w:fldCharType="end"/>
      </w:r>
      <w:r w:rsidRPr="00A27DDF">
        <w:t xml:space="preserve"> </w:t>
      </w:r>
      <w:r>
        <w:t>reported that the addition of</w:t>
      </w:r>
      <w:r w:rsidRPr="00A27DDF">
        <w:t xml:space="preserve"> alloying group V and group IV elements into exist</w:t>
      </w:r>
      <w:r>
        <w:t>ing</w:t>
      </w:r>
      <w:r w:rsidRPr="00A27DDF">
        <w:t xml:space="preserve"> RHEAs will result in intrinsically ductile RHEAs as </w:t>
      </w:r>
      <w:r>
        <w:t>presented</w:t>
      </w:r>
      <w:r w:rsidRPr="00A27DDF">
        <w:t xml:space="preserve"> in Fig. 2-14. Following this strategy</w:t>
      </w:r>
      <w:r w:rsidRPr="0554E995">
        <w:t>,</w:t>
      </w:r>
      <w:r w:rsidRPr="00A27DDF">
        <w:t xml:space="preserve"> a ductile RHEA, Hf</w:t>
      </w:r>
      <w:r w:rsidRPr="00A27DDF">
        <w:rPr>
          <w:vertAlign w:val="subscript"/>
        </w:rPr>
        <w:t>0.5</w:t>
      </w:r>
      <w:r w:rsidRPr="00A27DDF">
        <w:t>Nb</w:t>
      </w:r>
      <w:r w:rsidRPr="00A27DDF">
        <w:rPr>
          <w:vertAlign w:val="subscript"/>
        </w:rPr>
        <w:t>0.5</w:t>
      </w:r>
      <w:r w:rsidRPr="00A27DDF">
        <w:t>Ta</w:t>
      </w:r>
      <w:r w:rsidRPr="00A27DDF">
        <w:rPr>
          <w:vertAlign w:val="subscript"/>
        </w:rPr>
        <w:t>0.5</w:t>
      </w:r>
      <w:r w:rsidRPr="00A27DDF">
        <w:t>Ti</w:t>
      </w:r>
      <w:r w:rsidRPr="00A27DDF">
        <w:rPr>
          <w:vertAlign w:val="subscript"/>
        </w:rPr>
        <w:t>1.5</w:t>
      </w:r>
      <w:r w:rsidRPr="00A27DDF">
        <w:t xml:space="preserve">Zr was developed </w:t>
      </w:r>
      <w:r>
        <w:t xml:space="preserve">possessing a mechanical performance of </w:t>
      </w:r>
      <w:r w:rsidRPr="00A27DDF">
        <w:t>903 M</w:t>
      </w:r>
      <w:r>
        <w:t>P</w:t>
      </w:r>
      <w:r w:rsidRPr="00A27DDF">
        <w:t>a yield stress, 990 M</w:t>
      </w:r>
      <w:r>
        <w:t>P</w:t>
      </w:r>
      <w:r w:rsidRPr="00A27DDF">
        <w:t>a fracture stress and 18.8% elongation</w:t>
      </w:r>
      <w:r>
        <w:t xml:space="preserve">, </w:t>
      </w:r>
      <w:r w:rsidR="005918C3">
        <w:t>con</w:t>
      </w:r>
      <w:r>
        <w:t>sequently</w:t>
      </w:r>
      <w:r w:rsidRPr="00A27DDF">
        <w:t xml:space="preserve"> outperform</w:t>
      </w:r>
      <w:r>
        <w:t>ing</w:t>
      </w:r>
      <w:r w:rsidRPr="00A27DDF">
        <w:t xml:space="preserve"> most</w:t>
      </w:r>
      <w:r w:rsidR="005918C3">
        <w:t xml:space="preserve"> of</w:t>
      </w:r>
      <w:r w:rsidRPr="00A27DDF">
        <w:t xml:space="preserve"> reported RHEAs.   </w:t>
      </w:r>
    </w:p>
    <w:p w14:paraId="2CE4D374" w14:textId="77777777" w:rsidR="00624970" w:rsidRPr="00A27DDF" w:rsidRDefault="00624970" w:rsidP="00624970">
      <w:pPr>
        <w:keepNext/>
        <w:spacing w:afterLines="60" w:after="144" w:line="360" w:lineRule="auto"/>
      </w:pPr>
      <w:r w:rsidRPr="00A27DDF">
        <w:rPr>
          <w:noProof/>
          <w:lang w:val="en-US" w:eastAsia="en-US"/>
        </w:rPr>
        <w:drawing>
          <wp:inline distT="0" distB="0" distL="0" distR="0" wp14:anchorId="17D74FE4" wp14:editId="3A209666">
            <wp:extent cx="5943600" cy="2555240"/>
            <wp:effectExtent l="0" t="0" r="0" b="0"/>
            <wp:docPr id="27" name="图片 12" descr="图片包含 地图, 文字&#10;&#10;自动生成的说明">
              <a:extLst xmlns:a="http://schemas.openxmlformats.org/drawingml/2006/main">
                <a:ext uri="{FF2B5EF4-FFF2-40B4-BE49-F238E27FC236}">
                  <a16:creationId xmlns:a16="http://schemas.microsoft.com/office/drawing/2014/main" id="{B2E42427-76D0-4565-B88D-5F69EC67D3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图片包含 地图, 文字&#10;&#10;自动生成的说明">
                      <a:extLst>
                        <a:ext uri="{FF2B5EF4-FFF2-40B4-BE49-F238E27FC236}">
                          <a16:creationId xmlns:a16="http://schemas.microsoft.com/office/drawing/2014/main" id="{B2E42427-76D0-4565-B88D-5F69EC67D3B3}"/>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43600" cy="2555240"/>
                    </a:xfrm>
                    <a:prstGeom prst="rect">
                      <a:avLst/>
                    </a:prstGeom>
                  </pic:spPr>
                </pic:pic>
              </a:graphicData>
            </a:graphic>
          </wp:inline>
        </w:drawing>
      </w:r>
    </w:p>
    <w:p w14:paraId="6190DBDC" w14:textId="77777777" w:rsidR="00624970" w:rsidRPr="00A27DDF" w:rsidRDefault="00624970" w:rsidP="00624970">
      <w:pPr>
        <w:spacing w:afterLines="60" w:after="144" w:line="360" w:lineRule="auto"/>
        <w:rPr>
          <w:sz w:val="20"/>
          <w:szCs w:val="20"/>
        </w:rPr>
      </w:pPr>
      <w:bookmarkStart w:id="119" w:name="_Toc39312683"/>
      <w:bookmarkStart w:id="120" w:name="_Toc5617636"/>
      <w:bookmarkStart w:id="121" w:name="_Toc7364569"/>
      <w:r w:rsidRPr="00A27DDF">
        <w:rPr>
          <w:b/>
          <w:sz w:val="20"/>
          <w:szCs w:val="20"/>
        </w:rPr>
        <w:t>Figure 2-</w:t>
      </w:r>
      <w:r w:rsidRPr="00A27DDF">
        <w:rPr>
          <w:b/>
          <w:sz w:val="20"/>
        </w:rPr>
        <w:fldChar w:fldCharType="begin"/>
      </w:r>
      <w:r w:rsidRPr="00A27DDF">
        <w:rPr>
          <w:b/>
          <w:sz w:val="20"/>
        </w:rPr>
        <w:instrText xml:space="preserve"> SEQ Figure \* ARABIC </w:instrText>
      </w:r>
      <w:r w:rsidRPr="00A27DDF">
        <w:rPr>
          <w:b/>
          <w:sz w:val="20"/>
        </w:rPr>
        <w:fldChar w:fldCharType="separate"/>
      </w:r>
      <w:r>
        <w:rPr>
          <w:b/>
          <w:noProof/>
          <w:sz w:val="20"/>
        </w:rPr>
        <w:t>14</w:t>
      </w:r>
      <w:r w:rsidRPr="00A27DDF">
        <w:rPr>
          <w:b/>
          <w:sz w:val="20"/>
        </w:rPr>
        <w:fldChar w:fldCharType="end"/>
      </w:r>
      <w:r w:rsidRPr="00A27DDF">
        <w:rPr>
          <w:sz w:val="20"/>
          <w:szCs w:val="20"/>
        </w:rPr>
        <w:t xml:space="preserve"> (</w:t>
      </w:r>
      <w:r w:rsidRPr="00A27DDF">
        <w:rPr>
          <w:b/>
          <w:sz w:val="20"/>
          <w:szCs w:val="20"/>
        </w:rPr>
        <w:t>a</w:t>
      </w:r>
      <w:r w:rsidRPr="00A27DDF">
        <w:rPr>
          <w:sz w:val="20"/>
          <w:szCs w:val="20"/>
        </w:rPr>
        <w:t>)</w:t>
      </w:r>
      <w:r>
        <w:rPr>
          <w:sz w:val="20"/>
          <w:szCs w:val="20"/>
        </w:rPr>
        <w:t xml:space="preserve"> Separation</w:t>
      </w:r>
      <w:r w:rsidRPr="00A27DDF">
        <w:rPr>
          <w:sz w:val="20"/>
          <w:szCs w:val="20"/>
        </w:rPr>
        <w:t xml:space="preserve"> of RHEA ductile/brittle transition by </w:t>
      </w:r>
      <w:r w:rsidRPr="00A27DDF">
        <w:rPr>
          <w:i/>
          <w:sz w:val="20"/>
          <w:szCs w:val="20"/>
        </w:rPr>
        <w:t>VEC</w:t>
      </w:r>
      <w:r>
        <w:rPr>
          <w:sz w:val="20"/>
          <w:szCs w:val="20"/>
        </w:rPr>
        <w:t>; and</w:t>
      </w:r>
      <w:r w:rsidRPr="00A27DDF">
        <w:rPr>
          <w:sz w:val="20"/>
          <w:szCs w:val="20"/>
        </w:rPr>
        <w:t xml:space="preserve"> (</w:t>
      </w:r>
      <w:r w:rsidRPr="00A27DDF">
        <w:rPr>
          <w:b/>
          <w:sz w:val="20"/>
          <w:szCs w:val="20"/>
        </w:rPr>
        <w:t>b</w:t>
      </w:r>
      <w:r w:rsidRPr="00A27DDF">
        <w:rPr>
          <w:sz w:val="20"/>
          <w:szCs w:val="20"/>
        </w:rPr>
        <w:t xml:space="preserve">) </w:t>
      </w:r>
      <w:r>
        <w:rPr>
          <w:sz w:val="20"/>
          <w:szCs w:val="20"/>
        </w:rPr>
        <w:t>a s</w:t>
      </w:r>
      <w:r w:rsidRPr="00A27DDF">
        <w:rPr>
          <w:sz w:val="20"/>
          <w:szCs w:val="20"/>
        </w:rPr>
        <w:t xml:space="preserve">chematic showing ductile BCC solid solution dependent with three semi-empirical parameters, atomic size difference, </w:t>
      </w:r>
      <w:r>
        <w:rPr>
          <w:sz w:val="20"/>
          <w:szCs w:val="20"/>
        </w:rPr>
        <w:t>m</w:t>
      </w:r>
      <w:r w:rsidRPr="00A27DDF">
        <w:rPr>
          <w:sz w:val="20"/>
          <w:szCs w:val="20"/>
        </w:rPr>
        <w:t xml:space="preserve">ixing enthalpy and </w:t>
      </w:r>
      <w:r w:rsidRPr="00A27DDF">
        <w:rPr>
          <w:i/>
          <w:sz w:val="20"/>
          <w:szCs w:val="20"/>
        </w:rPr>
        <w:t>VEC</w:t>
      </w:r>
      <w:r w:rsidRPr="00A27DDF">
        <w:rPr>
          <w:sz w:val="20"/>
          <w:szCs w:val="20"/>
        </w:rPr>
        <w:t xml:space="preserve">. </w:t>
      </w:r>
      <w:r w:rsidRPr="00A27DDF">
        <w:rPr>
          <w:i/>
          <w:sz w:val="20"/>
          <w:szCs w:val="20"/>
        </w:rPr>
        <w:fldChar w:fldCharType="begin" w:fldLock="1"/>
      </w:r>
      <w:r>
        <w:rPr>
          <w:i/>
          <w:sz w:val="20"/>
          <w:szCs w:val="20"/>
        </w:rPr>
        <w:instrText>ADDIN CSL_CITATION {"citationItems":[{"id":"ITEM-1","itemData":{"DOI":"10.1063/1.4966659","ISSN":"10897550","abstract":"Refractory high-entropy alloys (RHEAs), comprising group IV (Ti, Zr, Hf), V (V, Nb, Ta), and VI (Cr, Mo, W) refractory elements, can be potentially new generation high-temperature materials. However, most existing RHEAs lack room-temperature ductility, similar to conventional refractory metals and alloys. Here, we propose an alloy design strategy to intrinsically ductilize RHEAs based on the electron theory and more specifically to decrease the number of valence electrons through controlled alloying. A new ductile RHEA, Hf0.5Nb0.5Ta0.5Ti1.5Zr, was developed as a proof of concept, with a fracture stress of close to 1 GPa and an elongation of near 20%. The findings here will shed light on the development of ductile RHEAs for ultrahigh-temperature applications in aerospace and power-generation industries.","author":[{"dropping-particle":"","family":"Sheikh","given":"Saad","non-dropping-particle":"","parse-names":false,"suffix":""},{"dropping-particle":"","family":"Shafeie","given":"Samrand","non-dropping-particle":"","parse-names":false,"suffix":""},{"dropping-particle":"","family":"Hu","given":"Qiang","non-dropping-particle":"","parse-names":false,"suffix":""},{"dropping-particle":"","family":"Ahlström","given":"Johan","non-dropping-particle":"","parse-names":false,"suffix":""},{"dropping-particle":"","family":"Persson","given":"Christer","non-dropping-particle":"","parse-names":false,"suffix":""},{"dropping-particle":"","family":"Veselý","given":"Jaroslav","non-dropping-particle":"","parse-names":false,"suffix":""},{"dropping-particle":"","family":"Zýka","given":"Jiří","non-dropping-particle":"","parse-names":false,"suffix":""},{"dropping-particle":"","family":"Klement","given":"Uta","non-dropping-particle":"","parse-names":false,"suffix":""},{"dropping-particle":"","family":"Guo","given":"Sheng","non-dropping-particle":"","parse-names":false,"suffix":""}],"container-title":"Journal of Applied Physics","id":"ITEM-1","issued":{"date-parts":[["2016"]]},"title":"Alloy design for intrinsically ductile refractory high-entropy alloys","type":"article-journal"},"uris":["http://www.mendeley.com/documents/?uuid=4b98951f-9dad-4363-9d55-ac4750034622"]}],"mendeley":{"formattedCitation":"[86]","plainTextFormattedCitation":"[86]","previouslyFormattedCitation":"[86]"},"properties":{"noteIndex":0},"schema":"https://github.com/citation-style-language/schema/raw/master/csl-citation.json"}</w:instrText>
      </w:r>
      <w:r w:rsidRPr="00A27DDF">
        <w:rPr>
          <w:i/>
          <w:sz w:val="20"/>
          <w:szCs w:val="20"/>
        </w:rPr>
        <w:fldChar w:fldCharType="separate"/>
      </w:r>
      <w:bookmarkEnd w:id="120"/>
      <w:bookmarkEnd w:id="121"/>
      <w:r w:rsidRPr="003B39BC">
        <w:rPr>
          <w:noProof/>
          <w:sz w:val="20"/>
          <w:szCs w:val="20"/>
        </w:rPr>
        <w:t>[86]</w:t>
      </w:r>
      <w:bookmarkEnd w:id="119"/>
      <w:r w:rsidRPr="00A27DDF">
        <w:rPr>
          <w:i/>
          <w:sz w:val="20"/>
          <w:szCs w:val="20"/>
        </w:rPr>
        <w:fldChar w:fldCharType="end"/>
      </w:r>
      <w:r w:rsidRPr="00A27DDF">
        <w:rPr>
          <w:sz w:val="20"/>
          <w:szCs w:val="20"/>
        </w:rPr>
        <w:t xml:space="preserve"> </w:t>
      </w:r>
    </w:p>
    <w:p w14:paraId="0D4F7525" w14:textId="5C70DA05" w:rsidR="00624970" w:rsidRPr="00A27DDF" w:rsidRDefault="00624970" w:rsidP="00624970">
      <w:pPr>
        <w:spacing w:afterLines="60" w:after="144" w:line="360" w:lineRule="auto"/>
        <w:jc w:val="both"/>
      </w:pPr>
      <w:r w:rsidRPr="00A27DDF">
        <w:rPr>
          <w:i/>
        </w:rPr>
        <w:t>VEC</w:t>
      </w:r>
      <w:r w:rsidRPr="00A27DDF">
        <w:t xml:space="preserve"> also exhibit</w:t>
      </w:r>
      <w:r>
        <w:t>s</w:t>
      </w:r>
      <w:r w:rsidRPr="00A27DDF">
        <w:t xml:space="preserve"> </w:t>
      </w:r>
      <w:r>
        <w:t xml:space="preserve">a </w:t>
      </w:r>
      <w:r w:rsidRPr="008C71F2">
        <w:rPr>
          <w:noProof/>
        </w:rPr>
        <w:t>relationship</w:t>
      </w:r>
      <w:r w:rsidRPr="00A27DDF">
        <w:t xml:space="preserve"> with other mechanical properties of HEAs,</w:t>
      </w:r>
      <w:r>
        <w:t xml:space="preserve"> including</w:t>
      </w:r>
      <w:r w:rsidRPr="00A27DDF">
        <w:t xml:space="preserve"> </w:t>
      </w:r>
      <w:r>
        <w:t>h</w:t>
      </w:r>
      <w:r w:rsidRPr="00A27DDF">
        <w:t xml:space="preserve">ardness. </w:t>
      </w:r>
      <w:r>
        <w:t xml:space="preserve">The work of </w:t>
      </w:r>
      <w:r w:rsidRPr="00A27DDF">
        <w:t>Tian</w:t>
      </w:r>
      <w:r>
        <w:t xml:space="preserve"> </w:t>
      </w:r>
      <w:r w:rsidRPr="00A27DDF">
        <w:fldChar w:fldCharType="begin" w:fldLock="1"/>
      </w:r>
      <w:r>
        <w:instrText xml:space="preserve">ADDIN CSL_CITATION {"citationItems":[{"id":"ITEM-1","itemData":{"DOI":"10.1016/j.intermet.2014.10.010","ISSN":"09669795","abstract":"We collect the available basic properties of nearly 100 high-entropy alloys (HEAs) with a single face centered cubic (fcc) or body centered cubic (bcc) phase. HEAs crystallizing in the fcc structure are mainly composed of the late 3d elements (LTM-HEAs), whereas HEAs consisting of the early (refractory) transition elements and the LTM-HEAs containing an increased level of bcc stabilizer form the bcc structure. Guided by the solid solution theory, we investigate the structure and hardness of HEAs as a function of the valence electron concentration (VEC) and the atomic size difference (δ). The fcc structure is found for VEC between 7.80 and 9.50, whereas the structure is bcc for VEC between 4.33 and 7.55. High strength is obtained for an average valence electron number VEC </w:instrText>
      </w:r>
      <w:r>
        <w:rPr>
          <w:rFonts w:ascii="Cambria Math" w:hAnsi="Cambria Math" w:cs="Cambria Math"/>
        </w:rPr>
        <w:instrText>∼</w:instrText>
      </w:r>
      <w:r>
        <w:instrText xml:space="preserve"> 6.80 and for an average atomic size difference δ </w:instrText>
      </w:r>
      <w:r>
        <w:rPr>
          <w:rFonts w:ascii="Cambria Math" w:hAnsi="Cambria Math" w:cs="Cambria Math"/>
        </w:rPr>
        <w:instrText>∼</w:instrText>
      </w:r>
      <w:r>
        <w:instrText xml:space="preserve"> 6%. Based on these empirical correlations, one can design the high-entropy alloys with desired hardness.","author":[{"dropping-particle":"","family":"Tian","given":"Fuyang","non-dropping-particle":"","parse-names":false,"suffix":""},{"dropping-particle":"","family":"Varga","given":"Lajos K.","non-dropping-particle":"","parse-names":false,"suffix":""},{"dropping-particle":"","family":"Chen","given":"Nanxian","non-dropping-particle":"","parse-names":false,"suffix":""},{"dropping-particle":"","family":"Shen","given":"Jiang","non-dropping-particle":"","parse-names":false,"suffix":""},{"dropping-particle":"","family":"Vitos","given":"Levente","non-dropping-particle":"","parse-names":false,"suffix":""}],"container-title":"Intermetallics","id":"ITEM-1","issued":{"date-parts":[["2015"]]},"title":"Empirical design of single phase high-entropy alloys with high hardness","type":"article-journal"},"uris":["http://www.mendeley.com/documents/?uuid=02083a84-c5a5-4ba9-b364-181be12aa1d6","http://www.mendeley.com/documents/?uuid=de709a3b-bc39-46ed-ba65-8874a8bf82bd"]}],"mendeley":{"formattedCitation":"[87]","plainTextFormattedCitation":"[87]","previouslyFormattedCitation":"[87]"},"properties":{"noteIndex":0},"schema":"https://github.com/citation-style-language/schema/raw/master/csl-citation.json"}</w:instrText>
      </w:r>
      <w:r w:rsidRPr="00A27DDF">
        <w:fldChar w:fldCharType="separate"/>
      </w:r>
      <w:r w:rsidRPr="003B39BC">
        <w:rPr>
          <w:noProof/>
        </w:rPr>
        <w:t>[87]</w:t>
      </w:r>
      <w:r w:rsidRPr="00A27DDF">
        <w:fldChar w:fldCharType="end"/>
      </w:r>
      <w:r w:rsidRPr="00A27DDF">
        <w:t xml:space="preserve"> explored over 100 FCC and BCC HEAs to investigate the under</w:t>
      </w:r>
      <w:r>
        <w:t>lying</w:t>
      </w:r>
      <w:r w:rsidRPr="00A27DDF">
        <w:t xml:space="preserve"> relationship between </w:t>
      </w:r>
      <w:r w:rsidRPr="00A27DDF">
        <w:rPr>
          <w:i/>
        </w:rPr>
        <w:t>VEC</w:t>
      </w:r>
      <w:r w:rsidRPr="00A27DDF">
        <w:t>,</w:t>
      </w:r>
      <w:r>
        <w:t xml:space="preserve"> and</w:t>
      </w:r>
      <w:r w:rsidRPr="00A27DDF">
        <w:t xml:space="preserve"> atomic size difference with hardness and phase formation. </w:t>
      </w:r>
      <w:r>
        <w:t>Similar</w:t>
      </w:r>
      <w:r w:rsidRPr="00A27DDF">
        <w:t xml:space="preserve"> to previous research, </w:t>
      </w:r>
      <w:r w:rsidRPr="00A27DDF">
        <w:rPr>
          <w:i/>
        </w:rPr>
        <w:t>VEC</w:t>
      </w:r>
      <w:r w:rsidRPr="00A27DDF">
        <w:t xml:space="preserve"> </w:t>
      </w:r>
      <w:r>
        <w:t>was</w:t>
      </w:r>
      <w:r w:rsidRPr="00A27DDF">
        <w:t xml:space="preserve"> effective </w:t>
      </w:r>
      <w:r w:rsidRPr="008C71F2">
        <w:rPr>
          <w:noProof/>
        </w:rPr>
        <w:t xml:space="preserve">in </w:t>
      </w:r>
      <w:r>
        <w:rPr>
          <w:noProof/>
        </w:rPr>
        <w:t>separating</w:t>
      </w:r>
      <w:r w:rsidRPr="00A27DDF">
        <w:t xml:space="preserve"> the phase formation tendency of HEAs as shown in Fig. 2-15(a). The FCC structure is likely to form when 7.8&lt; </w:t>
      </w:r>
      <w:r w:rsidRPr="00A27DDF">
        <w:rPr>
          <w:i/>
        </w:rPr>
        <w:t>VEC</w:t>
      </w:r>
      <w:r w:rsidRPr="00A27DDF">
        <w:t xml:space="preserve"> &lt; 9.5 </w:t>
      </w:r>
      <w:r>
        <w:t>and</w:t>
      </w:r>
      <w:r w:rsidRPr="00A27DDF">
        <w:t xml:space="preserve"> for BC</w:t>
      </w:r>
      <w:r>
        <w:t xml:space="preserve">C when </w:t>
      </w:r>
      <w:r w:rsidRPr="00A27DDF">
        <w:t xml:space="preserve">4.33&lt; </w:t>
      </w:r>
      <w:r w:rsidRPr="00A27DDF">
        <w:rPr>
          <w:i/>
        </w:rPr>
        <w:t>VEC</w:t>
      </w:r>
      <w:r w:rsidRPr="00A27DDF">
        <w:t xml:space="preserve"> &lt; 7.55. </w:t>
      </w:r>
      <w:r>
        <w:t>T</w:t>
      </w:r>
      <w:r w:rsidRPr="00A27DDF">
        <w:t xml:space="preserve">he hardness value also </w:t>
      </w:r>
      <w:r>
        <w:t xml:space="preserve">revealed a </w:t>
      </w:r>
      <w:r w:rsidRPr="00A27DDF">
        <w:t xml:space="preserve">clear dependence </w:t>
      </w:r>
      <w:r w:rsidR="005918C3">
        <w:t>on</w:t>
      </w:r>
      <w:r w:rsidRPr="00A27DDF">
        <w:t xml:space="preserve"> the </w:t>
      </w:r>
      <w:r w:rsidRPr="00A27DDF">
        <w:rPr>
          <w:i/>
        </w:rPr>
        <w:t>VEC</w:t>
      </w:r>
      <w:r w:rsidRPr="00A27DDF">
        <w:t xml:space="preserve"> value and atomic size difference </w:t>
      </w:r>
      <w:r w:rsidRPr="00A27DDF">
        <w:rPr>
          <w:rFonts w:ascii="Calibri" w:hAnsi="Calibri" w:cs="Calibri"/>
        </w:rPr>
        <w:t>δ</w:t>
      </w:r>
      <w:r>
        <w:rPr>
          <w:rFonts w:ascii="Calibri" w:hAnsi="Calibri" w:cs="Calibri"/>
        </w:rPr>
        <w:t xml:space="preserve"> (</w:t>
      </w:r>
      <w:r w:rsidRPr="00A27DDF">
        <w:rPr>
          <w:rFonts w:ascii="Calibri" w:hAnsi="Calibri" w:cs="Calibri"/>
        </w:rPr>
        <w:t>Fig. 2-15(b-c)</w:t>
      </w:r>
      <w:r>
        <w:rPr>
          <w:rFonts w:ascii="Calibri" w:hAnsi="Calibri" w:cs="Calibri"/>
        </w:rPr>
        <w:t>)</w:t>
      </w:r>
      <w:r w:rsidRPr="00A27DDF">
        <w:rPr>
          <w:rFonts w:ascii="Calibri" w:hAnsi="Calibri" w:cs="Calibri"/>
        </w:rPr>
        <w:t xml:space="preserve">. </w:t>
      </w:r>
      <w:r>
        <w:rPr>
          <w:rFonts w:ascii="Calibri" w:hAnsi="Calibri" w:cs="Calibri"/>
        </w:rPr>
        <w:t>It is evident that</w:t>
      </w:r>
      <w:r w:rsidRPr="00A27DDF">
        <w:rPr>
          <w:rFonts w:ascii="Calibri" w:hAnsi="Calibri" w:cs="Calibri"/>
        </w:rPr>
        <w:t xml:space="preserve"> the value of hardness var</w:t>
      </w:r>
      <w:r>
        <w:rPr>
          <w:rFonts w:ascii="Calibri" w:hAnsi="Calibri" w:cs="Calibri"/>
        </w:rPr>
        <w:t>ied</w:t>
      </w:r>
      <w:r w:rsidRPr="00A27DDF">
        <w:t xml:space="preserve"> monoton</w:t>
      </w:r>
      <w:r>
        <w:t>ically</w:t>
      </w:r>
      <w:r w:rsidRPr="00A27DDF">
        <w:t xml:space="preserve"> with increasing atomic size difference </w:t>
      </w:r>
      <w:r w:rsidRPr="00A27DDF">
        <w:rPr>
          <w:rFonts w:ascii="Calibri" w:hAnsi="Calibri" w:cs="Calibri"/>
        </w:rPr>
        <w:t>δ</w:t>
      </w:r>
      <w:r>
        <w:rPr>
          <w:rFonts w:ascii="Calibri" w:hAnsi="Calibri" w:cs="Calibri"/>
        </w:rPr>
        <w:t>,</w:t>
      </w:r>
      <w:r w:rsidRPr="00A27DDF">
        <w:rPr>
          <w:rFonts w:ascii="Calibri" w:hAnsi="Calibri" w:cs="Calibri"/>
        </w:rPr>
        <w:t xml:space="preserve"> which may </w:t>
      </w:r>
      <w:r>
        <w:rPr>
          <w:rFonts w:ascii="Calibri" w:hAnsi="Calibri" w:cs="Calibri"/>
        </w:rPr>
        <w:t xml:space="preserve">be a result of the </w:t>
      </w:r>
      <w:r w:rsidRPr="00A27DDF">
        <w:rPr>
          <w:rFonts w:ascii="Calibri" w:hAnsi="Calibri" w:cs="Calibri"/>
        </w:rPr>
        <w:t>severe lattice distortion. Although</w:t>
      </w:r>
      <w:r>
        <w:rPr>
          <w:rFonts w:ascii="Calibri" w:hAnsi="Calibri" w:cs="Calibri"/>
        </w:rPr>
        <w:t xml:space="preserve"> there is a</w:t>
      </w:r>
      <w:r w:rsidRPr="00A27DDF">
        <w:rPr>
          <w:rFonts w:ascii="Calibri" w:hAnsi="Calibri" w:cs="Calibri"/>
        </w:rPr>
        <w:t xml:space="preserve"> </w:t>
      </w:r>
      <w:r w:rsidRPr="008C71F2">
        <w:rPr>
          <w:rFonts w:ascii="Calibri" w:hAnsi="Calibri" w:cs="Calibri"/>
          <w:noProof/>
        </w:rPr>
        <w:t>lack</w:t>
      </w:r>
      <w:r w:rsidRPr="00A27DDF">
        <w:rPr>
          <w:rFonts w:ascii="Calibri" w:hAnsi="Calibri" w:cs="Calibri"/>
        </w:rPr>
        <w:t xml:space="preserve"> of experimental results to explain th</w:t>
      </w:r>
      <w:r>
        <w:rPr>
          <w:rFonts w:ascii="Calibri" w:hAnsi="Calibri" w:cs="Calibri"/>
        </w:rPr>
        <w:t>e</w:t>
      </w:r>
      <w:r w:rsidRPr="00A27DDF">
        <w:rPr>
          <w:rFonts w:ascii="Calibri" w:hAnsi="Calibri" w:cs="Calibri"/>
        </w:rPr>
        <w:t xml:space="preserve"> relationship between semi-empirical parameters and mechanical properties, </w:t>
      </w:r>
      <w:r>
        <w:rPr>
          <w:rFonts w:ascii="Calibri" w:hAnsi="Calibri" w:cs="Calibri"/>
        </w:rPr>
        <w:t xml:space="preserve">researchers can </w:t>
      </w:r>
      <w:r w:rsidRPr="00A27DDF">
        <w:rPr>
          <w:rFonts w:ascii="Calibri" w:hAnsi="Calibri" w:cs="Calibri"/>
        </w:rPr>
        <w:t xml:space="preserve">apply these findings for primary </w:t>
      </w:r>
      <w:r>
        <w:rPr>
          <w:rFonts w:ascii="Calibri" w:hAnsi="Calibri" w:cs="Calibri"/>
        </w:rPr>
        <w:t>screening</w:t>
      </w:r>
      <w:r w:rsidRPr="00A27DDF">
        <w:rPr>
          <w:rFonts w:ascii="Calibri" w:hAnsi="Calibri" w:cs="Calibri"/>
        </w:rPr>
        <w:t xml:space="preserve"> when designing HEAs for certain usage.   </w:t>
      </w:r>
    </w:p>
    <w:p w14:paraId="3C4DC756" w14:textId="77777777" w:rsidR="00624970" w:rsidRPr="00A27DDF" w:rsidRDefault="00624970" w:rsidP="00624970">
      <w:pPr>
        <w:keepNext/>
        <w:spacing w:afterLines="60" w:after="144" w:line="360" w:lineRule="auto"/>
      </w:pPr>
      <w:r w:rsidRPr="00A27DDF">
        <w:rPr>
          <w:noProof/>
          <w:sz w:val="20"/>
          <w:szCs w:val="20"/>
          <w:lang w:val="en-US" w:eastAsia="en-US"/>
        </w:rPr>
        <w:lastRenderedPageBreak/>
        <w:drawing>
          <wp:inline distT="0" distB="0" distL="0" distR="0" wp14:anchorId="0F36A638" wp14:editId="3E9359AE">
            <wp:extent cx="5943600" cy="1995170"/>
            <wp:effectExtent l="0" t="0" r="0" b="5080"/>
            <wp:docPr id="6" name="图片 15" descr="图片包含 地图, 文字&#10;&#10;自动生成的说明">
              <a:extLst xmlns:a="http://schemas.openxmlformats.org/drawingml/2006/main">
                <a:ext uri="{FF2B5EF4-FFF2-40B4-BE49-F238E27FC236}">
                  <a16:creationId xmlns:a16="http://schemas.microsoft.com/office/drawing/2014/main" id="{471BC44F-5978-4FCB-B5E3-E4278B4AF6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图片包含 地图, 文字&#10;&#10;自动生成的说明">
                      <a:extLst>
                        <a:ext uri="{FF2B5EF4-FFF2-40B4-BE49-F238E27FC236}">
                          <a16:creationId xmlns:a16="http://schemas.microsoft.com/office/drawing/2014/main" id="{471BC44F-5978-4FCB-B5E3-E4278B4AF60C}"/>
                        </a:ext>
                      </a:extLst>
                    </pic:cNvPr>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943600" cy="1995170"/>
                    </a:xfrm>
                    <a:prstGeom prst="rect">
                      <a:avLst/>
                    </a:prstGeom>
                  </pic:spPr>
                </pic:pic>
              </a:graphicData>
            </a:graphic>
          </wp:inline>
        </w:drawing>
      </w:r>
    </w:p>
    <w:p w14:paraId="0EE4FF3E" w14:textId="60BE4786" w:rsidR="00624970" w:rsidRPr="00A27DDF" w:rsidRDefault="00624970" w:rsidP="00624970">
      <w:pPr>
        <w:spacing w:afterLines="60" w:after="144" w:line="360" w:lineRule="auto"/>
        <w:rPr>
          <w:color w:val="323232"/>
          <w:sz w:val="20"/>
          <w:szCs w:val="20"/>
        </w:rPr>
      </w:pPr>
      <w:bookmarkStart w:id="122" w:name="_Toc5617637"/>
      <w:bookmarkStart w:id="123" w:name="_Toc7364570"/>
      <w:bookmarkStart w:id="124" w:name="_Toc39312684"/>
      <w:r w:rsidRPr="00A27DDF">
        <w:rPr>
          <w:b/>
          <w:sz w:val="20"/>
          <w:szCs w:val="20"/>
        </w:rPr>
        <w:t>Figure 2-</w:t>
      </w:r>
      <w:r w:rsidRPr="00A27DDF">
        <w:rPr>
          <w:b/>
          <w:sz w:val="20"/>
        </w:rPr>
        <w:fldChar w:fldCharType="begin"/>
      </w:r>
      <w:r w:rsidRPr="00A27DDF">
        <w:rPr>
          <w:b/>
          <w:sz w:val="20"/>
        </w:rPr>
        <w:instrText xml:space="preserve"> SEQ Figure \* ARABIC </w:instrText>
      </w:r>
      <w:r w:rsidRPr="00A27DDF">
        <w:rPr>
          <w:b/>
          <w:sz w:val="20"/>
        </w:rPr>
        <w:fldChar w:fldCharType="separate"/>
      </w:r>
      <w:r>
        <w:rPr>
          <w:b/>
          <w:noProof/>
          <w:sz w:val="20"/>
        </w:rPr>
        <w:t>15</w:t>
      </w:r>
      <w:r w:rsidRPr="00A27DDF">
        <w:rPr>
          <w:b/>
          <w:sz w:val="20"/>
        </w:rPr>
        <w:fldChar w:fldCharType="end"/>
      </w:r>
      <w:r w:rsidRPr="00A27DDF">
        <w:rPr>
          <w:sz w:val="20"/>
          <w:szCs w:val="20"/>
        </w:rPr>
        <w:t xml:space="preserve"> (</w:t>
      </w:r>
      <w:r w:rsidRPr="00A27DDF">
        <w:rPr>
          <w:b/>
          <w:sz w:val="20"/>
          <w:szCs w:val="20"/>
        </w:rPr>
        <w:t>a</w:t>
      </w:r>
      <w:r w:rsidRPr="00A27DDF">
        <w:rPr>
          <w:sz w:val="20"/>
          <w:szCs w:val="20"/>
        </w:rPr>
        <w:t xml:space="preserve">) HEA solid solution </w:t>
      </w:r>
      <w:r w:rsidRPr="00A27DDF">
        <w:rPr>
          <w:color w:val="323232"/>
          <w:sz w:val="20"/>
          <w:szCs w:val="20"/>
        </w:rPr>
        <w:t xml:space="preserve">phase formation distribution against the value of </w:t>
      </w:r>
      <w:r w:rsidRPr="00A27DDF">
        <w:rPr>
          <w:i/>
          <w:color w:val="323232"/>
          <w:sz w:val="20"/>
          <w:szCs w:val="20"/>
        </w:rPr>
        <w:t>VEC</w:t>
      </w:r>
      <w:r>
        <w:rPr>
          <w:color w:val="323232"/>
          <w:sz w:val="20"/>
          <w:szCs w:val="20"/>
        </w:rPr>
        <w:t xml:space="preserve">; </w:t>
      </w:r>
      <w:r w:rsidRPr="00A27DDF">
        <w:rPr>
          <w:sz w:val="20"/>
          <w:szCs w:val="20"/>
        </w:rPr>
        <w:t>(</w:t>
      </w:r>
      <w:r w:rsidRPr="00A27DDF">
        <w:rPr>
          <w:b/>
          <w:sz w:val="20"/>
          <w:szCs w:val="20"/>
        </w:rPr>
        <w:t>b</w:t>
      </w:r>
      <w:r w:rsidRPr="00A27DDF">
        <w:rPr>
          <w:sz w:val="20"/>
          <w:szCs w:val="20"/>
        </w:rPr>
        <w:t xml:space="preserve">) </w:t>
      </w:r>
      <w:r>
        <w:rPr>
          <w:sz w:val="20"/>
          <w:szCs w:val="20"/>
        </w:rPr>
        <w:t xml:space="preserve">a </w:t>
      </w:r>
      <w:r w:rsidRPr="00A27DDF">
        <w:rPr>
          <w:sz w:val="20"/>
          <w:szCs w:val="20"/>
        </w:rPr>
        <w:t xml:space="preserve">Biplot of HEAs hardness against weighted </w:t>
      </w:r>
      <w:r w:rsidRPr="00A27DDF">
        <w:rPr>
          <w:i/>
          <w:sz w:val="20"/>
          <w:szCs w:val="20"/>
        </w:rPr>
        <w:t>VEC</w:t>
      </w:r>
      <w:r>
        <w:rPr>
          <w:sz w:val="20"/>
          <w:szCs w:val="20"/>
        </w:rPr>
        <w:t>; and</w:t>
      </w:r>
      <w:r w:rsidRPr="00A27DDF">
        <w:rPr>
          <w:sz w:val="20"/>
          <w:szCs w:val="20"/>
        </w:rPr>
        <w:t xml:space="preserve"> (</w:t>
      </w:r>
      <w:r w:rsidRPr="00A27DDF">
        <w:rPr>
          <w:b/>
          <w:sz w:val="20"/>
          <w:szCs w:val="20"/>
        </w:rPr>
        <w:t>c</w:t>
      </w:r>
      <w:r w:rsidRPr="00A27DDF">
        <w:rPr>
          <w:sz w:val="20"/>
          <w:szCs w:val="20"/>
        </w:rPr>
        <w:t xml:space="preserve">) </w:t>
      </w:r>
      <w:r>
        <w:rPr>
          <w:color w:val="323232"/>
          <w:sz w:val="20"/>
          <w:szCs w:val="20"/>
        </w:rPr>
        <w:t>the h</w:t>
      </w:r>
      <w:r w:rsidRPr="00A27DDF">
        <w:rPr>
          <w:color w:val="323232"/>
          <w:sz w:val="20"/>
          <w:szCs w:val="20"/>
        </w:rPr>
        <w:t>ardness as a function of atomic size difference</w:t>
      </w:r>
      <w:r w:rsidRPr="00A27DDF">
        <w:rPr>
          <w:rFonts w:ascii="Calibri" w:hAnsi="Calibri" w:cs="Calibri"/>
          <w:sz w:val="20"/>
          <w:szCs w:val="20"/>
        </w:rPr>
        <w:t xml:space="preserve"> δ.</w:t>
      </w:r>
      <w:r w:rsidRPr="00A27DDF">
        <w:rPr>
          <w:rFonts w:ascii="Calibri" w:hAnsi="Calibri" w:cs="Calibri"/>
          <w:sz w:val="20"/>
          <w:szCs w:val="20"/>
        </w:rPr>
        <w:fldChar w:fldCharType="begin" w:fldLock="1"/>
      </w:r>
      <w:r>
        <w:rPr>
          <w:rFonts w:ascii="Calibri" w:hAnsi="Calibri" w:cs="Calibri"/>
          <w:sz w:val="20"/>
          <w:szCs w:val="20"/>
        </w:rPr>
        <w:instrText xml:space="preserve">ADDIN CSL_CITATION {"citationItems":[{"id":"ITEM-1","itemData":{"DOI":"10.1016/j.intermet.2014.10.010","ISSN":"09669795","abstract":"We collect the available basic properties of nearly 100 high-entropy alloys (HEAs) with a single face centered cubic (fcc) or body centered cubic (bcc) phase. HEAs crystallizing in the fcc structure are mainly composed of the late 3d elements (LTM-HEAs), whereas HEAs consisting of the early (refractory) transition elements and the LTM-HEAs containing an increased level of bcc stabilizer form the bcc structure. Guided by the solid solution theory, we investigate the structure and hardness of HEAs as a function of the valence electron concentration (VEC) and the atomic size difference (δ). The fcc structure is found for VEC between 7.80 and 9.50, whereas the structure is bcc for VEC between 4.33 and 7.55. High strength is obtained for an average valence electron number VEC </w:instrText>
      </w:r>
      <w:r>
        <w:rPr>
          <w:rFonts w:ascii="Cambria Math" w:hAnsi="Cambria Math" w:cs="Cambria Math"/>
          <w:sz w:val="20"/>
          <w:szCs w:val="20"/>
        </w:rPr>
        <w:instrText>∼</w:instrText>
      </w:r>
      <w:r>
        <w:rPr>
          <w:rFonts w:ascii="Calibri" w:hAnsi="Calibri" w:cs="Calibri"/>
          <w:sz w:val="20"/>
          <w:szCs w:val="20"/>
        </w:rPr>
        <w:instrText xml:space="preserve"> 6.80 and for an average atomic size difference δ </w:instrText>
      </w:r>
      <w:r>
        <w:rPr>
          <w:rFonts w:ascii="Cambria Math" w:hAnsi="Cambria Math" w:cs="Cambria Math"/>
          <w:sz w:val="20"/>
          <w:szCs w:val="20"/>
        </w:rPr>
        <w:instrText>∼</w:instrText>
      </w:r>
      <w:r>
        <w:rPr>
          <w:rFonts w:ascii="Calibri" w:hAnsi="Calibri" w:cs="Calibri"/>
          <w:sz w:val="20"/>
          <w:szCs w:val="20"/>
        </w:rPr>
        <w:instrText xml:space="preserve"> 6%. Based on these empirical correlations, one can design the high-entropy alloys with desired hardness.","author":[{"dropping-particle":"","family":"Tian","given":"Fuyang","non-dropping-particle":"","parse-names":false,"suffix":""},{"dropping-particle":"","family":"Varga","given":"Lajos K.","non-dropping-particle":"","parse-names":false,"suffix":""},{"dropping-particle":"","family":"Chen","given":"Nanxian","non-dropping-particle":"","parse-names":false,"suffix":""},{"dropping-particle":"","family":"Shen","given":"Jiang","non-dropping-particle":"","parse-names":false,"suffix":""},{"dropping-particle":"","family":"Vitos","given":"Levente","non-dropping-particle":"","parse-names":false,"suffix":""}],"container-title":"Intermetallics","id":"ITEM-1","issued":{"date-parts":[["2015"]]},"title":"Empirical design of single phase high-entropy alloys with high hardness","type":"article-journal"},"uris":["http://www.mendeley.com/documents/?uuid=02083a84-c5a5-4ba9-b364-181be12aa1d6"]}],"mendeley":{"formattedCitation":"[87]","plainTextFormattedCitation":"[87]","previouslyFormattedCitation":"[87]"},"properties":{"noteIndex":0},"schema":"https://github.com/citation-style-language/schema/raw/master/csl-citation.json"}</w:instrText>
      </w:r>
      <w:r w:rsidRPr="00A27DDF">
        <w:rPr>
          <w:rFonts w:ascii="Calibri" w:hAnsi="Calibri" w:cs="Calibri"/>
          <w:sz w:val="20"/>
          <w:szCs w:val="20"/>
        </w:rPr>
        <w:fldChar w:fldCharType="separate"/>
      </w:r>
      <w:bookmarkEnd w:id="122"/>
      <w:bookmarkEnd w:id="123"/>
      <w:r w:rsidRPr="003B39BC">
        <w:rPr>
          <w:rFonts w:ascii="Calibri" w:hAnsi="Calibri" w:cs="Calibri"/>
          <w:noProof/>
          <w:sz w:val="20"/>
          <w:szCs w:val="20"/>
        </w:rPr>
        <w:t>[87]</w:t>
      </w:r>
      <w:r w:rsidRPr="00A27DDF">
        <w:rPr>
          <w:rFonts w:ascii="Calibri" w:hAnsi="Calibri" w:cs="Calibri"/>
          <w:sz w:val="20"/>
          <w:szCs w:val="20"/>
        </w:rPr>
        <w:fldChar w:fldCharType="end"/>
      </w:r>
      <w:r>
        <w:rPr>
          <w:rFonts w:ascii="Calibri" w:hAnsi="Calibri" w:cs="Calibri"/>
          <w:sz w:val="20"/>
          <w:szCs w:val="20"/>
        </w:rPr>
        <w:t>.</w:t>
      </w:r>
      <w:bookmarkEnd w:id="124"/>
      <w:r w:rsidRPr="00A27DDF">
        <w:rPr>
          <w:color w:val="323232"/>
          <w:sz w:val="20"/>
          <w:szCs w:val="20"/>
        </w:rPr>
        <w:t xml:space="preserve"> </w:t>
      </w:r>
    </w:p>
    <w:p w14:paraId="0220AE91" w14:textId="3E30EB57" w:rsidR="00624970" w:rsidRPr="00A27DDF" w:rsidRDefault="00624970" w:rsidP="00624970">
      <w:pPr>
        <w:spacing w:afterLines="60" w:after="144" w:line="360" w:lineRule="auto"/>
        <w:jc w:val="both"/>
        <w:rPr>
          <w:rFonts w:cstheme="minorHAnsi"/>
        </w:rPr>
      </w:pPr>
      <w:r w:rsidRPr="00A27DDF">
        <w:rPr>
          <w:rFonts w:cstheme="minorHAnsi"/>
        </w:rPr>
        <w:t xml:space="preserve">With the development of </w:t>
      </w:r>
      <w:r>
        <w:rPr>
          <w:rFonts w:cstheme="minorHAnsi"/>
        </w:rPr>
        <w:t xml:space="preserve">the </w:t>
      </w:r>
      <w:r w:rsidRPr="00A14433">
        <w:rPr>
          <w:rFonts w:cstheme="minorHAnsi"/>
          <w:i/>
          <w:noProof/>
        </w:rPr>
        <w:t>ab initio</w:t>
      </w:r>
      <w:r w:rsidRPr="00A14433">
        <w:rPr>
          <w:rFonts w:cstheme="minorHAnsi"/>
          <w:i/>
        </w:rPr>
        <w:t xml:space="preserve"> </w:t>
      </w:r>
      <w:r w:rsidRPr="00A27DDF">
        <w:rPr>
          <w:rFonts w:cstheme="minorHAnsi"/>
        </w:rPr>
        <w:t xml:space="preserve">method </w:t>
      </w:r>
      <w:r>
        <w:rPr>
          <w:rFonts w:cstheme="minorHAnsi"/>
        </w:rPr>
        <w:t>for</w:t>
      </w:r>
      <w:r w:rsidRPr="00A27DDF">
        <w:rPr>
          <w:rFonts w:cstheme="minorHAnsi"/>
        </w:rPr>
        <w:t xml:space="preserve"> phase formation prediction</w:t>
      </w:r>
      <w:r>
        <w:rPr>
          <w:rFonts w:cstheme="minorHAnsi"/>
        </w:rPr>
        <w:t xml:space="preserve"> in </w:t>
      </w:r>
      <w:r w:rsidRPr="00A27DDF">
        <w:rPr>
          <w:rFonts w:cstheme="minorHAnsi"/>
        </w:rPr>
        <w:t>HEAs</w:t>
      </w:r>
      <w:r>
        <w:rPr>
          <w:rFonts w:cstheme="minorHAnsi"/>
        </w:rPr>
        <w:t>,</w:t>
      </w:r>
      <w:r w:rsidRPr="00A27DDF">
        <w:rPr>
          <w:rFonts w:cstheme="minorHAnsi"/>
        </w:rPr>
        <w:t xml:space="preserve"> </w:t>
      </w:r>
      <w:r>
        <w:rPr>
          <w:rFonts w:cstheme="minorHAnsi"/>
        </w:rPr>
        <w:t>t</w:t>
      </w:r>
      <w:r w:rsidRPr="00A27DDF">
        <w:rPr>
          <w:rFonts w:cstheme="minorHAnsi"/>
        </w:rPr>
        <w:t xml:space="preserve">he </w:t>
      </w:r>
      <w:r>
        <w:rPr>
          <w:rFonts w:cstheme="minorHAnsi"/>
        </w:rPr>
        <w:t>utilisation</w:t>
      </w:r>
      <w:r w:rsidRPr="00A27DDF">
        <w:rPr>
          <w:rFonts w:cstheme="minorHAnsi"/>
        </w:rPr>
        <w:t xml:space="preserve"> of </w:t>
      </w:r>
      <w:r>
        <w:rPr>
          <w:rFonts w:cstheme="minorHAnsi"/>
        </w:rPr>
        <w:t xml:space="preserve">the </w:t>
      </w:r>
      <w:r w:rsidRPr="008C71F2">
        <w:rPr>
          <w:rFonts w:cstheme="minorHAnsi"/>
          <w:noProof/>
        </w:rPr>
        <w:t>first</w:t>
      </w:r>
      <w:r w:rsidRPr="00A27DDF">
        <w:rPr>
          <w:rFonts w:cstheme="minorHAnsi"/>
        </w:rPr>
        <w:t xml:space="preserve"> principal method in designing </w:t>
      </w:r>
      <w:r w:rsidRPr="008C71F2">
        <w:rPr>
          <w:rFonts w:cstheme="minorHAnsi"/>
          <w:noProof/>
        </w:rPr>
        <w:t>high</w:t>
      </w:r>
      <w:r>
        <w:rPr>
          <w:rFonts w:cstheme="minorHAnsi"/>
          <w:noProof/>
        </w:rPr>
        <w:t>-</w:t>
      </w:r>
      <w:r w:rsidRPr="008C71F2">
        <w:rPr>
          <w:rFonts w:cstheme="minorHAnsi"/>
          <w:noProof/>
        </w:rPr>
        <w:t>performance</w:t>
      </w:r>
      <w:r w:rsidRPr="00A27DDF">
        <w:rPr>
          <w:rFonts w:cstheme="minorHAnsi"/>
        </w:rPr>
        <w:t xml:space="preserve"> HEAs </w:t>
      </w:r>
      <w:r>
        <w:rPr>
          <w:rFonts w:cstheme="minorHAnsi"/>
        </w:rPr>
        <w:t>enables further research</w:t>
      </w:r>
      <w:r w:rsidRPr="00A27DDF">
        <w:rPr>
          <w:rFonts w:cstheme="minorHAnsi"/>
        </w:rPr>
        <w:t xml:space="preserve">. With better precision in solving the complex </w:t>
      </w:r>
      <w:r w:rsidRPr="008C71F2">
        <w:rPr>
          <w:rFonts w:cstheme="minorHAnsi"/>
          <w:noProof/>
        </w:rPr>
        <w:t>many</w:t>
      </w:r>
      <w:r>
        <w:rPr>
          <w:rFonts w:cstheme="minorHAnsi"/>
          <w:noProof/>
        </w:rPr>
        <w:t>-</w:t>
      </w:r>
      <w:r w:rsidRPr="008C71F2">
        <w:rPr>
          <w:rFonts w:cstheme="minorHAnsi"/>
          <w:noProof/>
        </w:rPr>
        <w:t>body</w:t>
      </w:r>
      <w:r w:rsidRPr="00A27DDF">
        <w:rPr>
          <w:rFonts w:cstheme="minorHAnsi"/>
        </w:rPr>
        <w:t xml:space="preserve"> problem </w:t>
      </w:r>
      <w:r>
        <w:rPr>
          <w:rFonts w:cstheme="minorHAnsi"/>
        </w:rPr>
        <w:t>with</w:t>
      </w:r>
      <w:r w:rsidRPr="00A27DDF">
        <w:rPr>
          <w:rFonts w:cstheme="minorHAnsi"/>
        </w:rPr>
        <w:t xml:space="preserve"> multi-components, the application of </w:t>
      </w:r>
      <w:r>
        <w:rPr>
          <w:rFonts w:cstheme="minorHAnsi"/>
        </w:rPr>
        <w:t xml:space="preserve">the </w:t>
      </w:r>
      <w:r>
        <w:rPr>
          <w:rFonts w:cstheme="minorHAnsi"/>
        </w:rPr>
        <w:br/>
      </w:r>
      <w:r w:rsidRPr="00A14433">
        <w:rPr>
          <w:rFonts w:cstheme="minorHAnsi"/>
          <w:i/>
          <w:noProof/>
        </w:rPr>
        <w:t>ab initio</w:t>
      </w:r>
      <w:r w:rsidRPr="00A27DDF">
        <w:rPr>
          <w:rFonts w:cstheme="minorHAnsi"/>
        </w:rPr>
        <w:t xml:space="preserve"> method in predicting elasticity and phase transformation of HEAs </w:t>
      </w:r>
      <w:r>
        <w:rPr>
          <w:rFonts w:cstheme="minorHAnsi"/>
        </w:rPr>
        <w:t>has become</w:t>
      </w:r>
      <w:r w:rsidRPr="00A27DDF">
        <w:rPr>
          <w:rFonts w:cstheme="minorHAnsi"/>
        </w:rPr>
        <w:t xml:space="preserve"> </w:t>
      </w:r>
      <w:r>
        <w:rPr>
          <w:rFonts w:cstheme="minorHAnsi"/>
        </w:rPr>
        <w:t>widely used</w:t>
      </w:r>
      <w:r w:rsidRPr="00A27DDF">
        <w:rPr>
          <w:rFonts w:cstheme="minorHAnsi"/>
        </w:rPr>
        <w:t xml:space="preserve">. </w:t>
      </w:r>
      <w:r w:rsidRPr="00A27DDF">
        <w:t>In</w:t>
      </w:r>
      <w:r>
        <w:t xml:space="preserve"> the </w:t>
      </w:r>
      <w:r w:rsidRPr="008C71F2">
        <w:rPr>
          <w:noProof/>
        </w:rPr>
        <w:t>previous</w:t>
      </w:r>
      <w:r w:rsidRPr="00A27DDF">
        <w:t xml:space="preserve"> discussion, the theoretical elasticity judgement is mainly depend</w:t>
      </w:r>
      <w:r>
        <w:t>ent</w:t>
      </w:r>
      <w:r w:rsidRPr="00A27DDF">
        <w:t xml:space="preserve"> on the mechanical yield mode under tension along</w:t>
      </w:r>
      <w:r>
        <w:t xml:space="preserve"> the</w:t>
      </w:r>
      <w:r w:rsidRPr="00A27DDF">
        <w:t xml:space="preserve"> [100]</w:t>
      </w:r>
      <w:r w:rsidRPr="00A27DDF">
        <w:rPr>
          <w:vertAlign w:val="subscript"/>
        </w:rPr>
        <w:t>BCC</w:t>
      </w:r>
      <w:r w:rsidRPr="00A27DDF">
        <w:t xml:space="preserve"> direction</w:t>
      </w:r>
      <w:r>
        <w:t>,</w:t>
      </w:r>
      <w:r w:rsidRPr="00A27DDF">
        <w:t xml:space="preserve"> which can be tuned by tailoring </w:t>
      </w:r>
      <w:r>
        <w:t xml:space="preserve">the </w:t>
      </w:r>
      <w:r w:rsidRPr="00A14433">
        <w:rPr>
          <w:i/>
        </w:rPr>
        <w:t>VEC</w:t>
      </w:r>
      <w:r>
        <w:t xml:space="preserve"> of </w:t>
      </w:r>
      <w:r w:rsidRPr="00A27DDF">
        <w:rPr>
          <w:rFonts w:cstheme="minorHAnsi"/>
        </w:rPr>
        <w:t>HEAs</w:t>
      </w:r>
      <w:r w:rsidRPr="00A27DDF">
        <w:t xml:space="preserve">. To find </w:t>
      </w:r>
      <w:r>
        <w:t xml:space="preserve">a </w:t>
      </w:r>
      <w:r w:rsidRPr="008C71F2">
        <w:rPr>
          <w:noProof/>
        </w:rPr>
        <w:t>theoretical</w:t>
      </w:r>
      <w:r w:rsidRPr="00A27DDF">
        <w:t xml:space="preserve"> explanation for this empirical method, Li </w:t>
      </w:r>
      <w:r w:rsidRPr="00A14433">
        <w:rPr>
          <w:i/>
        </w:rPr>
        <w:t>et al.</w:t>
      </w:r>
      <w:r w:rsidRPr="00A27DDF">
        <w:t xml:space="preserve"> </w:t>
      </w:r>
      <w:r w:rsidRPr="00A27DDF">
        <w:fldChar w:fldCharType="begin" w:fldLock="1"/>
      </w:r>
      <w:r>
        <w:instrText>ADDIN CSL_CITATION {"citationItems":[{"id":"ITEM-1","itemData":{"DOI":"10.1038/srep12334","ISSN":"20452322","abstract":"Recently developed high-entropy alloys (HEAs) consisting of multiple principal elements represent a new field of metallurgy and have demonstrated appealing properties for a wide range of applications. Using ab initio alloy theory, we reveal the alloying effect on the elastic properties and the ideal tensile strength (ITS) in the [001] direction of four body-centered cubic (bcc) refractory HEAs based on Zr, V, Ti, Nb, and Hf. We find that these HEAs show high elastic anisotropy and large positive Cauchy pressure, suggesting good extrinsic ductility. Starting from ZrNbHf, it is found that the ITS decreases with equimolar Ti addition. On the other hand, if both Ti and V are added to ZrNbHf, the ITS is enhanced by about 42%. An even more captivating effect is the ITS increase by about 170%, if Ti and V are substituted for Hf. The alloying effect on the ITS is explained by the d-band filling. An intrinsic brittle-to-ductile transition is found in terms of the failure mode under uniaxial tension. These investigations suggest that intrinsically ductile HEAs with high ideal strength can be achieved by controlling the proportion of group four elements to group five elements.","author":[{"dropping-particle":"","family":"Li","given":"Xiaoqing","non-dropping-particle":"","parse-names":false,"suffix":""},{"dropping-particle":"","family":"Tian","given":"Fuyang","non-dropping-particle":"","parse-names":false,"suffix":""},{"dropping-particle":"","family":"Schönecker","given":"Stephan","non-dropping-particle":"","parse-names":false,"suffix":""},{"dropping-particle":"","family":"Zhao","given":"Jijun","non-dropping-particle":"","parse-names":false,"suffix":""},{"dropping-particle":"","family":"Vitos","given":"Levente","non-dropping-particle":"","parse-names":false,"suffix":""}],"container-title":"Scientific Reports","id":"ITEM-1","issued":{"date-parts":[["2015"]]},"title":"Ab initio-predicted micro-mechanical performance of refractory high-entropy alloys","type":"article-journal"},"uris":["http://www.mendeley.com/documents/?uuid=e8c55c77-f8e8-4fab-a9db-4f668af57d11"]}],"mendeley":{"formattedCitation":"[88]","plainTextFormattedCitation":"[88]","previouslyFormattedCitation":"[88]"},"properties":{"noteIndex":0},"schema":"https://github.com/citation-style-language/schema/raw/master/csl-citation.json"}</w:instrText>
      </w:r>
      <w:r w:rsidRPr="00A27DDF">
        <w:fldChar w:fldCharType="separate"/>
      </w:r>
      <w:r w:rsidRPr="003B39BC">
        <w:rPr>
          <w:noProof/>
        </w:rPr>
        <w:t>[88]</w:t>
      </w:r>
      <w:r w:rsidRPr="00A27DDF">
        <w:fldChar w:fldCharType="end"/>
      </w:r>
      <w:r w:rsidRPr="00A27DDF">
        <w:t xml:space="preserve"> simulated the ideal [100]</w:t>
      </w:r>
      <w:r w:rsidRPr="00A27DDF">
        <w:rPr>
          <w:vertAlign w:val="subscript"/>
        </w:rPr>
        <w:t>BCC</w:t>
      </w:r>
      <w:r w:rsidRPr="00A27DDF">
        <w:t xml:space="preserve"> tension strain for various </w:t>
      </w:r>
      <w:r>
        <w:t>R</w:t>
      </w:r>
      <w:r w:rsidRPr="00A27DDF">
        <w:t xml:space="preserve">HEAs. </w:t>
      </w:r>
      <w:r>
        <w:t>Presented</w:t>
      </w:r>
      <w:r w:rsidRPr="00A27DDF">
        <w:t xml:space="preserve"> in Fig. 2-16</w:t>
      </w:r>
      <w:r>
        <w:t>,</w:t>
      </w:r>
      <w:r w:rsidRPr="00A27DDF">
        <w:t xml:space="preserve"> HfNbZr, HfNbTiZr, NbTiVZr and HfNbTiVZr were simulated under BCT lattice. Applying the structure energy difference between BCC and FCC structure</w:t>
      </w:r>
      <w:r>
        <w:t xml:space="preserve"> </w:t>
      </w:r>
      <w:r w:rsidRPr="00A27DDF">
        <w:fldChar w:fldCharType="begin" w:fldLock="1"/>
      </w:r>
      <w:r>
        <w:instrText>ADDIN CSL_CITATION {"citationItems":[{"id":"ITEM-1","itemData":{"DOI":"10.1103/PhysRevB.87.214203","ISSN":"10980121","abstract":"The all-electron exact muffin-tin orbitals method in combination with the coherent-potential approximation was employed to investigate the ideal tensile strengths of elemental V and Mo solids, and V- and Mo-based random solid solutions. Under uniaxial [001] tensile loading, the ideal tensile strength of V is 11.6 GPa and the lattice fails by shear. Assuming isotropic Poisson contraction, the ideal tensile strengths are 26.7 and 37.6 GPa for V in the [111] and [110] directions, respectively. The ideal strength of Mo is 26.7 GPa in the [001] direction and decreases when a few percent of Tc is introduced in Mo. For the V-based alloys, Cr increases and Ti decreases the ideal tensile strength in all principal directions. Adding the same concentration of Cr and Ti to V leads to ternary alloys with similar ideal strength values as that of pure V. The alloying effects on the ideal strength are explained using the electronic band structure.","author":[{"dropping-particle":"","family":"Li","given":"Xiaoqing","non-dropping-particle":"","parse-names":false,"suffix":""},{"dropping-particle":"","family":"Schönecker","given":"Stephan","non-dropping-particle":"","parse-names":false,"suffix":""},{"dropping-particle":"","family":"Zhao","given":"Jijun","non-dropping-particle":"","parse-names":false,"suffix":""},{"dropping-particle":"","family":"Johansson","given":"Börje","non-dropping-particle":"","parse-names":false,"suffix":""},{"dropping-particle":"","family":"Vitos","given":"Levente","non-dropping-particle":"","parse-names":false,"suffix":""}],"container-title":"Physical Review B - Condensed Matter and Materials Physics","id":"ITEM-1","issued":{"date-parts":[["2013"]]},"title":"Ideal strength of random alloys from first principles","type":"article-journal"},"uris":["http://www.mendeley.com/documents/?uuid=f8b794b0-1c39-4840-8200-693b09a8ac25","http://www.mendeley.com/documents/?uuid=ec06df5a-627b-4119-b959-6cc241aaf126"]}],"mendeley":{"formattedCitation":"[89]","plainTextFormattedCitation":"[89]","previouslyFormattedCitation":"[89]"},"properties":{"noteIndex":0},"schema":"https://github.com/citation-style-language/schema/raw/master/csl-citation.json"}</w:instrText>
      </w:r>
      <w:r w:rsidRPr="00A27DDF">
        <w:fldChar w:fldCharType="separate"/>
      </w:r>
      <w:r w:rsidRPr="003B39BC">
        <w:rPr>
          <w:noProof/>
        </w:rPr>
        <w:t>[89]</w:t>
      </w:r>
      <w:r w:rsidRPr="00A27DDF">
        <w:fldChar w:fldCharType="end"/>
      </w:r>
      <w:r>
        <w:t xml:space="preserve">, which was </w:t>
      </w:r>
      <w:r w:rsidRPr="00A27DDF">
        <w:t xml:space="preserve">employed as </w:t>
      </w:r>
      <w:r>
        <w:t xml:space="preserve">a </w:t>
      </w:r>
      <w:r w:rsidRPr="00A27DDF">
        <w:t>criteri</w:t>
      </w:r>
      <w:r w:rsidR="005918C3">
        <w:t>on</w:t>
      </w:r>
      <w:r w:rsidRPr="00A27DDF">
        <w:t xml:space="preserve"> to </w:t>
      </w:r>
      <w:r>
        <w:t>determine the</w:t>
      </w:r>
      <w:r w:rsidRPr="00A27DDF">
        <w:t xml:space="preserve"> intrinsic ductility of HEAs, Li </w:t>
      </w:r>
      <w:r w:rsidRPr="004B23AD">
        <w:rPr>
          <w:i/>
        </w:rPr>
        <w:t>et al.</w:t>
      </w:r>
      <w:r w:rsidRPr="00A27DDF">
        <w:t xml:space="preserve"> </w:t>
      </w:r>
      <w:r w:rsidRPr="00A27DDF">
        <w:fldChar w:fldCharType="begin" w:fldLock="1"/>
      </w:r>
      <w:r>
        <w:instrText>ADDIN CSL_CITATION {"citationItems":[{"id":"ITEM-1","itemData":{"DOI":"10.1038/srep12334","ISSN":"20452322","abstract":"Recently developed high-entropy alloys (HEAs) consisting of multiple principal elements represent a new field of metallurgy and have demonstrated appealing properties for a wide range of applications. Using ab initio alloy theory, we reveal the alloying effect on the elastic properties and the ideal tensile strength (ITS) in the [001] direction of four body-centered cubic (bcc) refractory HEAs based on Zr, V, Ti, Nb, and Hf. We find that these HEAs show high elastic anisotropy and large positive Cauchy pressure, suggesting good extrinsic ductility. Starting from ZrNbHf, it is found that the ITS decreases with equimolar Ti addition. On the other hand, if both Ti and V are added to ZrNbHf, the ITS is enhanced by about 42%. An even more captivating effect is the ITS increase by about 170%, if Ti and V are substituted for Hf. The alloying effect on the ITS is explained by the d-band filling. An intrinsic brittle-to-ductile transition is found in terms of the failure mode under uniaxial tension. These investigations suggest that intrinsically ductile HEAs with high ideal strength can be achieved by controlling the proportion of group four elements to group five elements.","author":[{"dropping-particle":"","family":"Li","given":"Xiaoqing","non-dropping-particle":"","parse-names":false,"suffix":""},{"dropping-particle":"","family":"Tian","given":"Fuyang","non-dropping-particle":"","parse-names":false,"suffix":""},{"dropping-particle":"","family":"Schönecker","given":"Stephan","non-dropping-particle":"","parse-names":false,"suffix":""},{"dropping-particle":"","family":"Zhao","given":"Jijun","non-dropping-particle":"","parse-names":false,"suffix":""},{"dropping-particle":"","family":"Vitos","given":"Levente","non-dropping-particle":"","parse-names":false,"suffix":""}],"container-title":"Scientific Reports","id":"ITEM-1","issued":{"date-parts":[["2015"]]},"title":"Ab initio-predicted micro-mechanical performance of refractory high-entropy alloys","type":"article-journal"},"uris":["http://www.mendeley.com/documents/?uuid=e8c55c77-f8e8-4fab-a9db-4f668af57d11"]}],"mendeley":{"formattedCitation":"[88]","plainTextFormattedCitation":"[88]","previouslyFormattedCitation":"[88]"},"properties":{"noteIndex":0},"schema":"https://github.com/citation-style-language/schema/raw/master/csl-citation.json"}</w:instrText>
      </w:r>
      <w:r w:rsidRPr="00A27DDF">
        <w:fldChar w:fldCharType="separate"/>
      </w:r>
      <w:r w:rsidRPr="003B39BC">
        <w:rPr>
          <w:noProof/>
        </w:rPr>
        <w:t>[88]</w:t>
      </w:r>
      <w:r w:rsidRPr="00A27DDF">
        <w:fldChar w:fldCharType="end"/>
      </w:r>
      <w:r w:rsidRPr="00A27DDF">
        <w:t xml:space="preserve"> correlate</w:t>
      </w:r>
      <w:r>
        <w:t>d</w:t>
      </w:r>
      <w:r w:rsidRPr="00A27DDF">
        <w:t xml:space="preserve"> the ideal tensile strength with the </w:t>
      </w:r>
      <w:r w:rsidRPr="00A27DDF">
        <w:rPr>
          <w:i/>
        </w:rPr>
        <w:t>d</w:t>
      </w:r>
      <w:r w:rsidRPr="00A27DDF">
        <w:t>-band filling</w:t>
      </w:r>
      <w:r>
        <w:t xml:space="preserve">. Furthermore, </w:t>
      </w:r>
      <w:r w:rsidRPr="00A27DDF">
        <w:t xml:space="preserve">importance of </w:t>
      </w:r>
      <w:r w:rsidRPr="00A27DDF">
        <w:rPr>
          <w:i/>
        </w:rPr>
        <w:t>d</w:t>
      </w:r>
      <w:r w:rsidRPr="00A27DDF">
        <w:t>-band filling in materials strength prediction</w:t>
      </w:r>
      <w:r>
        <w:t xml:space="preserve"> was</w:t>
      </w:r>
      <w:r w:rsidRPr="00A27DDF">
        <w:t xml:space="preserve"> highlight</w:t>
      </w:r>
      <w:r>
        <w:t>ed, revealing the reason for which</w:t>
      </w:r>
      <w:r w:rsidRPr="00A27DDF">
        <w:t xml:space="preserve"> </w:t>
      </w:r>
      <w:r w:rsidRPr="00A27DDF">
        <w:rPr>
          <w:i/>
        </w:rPr>
        <w:t xml:space="preserve">VEC </w:t>
      </w:r>
      <w:r w:rsidRPr="00A27DDF">
        <w:t xml:space="preserve">is effective in predicting ductile </w:t>
      </w:r>
      <w:r>
        <w:t>R</w:t>
      </w:r>
      <w:r w:rsidRPr="00A27DDF">
        <w:t xml:space="preserve">HEAs. </w:t>
      </w:r>
      <w:bookmarkStart w:id="125" w:name="bbb0965"/>
    </w:p>
    <w:bookmarkEnd w:id="125"/>
    <w:p w14:paraId="3AD59744" w14:textId="77777777" w:rsidR="00624970" w:rsidRPr="00A27DDF" w:rsidRDefault="00624970" w:rsidP="00624970">
      <w:pPr>
        <w:keepNext/>
        <w:spacing w:afterLines="60" w:after="144" w:line="360" w:lineRule="auto"/>
        <w:jc w:val="both"/>
      </w:pPr>
      <w:r w:rsidRPr="00A27DDF">
        <w:rPr>
          <w:noProof/>
          <w:lang w:val="en-US" w:eastAsia="en-US"/>
        </w:rPr>
        <w:lastRenderedPageBreak/>
        <w:drawing>
          <wp:inline distT="0" distB="0" distL="0" distR="0" wp14:anchorId="35E44FEA" wp14:editId="12DA8679">
            <wp:extent cx="5943600" cy="1965960"/>
            <wp:effectExtent l="0" t="0" r="0" b="0"/>
            <wp:docPr id="26" name="图片 26" descr="https://ars.els-cdn.com/content/image/1-s2.0-S1044580318306636-g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rs.els-cdn.com/content/image/1-s2.0-S1044580318306636-gr2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1965960"/>
                    </a:xfrm>
                    <a:prstGeom prst="rect">
                      <a:avLst/>
                    </a:prstGeom>
                    <a:noFill/>
                    <a:ln>
                      <a:noFill/>
                    </a:ln>
                  </pic:spPr>
                </pic:pic>
              </a:graphicData>
            </a:graphic>
          </wp:inline>
        </w:drawing>
      </w:r>
    </w:p>
    <w:p w14:paraId="2F18D416" w14:textId="37CBAE3A" w:rsidR="00624970" w:rsidRPr="00A27DDF" w:rsidRDefault="00624970" w:rsidP="00624970">
      <w:pPr>
        <w:spacing w:afterLines="60" w:after="144" w:line="360" w:lineRule="auto"/>
        <w:jc w:val="both"/>
        <w:rPr>
          <w:rFonts w:cstheme="minorHAnsi"/>
          <w:sz w:val="20"/>
          <w:szCs w:val="20"/>
        </w:rPr>
      </w:pPr>
      <w:bookmarkStart w:id="126" w:name="_Toc5617638"/>
      <w:bookmarkStart w:id="127" w:name="_Toc7364571"/>
      <w:bookmarkStart w:id="128" w:name="_Toc39312685"/>
      <w:r w:rsidRPr="00A27DDF">
        <w:rPr>
          <w:b/>
          <w:sz w:val="20"/>
          <w:szCs w:val="20"/>
        </w:rPr>
        <w:t>Figure 2-</w:t>
      </w:r>
      <w:r w:rsidRPr="00A27DDF">
        <w:rPr>
          <w:b/>
          <w:sz w:val="20"/>
        </w:rPr>
        <w:fldChar w:fldCharType="begin"/>
      </w:r>
      <w:r w:rsidRPr="00A27DDF">
        <w:rPr>
          <w:b/>
          <w:sz w:val="20"/>
        </w:rPr>
        <w:instrText xml:space="preserve"> SEQ Figure \* ARABIC </w:instrText>
      </w:r>
      <w:r w:rsidRPr="00A27DDF">
        <w:rPr>
          <w:b/>
          <w:sz w:val="20"/>
        </w:rPr>
        <w:fldChar w:fldCharType="separate"/>
      </w:r>
      <w:r>
        <w:rPr>
          <w:b/>
          <w:noProof/>
          <w:sz w:val="20"/>
        </w:rPr>
        <w:t>16</w:t>
      </w:r>
      <w:r w:rsidRPr="00A27DDF">
        <w:rPr>
          <w:b/>
          <w:sz w:val="20"/>
        </w:rPr>
        <w:fldChar w:fldCharType="end"/>
      </w:r>
      <w:r w:rsidRPr="00A27DDF">
        <w:rPr>
          <w:sz w:val="20"/>
          <w:szCs w:val="20"/>
        </w:rPr>
        <w:t xml:space="preserve"> (</w:t>
      </w:r>
      <w:r w:rsidRPr="00A27DDF">
        <w:rPr>
          <w:b/>
          <w:sz w:val="20"/>
          <w:szCs w:val="20"/>
        </w:rPr>
        <w:t>a</w:t>
      </w:r>
      <w:r w:rsidRPr="00A27DDF">
        <w:rPr>
          <w:sz w:val="20"/>
          <w:szCs w:val="20"/>
        </w:rPr>
        <w:t>)</w:t>
      </w:r>
      <w:r w:rsidRPr="00A27DDF">
        <w:rPr>
          <w:rFonts w:cstheme="minorHAnsi"/>
          <w:color w:val="323232"/>
          <w:sz w:val="20"/>
          <w:szCs w:val="20"/>
        </w:rPr>
        <w:t> </w:t>
      </w:r>
      <w:r w:rsidRPr="003B39BC">
        <w:rPr>
          <w:rFonts w:cstheme="minorHAnsi"/>
          <w:color w:val="000000" w:themeColor="text1"/>
          <w:sz w:val="20"/>
          <w:szCs w:val="20"/>
        </w:rPr>
        <w:t>Ideal BCC structure without loading along [001]</w:t>
      </w:r>
      <w:r w:rsidRPr="003B39BC">
        <w:rPr>
          <w:rFonts w:cstheme="minorHAnsi"/>
          <w:color w:val="000000" w:themeColor="text1"/>
          <w:sz w:val="20"/>
          <w:szCs w:val="20"/>
          <w:vertAlign w:val="subscript"/>
        </w:rPr>
        <w:t>BCC</w:t>
      </w:r>
      <w:r w:rsidRPr="003B39BC">
        <w:rPr>
          <w:rFonts w:cstheme="minorHAnsi"/>
          <w:color w:val="000000" w:themeColor="text1"/>
          <w:sz w:val="20"/>
          <w:szCs w:val="20"/>
        </w:rPr>
        <w:t>; (</w:t>
      </w:r>
      <w:r w:rsidRPr="003B39BC">
        <w:rPr>
          <w:rFonts w:cstheme="minorHAnsi"/>
          <w:b/>
          <w:color w:val="000000" w:themeColor="text1"/>
          <w:sz w:val="20"/>
          <w:szCs w:val="20"/>
        </w:rPr>
        <w:t>b</w:t>
      </w:r>
      <w:r w:rsidRPr="003B39BC">
        <w:rPr>
          <w:rFonts w:cstheme="minorHAnsi"/>
          <w:color w:val="000000" w:themeColor="text1"/>
          <w:sz w:val="20"/>
          <w:szCs w:val="20"/>
        </w:rPr>
        <w:t>) with tensile strain along [001]</w:t>
      </w:r>
      <w:r w:rsidRPr="003B39BC">
        <w:rPr>
          <w:rFonts w:cstheme="minorHAnsi"/>
          <w:color w:val="000000" w:themeColor="text1"/>
          <w:sz w:val="20"/>
          <w:szCs w:val="20"/>
          <w:vertAlign w:val="subscript"/>
        </w:rPr>
        <w:t>BCC</w:t>
      </w:r>
      <w:r w:rsidRPr="003B39BC">
        <w:rPr>
          <w:rFonts w:cstheme="minorHAnsi"/>
          <w:color w:val="000000" w:themeColor="text1"/>
          <w:sz w:val="20"/>
          <w:szCs w:val="20"/>
        </w:rPr>
        <w:t xml:space="preserve">, where the </w:t>
      </w:r>
      <w:r w:rsidRPr="003B39BC">
        <w:rPr>
          <w:rFonts w:cstheme="minorHAnsi"/>
          <w:noProof/>
          <w:color w:val="000000" w:themeColor="text1"/>
          <w:sz w:val="20"/>
          <w:szCs w:val="20"/>
        </w:rPr>
        <w:t>deformed</w:t>
      </w:r>
      <w:r w:rsidRPr="003B39BC">
        <w:rPr>
          <w:rFonts w:cstheme="minorHAnsi"/>
          <w:color w:val="000000" w:themeColor="text1"/>
          <w:sz w:val="20"/>
          <w:szCs w:val="20"/>
        </w:rPr>
        <w:t xml:space="preserve"> structure is expressed in the BCT structure; and (</w:t>
      </w:r>
      <w:r w:rsidRPr="003B39BC">
        <w:rPr>
          <w:rFonts w:cstheme="minorHAnsi"/>
          <w:b/>
          <w:color w:val="000000" w:themeColor="text1"/>
          <w:sz w:val="20"/>
          <w:szCs w:val="20"/>
        </w:rPr>
        <w:t>c</w:t>
      </w:r>
      <w:r w:rsidRPr="003B39BC">
        <w:rPr>
          <w:rFonts w:cstheme="minorHAnsi"/>
          <w:color w:val="000000" w:themeColor="text1"/>
          <w:sz w:val="20"/>
          <w:szCs w:val="20"/>
        </w:rPr>
        <w:t xml:space="preserve">) a Biplot of simulated tensile stress against ideal tensile strain for four RHEAs </w:t>
      </w:r>
      <w:r w:rsidRPr="003B39BC">
        <w:rPr>
          <w:rFonts w:cstheme="minorHAnsi"/>
          <w:color w:val="000000" w:themeColor="text1"/>
          <w:sz w:val="20"/>
          <w:szCs w:val="20"/>
        </w:rPr>
        <w:fldChar w:fldCharType="begin" w:fldLock="1"/>
      </w:r>
      <w:r>
        <w:rPr>
          <w:rFonts w:cstheme="minorHAnsi"/>
          <w:color w:val="000000" w:themeColor="text1"/>
          <w:sz w:val="20"/>
          <w:szCs w:val="20"/>
        </w:rPr>
        <w:instrText>ADDIN CSL_CITATION {"citationItems":[{"id":"ITEM-1","itemData":{"DOI":"10.1103/PhysRevB.87.214203","ISSN":"10980121","abstract":"The all-electron exact muffin-tin orbitals method in combination with the coherent-potential approximation was employed to investigate the ideal tensile strengths of elemental V and Mo solids, and V- and Mo-based random solid solutions. Under uniaxial [001] tensile loading, the ideal tensile strength of V is 11.6 GPa and the lattice fails by shear. Assuming isotropic Poisson contraction, the ideal tensile strengths are 26.7 and 37.6 GPa for V in the [111] and [110] directions, respectively. The ideal strength of Mo is 26.7 GPa in the [001] direction and decreases when a few percent of Tc is introduced in Mo. For the V-based alloys, Cr increases and Ti decreases the ideal tensile strength in all principal directions. Adding the same concentration of Cr and Ti to V leads to ternary alloys with similar ideal strength values as that of pure V. The alloying effects on the ideal strength are explained using the electronic band structure.","author":[{"dropping-particle":"","family":"Li","given":"Xiaoqing","non-dropping-particle":"","parse-names":false,"suffix":""},{"dropping-particle":"","family":"Schönecker","given":"Stephan","non-dropping-particle":"","parse-names":false,"suffix":""},{"dropping-particle":"","family":"Zhao","given":"Jijun","non-dropping-particle":"","parse-names":false,"suffix":""},{"dropping-particle":"","family":"Johansson","given":"Börje","non-dropping-particle":"","parse-names":false,"suffix":""},{"dropping-particle":"","family":"Vitos","given":"Levente","non-dropping-particle":"","parse-names":false,"suffix":""}],"container-title":"Physical Review B - Condensed Matter and Materials Physics","id":"ITEM-1","issued":{"date-parts":[["2013"]]},"title":"Ideal strength of random alloys from first principles","type":"article-journal"},"uris":["http://www.mendeley.com/documents/?uuid=ec06df5a-627b-4119-b959-6cc241aaf126"]}],"mendeley":{"formattedCitation":"[89]","plainTextFormattedCitation":"[89]","previouslyFormattedCitation":"[89]"},"properties":{"noteIndex":0},"schema":"https://github.com/citation-style-language/schema/raw/master/csl-citation.json"}</w:instrText>
      </w:r>
      <w:r w:rsidRPr="003B39BC">
        <w:rPr>
          <w:rFonts w:cstheme="minorHAnsi"/>
          <w:color w:val="000000" w:themeColor="text1"/>
          <w:sz w:val="20"/>
          <w:szCs w:val="20"/>
        </w:rPr>
        <w:fldChar w:fldCharType="separate"/>
      </w:r>
      <w:bookmarkEnd w:id="126"/>
      <w:bookmarkEnd w:id="127"/>
      <w:r w:rsidRPr="003B39BC">
        <w:rPr>
          <w:rFonts w:cstheme="minorHAnsi"/>
          <w:noProof/>
          <w:color w:val="000000" w:themeColor="text1"/>
          <w:sz w:val="20"/>
          <w:szCs w:val="20"/>
        </w:rPr>
        <w:t>[89]</w:t>
      </w:r>
      <w:r w:rsidRPr="003B39BC">
        <w:rPr>
          <w:rFonts w:cstheme="minorHAnsi"/>
          <w:color w:val="000000" w:themeColor="text1"/>
          <w:sz w:val="20"/>
          <w:szCs w:val="20"/>
        </w:rPr>
        <w:fldChar w:fldCharType="end"/>
      </w:r>
      <w:r w:rsidRPr="003B39BC">
        <w:rPr>
          <w:rFonts w:cstheme="minorHAnsi"/>
          <w:color w:val="000000" w:themeColor="text1"/>
          <w:sz w:val="20"/>
          <w:szCs w:val="20"/>
        </w:rPr>
        <w:t xml:space="preserve"> .</w:t>
      </w:r>
      <w:bookmarkEnd w:id="128"/>
    </w:p>
    <w:p w14:paraId="668D2C4D" w14:textId="4A955B37" w:rsidR="00624970" w:rsidRPr="00A27DDF" w:rsidRDefault="00624970" w:rsidP="00624970">
      <w:pPr>
        <w:spacing w:afterLines="60" w:after="144" w:line="360" w:lineRule="auto"/>
        <w:jc w:val="both"/>
        <w:rPr>
          <w:color w:val="323232"/>
        </w:rPr>
      </w:pPr>
      <w:r w:rsidRPr="00A27DDF">
        <w:rPr>
          <w:rFonts w:cstheme="minorHAnsi"/>
        </w:rPr>
        <w:t xml:space="preserve">In </w:t>
      </w:r>
      <w:r w:rsidRPr="00DF45A0">
        <w:rPr>
          <w:rFonts w:cstheme="minorHAnsi"/>
          <w:i/>
        </w:rPr>
        <w:t>ab initio</w:t>
      </w:r>
      <w:r w:rsidRPr="00A27DDF">
        <w:rPr>
          <w:rFonts w:cstheme="minorHAnsi"/>
        </w:rPr>
        <w:t xml:space="preserve"> simulations, the value of </w:t>
      </w:r>
      <w:r w:rsidRPr="00A27DDF">
        <w:rPr>
          <w:rFonts w:cstheme="minorHAnsi"/>
          <w:i/>
        </w:rPr>
        <w:t>VEC</w:t>
      </w:r>
      <w:r w:rsidRPr="00A27DDF">
        <w:rPr>
          <w:rFonts w:cstheme="minorHAnsi"/>
        </w:rPr>
        <w:t xml:space="preserve"> is derived from </w:t>
      </w:r>
      <w:r>
        <w:rPr>
          <w:rFonts w:cstheme="minorHAnsi"/>
        </w:rPr>
        <w:t xml:space="preserve">the </w:t>
      </w:r>
      <w:r w:rsidRPr="008C71F2">
        <w:rPr>
          <w:rFonts w:cstheme="minorHAnsi"/>
          <w:noProof/>
        </w:rPr>
        <w:t>integration</w:t>
      </w:r>
      <w:r w:rsidRPr="00A27DDF">
        <w:rPr>
          <w:rFonts w:cstheme="minorHAnsi"/>
        </w:rPr>
        <w:t xml:space="preserve"> of valence band density of states (DOS). Correlat</w:t>
      </w:r>
      <w:r>
        <w:rPr>
          <w:rFonts w:cstheme="minorHAnsi"/>
        </w:rPr>
        <w:t>ing</w:t>
      </w:r>
      <w:r w:rsidRPr="00A27DDF">
        <w:rPr>
          <w:rFonts w:cstheme="minorHAnsi"/>
        </w:rPr>
        <w:t xml:space="preserve"> DOS with </w:t>
      </w:r>
      <w:r w:rsidRPr="00A27DDF">
        <w:rPr>
          <w:rFonts w:cstheme="minorHAnsi"/>
          <w:i/>
        </w:rPr>
        <w:t>VEC</w:t>
      </w:r>
      <w:r w:rsidRPr="00A27DDF">
        <w:rPr>
          <w:rFonts w:cstheme="minorHAnsi"/>
        </w:rPr>
        <w:t xml:space="preserve">, Tian </w:t>
      </w:r>
      <w:r w:rsidRPr="00720B72">
        <w:rPr>
          <w:rFonts w:cstheme="minorHAnsi"/>
          <w:i/>
        </w:rPr>
        <w:t>et al.</w:t>
      </w:r>
      <w:r>
        <w:rPr>
          <w:rFonts w:cstheme="minorHAnsi"/>
        </w:rPr>
        <w:t xml:space="preserve"> </w:t>
      </w:r>
      <w:r w:rsidRPr="00A27DDF">
        <w:rPr>
          <w:rFonts w:cstheme="minorHAnsi"/>
        </w:rPr>
        <w:fldChar w:fldCharType="begin" w:fldLock="1"/>
      </w:r>
      <w:r>
        <w:rPr>
          <w:rFonts w:cstheme="minorHAnsi"/>
        </w:rPr>
        <w:instrText>ADDIN CSL_CITATION {"citationItems":[{"id":"ITEM-1","itemData":{"DOI":"10.1016/j.jallcom.2014.01.237","ISBN":"0925-8388","ISSN":"09258388","abstract":"The TiZrVNb and TiZrNbMoVx (x = 0-1.5) high-entropy alloys (HEAs) are single-phase solid solutions having the body centered cubic crystallographic structure. Here we use the ab initio exact muffin-tin orbitals method in combination with the coherent potential approximation to study the equilibrium bulk properties of the above refractory HEAs. We provide a detailed investigation of the effect of alloying elements on the electronic structure and elastic parameters. Our results indicate that vanadium enhances the anisotropy of TiZrNbMoVx. As an application of the present theoretical database, we verify the often quoted correlation between the valence electron concentration (VEC) and the micro-mechanical properties in the case of multi-component alloys. Furthermore, we predict that the present HEAs become elastically isotropic for VEC</w:instrText>
      </w:r>
      <w:r>
        <w:rPr>
          <w:rFonts w:ascii="Cambria Math" w:hAnsi="Cambria Math" w:cs="Cambria Math"/>
        </w:rPr>
        <w:instrText>∼</w:instrText>
      </w:r>
      <w:r>
        <w:rPr>
          <w:rFonts w:cstheme="minorHAnsi"/>
        </w:rPr>
        <w:instrText xml:space="preserve">4.72. </w:instrText>
      </w:r>
      <w:r>
        <w:rPr>
          <w:rFonts w:ascii="Calibri" w:hAnsi="Calibri" w:cs="Calibri"/>
        </w:rPr>
        <w:instrText>©</w:instrText>
      </w:r>
      <w:r>
        <w:rPr>
          <w:rFonts w:cstheme="minorHAnsi"/>
        </w:rPr>
        <w:instrText xml:space="preserve"> 2014 Elsevier B.V. All rights reserved.","author":[{"dropping-particle":"","family":"Tian","given":"Fuyang","non-dropping-particle":"","parse-names":false,"suffix":""},{"dropping-particle":"","family":"Varga","given":"Lajos Karoly","non-dropping-particle":"","parse-names":false,"suffix":""},{"dropping-particle":"","family":"Chen","given":"Nanxian","non-dropping-particle":"","parse-names":false,"suffix":""},{"dropping-particle":"","family":"Shen","given":"Jiang","non-dropping-particle":"","parse-names":false,"suffix":""},{"dropping-particle":"","family":"Vitos","given":"Levente","non-dropping-particle":"","parse-names":false,"suffix":""}],"container-title":"Journal of Alloys and Compounds","id":"ITEM-1","issued":{"date-parts":[["2014"]]},"title":"Ab initio design of elastically isotropic TiZrNbMoVx high-entropy alloys","type":"article-journal"},"uris":["http://www.mendeley.com/documents/?uuid=11ffa549-45a0-4157-8c75-fd8cfb3af1e0"]}],"mendeley":{"formattedCitation":"[90]","plainTextFormattedCitation":"[90]","previouslyFormattedCitation":"[90]"},"properties":{"noteIndex":0},"schema":"https://github.com/citation-style-language/schema/raw/master/csl-citation.json"}</w:instrText>
      </w:r>
      <w:r w:rsidRPr="00A27DDF">
        <w:rPr>
          <w:rFonts w:cstheme="minorHAnsi"/>
        </w:rPr>
        <w:fldChar w:fldCharType="separate"/>
      </w:r>
      <w:r w:rsidRPr="003B39BC">
        <w:rPr>
          <w:rFonts w:cstheme="minorHAnsi"/>
          <w:noProof/>
        </w:rPr>
        <w:t>[90]</w:t>
      </w:r>
      <w:r w:rsidRPr="00A27DDF">
        <w:rPr>
          <w:rFonts w:cstheme="minorHAnsi"/>
        </w:rPr>
        <w:fldChar w:fldCharType="end"/>
      </w:r>
      <w:r w:rsidRPr="00A27DDF">
        <w:rPr>
          <w:rFonts w:cstheme="minorHAnsi"/>
        </w:rPr>
        <w:t xml:space="preserve"> discussed the effect </w:t>
      </w:r>
      <w:r>
        <w:rPr>
          <w:rFonts w:cstheme="minorHAnsi"/>
        </w:rPr>
        <w:t>of the addition of</w:t>
      </w:r>
      <w:r w:rsidRPr="00A27DDF">
        <w:rPr>
          <w:rFonts w:cstheme="minorHAnsi"/>
        </w:rPr>
        <w:t xml:space="preserve"> V in TiZrNbMo</w:t>
      </w:r>
      <w:r>
        <w:rPr>
          <w:rFonts w:cstheme="minorHAnsi"/>
        </w:rPr>
        <w:t xml:space="preserve">, and the resultant </w:t>
      </w:r>
      <w:r w:rsidRPr="00A27DDF">
        <w:rPr>
          <w:rFonts w:cstheme="minorHAnsi"/>
        </w:rPr>
        <w:t>mechanical performance of TiZrNbMoV</w:t>
      </w:r>
      <w:r w:rsidRPr="00A27DDF">
        <w:rPr>
          <w:rFonts w:cstheme="minorHAnsi"/>
          <w:vertAlign w:val="subscript"/>
        </w:rPr>
        <w:t>X (x=0-1.5)</w:t>
      </w:r>
      <w:r w:rsidRPr="00A27DDF">
        <w:rPr>
          <w:rFonts w:cstheme="minorHAnsi"/>
        </w:rPr>
        <w:t>. Denot</w:t>
      </w:r>
      <w:r>
        <w:rPr>
          <w:rFonts w:cstheme="minorHAnsi"/>
        </w:rPr>
        <w:t>ing</w:t>
      </w:r>
      <w:r w:rsidRPr="00A27DDF">
        <w:rPr>
          <w:rFonts w:cstheme="minorHAnsi"/>
        </w:rPr>
        <w:t xml:space="preserve"> the DOS peak split as a sign of</w:t>
      </w:r>
      <w:r w:rsidRPr="00A27DDF">
        <w:rPr>
          <w:color w:val="2E2E2E"/>
        </w:rPr>
        <w:t xml:space="preserve"> lattice distortion</w:t>
      </w:r>
      <w:r>
        <w:rPr>
          <w:color w:val="2E2E2E"/>
        </w:rPr>
        <w:t xml:space="preserve"> and employing the</w:t>
      </w:r>
      <w:r w:rsidRPr="00A27DDF">
        <w:rPr>
          <w:color w:val="2E2E2E"/>
        </w:rPr>
        <w:t xml:space="preserve"> </w:t>
      </w:r>
      <w:r>
        <w:rPr>
          <w:color w:val="2E2E2E"/>
        </w:rPr>
        <w:t>F</w:t>
      </w:r>
      <w:r w:rsidRPr="00A27DDF">
        <w:rPr>
          <w:color w:val="2E2E2E"/>
        </w:rPr>
        <w:t xml:space="preserve">ermi energy level as </w:t>
      </w:r>
      <w:r w:rsidR="005918C3">
        <w:rPr>
          <w:color w:val="2E2E2E"/>
        </w:rPr>
        <w:t xml:space="preserve">a </w:t>
      </w:r>
      <w:r w:rsidRPr="008C71F2">
        <w:rPr>
          <w:noProof/>
          <w:color w:val="2E2E2E"/>
        </w:rPr>
        <w:t>reference</w:t>
      </w:r>
      <w:r w:rsidRPr="00A27DDF">
        <w:rPr>
          <w:color w:val="2E2E2E"/>
        </w:rPr>
        <w:t xml:space="preserve">, the DOS peak splitting shifts </w:t>
      </w:r>
      <w:r>
        <w:rPr>
          <w:noProof/>
          <w:color w:val="2E2E2E"/>
        </w:rPr>
        <w:t>were</w:t>
      </w:r>
      <w:r w:rsidRPr="00A27DDF">
        <w:rPr>
          <w:color w:val="2E2E2E"/>
        </w:rPr>
        <w:t xml:space="preserve"> used to determine whether the solid is stable against particular lattice deformation (which correlate</w:t>
      </w:r>
      <w:r>
        <w:rPr>
          <w:color w:val="2E2E2E"/>
        </w:rPr>
        <w:t>s</w:t>
      </w:r>
      <w:r w:rsidRPr="00A27DDF">
        <w:rPr>
          <w:color w:val="2E2E2E"/>
        </w:rPr>
        <w:t xml:space="preserve"> to the elastic constants). </w:t>
      </w:r>
      <w:r w:rsidRPr="00A27DDF">
        <w:rPr>
          <w:rFonts w:cstheme="minorHAnsi"/>
        </w:rPr>
        <w:t xml:space="preserve">As shown in Fig. 2-17(a), compared with Ti and Zr </w:t>
      </w:r>
      <w:r w:rsidRPr="00A27DDF">
        <w:rPr>
          <w:color w:val="2E2E2E"/>
        </w:rPr>
        <w:t xml:space="preserve">the additional valence electrons from V and Nb shift the Fermi </w:t>
      </w:r>
      <w:r>
        <w:rPr>
          <w:color w:val="2E2E2E"/>
        </w:rPr>
        <w:t xml:space="preserve">energy </w:t>
      </w:r>
      <w:r w:rsidRPr="00A27DDF">
        <w:rPr>
          <w:color w:val="2E2E2E"/>
        </w:rPr>
        <w:t>level towards a descending DOS and finally into the characteristic DOS minimum in Mo</w:t>
      </w:r>
      <w:r>
        <w:rPr>
          <w:color w:val="2E2E2E"/>
        </w:rPr>
        <w:t>. This</w:t>
      </w:r>
      <w:r w:rsidRPr="00A27DDF">
        <w:rPr>
          <w:color w:val="2E2E2E"/>
        </w:rPr>
        <w:t xml:space="preserve"> indicate</w:t>
      </w:r>
      <w:r>
        <w:rPr>
          <w:color w:val="2E2E2E"/>
        </w:rPr>
        <w:t>d</w:t>
      </w:r>
      <w:r w:rsidRPr="00A27DDF">
        <w:rPr>
          <w:color w:val="2E2E2E"/>
        </w:rPr>
        <w:t xml:space="preserve"> the BCC structure in Mo is most </w:t>
      </w:r>
      <w:r>
        <w:rPr>
          <w:color w:val="2E2E2E"/>
        </w:rPr>
        <w:t>stable</w:t>
      </w:r>
      <w:r w:rsidRPr="00A27DDF">
        <w:rPr>
          <w:color w:val="2E2E2E"/>
        </w:rPr>
        <w:t xml:space="preserve">. </w:t>
      </w:r>
      <w:r w:rsidRPr="00A27DDF">
        <w:rPr>
          <w:color w:val="323232"/>
        </w:rPr>
        <w:t>Similarly, by comparing the total DOS of TiZrVNb, TiZrNbMo and TiZrVNbMo</w:t>
      </w:r>
      <w:r>
        <w:rPr>
          <w:color w:val="323232"/>
        </w:rPr>
        <w:t>,</w:t>
      </w:r>
      <w:r w:rsidRPr="00A27DDF">
        <w:rPr>
          <w:color w:val="323232"/>
        </w:rPr>
        <w:t xml:space="preserve"> </w:t>
      </w:r>
      <w:r>
        <w:rPr>
          <w:color w:val="323232"/>
        </w:rPr>
        <w:t>t</w:t>
      </w:r>
      <w:r w:rsidRPr="00A27DDF">
        <w:rPr>
          <w:color w:val="323232"/>
        </w:rPr>
        <w:t xml:space="preserve">he peak next to the Fermi energy shifted to the descending zone when Mo </w:t>
      </w:r>
      <w:r>
        <w:rPr>
          <w:color w:val="323232"/>
        </w:rPr>
        <w:t xml:space="preserve">was </w:t>
      </w:r>
      <w:r w:rsidRPr="00A27DDF">
        <w:rPr>
          <w:color w:val="323232"/>
        </w:rPr>
        <w:t xml:space="preserve">replaced </w:t>
      </w:r>
      <w:r w:rsidR="005918C3">
        <w:rPr>
          <w:color w:val="323232"/>
        </w:rPr>
        <w:t xml:space="preserve">with </w:t>
      </w:r>
      <w:r w:rsidRPr="00A27DDF">
        <w:rPr>
          <w:color w:val="323232"/>
        </w:rPr>
        <w:t>V</w:t>
      </w:r>
      <w:r>
        <w:rPr>
          <w:color w:val="323232"/>
        </w:rPr>
        <w:t>,</w:t>
      </w:r>
      <w:r w:rsidRPr="00A27DDF">
        <w:rPr>
          <w:color w:val="323232"/>
        </w:rPr>
        <w:t xml:space="preserve"> which characterise</w:t>
      </w:r>
      <w:r>
        <w:rPr>
          <w:color w:val="323232"/>
        </w:rPr>
        <w:t>s</w:t>
      </w:r>
      <w:r w:rsidRPr="00A27DDF">
        <w:rPr>
          <w:color w:val="323232"/>
        </w:rPr>
        <w:t xml:space="preserve"> Mo</w:t>
      </w:r>
      <w:r>
        <w:rPr>
          <w:color w:val="323232"/>
        </w:rPr>
        <w:t xml:space="preserve"> addition</w:t>
      </w:r>
      <w:r w:rsidRPr="00A27DDF">
        <w:rPr>
          <w:color w:val="323232"/>
        </w:rPr>
        <w:t xml:space="preserve"> </w:t>
      </w:r>
      <w:r>
        <w:rPr>
          <w:color w:val="323232"/>
        </w:rPr>
        <w:t>as an aid</w:t>
      </w:r>
      <w:r w:rsidRPr="00A27DDF">
        <w:rPr>
          <w:color w:val="323232"/>
        </w:rPr>
        <w:t xml:space="preserve"> to stabilise the BCC structure </w:t>
      </w:r>
      <w:r>
        <w:rPr>
          <w:color w:val="323232"/>
        </w:rPr>
        <w:t xml:space="preserve">when </w:t>
      </w:r>
      <w:r w:rsidRPr="00A27DDF">
        <w:rPr>
          <w:color w:val="323232"/>
        </w:rPr>
        <w:t>compared with V</w:t>
      </w:r>
      <w:r w:rsidRPr="00A27DDF">
        <w:rPr>
          <w:rFonts w:hint="eastAsia"/>
          <w:color w:val="323232"/>
        </w:rPr>
        <w:t>.</w:t>
      </w:r>
      <w:r w:rsidRPr="00A27DDF">
        <w:rPr>
          <w:color w:val="323232"/>
        </w:rPr>
        <w:t xml:space="preserve"> According to </w:t>
      </w:r>
      <w:r>
        <w:rPr>
          <w:noProof/>
          <w:color w:val="323232"/>
        </w:rPr>
        <w:t>this</w:t>
      </w:r>
      <w:r w:rsidRPr="00A27DDF">
        <w:rPr>
          <w:color w:val="323232"/>
        </w:rPr>
        <w:t xml:space="preserve"> discussion, </w:t>
      </w:r>
      <w:r w:rsidRPr="00A27DDF">
        <w:rPr>
          <w:rFonts w:cstheme="minorHAnsi"/>
        </w:rPr>
        <w:t xml:space="preserve">Tian </w:t>
      </w:r>
      <w:r w:rsidRPr="004B23AD">
        <w:rPr>
          <w:rFonts w:cstheme="minorHAnsi"/>
          <w:i/>
        </w:rPr>
        <w:t>et al.</w:t>
      </w:r>
      <w:r>
        <w:rPr>
          <w:rFonts w:cstheme="minorHAnsi"/>
        </w:rPr>
        <w:t xml:space="preserve"> </w:t>
      </w:r>
      <w:r w:rsidRPr="00A27DDF">
        <w:rPr>
          <w:rFonts w:cstheme="minorHAnsi"/>
        </w:rPr>
        <w:fldChar w:fldCharType="begin" w:fldLock="1"/>
      </w:r>
      <w:r>
        <w:rPr>
          <w:rFonts w:cstheme="minorHAnsi"/>
        </w:rPr>
        <w:instrText>ADDIN CSL_CITATION {"citationItems":[{"id":"ITEM-1","itemData":{"DOI":"10.1016/j.jallcom.2014.01.237","ISBN":"0925-8388","ISSN":"09258388","abstract":"The TiZrVNb and TiZrNbMoVx (x = 0-1.5) high-entropy alloys (HEAs) are single-phase solid solutions having the body centered cubic crystallographic structure. Here we use the ab initio exact muffin-tin orbitals method in combination with the coherent potential approximation to study the equilibrium bulk properties of the above refractory HEAs. We provide a detailed investigation of the effect of alloying elements on the electronic structure and elastic parameters. Our results indicate that vanadium enhances the anisotropy of TiZrNbMoVx. As an application of the present theoretical database, we verify the often quoted correlation between the valence electron concentration (VEC) and the micro-mechanical properties in the case of multi-component alloys. Furthermore, we predict that the present HEAs become elastically isotropic for VEC</w:instrText>
      </w:r>
      <w:r>
        <w:rPr>
          <w:rFonts w:ascii="Cambria Math" w:hAnsi="Cambria Math" w:cs="Cambria Math"/>
        </w:rPr>
        <w:instrText>∼</w:instrText>
      </w:r>
      <w:r>
        <w:rPr>
          <w:rFonts w:cstheme="minorHAnsi"/>
        </w:rPr>
        <w:instrText xml:space="preserve">4.72. </w:instrText>
      </w:r>
      <w:r>
        <w:rPr>
          <w:rFonts w:ascii="Calibri" w:hAnsi="Calibri" w:cs="Calibri"/>
        </w:rPr>
        <w:instrText>©</w:instrText>
      </w:r>
      <w:r>
        <w:rPr>
          <w:rFonts w:cstheme="minorHAnsi"/>
        </w:rPr>
        <w:instrText xml:space="preserve"> 2014 Elsevier B.V. All rights reserved.","author":[{"dropping-particle":"","family":"Tian","given":"Fuyang","non-dropping-particle":"","parse-names":false,"suffix":""},{"dropping-particle":"","family":"Varga","given":"Lajos Karoly","non-dropping-particle":"","parse-names":false,"suffix":""},{"dropping-particle":"","family":"Chen","given":"Nanxian","non-dropping-particle":"","parse-names":false,"suffix":""},{"dropping-particle":"","family":"Shen","given":"Jiang","non-dropping-particle":"","parse-names":false,"suffix":""},{"dropping-particle":"","family":"Vitos","given":"Levente","non-dropping-particle":"","parse-names":false,"suffix":""}],"container-title":"Journal of Alloys and Compounds","id":"ITEM-1","issued":{"date-parts":[["2014"]]},"title":"Ab initio design of elastically isotropic TiZrNbMoVx high-entropy alloys","type":"article-journal"},"uris":["http://www.mendeley.com/documents/?uuid=11ffa549-45a0-4157-8c75-fd8cfb3af1e0"]}],"mendeley":{"formattedCitation":"[90]","plainTextFormattedCitation":"[90]","previouslyFormattedCitation":"[90]"},"properties":{"noteIndex":0},"schema":"https://github.com/citation-style-language/schema/raw/master/csl-citation.json"}</w:instrText>
      </w:r>
      <w:r w:rsidRPr="00A27DDF">
        <w:rPr>
          <w:rFonts w:cstheme="minorHAnsi"/>
        </w:rPr>
        <w:fldChar w:fldCharType="separate"/>
      </w:r>
      <w:r w:rsidRPr="003B39BC">
        <w:rPr>
          <w:rFonts w:cstheme="minorHAnsi"/>
          <w:noProof/>
        </w:rPr>
        <w:t>[90]</w:t>
      </w:r>
      <w:r w:rsidRPr="00A27DDF">
        <w:rPr>
          <w:rFonts w:cstheme="minorHAnsi"/>
        </w:rPr>
        <w:fldChar w:fldCharType="end"/>
      </w:r>
      <w:r>
        <w:rPr>
          <w:rFonts w:cstheme="minorHAnsi"/>
        </w:rPr>
        <w:t xml:space="preserve"> </w:t>
      </w:r>
      <w:r w:rsidRPr="00A27DDF">
        <w:rPr>
          <w:color w:val="323232"/>
        </w:rPr>
        <w:t>further relate</w:t>
      </w:r>
      <w:r>
        <w:rPr>
          <w:color w:val="323232"/>
        </w:rPr>
        <w:t>d</w:t>
      </w:r>
      <w:r w:rsidRPr="00A27DDF">
        <w:rPr>
          <w:color w:val="323232"/>
        </w:rPr>
        <w:t xml:space="preserve"> the </w:t>
      </w:r>
      <w:r w:rsidRPr="00A27DDF">
        <w:rPr>
          <w:i/>
          <w:color w:val="323232"/>
        </w:rPr>
        <w:t>VEC</w:t>
      </w:r>
      <w:r w:rsidRPr="00A27DDF">
        <w:rPr>
          <w:color w:val="323232"/>
        </w:rPr>
        <w:t xml:space="preserve"> with the changes of the metallic bonds and to the changes of polycrystalline elastic moduli. In Fig. 2-17(b), the correlation between the bulk and shear moduli of TiZrNbMoVx and the </w:t>
      </w:r>
      <w:r w:rsidRPr="00A27DDF">
        <w:rPr>
          <w:i/>
          <w:color w:val="323232"/>
        </w:rPr>
        <w:t>VEC</w:t>
      </w:r>
      <w:r w:rsidRPr="00A27DDF">
        <w:rPr>
          <w:color w:val="323232"/>
        </w:rPr>
        <w:t xml:space="preserve"> is </w:t>
      </w:r>
      <w:r>
        <w:rPr>
          <w:color w:val="323232"/>
        </w:rPr>
        <w:t>evident</w:t>
      </w:r>
      <w:r w:rsidRPr="00A27DDF">
        <w:rPr>
          <w:color w:val="323232"/>
        </w:rPr>
        <w:t xml:space="preserve">. With </w:t>
      </w:r>
      <w:r w:rsidRPr="00A27DDF">
        <w:rPr>
          <w:i/>
          <w:color w:val="323232"/>
        </w:rPr>
        <w:t>VEC</w:t>
      </w:r>
      <w:r w:rsidRPr="00A27DDF">
        <w:rPr>
          <w:color w:val="323232"/>
        </w:rPr>
        <w:t xml:space="preserve"> varying </w:t>
      </w:r>
      <w:r>
        <w:rPr>
          <w:color w:val="323232"/>
        </w:rPr>
        <w:t>as a</w:t>
      </w:r>
      <w:r w:rsidRPr="00A27DDF">
        <w:rPr>
          <w:color w:val="323232"/>
        </w:rPr>
        <w:t xml:space="preserve"> result </w:t>
      </w:r>
      <w:r>
        <w:rPr>
          <w:color w:val="323232"/>
        </w:rPr>
        <w:t>of the</w:t>
      </w:r>
      <w:r w:rsidRPr="00A27DDF">
        <w:rPr>
          <w:color w:val="323232"/>
        </w:rPr>
        <w:t xml:space="preserve"> V addition, the bulk (shear) modulus and B/G ratio (used to represent intrinsic brittle</w:t>
      </w:r>
      <w:r>
        <w:rPr>
          <w:color w:val="323232"/>
        </w:rPr>
        <w:t>ness</w:t>
      </w:r>
      <w:r w:rsidRPr="00A27DDF">
        <w:rPr>
          <w:color w:val="323232"/>
        </w:rPr>
        <w:t xml:space="preserve">) </w:t>
      </w:r>
      <w:r>
        <w:rPr>
          <w:color w:val="323232"/>
        </w:rPr>
        <w:t xml:space="preserve">were observed to </w:t>
      </w:r>
      <w:r w:rsidRPr="00A27DDF">
        <w:rPr>
          <w:color w:val="323232"/>
        </w:rPr>
        <w:t>chan</w:t>
      </w:r>
      <w:r>
        <w:rPr>
          <w:color w:val="323232"/>
        </w:rPr>
        <w:t xml:space="preserve">ge </w:t>
      </w:r>
      <w:r w:rsidRPr="00A27DDF">
        <w:rPr>
          <w:color w:val="323232"/>
        </w:rPr>
        <w:t xml:space="preserve">significantly. The inverse </w:t>
      </w:r>
      <w:r w:rsidRPr="00A27DDF">
        <w:rPr>
          <w:i/>
          <w:color w:val="323232"/>
        </w:rPr>
        <w:t>VEC</w:t>
      </w:r>
      <w:r w:rsidRPr="00A27DDF">
        <w:rPr>
          <w:color w:val="323232"/>
        </w:rPr>
        <w:t xml:space="preserve"> dependence of B and G result in </w:t>
      </w:r>
      <w:r>
        <w:rPr>
          <w:color w:val="323232"/>
        </w:rPr>
        <w:t xml:space="preserve">a </w:t>
      </w:r>
      <w:r w:rsidRPr="00A27DDF">
        <w:rPr>
          <w:color w:val="323232"/>
        </w:rPr>
        <w:t>higher B/G ratio</w:t>
      </w:r>
      <w:r>
        <w:rPr>
          <w:color w:val="323232"/>
        </w:rPr>
        <w:t xml:space="preserve"> which helps in</w:t>
      </w:r>
      <w:r w:rsidRPr="00A27DDF">
        <w:rPr>
          <w:color w:val="323232"/>
        </w:rPr>
        <w:t xml:space="preserve"> explain</w:t>
      </w:r>
      <w:r>
        <w:rPr>
          <w:color w:val="323232"/>
        </w:rPr>
        <w:t>ing</w:t>
      </w:r>
      <w:r w:rsidRPr="00A27DDF">
        <w:rPr>
          <w:color w:val="323232"/>
        </w:rPr>
        <w:t xml:space="preserve"> the enhanced ductility </w:t>
      </w:r>
      <w:r>
        <w:rPr>
          <w:color w:val="323232"/>
        </w:rPr>
        <w:t>results from the</w:t>
      </w:r>
      <w:r w:rsidRPr="00A27DDF">
        <w:rPr>
          <w:color w:val="323232"/>
        </w:rPr>
        <w:t xml:space="preserve"> </w:t>
      </w:r>
      <w:r>
        <w:rPr>
          <w:color w:val="323232"/>
        </w:rPr>
        <w:t xml:space="preserve">addition of </w:t>
      </w:r>
      <w:r w:rsidRPr="00A27DDF">
        <w:rPr>
          <w:color w:val="323232"/>
        </w:rPr>
        <w:t>V.</w:t>
      </w:r>
    </w:p>
    <w:p w14:paraId="50E97DC8" w14:textId="77777777" w:rsidR="00624970" w:rsidRPr="00A27DDF" w:rsidRDefault="00624970" w:rsidP="00624970">
      <w:pPr>
        <w:spacing w:afterLines="60" w:after="144" w:line="360" w:lineRule="auto"/>
        <w:jc w:val="both"/>
        <w:rPr>
          <w:rFonts w:cstheme="minorHAnsi"/>
        </w:rPr>
      </w:pPr>
    </w:p>
    <w:p w14:paraId="288B4C81" w14:textId="77777777" w:rsidR="00624970" w:rsidRPr="00A27DDF" w:rsidRDefault="00624970" w:rsidP="00624970">
      <w:pPr>
        <w:keepNext/>
        <w:spacing w:afterLines="60" w:after="144" w:line="360" w:lineRule="auto"/>
        <w:jc w:val="both"/>
      </w:pPr>
      <w:r w:rsidRPr="00A27DDF">
        <w:rPr>
          <w:rFonts w:cstheme="minorHAnsi"/>
          <w:noProof/>
          <w:lang w:val="en-US" w:eastAsia="en-US"/>
        </w:rPr>
        <w:lastRenderedPageBreak/>
        <w:drawing>
          <wp:inline distT="0" distB="0" distL="0" distR="0" wp14:anchorId="646587DA" wp14:editId="2619A35E">
            <wp:extent cx="5943600" cy="2225675"/>
            <wp:effectExtent l="0" t="0" r="0" b="3175"/>
            <wp:docPr id="7" name="图片 10" descr="图片包含 文字, 地图&#10;&#10;自动生成的说明">
              <a:extLst xmlns:a="http://schemas.openxmlformats.org/drawingml/2006/main">
                <a:ext uri="{FF2B5EF4-FFF2-40B4-BE49-F238E27FC236}">
                  <a16:creationId xmlns:a16="http://schemas.microsoft.com/office/drawing/2014/main" id="{BC66C0DC-640E-40D7-BFB4-CB34D6585C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图片包含 文字, 地图&#10;&#10;自动生成的说明">
                      <a:extLst>
                        <a:ext uri="{FF2B5EF4-FFF2-40B4-BE49-F238E27FC236}">
                          <a16:creationId xmlns:a16="http://schemas.microsoft.com/office/drawing/2014/main" id="{BC66C0DC-640E-40D7-BFB4-CB34D6585C66}"/>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943600" cy="2225675"/>
                    </a:xfrm>
                    <a:prstGeom prst="rect">
                      <a:avLst/>
                    </a:prstGeom>
                  </pic:spPr>
                </pic:pic>
              </a:graphicData>
            </a:graphic>
          </wp:inline>
        </w:drawing>
      </w:r>
    </w:p>
    <w:p w14:paraId="0302CB75" w14:textId="77777777" w:rsidR="00624970" w:rsidRPr="00A27DDF" w:rsidRDefault="00624970" w:rsidP="00624970">
      <w:pPr>
        <w:spacing w:afterLines="60" w:after="144" w:line="360" w:lineRule="auto"/>
        <w:jc w:val="both"/>
        <w:rPr>
          <w:color w:val="323232"/>
          <w:sz w:val="20"/>
          <w:szCs w:val="20"/>
        </w:rPr>
      </w:pPr>
      <w:bookmarkStart w:id="129" w:name="_Toc39312686"/>
      <w:bookmarkStart w:id="130" w:name="_Toc5617639"/>
      <w:bookmarkStart w:id="131" w:name="_Toc7364572"/>
      <w:r w:rsidRPr="00A27DDF">
        <w:rPr>
          <w:b/>
          <w:sz w:val="20"/>
          <w:szCs w:val="20"/>
        </w:rPr>
        <w:t>Figure 2-</w:t>
      </w:r>
      <w:r w:rsidRPr="00A27DDF">
        <w:rPr>
          <w:b/>
          <w:sz w:val="20"/>
        </w:rPr>
        <w:fldChar w:fldCharType="begin"/>
      </w:r>
      <w:r w:rsidRPr="00A27DDF">
        <w:rPr>
          <w:b/>
          <w:sz w:val="20"/>
        </w:rPr>
        <w:instrText xml:space="preserve"> SEQ Figure \* ARABIC </w:instrText>
      </w:r>
      <w:r w:rsidRPr="00A27DDF">
        <w:rPr>
          <w:b/>
          <w:sz w:val="20"/>
        </w:rPr>
        <w:fldChar w:fldCharType="separate"/>
      </w:r>
      <w:r>
        <w:rPr>
          <w:b/>
          <w:noProof/>
          <w:sz w:val="20"/>
        </w:rPr>
        <w:t>17</w:t>
      </w:r>
      <w:r w:rsidRPr="00A27DDF">
        <w:rPr>
          <w:b/>
          <w:sz w:val="20"/>
        </w:rPr>
        <w:fldChar w:fldCharType="end"/>
      </w:r>
      <w:r w:rsidRPr="00A27DDF">
        <w:rPr>
          <w:sz w:val="20"/>
          <w:szCs w:val="20"/>
        </w:rPr>
        <w:t xml:space="preserve"> (</w:t>
      </w:r>
      <w:r w:rsidRPr="00A27DDF">
        <w:rPr>
          <w:b/>
          <w:sz w:val="20"/>
          <w:szCs w:val="20"/>
        </w:rPr>
        <w:t>a</w:t>
      </w:r>
      <w:r w:rsidRPr="00A27DDF">
        <w:rPr>
          <w:sz w:val="20"/>
          <w:szCs w:val="20"/>
        </w:rPr>
        <w:t xml:space="preserve">) </w:t>
      </w:r>
      <w:r w:rsidRPr="00A27DDF">
        <w:rPr>
          <w:color w:val="323232"/>
          <w:sz w:val="20"/>
          <w:szCs w:val="20"/>
        </w:rPr>
        <w:t>DOS of pure Ti, Zr, V, Nb, Mo BCC elements; TDOS and PDOS of BCC TiZrVNb, TiZrNbMo and TiZrVNbMo.</w:t>
      </w:r>
      <w:r>
        <w:rPr>
          <w:color w:val="323232"/>
          <w:sz w:val="20"/>
          <w:szCs w:val="20"/>
        </w:rPr>
        <w:t>; and</w:t>
      </w:r>
      <w:r w:rsidRPr="00A27DDF">
        <w:rPr>
          <w:sz w:val="20"/>
          <w:szCs w:val="20"/>
        </w:rPr>
        <w:t xml:space="preserve"> (</w:t>
      </w:r>
      <w:r w:rsidRPr="00A27DDF">
        <w:rPr>
          <w:b/>
          <w:sz w:val="20"/>
          <w:szCs w:val="20"/>
        </w:rPr>
        <w:t>b</w:t>
      </w:r>
      <w:r w:rsidRPr="00A27DDF">
        <w:rPr>
          <w:sz w:val="20"/>
          <w:szCs w:val="20"/>
        </w:rPr>
        <w:t xml:space="preserve">) </w:t>
      </w:r>
      <w:r w:rsidRPr="00A27DDF">
        <w:rPr>
          <w:color w:val="323232"/>
          <w:sz w:val="20"/>
          <w:szCs w:val="20"/>
        </w:rPr>
        <w:t>Correlation between the bulk (</w:t>
      </w:r>
      <w:r w:rsidRPr="00A27DDF">
        <w:rPr>
          <w:i/>
          <w:iCs/>
          <w:sz w:val="20"/>
          <w:szCs w:val="20"/>
        </w:rPr>
        <w:t>B</w:t>
      </w:r>
      <w:r w:rsidRPr="00A27DDF">
        <w:rPr>
          <w:color w:val="323232"/>
          <w:sz w:val="20"/>
          <w:szCs w:val="20"/>
        </w:rPr>
        <w:t>), shear (</w:t>
      </w:r>
      <w:r w:rsidRPr="00A27DDF">
        <w:rPr>
          <w:i/>
          <w:iCs/>
          <w:sz w:val="20"/>
          <w:szCs w:val="20"/>
        </w:rPr>
        <w:t>G</w:t>
      </w:r>
      <w:r w:rsidRPr="00A27DDF">
        <w:rPr>
          <w:color w:val="323232"/>
          <w:sz w:val="20"/>
          <w:szCs w:val="20"/>
        </w:rPr>
        <w:t>) moduli and Pugh ratio (</w:t>
      </w:r>
      <w:r w:rsidRPr="00A27DDF">
        <w:rPr>
          <w:sz w:val="20"/>
          <w:szCs w:val="20"/>
        </w:rPr>
        <w:t>B/G</w:t>
      </w:r>
      <w:r>
        <w:rPr>
          <w:sz w:val="20"/>
          <w:szCs w:val="20"/>
        </w:rPr>
        <w:t xml:space="preserve"> ratio</w:t>
      </w:r>
      <w:r w:rsidRPr="00A27DDF">
        <w:rPr>
          <w:color w:val="323232"/>
          <w:sz w:val="20"/>
          <w:szCs w:val="20"/>
        </w:rPr>
        <w:t>) of TiZrNbMoV</w:t>
      </w:r>
      <w:r w:rsidRPr="00A27DDF">
        <w:rPr>
          <w:i/>
          <w:iCs/>
          <w:sz w:val="20"/>
          <w:szCs w:val="20"/>
          <w:vertAlign w:val="subscript"/>
        </w:rPr>
        <w:t>x</w:t>
      </w:r>
      <w:r w:rsidRPr="00A27DDF">
        <w:rPr>
          <w:color w:val="323232"/>
          <w:sz w:val="20"/>
          <w:szCs w:val="20"/>
          <w:vertAlign w:val="subscript"/>
        </w:rPr>
        <w:t> (</w:t>
      </w:r>
      <w:r w:rsidRPr="00A27DDF">
        <w:rPr>
          <w:sz w:val="20"/>
          <w:szCs w:val="20"/>
          <w:vertAlign w:val="subscript"/>
        </w:rPr>
        <w:t>x=0–1.5</w:t>
      </w:r>
      <w:r w:rsidRPr="00A27DDF">
        <w:rPr>
          <w:color w:val="323232"/>
          <w:sz w:val="20"/>
          <w:szCs w:val="20"/>
          <w:vertAlign w:val="subscript"/>
        </w:rPr>
        <w:t xml:space="preserve">) </w:t>
      </w:r>
      <w:r w:rsidRPr="00A27DDF">
        <w:rPr>
          <w:color w:val="323232"/>
          <w:sz w:val="20"/>
          <w:szCs w:val="20"/>
        </w:rPr>
        <w:t xml:space="preserve">and </w:t>
      </w:r>
      <w:r w:rsidRPr="00A27DDF">
        <w:rPr>
          <w:i/>
          <w:color w:val="323232"/>
          <w:sz w:val="20"/>
          <w:szCs w:val="20"/>
        </w:rPr>
        <w:t>VEC.</w:t>
      </w:r>
      <w:r w:rsidRPr="00A27DDF">
        <w:rPr>
          <w:color w:val="323232"/>
          <w:sz w:val="20"/>
          <w:szCs w:val="20"/>
        </w:rPr>
        <w:t xml:space="preserve"> </w:t>
      </w:r>
      <w:r w:rsidRPr="00A27DDF">
        <w:rPr>
          <w:i/>
          <w:color w:val="323232"/>
          <w:sz w:val="20"/>
          <w:szCs w:val="20"/>
        </w:rPr>
        <w:fldChar w:fldCharType="begin" w:fldLock="1"/>
      </w:r>
      <w:r>
        <w:rPr>
          <w:i/>
          <w:color w:val="323232"/>
          <w:sz w:val="20"/>
          <w:szCs w:val="20"/>
        </w:rPr>
        <w:instrText>ADDIN CSL_CITATION {"citationItems":[{"id":"ITEM-1","itemData":{"DOI":"10.1016/j.jallcom.2014.01.237","ISBN":"0925-8388","ISSN":"09258388","abstract":"The TiZrVNb and TiZrNbMoVx (x = 0-1.5) high-entropy alloys (HEAs) are single-phase solid solutions having the body centered cubic crystallographic structure. Here we use the ab initio exact muffin-tin orbitals method in combination with the coherent potential approximation to study the equilibrium bulk properties of the above refractory HEAs. We provide a detailed investigation of the effect of alloying elements on the electronic structure and elastic parameters. Our results indicate that vanadium enhances the anisotropy of TiZrNbMoVx. As an application of the present theoretical database, we verify the often quoted correlation between the valence electron concentration (VEC) and the micro-mechanical properties in the case of multi-component alloys. Furthermore, we predict that the present HEAs become elastically isotropic for VEC</w:instrText>
      </w:r>
      <w:r>
        <w:rPr>
          <w:rFonts w:ascii="Cambria Math" w:hAnsi="Cambria Math" w:cs="Cambria Math"/>
          <w:i/>
          <w:color w:val="323232"/>
          <w:sz w:val="20"/>
          <w:szCs w:val="20"/>
        </w:rPr>
        <w:instrText>∼</w:instrText>
      </w:r>
      <w:r>
        <w:rPr>
          <w:i/>
          <w:color w:val="323232"/>
          <w:sz w:val="20"/>
          <w:szCs w:val="20"/>
        </w:rPr>
        <w:instrText xml:space="preserve">4.72. </w:instrText>
      </w:r>
      <w:r>
        <w:rPr>
          <w:rFonts w:ascii="Calibri" w:hAnsi="Calibri" w:cs="Calibri"/>
          <w:i/>
          <w:color w:val="323232"/>
          <w:sz w:val="20"/>
          <w:szCs w:val="20"/>
        </w:rPr>
        <w:instrText>©</w:instrText>
      </w:r>
      <w:r>
        <w:rPr>
          <w:i/>
          <w:color w:val="323232"/>
          <w:sz w:val="20"/>
          <w:szCs w:val="20"/>
        </w:rPr>
        <w:instrText xml:space="preserve"> 2014 Elsevier B.V. All rights reserved.","author":[{"dropping-particle":"","family":"Tian","given":"Fuyang","non-dropping-particle":"","parse-names":false,"suffix":""},{"dropping-particle":"","family":"Varga","given":"Lajos Karoly","non-dropping-particle":"","parse-names":false,"suffix":""},{"dropping-particle":"","family":"Chen","given":"Nanxian","non-dropping-particle":"","parse-names":false,"suffix":""},{"dropping-particle":"","family":"Shen","given":"Jiang","non-dropping-particle":"","parse-names":false,"suffix":""},{"dropping-particle":"","family":"Vitos","given":"Levente","non-dropping-particle":"","parse-names":false,"suffix":""}],"container-title":"Journal of Alloys and Compounds","id":"ITEM-1","issued":{"date-parts":[["2014"]]},"title":"Ab initio design of elastically isotropic TiZrNbMoVx high-entropy alloys","type":"article-journal"},"uris":["http://www.mendeley.com/documents/?uuid=11ffa549-45a0-4157-8c75-fd8cfb3af1e0"]}],"mendeley":{"formattedCitation":"[90]","plainTextFormattedCitation":"[90]","previouslyFormattedCitation":"[90]"},"properties":{"noteIndex":0},"schema":"https://github.com/citation-style-language/schema/raw/master/csl-citation.json"}</w:instrText>
      </w:r>
      <w:r w:rsidRPr="00A27DDF">
        <w:rPr>
          <w:i/>
          <w:color w:val="323232"/>
          <w:sz w:val="20"/>
          <w:szCs w:val="20"/>
        </w:rPr>
        <w:fldChar w:fldCharType="separate"/>
      </w:r>
      <w:bookmarkEnd w:id="130"/>
      <w:bookmarkEnd w:id="131"/>
      <w:r w:rsidRPr="003B39BC">
        <w:rPr>
          <w:noProof/>
          <w:color w:val="323232"/>
          <w:sz w:val="20"/>
          <w:szCs w:val="20"/>
        </w:rPr>
        <w:t>[90]</w:t>
      </w:r>
      <w:bookmarkEnd w:id="129"/>
      <w:r w:rsidRPr="00A27DDF">
        <w:rPr>
          <w:i/>
          <w:color w:val="323232"/>
          <w:sz w:val="20"/>
          <w:szCs w:val="20"/>
        </w:rPr>
        <w:fldChar w:fldCharType="end"/>
      </w:r>
    </w:p>
    <w:p w14:paraId="1D43EBC6" w14:textId="5ED93A26" w:rsidR="00624970" w:rsidRPr="00A27DDF" w:rsidRDefault="00624970" w:rsidP="00624970">
      <w:pPr>
        <w:spacing w:afterLines="60" w:after="144" w:line="360" w:lineRule="auto"/>
        <w:jc w:val="both"/>
      </w:pPr>
      <w:r w:rsidRPr="006B2891">
        <w:rPr>
          <w:color w:val="2E2E2E"/>
        </w:rPr>
        <w:t>The same approach was also applied to investigate the change of elastic constants against phase formation. With the addition</w:t>
      </w:r>
      <w:r w:rsidRPr="00E561AF">
        <w:rPr>
          <w:color w:val="2E2E2E"/>
        </w:rPr>
        <w:t xml:space="preserve"> of Al in CoCrFeNi,</w:t>
      </w:r>
      <w:r w:rsidRPr="008D07D9">
        <w:rPr>
          <w:color w:val="2E2E2E"/>
        </w:rPr>
        <w:t xml:space="preserve"> </w:t>
      </w:r>
      <w:r>
        <w:rPr>
          <w:color w:val="2E2E2E"/>
        </w:rPr>
        <w:t>known</w:t>
      </w:r>
      <w:r w:rsidRPr="006B2891">
        <w:rPr>
          <w:color w:val="2E2E2E"/>
        </w:rPr>
        <w:t xml:space="preserve"> for high FCC stabili</w:t>
      </w:r>
      <w:r w:rsidRPr="00E561AF">
        <w:rPr>
          <w:color w:val="2E2E2E"/>
        </w:rPr>
        <w:t xml:space="preserve">sation </w:t>
      </w:r>
      <w:r w:rsidR="005918C3">
        <w:rPr>
          <w:color w:val="2E2E2E"/>
        </w:rPr>
        <w:t>among</w:t>
      </w:r>
      <w:r w:rsidRPr="008D07D9">
        <w:rPr>
          <w:color w:val="2E2E2E"/>
        </w:rPr>
        <w:t xml:space="preserve"> the existing</w:t>
      </w:r>
      <w:r w:rsidRPr="006B2891">
        <w:rPr>
          <w:color w:val="2E2E2E"/>
        </w:rPr>
        <w:t xml:space="preserve"> HEAs, the stabilised phase will favour </w:t>
      </w:r>
      <w:r w:rsidRPr="00E561AF">
        <w:rPr>
          <w:color w:val="2E2E2E"/>
        </w:rPr>
        <w:t xml:space="preserve">forming BCC instead of FCC. Tian </w:t>
      </w:r>
      <w:r w:rsidRPr="00720B72">
        <w:rPr>
          <w:i/>
          <w:color w:val="2E2E2E"/>
        </w:rPr>
        <w:t>et al.</w:t>
      </w:r>
      <w:r>
        <w:rPr>
          <w:color w:val="2E2E2E"/>
        </w:rPr>
        <w:t xml:space="preserve"> </w:t>
      </w:r>
      <w:r w:rsidRPr="00C06CF3">
        <w:fldChar w:fldCharType="begin" w:fldLock="1"/>
      </w:r>
      <w:r>
        <w:rPr>
          <w:rFonts w:cstheme="minorHAnsi"/>
          <w:color w:val="2E2E2E"/>
        </w:rPr>
        <w:instrText>ADDIN CSL_CITATION {"citationItems":[{"id":"ITEM-1","itemData":{"DOI":"10.1103/PhysRevB.88.085128","ISBN":"0925-8388","ISSN":"10980121","abstract":"First-principles alloy theory predicts that at room temperature the paramagnetic NiCoFeCrAl x high entropy alloys adopt the face centered cubic (fcc) structure for x 0.60 and the body centered cubic (bcc) structure for x 1.23, with an fcc-bcc duplex region in between the two pure phases. The calculated single-and polycrystal elastic parameters exhibit strong composition and crystal structure dependence. Based on the present theoretical findings, it is concluded that alloys around the equimolar NiCoFeCrAl composition have superior mechanical performance as compared to the single-phase regions. DOI: 10.1103/PhysRevB.88.085128 PACS number(s): 62.20.D−, 71.20.Be, 81.05.Bx","author":[{"dropping-particle":"","family":"Tian","given":"Fuyang","non-dropping-particle":"","parse-names":false,"suffix":""},{"dropping-particle":"","family":"Delczeg","given":"Lorand","non-dropping-particle":"","parse-names":false,"suffix":""},{"dropping-particle":"","family":"Chen","given":"Nanxian","non-dropping-particle":"","parse-names":false,"suffix":""},{"dropping-particle":"","family":"Varga","given":"Lajos Karoly","non-dropping-particle":"","parse-names":false,"suffix":""},{"dropping-particle":"","family":"Shen","given":"Jiang","non-dropping-particle":"","parse-names":false,"suffix":""},{"dropping-particle":"","family":"Vitos","given":"Levente","non-dropping-particle":"","parse-names":false,"suffix":""}],"container-title":"Physical Review B - Condensed Matter and Materials Physics","id":"ITEM-1","issued":{"date-parts":[["2013"]]},"title":"Structural stability of NiCoFeCrAlx high-entropy alloy from ab initio theory","type":"article-journal"},"uris":["http://www.mendeley.com/documents/?uuid=34c76444-8fc0-4cbb-9c5e-3861fa4c2eb9"]}],"mendeley":{"formattedCitation":"[83]","plainTextFormattedCitation":"[83]","previouslyFormattedCitation":"[83]"},"properties":{"noteIndex":0},"schema":"https://github.com/citation-style-language/schema/raw/master/csl-citation.json"}</w:instrText>
      </w:r>
      <w:r w:rsidRPr="00C06CF3">
        <w:rPr>
          <w:rFonts w:cstheme="minorHAnsi"/>
          <w:color w:val="2E2E2E"/>
        </w:rPr>
        <w:fldChar w:fldCharType="separate"/>
      </w:r>
      <w:r w:rsidRPr="003B39BC">
        <w:rPr>
          <w:noProof/>
          <w:color w:val="2E2E2E"/>
        </w:rPr>
        <w:t>[83]</w:t>
      </w:r>
      <w:r w:rsidRPr="00C06CF3">
        <w:fldChar w:fldCharType="end"/>
      </w:r>
      <w:r w:rsidRPr="006B2891">
        <w:rPr>
          <w:color w:val="2E2E2E"/>
        </w:rPr>
        <w:t> investigate</w:t>
      </w:r>
      <w:r>
        <w:rPr>
          <w:color w:val="2E2E2E"/>
        </w:rPr>
        <w:t>d</w:t>
      </w:r>
      <w:r w:rsidRPr="006B2891">
        <w:rPr>
          <w:color w:val="2E2E2E"/>
        </w:rPr>
        <w:t xml:space="preserve"> the effect of Al addition on the elastic constants (Poisson's ratio, Cauchy pressure and Pugh's ratio) of CoCrFeNi-Al</w:t>
      </w:r>
      <w:r w:rsidRPr="00E561AF">
        <w:rPr>
          <w:color w:val="2E2E2E"/>
          <w:vertAlign w:val="subscript"/>
        </w:rPr>
        <w:t xml:space="preserve">x=0-2.0 </w:t>
      </w:r>
      <w:r w:rsidRPr="00E561AF">
        <w:rPr>
          <w:color w:val="2E2E2E"/>
        </w:rPr>
        <w:t>.</w:t>
      </w:r>
      <w:r w:rsidRPr="008D07D9">
        <w:rPr>
          <w:color w:val="2E2E2E"/>
        </w:rPr>
        <w:t xml:space="preserve"> </w:t>
      </w:r>
      <w:r>
        <w:rPr>
          <w:color w:val="2E2E2E"/>
        </w:rPr>
        <w:t>S</w:t>
      </w:r>
      <w:r w:rsidRPr="008D07D9">
        <w:rPr>
          <w:color w:val="2E2E2E"/>
        </w:rPr>
        <w:t>hown in Fig. 2-18, the elastic constants exhibit</w:t>
      </w:r>
      <w:r>
        <w:rPr>
          <w:color w:val="2E2E2E"/>
        </w:rPr>
        <w:t>ed</w:t>
      </w:r>
      <w:r w:rsidRPr="006B2891">
        <w:rPr>
          <w:color w:val="2E2E2E"/>
        </w:rPr>
        <w:t xml:space="preserve"> different compositions and </w:t>
      </w:r>
      <w:r>
        <w:rPr>
          <w:color w:val="2E2E2E"/>
        </w:rPr>
        <w:t>were</w:t>
      </w:r>
      <w:r w:rsidRPr="006B2891">
        <w:rPr>
          <w:color w:val="2E2E2E"/>
        </w:rPr>
        <w:t xml:space="preserve"> dependent </w:t>
      </w:r>
      <w:r w:rsidRPr="00E561AF">
        <w:rPr>
          <w:color w:val="2E2E2E"/>
        </w:rPr>
        <w:t>on Al in different phase</w:t>
      </w:r>
      <w:r w:rsidRPr="008D07D9">
        <w:rPr>
          <w:color w:val="2E2E2E"/>
        </w:rPr>
        <w:t xml:space="preserve">s. </w:t>
      </w:r>
      <w:r w:rsidRPr="00522EBC">
        <w:rPr>
          <w:color w:val="2E2E2E"/>
        </w:rPr>
        <w:t>Although all three elastic constants show</w:t>
      </w:r>
      <w:r>
        <w:rPr>
          <w:color w:val="2E2E2E"/>
        </w:rPr>
        <w:t>ed</w:t>
      </w:r>
      <w:r w:rsidRPr="00522EBC">
        <w:rPr>
          <w:color w:val="2E2E2E"/>
        </w:rPr>
        <w:t xml:space="preserve"> linear dependence with the addition of AI, in different lattice structures, the constants vary </w:t>
      </w:r>
      <w:r w:rsidRPr="006B7596">
        <w:rPr>
          <w:color w:val="2E2E2E"/>
        </w:rPr>
        <w:t>positively</w:t>
      </w:r>
      <w:r w:rsidRPr="009C5F0F">
        <w:rPr>
          <w:color w:val="2E2E2E"/>
        </w:rPr>
        <w:t xml:space="preserve"> with the addition of AI in </w:t>
      </w:r>
      <w:r>
        <w:rPr>
          <w:color w:val="2E2E2E"/>
        </w:rPr>
        <w:t xml:space="preserve">the </w:t>
      </w:r>
      <w:r w:rsidRPr="009C5F0F">
        <w:rPr>
          <w:color w:val="2E2E2E"/>
        </w:rPr>
        <w:t>FCC</w:t>
      </w:r>
      <w:r>
        <w:rPr>
          <w:color w:val="2E2E2E"/>
        </w:rPr>
        <w:t xml:space="preserve"> structure</w:t>
      </w:r>
      <w:r w:rsidRPr="009C5F0F">
        <w:rPr>
          <w:color w:val="2E2E2E"/>
        </w:rPr>
        <w:t xml:space="preserve">. </w:t>
      </w:r>
      <w:r>
        <w:rPr>
          <w:color w:val="2E2E2E"/>
        </w:rPr>
        <w:t>However, i</w:t>
      </w:r>
      <w:r w:rsidRPr="009C5F0F">
        <w:rPr>
          <w:color w:val="2E2E2E"/>
        </w:rPr>
        <w:t xml:space="preserve">n the BCC structure, the constants vary negatively with the addition </w:t>
      </w:r>
      <w:r w:rsidR="005918C3">
        <w:rPr>
          <w:color w:val="2E2E2E"/>
        </w:rPr>
        <w:t>of</w:t>
      </w:r>
      <w:r w:rsidRPr="009C5F0F">
        <w:rPr>
          <w:color w:val="2E2E2E"/>
        </w:rPr>
        <w:t xml:space="preserve"> AI</w:t>
      </w:r>
      <w:r w:rsidRPr="006B2891">
        <w:rPr>
          <w:color w:val="2E2E2E"/>
        </w:rPr>
        <w:t>. This variation indicate</w:t>
      </w:r>
      <w:r>
        <w:rPr>
          <w:color w:val="2E2E2E"/>
        </w:rPr>
        <w:t>d</w:t>
      </w:r>
      <w:r w:rsidRPr="006B2891">
        <w:rPr>
          <w:color w:val="2E2E2E"/>
        </w:rPr>
        <w:t xml:space="preserve"> the application of the</w:t>
      </w:r>
      <w:r w:rsidRPr="00E561AF">
        <w:rPr>
          <w:color w:val="2E2E2E"/>
        </w:rPr>
        <w:t xml:space="preserve"> semi-empirical method in predicting</w:t>
      </w:r>
      <w:r w:rsidRPr="008D07D9">
        <w:rPr>
          <w:color w:val="2E2E2E"/>
        </w:rPr>
        <w:t xml:space="preserve"> the </w:t>
      </w:r>
      <w:r w:rsidRPr="006B2891">
        <w:rPr>
          <w:color w:val="2E2E2E"/>
        </w:rPr>
        <w:t xml:space="preserve">mechanical performance of </w:t>
      </w:r>
      <w:r w:rsidRPr="00E561AF">
        <w:rPr>
          <w:color w:val="2E2E2E"/>
        </w:rPr>
        <w:t>HEAs may need to consider the stabili</w:t>
      </w:r>
      <w:r w:rsidRPr="008D07D9">
        <w:rPr>
          <w:color w:val="2E2E2E"/>
        </w:rPr>
        <w:t xml:space="preserve">sed phase as a key factor. </w:t>
      </w:r>
    </w:p>
    <w:p w14:paraId="51B8BB1C" w14:textId="77777777" w:rsidR="00624970" w:rsidRPr="00A27DDF" w:rsidRDefault="00624970" w:rsidP="00624970">
      <w:pPr>
        <w:spacing w:afterLines="60" w:after="144" w:line="360" w:lineRule="auto"/>
        <w:jc w:val="center"/>
      </w:pPr>
      <w:r w:rsidRPr="00A27DDF">
        <w:rPr>
          <w:noProof/>
          <w:lang w:val="en-US" w:eastAsia="en-US"/>
        </w:rPr>
        <w:lastRenderedPageBreak/>
        <w:drawing>
          <wp:inline distT="0" distB="0" distL="0" distR="0" wp14:anchorId="409D1993" wp14:editId="65EB00BB">
            <wp:extent cx="3640016" cy="3104978"/>
            <wp:effectExtent l="0" t="0" r="0" b="635"/>
            <wp:docPr id="225" name="图片 225" descr="https://ars.els-cdn.com/content/image/1-s2.0-S1044580318306636-g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s.els-cdn.com/content/image/1-s2.0-S1044580318306636-gr1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60562" cy="3122504"/>
                    </a:xfrm>
                    <a:prstGeom prst="rect">
                      <a:avLst/>
                    </a:prstGeom>
                    <a:noFill/>
                    <a:ln>
                      <a:noFill/>
                    </a:ln>
                  </pic:spPr>
                </pic:pic>
              </a:graphicData>
            </a:graphic>
          </wp:inline>
        </w:drawing>
      </w:r>
    </w:p>
    <w:p w14:paraId="36EF0A26" w14:textId="0A8A8640" w:rsidR="00624970" w:rsidRPr="00A27DDF" w:rsidRDefault="00624970" w:rsidP="00624970">
      <w:pPr>
        <w:spacing w:afterLines="60" w:after="144" w:line="360" w:lineRule="auto"/>
        <w:rPr>
          <w:color w:val="323232"/>
          <w:sz w:val="20"/>
          <w:szCs w:val="20"/>
        </w:rPr>
      </w:pPr>
      <w:bookmarkStart w:id="132" w:name="_Toc5617640"/>
      <w:bookmarkStart w:id="133" w:name="_Toc7364573"/>
      <w:bookmarkStart w:id="134" w:name="_Toc39312687"/>
      <w:r w:rsidRPr="00A27DDF">
        <w:rPr>
          <w:b/>
          <w:sz w:val="20"/>
          <w:szCs w:val="20"/>
        </w:rPr>
        <w:t>Figure 2-</w:t>
      </w:r>
      <w:r w:rsidRPr="00A27DDF">
        <w:rPr>
          <w:b/>
          <w:sz w:val="20"/>
        </w:rPr>
        <w:fldChar w:fldCharType="begin"/>
      </w:r>
      <w:r w:rsidRPr="00A27DDF">
        <w:rPr>
          <w:b/>
          <w:sz w:val="20"/>
        </w:rPr>
        <w:instrText xml:space="preserve"> SEQ Figure \* ARABIC </w:instrText>
      </w:r>
      <w:r w:rsidRPr="00A27DDF">
        <w:rPr>
          <w:b/>
          <w:sz w:val="20"/>
        </w:rPr>
        <w:fldChar w:fldCharType="separate"/>
      </w:r>
      <w:r>
        <w:rPr>
          <w:b/>
          <w:noProof/>
          <w:sz w:val="20"/>
        </w:rPr>
        <w:t>18</w:t>
      </w:r>
      <w:r w:rsidRPr="00A27DDF">
        <w:rPr>
          <w:b/>
          <w:sz w:val="20"/>
        </w:rPr>
        <w:fldChar w:fldCharType="end"/>
      </w:r>
      <w:r w:rsidRPr="00A27DDF">
        <w:rPr>
          <w:sz w:val="20"/>
          <w:szCs w:val="20"/>
        </w:rPr>
        <w:t xml:space="preserve"> Compositional dependence of </w:t>
      </w:r>
      <w:r w:rsidRPr="00A27DDF">
        <w:rPr>
          <w:rFonts w:cstheme="minorHAnsi"/>
          <w:sz w:val="20"/>
          <w:szCs w:val="20"/>
        </w:rPr>
        <w:t>three elastic constants (Poisson's ratio, Cauchy pressure and Pugh's ratio) with Al addition in CoCrFeNi. Simulated stabili</w:t>
      </w:r>
      <w:r>
        <w:rPr>
          <w:rFonts w:cstheme="minorHAnsi"/>
          <w:sz w:val="20"/>
          <w:szCs w:val="20"/>
        </w:rPr>
        <w:t>s</w:t>
      </w:r>
      <w:r w:rsidRPr="00A27DDF">
        <w:rPr>
          <w:rFonts w:cstheme="minorHAnsi"/>
          <w:sz w:val="20"/>
          <w:szCs w:val="20"/>
        </w:rPr>
        <w:t xml:space="preserve">ed structures are </w:t>
      </w:r>
      <w:r>
        <w:rPr>
          <w:rFonts w:cstheme="minorHAnsi"/>
          <w:sz w:val="20"/>
          <w:szCs w:val="20"/>
        </w:rPr>
        <w:t>shaded</w:t>
      </w:r>
      <w:r w:rsidRPr="00A27DDF">
        <w:rPr>
          <w:rFonts w:cstheme="minorHAnsi"/>
          <w:sz w:val="20"/>
          <w:szCs w:val="20"/>
        </w:rPr>
        <w:t xml:space="preserve"> in different </w:t>
      </w:r>
      <w:r w:rsidRPr="008C71F2">
        <w:rPr>
          <w:rFonts w:cstheme="minorHAnsi"/>
          <w:noProof/>
          <w:sz w:val="20"/>
          <w:szCs w:val="20"/>
        </w:rPr>
        <w:t>colors</w:t>
      </w:r>
      <w:r w:rsidRPr="00A27DDF">
        <w:rPr>
          <w:rFonts w:cstheme="minorHAnsi"/>
          <w:sz w:val="20"/>
          <w:szCs w:val="20"/>
        </w:rPr>
        <w:t xml:space="preserve"> (orange for FCC, cyan for dual-phase and purple for BCC) </w:t>
      </w:r>
      <w:r w:rsidRPr="00A27DDF">
        <w:rPr>
          <w:rFonts w:cstheme="minorHAnsi"/>
          <w:sz w:val="20"/>
          <w:szCs w:val="20"/>
        </w:rPr>
        <w:fldChar w:fldCharType="begin" w:fldLock="1"/>
      </w:r>
      <w:r>
        <w:rPr>
          <w:rFonts w:cstheme="minorHAnsi"/>
          <w:sz w:val="20"/>
          <w:szCs w:val="20"/>
        </w:rPr>
        <w:instrText>ADDIN CSL_CITATION {"citationItems":[{"id":"ITEM-1","itemData":{"DOI":"10.1103/PhysRevB.88.085128","ISBN":"0925-8388","ISSN":"10980121","abstract":"First-principles alloy theory predicts that at room temperature the paramagnetic NiCoFeCrAl x high entropy alloys adopt the face centered cubic (fcc) structure for x 0.60 and the body centered cubic (bcc) structure for x 1.23, with an fcc-bcc duplex region in between the two pure phases. The calculated single-and polycrystal elastic parameters exhibit strong composition and crystal structure dependence. Based on the present theoretical findings, it is concluded that alloys around the equimolar NiCoFeCrAl composition have superior mechanical performance as compared to the single-phase regions. DOI: 10.1103/PhysRevB.88.085128 PACS number(s): 62.20.D−, 71.20.Be, 81.05.Bx","author":[{"dropping-particle":"","family":"Tian","given":"Fuyang","non-dropping-particle":"","parse-names":false,"suffix":""},{"dropping-particle":"","family":"Delczeg","given":"Lorand","non-dropping-particle":"","parse-names":false,"suffix":""},{"dropping-particle":"","family":"Chen","given":"Nanxian","non-dropping-particle":"","parse-names":false,"suffix":""},{"dropping-particle":"","family":"Varga","given":"Lajos Karoly","non-dropping-particle":"","parse-names":false,"suffix":""},{"dropping-particle":"","family":"Shen","given":"Jiang","non-dropping-particle":"","parse-names":false,"suffix":""},{"dropping-particle":"","family":"Vitos","given":"Levente","non-dropping-particle":"","parse-names":false,"suffix":""}],"container-title":"Physical Review B - Condensed Matter and Materials Physics","id":"ITEM-1","issued":{"date-parts":[["2013"]]},"title":"Structural stability of NiCoFeCrAlx high-entropy alloy from ab initio theory","type":"article-journal"},"uris":["http://www.mendeley.com/documents/?uuid=c1e19632-36d4-46c1-8cb6-ca5bbe11a590"]}],"mendeley":{"formattedCitation":"[83]","plainTextFormattedCitation":"[83]","previouslyFormattedCitation":"[83]"},"properties":{"noteIndex":0},"schema":"https://github.com/citation-style-language/schema/raw/master/csl-citation.json"}</w:instrText>
      </w:r>
      <w:r w:rsidRPr="00A27DDF">
        <w:rPr>
          <w:rFonts w:cstheme="minorHAnsi"/>
          <w:sz w:val="20"/>
          <w:szCs w:val="20"/>
        </w:rPr>
        <w:fldChar w:fldCharType="separate"/>
      </w:r>
      <w:bookmarkEnd w:id="132"/>
      <w:bookmarkEnd w:id="133"/>
      <w:r w:rsidRPr="003B39BC">
        <w:rPr>
          <w:rFonts w:cstheme="minorHAnsi"/>
          <w:noProof/>
          <w:sz w:val="20"/>
          <w:szCs w:val="20"/>
        </w:rPr>
        <w:t>[83]</w:t>
      </w:r>
      <w:r w:rsidRPr="00A27DDF">
        <w:rPr>
          <w:rFonts w:cstheme="minorHAnsi"/>
          <w:sz w:val="20"/>
          <w:szCs w:val="20"/>
        </w:rPr>
        <w:fldChar w:fldCharType="end"/>
      </w:r>
      <w:r>
        <w:rPr>
          <w:rFonts w:cstheme="minorHAnsi"/>
          <w:sz w:val="20"/>
          <w:szCs w:val="20"/>
        </w:rPr>
        <w:t>.</w:t>
      </w:r>
      <w:bookmarkEnd w:id="134"/>
      <w:r w:rsidRPr="00A27DDF">
        <w:rPr>
          <w:rFonts w:cstheme="minorHAnsi"/>
          <w:sz w:val="20"/>
          <w:szCs w:val="20"/>
        </w:rPr>
        <w:t xml:space="preserve"> </w:t>
      </w:r>
    </w:p>
    <w:p w14:paraId="0B6519A4" w14:textId="77777777" w:rsidR="00624970" w:rsidRPr="001E3029" w:rsidRDefault="00624970" w:rsidP="00624970">
      <w:pPr>
        <w:pStyle w:val="2"/>
        <w:spacing w:afterLines="60" w:after="144" w:line="360" w:lineRule="auto"/>
        <w:rPr>
          <w:rFonts w:asciiTheme="minorHAnsi" w:hAnsiTheme="minorHAnsi"/>
          <w:b/>
          <w:color w:val="000000" w:themeColor="text1"/>
          <w:sz w:val="32"/>
          <w:szCs w:val="32"/>
        </w:rPr>
      </w:pPr>
      <w:bookmarkStart w:id="135" w:name="_Toc5618285"/>
      <w:bookmarkStart w:id="136" w:name="_Toc22052511"/>
      <w:r w:rsidRPr="001E3029">
        <w:rPr>
          <w:rFonts w:asciiTheme="minorHAnsi" w:hAnsiTheme="minorHAnsi"/>
          <w:b/>
          <w:noProof/>
          <w:color w:val="000000" w:themeColor="text1"/>
          <w:sz w:val="32"/>
          <w:szCs w:val="32"/>
        </w:rPr>
        <w:t xml:space="preserve">2.5 Strengthening strategy and </w:t>
      </w:r>
      <w:r>
        <w:rPr>
          <w:rFonts w:asciiTheme="minorHAnsi" w:hAnsiTheme="minorHAnsi"/>
          <w:b/>
          <w:noProof/>
          <w:color w:val="000000" w:themeColor="text1"/>
          <w:sz w:val="32"/>
          <w:szCs w:val="32"/>
        </w:rPr>
        <w:t>d</w:t>
      </w:r>
      <w:r w:rsidRPr="001E3029">
        <w:rPr>
          <w:rFonts w:asciiTheme="minorHAnsi" w:hAnsiTheme="minorHAnsi"/>
          <w:b/>
          <w:noProof/>
          <w:color w:val="000000" w:themeColor="text1"/>
          <w:sz w:val="32"/>
          <w:szCs w:val="32"/>
        </w:rPr>
        <w:t>eformation mechanisms in HEAs.</w:t>
      </w:r>
      <w:bookmarkEnd w:id="135"/>
      <w:bookmarkEnd w:id="136"/>
    </w:p>
    <w:p w14:paraId="40956725" w14:textId="18EE91FA" w:rsidR="00624970" w:rsidRPr="00A27DDF" w:rsidRDefault="00624970" w:rsidP="00624970">
      <w:pPr>
        <w:spacing w:afterLines="60" w:after="144" w:line="360" w:lineRule="auto"/>
        <w:jc w:val="both"/>
        <w:rPr>
          <w:rFonts w:cstheme="minorHAnsi"/>
        </w:rPr>
      </w:pPr>
      <w:r>
        <w:rPr>
          <w:rFonts w:cstheme="minorHAnsi"/>
        </w:rPr>
        <w:t>In recent years</w:t>
      </w:r>
      <w:r w:rsidRPr="00A27DDF">
        <w:rPr>
          <w:rFonts w:cstheme="minorHAnsi"/>
        </w:rPr>
        <w:t xml:space="preserve">, HEAs have been highly developed </w:t>
      </w:r>
      <w:r>
        <w:rPr>
          <w:rFonts w:cstheme="minorHAnsi"/>
        </w:rPr>
        <w:t>on account of</w:t>
      </w:r>
      <w:r w:rsidRPr="00A27DDF">
        <w:rPr>
          <w:rFonts w:cstheme="minorHAnsi"/>
        </w:rPr>
        <w:t xml:space="preserve"> </w:t>
      </w:r>
      <w:r>
        <w:rPr>
          <w:rFonts w:cstheme="minorHAnsi"/>
        </w:rPr>
        <w:t>their</w:t>
      </w:r>
      <w:r w:rsidRPr="00A27DDF">
        <w:rPr>
          <w:rFonts w:cstheme="minorHAnsi"/>
        </w:rPr>
        <w:t xml:space="preserve"> impress</w:t>
      </w:r>
      <w:r>
        <w:rPr>
          <w:rFonts w:cstheme="minorHAnsi"/>
        </w:rPr>
        <w:t>ive</w:t>
      </w:r>
      <w:r w:rsidRPr="00A27DDF">
        <w:rPr>
          <w:rFonts w:cstheme="minorHAnsi"/>
        </w:rPr>
        <w:t xml:space="preserve"> mechanical performance</w:t>
      </w:r>
      <w:r>
        <w:rPr>
          <w:rFonts w:cstheme="minorHAnsi"/>
        </w:rPr>
        <w:t xml:space="preserve"> and structural stability at high-temperature conditions </w:t>
      </w:r>
      <w:r w:rsidRPr="00A27DDF">
        <w:rPr>
          <w:rFonts w:cstheme="minorHAnsi"/>
        </w:rPr>
        <w:fldChar w:fldCharType="begin" w:fldLock="1"/>
      </w:r>
      <w:r>
        <w:rPr>
          <w:rFonts w:cstheme="minorHAnsi"/>
        </w:rPr>
        <w:instrText>ADDIN CSL_CITATION {"citationItems":[{"id":"ITEM-1","itemData":{"DOI":"10.1126/science.1254581","ISBN":"1095-9203 (Electronic)\\r0036-8075 (Linking)","ISSN":"10959203","PMID":"25190791","abstract":"High-entropy alloys are equiatomic, multi-element systems that can crystallize as a single phase, despite containing multiple elements with different crystal structures. A rationale for this is that the configurational entropy contribution to the total free energy in alloys with five or more major elements may stabilize the solid-solution state relative to multiphase microstructures. We examined a five-element high-entropy alloy, CrMnFeCoNi, which forms a single-phase face-centered cubic solid solution, and found it to have exceptional damage tolerance with tensile strengths above 1 GPa and fracture toughness values exceeding 200 MPa·m(1/2). Furthermore, its mechanical properties actually improve at cryogenic temperatures; we attribute this to a transition from planar-slip dislocation activity at room temperature to deformation by mechanical nanotwinning with decreasing temperature, which results in continuous steady strain hardening.","author":[{"dropping-particle":"","family":"Gludovatz","given":"Bernd","non-dropping-particle":"","parse-names":false,"suffix":""},{"dropping-particle":"","family":"Hohenwarter","given":"Anton","non-dropping-particle":"","parse-names":false,"suffix":""},{"dropping-particle":"","family":"Catoor","given":"Dhiraj","non-dropping-particle":"","parse-names":false,"suffix":""},{"dropping-particle":"","family":"Chang","given":"Edwin H.","non-dropping-particle":"","parse-names":false,"suffix":""},{"dropping-particle":"","family":"George","given":"Easo P.","non-dropping-particle":"","parse-names":false,"suffix":""},{"dropping-particle":"","family":"Ritchie","given":"Robert O.","non-dropping-particle":"","parse-names":false,"suffix":""}],"container-title":"Science","id":"ITEM-1","issued":{"date-parts":[["2014"]]},"title":"A fracture-resistant high-entropy alloy for cryogenic applications","type":"article-journal"},"uris":["http://www.mendeley.com/documents/?uuid=3fbb4a19-b4f6-4b59-a8cc-306beae747e5","http://www.mendeley.com/documents/?uuid=52a97d34-c7ae-4a6b-a4e4-bbfd7e221d7c"]},{"id":"ITEM-2","itemData":{"DOI":"10.1126/science.aas8815","ISBN":"1520-6106 (Print)","ISSN":"0036-8075","PMID":"18630956","abstract":"&lt;p&gt;Alloy design based on single–principal-element systems has approached its limit for performance enhancements. A substantial increase in strength up to gigapascal levels typically causes the premature failure of materials with reduced ductility. Here, we report a strategy to break this trade-off by controllably introducing high-density ductile multicomponent intermetallic nanoparticles (MCINPs) in complex alloy systems. Distinct from the intermetallic-induced embrittlement under conventional wisdom, such MCINP-strengthened alloys exhibit superior strengths of 1.5 gigapascals and ductility as high as 50% in tension at ambient temperature. The plastic instability, a major concern for high-strength materials, can be completely eliminated by generating a distinctive multistage work-hardening behavior, resulting from pronounced dislocation activities and deformation-induced microbands. This MCINP strategy offers a paradigm to develop next-generation materials for structural applications.&lt;/p&gt;","author":[{"dropping-particle":"","family":"Yang","given":"T.","non-dropping-particle":"","parse-names":false,"suffix":""},{"dropping-particle":"","family":"Zhao","given":"Y. L.","non-dropping-particle":"","parse-names":false,"suffix":""},{"dropping-particle":"","family":"Tong","given":"Y.","non-dropping-particle":"","parse-names":false,"suffix":""},{"dropping-particle":"","family":"Jiao","given":"Z. B.","non-dropping-particle":"","parse-names":false,"suffix":""},{"dropping-particle":"","family":"Wei","given":"J.","non-dropping-particle":"","parse-names":false,"suffix":""},{"dropping-particle":"","family":"Cai","given":"J. X.","non-dropping-particle":"","parse-names":false,"suffix":""},{"dropping-particle":"","family":"Han","given":"X. D.","non-dropping-particle":"","parse-names":false,"suffix":""},{"dropping-particle":"","family":"Chen","given":"D.","non-dropping-particle":"","parse-names":false,"suffix":""},{"dropping-particle":"","family":"Hu","given":"A.","non-dropping-particle":"","parse-names":false,"suffix":""},{"dropping-particle":"","family":"Kai","given":"J. J.","non-dropping-particle":"","parse-names":false,"suffix":""},{"dropping-particle":"","family":"Lu","given":"K.","non-dropping-particle":"","parse-names":false,"suffix":""},{"dropping-particle":"","family":"Liu","given":"Y.","non-dropping-particle":"","parse-names":false,"suffix":""},{"dropping-particle":"","family":"Liu","given":"C. T.","non-dropping-particle":"","parse-names":false,"suffix":""}],"container-title":"Science","id":"ITEM-2","issued":{"date-parts":[["2018"]]},"title":"Multicomponent intermetallic nanoparticles and superb mechanical behaviors of complex alloys","type":"article-journal"},"uris":["http://www.mendeley.com/documents/?uuid=ae5ed308-f15c-4253-a125-4e021776be44"]},{"id":"ITEM-3","itemData":{"DOI":"10.1038/nature17981","ISBN":"0028-0836","ISSN":"14764687","PMID":"27279217","abstract":"Metals have been mankind's most essential materials for thousands of years; however, their use is affected by ecological and economical concerns. Alloys with higher strength and ductility could alleviate some of these concerns by reducing weight and improving energy efficiency. However, most metallurgical mechanisms for increasing strength lead to ductility loss, an effect referred to as the strength-ductility trade-off. Here we present a metastability-engineering strategy in which we design nanostructured, bulk high-entropy alloys with multiple compositionally equivalent high-entropy phases. High-entropy alloys were originally proposed to benefit from phase stabilization through entropy maximization. Yet here, motivated by recent work that relaxes the strict restrictions on high-entropy alloy compositions by demonstrating the weakness of this connection, the concept is overturned. We decrease phase stability to achieve two key benefits: interface hardening due to a dual-phase microstructure (resulting from reduced thermal stability of the high-temperature phase); and transformation-induced hardening (resulting from the reduced mechanical stability of the room-temperature phase). This combines the best of two worlds: extensive hardening due to the decreased phase stability known from advanced steels and massive solid-solution strengthening of high-entropy alloys. In our transformation-induced plasticity-assisted, dual-phase high-entropy alloy (TRIP-DP-HEA), these two contributions lead respectively to enhanced trans-grain and inter-grain slip resistance, and hence, increased strength. Moreover, the increased strain hardening capacity that is enabled by dislocation hardening of the stable phase and transformation-induced hardening of the metastable phase produces increased ductility. This combined increase in strength and ductility distinguishes the TRIP-DP-HEA alloy from other recently developed structural materials. This metastability-engineering strategy should thus usefully guide design in the near-infinite compositional space of high-entropy alloys.","author":[{"dropping-particle":"","family":"Li","given":"Zhiming","non-dropping-particle":"","parse-names":false,"suffix":""},{"dropping-particle":"","family":"Pradeep","given":"Konda Gokuldoss","non-dropping-particle":"","parse-names":false,"suffix":""},{"dropping-particle":"","family":"Deng","given":"Yun","non-dropping-particle":"","parse-names":false,"suffix":""},{"dropping-particle":"","family":"Raabe","given":"Dierk","non-dropping-particle":"","parse-names":false,"suffix":""},{"dropping-particle":"","family":"Tasan","given":"Cemal Cem","non-dropping-particle":"","parse-names":false,"suffix":""}],"container-title":"Nature","id":"ITEM-3","issued":{"date-parts":[["2016"]]},"title":"Metastable high-entropy dual-phase alloys overcome the strength-ductility trade-off","type":"article-journal"},"uris":["http://www.mendeley.com/documents/?uuid=79c62913-e67b-478d-bbeb-1ba84235623f","http://www.mendeley.com/documents/?uuid=082f25b9-5d2c-4b7f-b69b-80e2c555b8ca"]},{"id":"ITEM-4","itemData":{"DOI":"10.1038/s41586-018-0685-y","ISSN":"14764687","PMID":"30429610","abstract":"Oxygen, one of the most abundant elements on Earth, often forms an undesired interstitial impurity or ceramic phase (such as an oxide particle) in metallic materials. Even when it adds strength, oxygen doping renders metals brittle1–3. Here we show that oxygen can take the form of ordered oxygen complexes, a state in between oxide particles and frequently occurring random interstitials. Unlike traditional interstitial strengthening4,5, such ordered interstitial complexes lead to unprecedented enhancement in both strength and ductility in compositionally complex solid solutions, the so-called high-entropy alloys (HEAs)6–10. The tensile strength is enhanced (by 48.5 ± 1.8 per cent) and ductility is substantially improved (by 95.2 ± 8.1 per cent) when doping a model TiZrHfNb HEA with 2.0 atomic per cent oxygen, thus breaking the long-standing strength–ductility trade-off11. The oxygen complexes are ordered nanoscale regions within the HEA characterized by (O, Zr, Ti)-rich atomic complexes whose formation is promoted by the existence of chemical short-range ordering among some of the substitutional matrix elements in the HEAs. Carbon has been reported to improve strength and ductility simultaneously in face-centred cubic HEAs12, by lowering the stacking fault energy and increasing the lattice friction stress. By contrast, the ordered interstitial complexes described here change the dislocation shear mode from planar slip to wavy slip, and promote double cross-slip and thus dislocation multiplication through the formation of Frank–Read sources (a mechanism explaining the generation of multiple dislocations) during deformation. This ordered interstitial complex-mediated strain-hardening mechanism should be particularly useful in Ti-, Zr- and Hf-containing alloys, in which interstitial elements are highly undesirable owing to their embrittlement effects, and in alloys where tuning the stacking fault energy and exploiting athermal transformations13 do not lead to property enhancement. These results provide insight into the role of interstitial solid solutions and associated ordering strengthening mechanisms in metallic materials.","author":[{"dropping-particle":"","family":"Lei","given":"Zhifeng","non-dropping-particle":"","parse-names":false,"suffix":""},{"dropping-particle":"","family":"Liu","given":"Xiongjun","non-dropping-particle":"","parse-names":false,"suffix":""},{"dropping-particle":"","family":"Wu","given":"Yuan","non-dropping-particle":"","parse-names":false,"suffix":""},{"dropping-particle":"","family":"Wang","given":"Hui","non-dropping-particle":"","parse-names":false,"suffix":""},{"dropping-particle":"","family":"Jiang","given":"Suihe","non-dropping-particle":"","parse-names":false,"suffix":""},{"dropping-particle":"","family":"Wang","given":"Shudao","non-dropping-particle":"","parse-names":false,"suffix":""},{"dropping-particle":"","family":"Hui","given":"Xidong","non-dropping-particle":"","parse-names":false,"suffix":""},{"dropping-particle":"","family":"Wu","given":"Yidong","non-dropping-particle":"","parse-names":false,"suffix":""},{"dropping-particle":"","family":"Gault","given":"Baptiste","non-dropping-particle":"","parse-names":false,"suffix":""},{"dropping-particle":"","family":"Kontis","given":"Paraskevas","non-dropping-particle":"","parse-names":false,"suffix":""},{"dropping-particle":"","family":"Raabe","given":"Dierk","non-dropping-particle":"","parse-names":false,"suffix":""},{"dropping-particle":"","family":"Gu","given":"Lin","non-dropping-particle":"","parse-names":false,"suffix":""},{"dropping-particle":"","family":"Zhang","given":"Qinghua","non-dropping-particle":"","parse-names":false,"suffix":""},{"dropping-particle":"","family":"Chen","given":"Houwen","non-dropping-particle":"","parse-names":false,"suffix":""},{"dropping-particle":"","family":"Wang","given":"Hongtao","non-dropping-particle":"","parse-names":false,"suffix":""},{"dropping-particle":"","family":"Liu","given":"Jiabin","non-dropping-particle":"","parse-names":false,"suffix":""},{"dropping-particle":"","family":"An","given":"Ke","non-dropping-particle":"","parse-names":false,"suffix":""},{"dropping-particle":"","family":"Zeng","given":"Qiaoshi","non-dropping-particle":"","parse-names":false,"suffix":""},{"dropping-particle":"","family":"Nieh","given":"Tai Gang","non-dropping-particle":"","parse-names":false,"suffix":""},{"dropping-particle":"","family":"Lu","given":"Zhaoping","non-dropping-particle":"","parse-names":false,"suffix":""}],"container-title":"Nature","id":"ITEM-4","issued":{"date-parts":[["2018"]]},"title":"Enhanced strength and ductility in a high-entropy alloy via ordered oxygen complexes","type":"article-journal"},"uris":["http://www.mendeley.com/documents/?uuid=40cca35f-be64-45d0-8314-b882ad87c3f0"]}],"mendeley":{"formattedCitation":"[91–94]","plainTextFormattedCitation":"[91–94]","previouslyFormattedCitation":"[91–94]"},"properties":{"noteIndex":0},"schema":"https://github.com/citation-style-language/schema/raw/master/csl-citation.json"}</w:instrText>
      </w:r>
      <w:r w:rsidRPr="00A27DDF">
        <w:rPr>
          <w:rFonts w:cstheme="minorHAnsi"/>
        </w:rPr>
        <w:fldChar w:fldCharType="separate"/>
      </w:r>
      <w:r w:rsidRPr="003B39BC">
        <w:rPr>
          <w:rFonts w:cstheme="minorHAnsi"/>
          <w:noProof/>
        </w:rPr>
        <w:t>[91–94]</w:t>
      </w:r>
      <w:r w:rsidRPr="00A27DDF">
        <w:rPr>
          <w:rFonts w:cstheme="minorHAnsi"/>
        </w:rPr>
        <w:fldChar w:fldCharType="end"/>
      </w:r>
      <w:r w:rsidRPr="00A27DDF">
        <w:rPr>
          <w:rFonts w:cstheme="minorHAnsi"/>
        </w:rPr>
        <w:t xml:space="preserve">. </w:t>
      </w:r>
      <w:r>
        <w:rPr>
          <w:rFonts w:cstheme="minorHAnsi"/>
        </w:rPr>
        <w:t>In comparison</w:t>
      </w:r>
      <w:r w:rsidRPr="00A27DDF">
        <w:rPr>
          <w:rFonts w:cstheme="minorHAnsi"/>
        </w:rPr>
        <w:t xml:space="preserve"> with traditional alloy system</w:t>
      </w:r>
      <w:r>
        <w:rPr>
          <w:rFonts w:cstheme="minorHAnsi"/>
        </w:rPr>
        <w:t>s</w:t>
      </w:r>
      <w:r w:rsidRPr="00A27DDF">
        <w:rPr>
          <w:rFonts w:cstheme="minorHAnsi"/>
        </w:rPr>
        <w:t xml:space="preserve">, HEAs </w:t>
      </w:r>
      <w:r>
        <w:rPr>
          <w:rFonts w:cstheme="minorHAnsi"/>
        </w:rPr>
        <w:t>exhibit advantages in mechanical properties</w:t>
      </w:r>
      <w:r w:rsidRPr="00A27DDF">
        <w:rPr>
          <w:rFonts w:cstheme="minorHAnsi"/>
        </w:rPr>
        <w:t xml:space="preserve"> </w:t>
      </w:r>
      <w:r>
        <w:rPr>
          <w:rFonts w:cstheme="minorHAnsi"/>
        </w:rPr>
        <w:t xml:space="preserve">such </w:t>
      </w:r>
      <w:r w:rsidRPr="00A27DDF">
        <w:rPr>
          <w:rFonts w:cstheme="minorHAnsi"/>
        </w:rPr>
        <w:t>as strength, ductility</w:t>
      </w:r>
      <w:r>
        <w:rPr>
          <w:rFonts w:cstheme="minorHAnsi"/>
        </w:rPr>
        <w:t xml:space="preserve"> and</w:t>
      </w:r>
      <w:r w:rsidRPr="00A27DDF">
        <w:rPr>
          <w:rFonts w:cstheme="minorHAnsi"/>
        </w:rPr>
        <w:t xml:space="preserve"> fracture toughness </w:t>
      </w:r>
      <w:r>
        <w:rPr>
          <w:rFonts w:cstheme="minorHAnsi"/>
        </w:rPr>
        <w:t>and in addition, are</w:t>
      </w:r>
      <w:r w:rsidRPr="00A27DDF">
        <w:rPr>
          <w:rFonts w:cstheme="minorHAnsi"/>
        </w:rPr>
        <w:t xml:space="preserve"> also</w:t>
      </w:r>
      <w:r>
        <w:rPr>
          <w:rFonts w:cstheme="minorHAnsi"/>
        </w:rPr>
        <w:t xml:space="preserve"> </w:t>
      </w:r>
      <w:r w:rsidRPr="00A27DDF">
        <w:rPr>
          <w:rFonts w:cstheme="minorHAnsi"/>
        </w:rPr>
        <w:t>resistan</w:t>
      </w:r>
      <w:r>
        <w:rPr>
          <w:rFonts w:cstheme="minorHAnsi"/>
        </w:rPr>
        <w:t>t to</w:t>
      </w:r>
      <w:r w:rsidRPr="00A27DDF">
        <w:rPr>
          <w:rFonts w:cstheme="minorHAnsi"/>
        </w:rPr>
        <w:t xml:space="preserve"> corrosion and</w:t>
      </w:r>
      <w:r>
        <w:rPr>
          <w:rFonts w:cstheme="minorHAnsi"/>
        </w:rPr>
        <w:t xml:space="preserve"> </w:t>
      </w:r>
      <w:r w:rsidRPr="00A27DDF">
        <w:rPr>
          <w:rFonts w:cstheme="minorHAnsi"/>
        </w:rPr>
        <w:t xml:space="preserve">irradiation </w:t>
      </w:r>
      <w:r w:rsidRPr="00A27DDF">
        <w:rPr>
          <w:rFonts w:cstheme="minorHAnsi"/>
        </w:rPr>
        <w:fldChar w:fldCharType="begin" w:fldLock="1"/>
      </w:r>
      <w:r>
        <w:rPr>
          <w:rFonts w:cstheme="minorHAnsi"/>
        </w:rPr>
        <w:instrText>ADDIN CSL_CITATION {"citationItems":[{"id":"ITEM-1","itemData":{"DOI":"10.1016/S1006-706X(15)30084-4","ISBN":"1006706X","ISSN":"1006706X","abstract":"As an increasing demand of advanced nuclear fission reactors and fusion facilities, the key requirements for the materials used in advanced nuclear systems should encompass superior high temperature property, good behavior in corrosive environment, and high irradiation resistance, etc. Recently, it was found that some selected high entropy alloys (HEAs) possess excellent mechanical properties at high temperature, high corrosion resistance, and no grain coarsening and self-healing ability under irradiation, especially, the exceptional structural stability and lower irradiation-induced volume swelling, compared with other conventional materials. Thus, HEAs have been considered as the potential nuclear materials used for future fission or fusion reactors, which are designed to operate at higher temperatures and higher radiation doses up to several hundreds of displacement per atom (dpa). An insight into the irradiation behavior of HEAs was given, including fundamental researches to investigate the irradiation-induced phase crystal structure change and volume swelling in HEAs. In summary, a brief overview of the irradiation behavior in HEAs was made and the irradiation-induced structural change in HEAs may be relatively insensitive because of their special structures.","author":[{"dropping-particle":"","family":"Xia","given":"Song qin","non-dropping-particle":"","parse-names":false,"suffix":""},{"dropping-particle":"","family":"Wang","given":"Zhen","non-dropping-particle":"","parse-names":false,"suffix":""},{"dropping-particle":"","family":"Yang","given":"Teng fei","non-dropping-particle":"","parse-names":false,"suffix":""},{"dropping-particle":"","family":"Zhang","given":"Yong","non-dropping-particle":"","parse-names":false,"suffix":""}],"container-title":"Journal of Iron and Steel Research International","id":"ITEM-1","issued":{"date-parts":[["2015"]]},"title":"Irradiation Behavior in High Entropy Alloys","type":"article"},"uris":["http://www.mendeley.com/documents/?uuid=511e5e24-1625-4982-ae44-6bd6429c087f","http://www.mendeley.com/documents/?uuid=08b1031f-54f1-4496-8225-ab5671b40c85"]},{"id":"ITEM-2","itemData":{"DOI":"10.1016/j.jnucmat.2018.08.031","ISBN":"0419-4217","ISSN":"00223115","abstract":"High entropy alloys (HEAs) have been considered for applications in nuclear reactors due to their promising mechanical properties, corrosion and radiation resistance. It has been suggested that sluggish diffusion kinetics and lattice distortion of HEAs can enhance the annihilation of irradiation-induced defects, giving rise to a higher degree of tolerance to irradiation damage. In order to understand the irradiation effects in HEAs and to demonstrate their potential advantages over conventional austenitic stainless steels (SS), we performed in-situ ion irradiation experiments with 1 MeV krypton at 300 °C on two HEAs and a 316H SS under an identical irradiation condition. The irradiation introduced a high density of dislocation loops in all materials, and the microstructural evolution as a function of dose was similar for HEAs and 316H SS. Nanoindentation tests showed that the degree of irradiation hardening was als</w:instrText>
      </w:r>
      <w:r>
        <w:rPr>
          <w:rFonts w:cstheme="minorHAnsi" w:hint="eastAsia"/>
        </w:rPr>
        <w:instrText>o comparable between them. The similar microstructural evolution and irradiation hardening behavior between the HEAs and 316H indicate that, at low temperatures (</w:instrText>
      </w:r>
      <w:r>
        <w:rPr>
          <w:rFonts w:cstheme="minorHAnsi" w:hint="eastAsia"/>
        </w:rPr>
        <w:instrText>≤</w:instrText>
      </w:r>
      <w:r>
        <w:rPr>
          <w:rFonts w:cstheme="minorHAnsi" w:hint="eastAsia"/>
        </w:rPr>
        <w:instrText xml:space="preserve">300 </w:instrText>
      </w:r>
      <w:r>
        <w:rPr>
          <w:rFonts w:cstheme="minorHAnsi" w:hint="eastAsia"/>
        </w:rPr>
        <w:instrText>°</w:instrText>
      </w:r>
      <w:r>
        <w:rPr>
          <w:rFonts w:cstheme="minorHAnsi" w:hint="eastAsia"/>
        </w:rPr>
        <w:instrText>C), the irradiation damage of fcc alloys is not sensitive to compositional variation an</w:instrText>
      </w:r>
      <w:r>
        <w:rPr>
          <w:rFonts w:cstheme="minorHAnsi"/>
        </w:rPr>
        <w:instrText>d configurational entropy.","author":[{"dropping-particle":"","family":"Chen","given":"Wei Ying","non-dropping-particle":"","parse-names":false,"suffix":""},{"dropping-particle":"","family":"Liu","given":"Xiang","non-dropping-particle":"","parse-names":false,"suffix":""},{"dropping-particle":"","family":"Chen","given":"Yiren","non-dropping-particle":"","parse-names":false,"suffix":""},{"dropping-particle":"","family":"Yeh","given":"Jien Wei","non-dropping-particle":"","parse-names":false,"suffix":""},{"dropping-particle":"","family":"Tseng","given":"Ko Kai","non-dropping-particle":"","parse-names":false,"suffix":""},{"dropping-particle":"","family":"Natesan","given":"Krishnamurti","non-dropping-particle":"","parse-names":false,"suffix":""}],"container-title":"Journal of Nuclear Materials","id":"ITEM-2","issued":{"date-parts":[["2018"]]},"title":"Irradiation effects in high entropy alloys and 316H stainless steel at 300 °C","type":"article-journal"},"uris":["http://www.mendeley.com/documents/?uuid=ab06e8d2-8e63-4dc5-b80e-a2b6c797375b","http://www.mendeley.com/documents/?uuid=e2e3ee24-fc62-410f-8aec-caa8aa47c524"]},{"id":"ITEM-3","itemData":{"ISBN":"11-3196; Other: 11-3196 United States10.2172/1214790Other: 11-3196Fri Sep 25 11:30:23 EDT 2015IDOEnglish","abstract":"In the first task, we have demonstrated the radiation damage and the recrystallization behaviors in multicomponent alloys through molecular-dynamics simulations. It is found that by alloying with atoms of different sizes, the atomic-level strain increases, and the propensity of the radiation-induced crystalline to amorphous transition increases as the defects cluster in the cascade body. Recrystallization of the radiation induced supercooled or glass regions show that by tuning the composition and the equilibrium temperature, the multicomponent alloys can be healed. The crystalline-amorphous-crystalline transitions predict the potential high radiation resistance in multicomponent alloys. In the second task, three types of high-entropy alloys (HEAs) were fabricated from AlCoCrFeNi and AlCuCrFeNi quinary alloys. Hardness and reduced contact modulus were measured using nanoindentation tests. Heavy ion irradiation were performed using 10 MeV gold and 5 MeV nickel to study radiation effects. Al0.5CrCuFeNi2 shows phase separation upon the presence of copper. Both hardness and contact modulus exhibit the same trend as increasing the applied load, and it indicates that excessive free volume may alter the growth rate of the plastic zone. The as-cast Al0.1CoCrFeNi specimen undergone the hot isostatic pressing (HIP) process and steady cooling rate which mitigate the quenching effect. The swelling behavior was characterized by the atomic force microscopy (AFM), and the swelling rate is approximately 0.02% dpa. Selected area diffraction (SAD) patters show irradiation-induced amorphization throughout the ion projected range. Within the peak damage region, an amorpous ring is observed, and a mixture of amorphous/ crystalline structure at deeper depth is found. The Al0.3CoCrFeNi HEAs shows good radiation resistance up to 60 peak dpa. No voids or dislocations are observed. The crystal structures remain face-centered-cubic (FCC) before and after 5 MeV Ni irradiation. Higher dpa might be required to study defects formation mechanisms. In the third task, all the constituent binary and ternary systems of the Al-Co-Cr-Fe-Ni system were thermodynamically modeled within the whole composition range. Comparisons between the calculated phase diagrams and literature data are in good agreement. The multi-component thermodynamic database of the Al-Co-Cr-Fe-Ni system was then obtained via extrapolation. The current Al-Co-Cr-Fe-Ni thermodynamic database enables us to carry out the cal…","author":[{"dropping-particle":"","family":"Liaw","given":"P.K.","non-dropping-particle":"","parse-names":false,"suffix":""}],"container-title":"(Project report: Abstract)","id":"ITEM-3","issued":{"date-parts":[["2014"]]},"title":"Radiation Behavior of High-Entropy Alloys for Advanced Reactors","type":"article-journal"},"uris":["http://www.mendeley.com/documents/?uuid=89430455-e08e-412f-b946-46aff0a78f16","http://www.mendeley.com/documents/?uuid=ac030772-2964-4d6d-9883-0d8233075ef4"]}],"mendeley":{"formattedCitation":"[95–97]","plainTextFormattedCitation":"[95–97]","previouslyFormattedCitation":"[95–97]"},"properties":{"noteIndex":0},"schema":"https://github.com/citation-style-language/schema/raw/master/csl-citation.json"}</w:instrText>
      </w:r>
      <w:r w:rsidRPr="00A27DDF">
        <w:rPr>
          <w:rFonts w:cstheme="minorHAnsi"/>
        </w:rPr>
        <w:fldChar w:fldCharType="separate"/>
      </w:r>
      <w:r w:rsidRPr="003B39BC">
        <w:rPr>
          <w:rFonts w:cstheme="minorHAnsi"/>
          <w:noProof/>
        </w:rPr>
        <w:t>[95–97]</w:t>
      </w:r>
      <w:r w:rsidRPr="00A27DDF">
        <w:rPr>
          <w:rFonts w:cstheme="minorHAnsi"/>
        </w:rPr>
        <w:fldChar w:fldCharType="end"/>
      </w:r>
      <w:r w:rsidRPr="00A27DDF">
        <w:rPr>
          <w:rFonts w:cstheme="minorHAnsi"/>
        </w:rPr>
        <w:t xml:space="preserve">. </w:t>
      </w:r>
      <w:r>
        <w:rPr>
          <w:rFonts w:cstheme="minorHAnsi"/>
        </w:rPr>
        <w:t>It is established that HEAs possess</w:t>
      </w:r>
      <w:r w:rsidRPr="00A27DDF">
        <w:rPr>
          <w:rFonts w:cstheme="minorHAnsi"/>
        </w:rPr>
        <w:t xml:space="preserve"> </w:t>
      </w:r>
      <w:r>
        <w:rPr>
          <w:rFonts w:cstheme="minorHAnsi"/>
        </w:rPr>
        <w:t xml:space="preserve">already favourable properties </w:t>
      </w:r>
      <w:r w:rsidRPr="00A27DDF">
        <w:rPr>
          <w:rFonts w:cstheme="minorHAnsi"/>
        </w:rPr>
        <w:t>and</w:t>
      </w:r>
      <w:r>
        <w:rPr>
          <w:rFonts w:cstheme="minorHAnsi"/>
        </w:rPr>
        <w:t xml:space="preserve"> therefore the opportunity exists for further metallurgical development for use of the alloys in </w:t>
      </w:r>
      <w:r w:rsidRPr="00A27DDF">
        <w:rPr>
          <w:rFonts w:cstheme="minorHAnsi"/>
        </w:rPr>
        <w:t xml:space="preserve">unique </w:t>
      </w:r>
      <w:r>
        <w:rPr>
          <w:rFonts w:cstheme="minorHAnsi"/>
        </w:rPr>
        <w:t>applications. As such, further attempts have been made to enhance</w:t>
      </w:r>
      <w:r w:rsidRPr="00A27DDF">
        <w:rPr>
          <w:rFonts w:cstheme="minorHAnsi"/>
        </w:rPr>
        <w:t xml:space="preserve"> and </w:t>
      </w:r>
      <w:r>
        <w:rPr>
          <w:rFonts w:cstheme="minorHAnsi"/>
        </w:rPr>
        <w:t>extend</w:t>
      </w:r>
      <w:r w:rsidRPr="00A27DDF">
        <w:rPr>
          <w:rFonts w:cstheme="minorHAnsi"/>
        </w:rPr>
        <w:t xml:space="preserve"> the scope</w:t>
      </w:r>
      <w:r>
        <w:rPr>
          <w:rFonts w:cstheme="minorHAnsi"/>
        </w:rPr>
        <w:t xml:space="preserve"> of</w:t>
      </w:r>
      <w:r w:rsidRPr="00A27DDF">
        <w:rPr>
          <w:rFonts w:cstheme="minorHAnsi"/>
        </w:rPr>
        <w:t xml:space="preserve"> </w:t>
      </w:r>
      <w:r>
        <w:rPr>
          <w:rFonts w:cstheme="minorHAnsi"/>
        </w:rPr>
        <w:t xml:space="preserve">mechanical </w:t>
      </w:r>
      <w:r w:rsidRPr="00A27DDF">
        <w:rPr>
          <w:rFonts w:cstheme="minorHAnsi"/>
        </w:rPr>
        <w:t>performance and application</w:t>
      </w:r>
      <w:r>
        <w:rPr>
          <w:rFonts w:cstheme="minorHAnsi"/>
        </w:rPr>
        <w:t xml:space="preserve"> of these materials. This has been achieved through the </w:t>
      </w:r>
      <w:r>
        <w:rPr>
          <w:rFonts w:cstheme="minorHAnsi"/>
          <w:noProof/>
        </w:rPr>
        <w:t>introduction of</w:t>
      </w:r>
      <w:r w:rsidRPr="00A27DDF">
        <w:rPr>
          <w:rFonts w:cstheme="minorHAnsi"/>
        </w:rPr>
        <w:t xml:space="preserve"> traditional deformation mechanisms and strength</w:t>
      </w:r>
      <w:r w:rsidR="005918C3">
        <w:rPr>
          <w:rFonts w:cstheme="minorHAnsi"/>
        </w:rPr>
        <w:t>ening</w:t>
      </w:r>
      <w:r w:rsidRPr="00A27DDF">
        <w:rPr>
          <w:rFonts w:cstheme="minorHAnsi"/>
        </w:rPr>
        <w:t xml:space="preserve"> strategies</w:t>
      </w:r>
      <w:r>
        <w:rPr>
          <w:rFonts w:cstheme="minorHAnsi"/>
        </w:rPr>
        <w:t>.</w:t>
      </w:r>
      <w:r w:rsidRPr="00A27DDF">
        <w:rPr>
          <w:rFonts w:cstheme="minorHAnsi"/>
        </w:rPr>
        <w:t xml:space="preserve"> </w:t>
      </w:r>
      <w:r w:rsidRPr="000268B8">
        <w:rPr>
          <w:rFonts w:cstheme="minorHAnsi"/>
        </w:rPr>
        <w:t xml:space="preserve">In </w:t>
      </w:r>
      <w:r>
        <w:rPr>
          <w:rFonts w:cstheme="minorHAnsi"/>
        </w:rPr>
        <w:t xml:space="preserve">the </w:t>
      </w:r>
      <w:r w:rsidRPr="000268B8">
        <w:rPr>
          <w:rFonts w:cstheme="minorHAnsi"/>
        </w:rPr>
        <w:t xml:space="preserve">following sections, </w:t>
      </w:r>
      <w:r>
        <w:rPr>
          <w:rFonts w:cstheme="minorHAnsi"/>
        </w:rPr>
        <w:t xml:space="preserve">the </w:t>
      </w:r>
      <w:r w:rsidRPr="000268B8">
        <w:rPr>
          <w:rFonts w:cstheme="minorHAnsi"/>
        </w:rPr>
        <w:t>successful introduc</w:t>
      </w:r>
      <w:r>
        <w:rPr>
          <w:rFonts w:cstheme="minorHAnsi"/>
        </w:rPr>
        <w:t>tion of</w:t>
      </w:r>
      <w:r w:rsidRPr="000268B8">
        <w:rPr>
          <w:rFonts w:cstheme="minorHAnsi"/>
        </w:rPr>
        <w:t xml:space="preserve"> deformation mechanisms and strengthening strategies will be discussed</w:t>
      </w:r>
      <w:r>
        <w:rPr>
          <w:rFonts w:cstheme="minorHAnsi"/>
        </w:rPr>
        <w:t>. These</w:t>
      </w:r>
      <w:r w:rsidRPr="000268B8">
        <w:rPr>
          <w:rFonts w:cstheme="minorHAnsi"/>
        </w:rPr>
        <w:t xml:space="preserve"> includ</w:t>
      </w:r>
      <w:r>
        <w:rPr>
          <w:rFonts w:cstheme="minorHAnsi"/>
        </w:rPr>
        <w:t>e</w:t>
      </w:r>
      <w:r w:rsidRPr="000268B8">
        <w:rPr>
          <w:rFonts w:cstheme="minorHAnsi"/>
        </w:rPr>
        <w:t xml:space="preserve"> fine grain strengthening, precipitation strengthening, solid solution strengthening and dynamic Hall-Petch effect (also known as dynamic work hardening). These strategies mainly contribute to the activation of twinning induced plasticity (TWIP) and transformation induced plasticity (TRIP).</w:t>
      </w:r>
    </w:p>
    <w:p w14:paraId="3EA2C39E" w14:textId="77777777" w:rsidR="00624970" w:rsidRPr="001E3029" w:rsidRDefault="00624970" w:rsidP="00624970">
      <w:pPr>
        <w:pStyle w:val="3"/>
        <w:spacing w:before="0" w:afterLines="60" w:after="144" w:line="360" w:lineRule="auto"/>
        <w:rPr>
          <w:rFonts w:asciiTheme="minorHAnsi" w:hAnsiTheme="minorHAnsi"/>
          <w:b/>
          <w:color w:val="000000" w:themeColor="text1"/>
          <w:sz w:val="32"/>
        </w:rPr>
      </w:pPr>
      <w:bookmarkStart w:id="137" w:name="_Toc5618286"/>
      <w:bookmarkStart w:id="138" w:name="_Toc22052512"/>
      <w:r w:rsidRPr="001E3029">
        <w:rPr>
          <w:rFonts w:asciiTheme="minorHAnsi" w:hAnsiTheme="minorHAnsi"/>
          <w:b/>
          <w:color w:val="000000" w:themeColor="text1"/>
          <w:sz w:val="32"/>
        </w:rPr>
        <w:lastRenderedPageBreak/>
        <w:t>2.5.1 Precipitate strengthening</w:t>
      </w:r>
      <w:bookmarkEnd w:id="137"/>
      <w:bookmarkEnd w:id="138"/>
      <w:r w:rsidRPr="001E3029">
        <w:rPr>
          <w:rFonts w:asciiTheme="minorHAnsi" w:hAnsiTheme="minorHAnsi"/>
          <w:b/>
          <w:color w:val="000000" w:themeColor="text1"/>
          <w:sz w:val="32"/>
        </w:rPr>
        <w:t xml:space="preserve"> </w:t>
      </w:r>
    </w:p>
    <w:p w14:paraId="053761B0" w14:textId="00BDE205" w:rsidR="00624970" w:rsidRDefault="00624970" w:rsidP="00624970">
      <w:pPr>
        <w:spacing w:afterLines="60" w:after="144" w:line="360" w:lineRule="auto"/>
        <w:jc w:val="both"/>
      </w:pPr>
      <w:r>
        <w:t>Generally accepted as the</w:t>
      </w:r>
      <w:r w:rsidRPr="00A27DDF">
        <w:t xml:space="preserve"> most </w:t>
      </w:r>
      <w:r>
        <w:t>famous</w:t>
      </w:r>
      <w:r w:rsidRPr="00A27DDF">
        <w:t xml:space="preserve"> quaternary HEA system</w:t>
      </w:r>
      <w:r>
        <w:t>, CoCrFeNi (CCFN) is well known</w:t>
      </w:r>
      <w:r w:rsidRPr="00A27DDF">
        <w:t xml:space="preserve"> for its</w:t>
      </w:r>
      <w:r>
        <w:t xml:space="preserve"> high</w:t>
      </w:r>
      <w:r w:rsidRPr="00A27DDF">
        <w:t xml:space="preserve"> phase stability and </w:t>
      </w:r>
      <w:r>
        <w:t>excellent</w:t>
      </w:r>
      <w:r w:rsidRPr="00A27DDF">
        <w:t xml:space="preserve"> </w:t>
      </w:r>
      <w:r w:rsidRPr="008C71F2">
        <w:rPr>
          <w:noProof/>
        </w:rPr>
        <w:t>mechanical</w:t>
      </w:r>
      <w:r w:rsidRPr="00A27DDF">
        <w:t xml:space="preserve"> </w:t>
      </w:r>
      <w:r>
        <w:t>performance</w:t>
      </w:r>
      <w:r w:rsidRPr="00A27DDF">
        <w:t xml:space="preserve">, </w:t>
      </w:r>
      <w:r>
        <w:t>particularly,</w:t>
      </w:r>
      <w:r w:rsidRPr="00A27DDF">
        <w:t xml:space="preserve"> the unique fracture toughness response in a </w:t>
      </w:r>
      <w:r w:rsidRPr="00A27DDF">
        <w:rPr>
          <w:noProof/>
        </w:rPr>
        <w:t>cryogenic</w:t>
      </w:r>
      <w:r w:rsidRPr="00A27DDF">
        <w:t xml:space="preserve"> environment when adding Mn as</w:t>
      </w:r>
      <w:r w:rsidR="005918C3">
        <w:t xml:space="preserve"> a</w:t>
      </w:r>
      <w:r w:rsidRPr="00A27DDF">
        <w:t xml:space="preserve"> fifth principal component</w:t>
      </w:r>
      <w:r>
        <w:t xml:space="preserve"> </w:t>
      </w:r>
      <w:r w:rsidRPr="00A27DDF">
        <w:fldChar w:fldCharType="begin" w:fldLock="1"/>
      </w:r>
      <w:r>
        <w:instrText xml:space="preserve">ADDIN CSL_CITATION {"citationItems":[{"id":"ITEM-1","itemData":{"DOI":"10.1016/j.intermet.2017.05.009","ISBN":"0966-9795","ISSN":"09669795","PMID":"19605883","abstract":"Near-equiatomic multi-component high-entropy alloys (HEAs) have engendered much attention of late due to the remarkable mechanical properties of some of these new metallic materials. In particular, one of the first reported HEAs, the equiatomic, single-phase, face-centered cubic (fcc) alloy CrMnFeCoNi, often termed the Cantor alloy, has been shown to display an exceptional combination of strength, ductility and fracture toughness, i.e., damage tolerance, at room temperature, properties that are further enhanced at cryogenic temperatures. Despite this alloy being the most studied HEA to date, its resistance to crack growth under cyclic fatigue loading has not yet been characterized. Here, we examine its fatigue-crack propagation behavior, primarily at lower, near-threshold, growth rates, both at room temperature (293 K) and at 198 K. At 293 K, the alloy shows a fatigue threshold, ΔKTH, of </w:instrText>
      </w:r>
      <w:r>
        <w:rPr>
          <w:rFonts w:ascii="Cambria Math" w:hAnsi="Cambria Math" w:cs="Cambria Math"/>
        </w:rPr>
        <w:instrText>∼</w:instrText>
      </w:r>
      <w:r>
        <w:instrText>4.8 MPa</w:instrText>
      </w:r>
      <w:r>
        <w:rPr>
          <w:rFonts w:hint="eastAsia"/>
        </w:rPr>
        <w:instrText>√</w:instrText>
      </w:r>
      <w:r>
        <w:instrText xml:space="preserve">m, which increases by more than 30% to ΔKTH </w:instrText>
      </w:r>
      <w:r>
        <w:rPr>
          <w:rFonts w:ascii="Cambria Math" w:hAnsi="Cambria Math" w:cs="Cambria Math"/>
        </w:rPr>
        <w:instrText>∼</w:instrText>
      </w:r>
      <w:r>
        <w:instrText>6.3 MPa</w:instrText>
      </w:r>
      <w:r>
        <w:rPr>
          <w:rFonts w:hint="eastAsia"/>
        </w:rPr>
        <w:instrText>√</w:instrText>
      </w:r>
      <w:r>
        <w:instrText>m with decrease in temperature to 198 K; additionally, the Paris exponent m was found to increase from roughly 3.5 to 4.5 with decreasing temperature. Examination of the fracture surfaces and crack paths indicate a transition from predominantly transgranular crack propagation at room temperature to intergranular-dominated failure at the lower temperature. Such a change in crack path is generally associated with an increasing degree of physical contact between the two fracture surfaces, i.e., roughness-induced fatigue crack closure, which is likely to be the main reason for the difference in the measured thresholds. Additionally, we believe that the higher thresholds found at 198 K are associated with the alloy's higher strength at lower temperatures, which both reduces the crack-tip opening displacements at a given stress-intensity range and prevents plastic deformations of the grains in the wake of the crack. At room temperature, such plastically deformed grains can be associated with a loss of contact shielding of the crack-tip through closure, resulting in a lower threshold compared to 198 K.","author":[{"dropping-particle":"","family":"Thurston","given":"Keli V.S.","non-dropping-particle":"","parse-names":false,"suffix":""},{"dropping-particle":"","family":"Gludovatz","given":"Bernd","non-dropping-particle":"","parse-names":false,"suffix":""},{"dropping-particle":"","family":"Hohenwarter","given":"Anton","non-dropping-particle":"","parse-names":false,"suffix":""},{"dropping-particle":"","family":"Laplanche","given":"Guillaume","non-dropping-particle":"","parse-names":false,"suffix":""},{"dropping-particle":"","family":"George","given":"Easo P.","non-dropping-particle":"","parse-names":false,"suffix":""},{"dropping-particle":"","family":"Ritchie","given":"Robert O.","non-dropping-particle":"","parse-names":false,"suffix":""}],"container-title":"Intermetallics","id":"ITEM-1","issued":{"date-parts":[["2017"]]},"title":"Effect of temperature on the fatigue-crack growth behavior of the high-entropy alloy CrMnFeCoNi","type":"article-journal"},"uris":["http://www.mendeley.com/documents/?uuid=4ebdda48-db94-4405-a945-da26d4100869","http://www.mendeley.com/documents/?uuid=c514fc1e-6729-41b4-a940-a52263cf171c"]},{"id":"ITEM-2","itemData":{"DOI":"10.1016/j.matchemphys.2017.06.021","ISBN":"0045-7825","ISSN":"02540584","abstract":"In this work, the effect of Al contents and the associated phase transformations on the impact toughness of AlxCoCrFeNi high-entropy alloys (HEAs) (x denotes Al molar ratio; x = 0, 0.1, 0.75, and 1.5) in the as-cast state were investigated at T = 77 K, 200 K, and 298 K. For the alloys with x = 0 and 0.1, the alloys have the FCC structure, and an inverse temperature dependence of impact toughness between 298 K and 77 K was observed. The enhanced impact toughness (397.87 J) at 77 K is attributed to the capability of extensive nano-twinnings as well as ductile dimple fracture. Increasing Al contents to x = 0.75 and 1.5 induces the formation of brittle BCC phase and ordered B2 compound and accordingly embrittlement, leading to tremendously reduced Charpy-impact energies. The present study demonstrates that FCC AlxCoCrFeNi system HEAs with low Al contents (x &lt; 0.5) may be well suitable for cryogenic applications.","author":[{"dropping-particle":"","family":"Xia","given":"S. Q.","non-dropping-particle":"","parse-names":false,"suffix":""},{"dropping-particle":"","family":"Gao","given":"M. C.","non-dropping-particle":"","parse-names":false,"suffix":""},{"dropping-particle":"","family":"Zhang","given":"Y.","non-dropping-particle":"","parse-names":false,"suffix":""}],"container-title":"Materials Chemistry and Physics","id":"ITEM-2","issued":{"date-parts":[["2018"]]},"title":"Abnormal temperature dependence of impact toughness in AlxCoCrFeNi system high entropy alloys","type":"article-journal"},"uris":["http://www.mendeley.com/documents/?uuid=783596ce-c250-49c4-91aa-7c9a3b409dab","http://www.mendeley.com/documents/?uuid=643b1057-3301-4f42-a56a-9da61bd7e55c"]},{"id":"ITEM-3","itemData":{"DOI":"10.1126/science.1254581","ISBN":"1095-9203 (Electronic)\\r0036-8075 (Linking)","ISSN":"10959203","PMID":"25190791","abstract":"High-entropy alloys are equiatomic, multi-element systems that can crystallize as a single phase, despite containing multiple elements with different crystal structures. A rationale for this is that the configurational entropy contribution to the total free energy in alloys with five or more major elements may stabilize the solid-solution state relative to multiphase microstructures. We examined a five-element high-entropy alloy, CrMnFeCoNi, which forms a single-phase face-centered cubic solid solution, and found it to have exceptional damage tolerance with tensile strengths above 1 GPa and fracture toughness values exceeding 200 MPa·m(1/2). Furthermore, its mechanical properties actually improve at cryogenic temperatures; we attribute this to a transition from planar-slip dislocation activity at room temperature to deformation by mechanical nanotwinning with decreasing temperature, which results in continuous steady strain hardening.","author":[{"dropping-particle":"","family":"Gludovatz","given":"Bernd","non-dropping-particle":"","parse-names":false,"suffix":""},{"dropping-particle":"","family":"Hohenwarter","given":"Anton","non-dropping-particle":"","parse-names":false,"suffix":""},{"dropping-particle":"","family":"Catoor","given":"Dhiraj","non-dropping-particle":"","parse-names":false,"suffix":""},{"dropping-particle":"","family":"Chang","given":"Edwin H.","non-dropping-particle":"","parse-names":false,"suffix":""},{"dropping-particle":"","family":"George","given":"Easo P.","non-dropping-particle":"","parse-names":false,"suffix":""},{"dropping-particle":"","family":"Ritchie","given":"Robert O.","non-dropping-particle":"","parse-names":false,"suffix":""}],"container-title":"Science","id":"ITEM-3","issued":{"date-parts":[["2014"]]},"title":"A fracture-resistant high-entropy alloy for cryogenic applications","type":"article-journal"},"uris":["http://www.mendeley.com/documents/?uuid=52a97d34-c7ae-4a6b-a4e4-bbfd7e221d7c"]}],"mendeley":{"formattedCitation":"[91,98,99]","plainTextFormattedCitation":"[91,98,99]","previouslyFormattedCitation":"[91,98,99]"},"properties":{"noteIndex":0},"schema":"https://github.com/citation-style-language/schema/raw/master/csl-citation.json"}</w:instrText>
      </w:r>
      <w:r w:rsidRPr="00A27DDF">
        <w:fldChar w:fldCharType="separate"/>
      </w:r>
      <w:r w:rsidRPr="003B39BC">
        <w:rPr>
          <w:noProof/>
        </w:rPr>
        <w:t>[91,98,99]</w:t>
      </w:r>
      <w:r w:rsidRPr="00A27DDF">
        <w:fldChar w:fldCharType="end"/>
      </w:r>
      <w:r w:rsidRPr="00A27DDF">
        <w:t xml:space="preserve">. However, </w:t>
      </w:r>
      <w:r>
        <w:t>as a result of its</w:t>
      </w:r>
      <w:r w:rsidRPr="00A27DDF">
        <w:t xml:space="preserve"> low yield </w:t>
      </w:r>
      <w:r w:rsidRPr="00A27DDF">
        <w:rPr>
          <w:noProof/>
        </w:rPr>
        <w:t>strength,</w:t>
      </w:r>
      <w:r w:rsidRPr="00A27DDF">
        <w:t xml:space="preserve"> the application of </w:t>
      </w:r>
      <w:r>
        <w:t xml:space="preserve">the </w:t>
      </w:r>
      <w:r w:rsidRPr="008C71F2">
        <w:rPr>
          <w:noProof/>
        </w:rPr>
        <w:t>CCFN</w:t>
      </w:r>
      <w:r w:rsidRPr="00A27DDF">
        <w:t xml:space="preserve"> system is limited. With the development of</w:t>
      </w:r>
      <w:r>
        <w:t xml:space="preserve"> the</w:t>
      </w:r>
      <w:r w:rsidRPr="00A27DDF">
        <w:t xml:space="preserve"> </w:t>
      </w:r>
      <w:r w:rsidRPr="008C71F2">
        <w:rPr>
          <w:noProof/>
        </w:rPr>
        <w:t>semi-empirical</w:t>
      </w:r>
      <w:r w:rsidRPr="00A27DDF">
        <w:t xml:space="preserve"> method and </w:t>
      </w:r>
      <w:r w:rsidRPr="00615249">
        <w:rPr>
          <w:i/>
        </w:rPr>
        <w:t>ab initio</w:t>
      </w:r>
      <w:r w:rsidRPr="00A27DDF">
        <w:t xml:space="preserve"> method</w:t>
      </w:r>
      <w:r>
        <w:t xml:space="preserve"> for predicting</w:t>
      </w:r>
      <w:r w:rsidRPr="00A27DDF">
        <w:t xml:space="preserve"> phase constitution </w:t>
      </w:r>
      <w:r>
        <w:t>during the design of</w:t>
      </w:r>
      <w:r w:rsidRPr="00A27DDF">
        <w:t xml:space="preserve"> HEAs</w:t>
      </w:r>
      <w:r>
        <w:t>,</w:t>
      </w:r>
      <w:r w:rsidRPr="00A27DDF">
        <w:t xml:space="preserve"> </w:t>
      </w:r>
      <w:r>
        <w:t xml:space="preserve">researchers have started to achieve the ability of introducing as a second </w:t>
      </w:r>
      <w:r w:rsidR="005918C3">
        <w:rPr>
          <w:noProof/>
        </w:rPr>
        <w:t>precipitating</w:t>
      </w:r>
      <w:r w:rsidR="005918C3">
        <w:t xml:space="preserve"> </w:t>
      </w:r>
      <w:r>
        <w:t xml:space="preserve">phase in the FCC matrix of the CCFN system. Thus, to enhance the strength of CCFN-based HEAs, varieties of elements have been added to promote the </w:t>
      </w:r>
      <w:r w:rsidRPr="006B2702">
        <w:rPr>
          <w:noProof/>
        </w:rPr>
        <w:t>second</w:t>
      </w:r>
      <w:r>
        <w:t xml:space="preserve"> </w:t>
      </w:r>
      <w:r w:rsidRPr="008C71F2">
        <w:rPr>
          <w:noProof/>
        </w:rPr>
        <w:t>reinforc</w:t>
      </w:r>
      <w:r>
        <w:rPr>
          <w:noProof/>
        </w:rPr>
        <w:t>ing</w:t>
      </w:r>
      <w:r>
        <w:t xml:space="preserve"> phase. Carefully controlling the alloying addition and heat-treatment conditions precipitate reinforcement and grain size refinement can also </w:t>
      </w:r>
      <w:r w:rsidRPr="006B2702">
        <w:rPr>
          <w:noProof/>
        </w:rPr>
        <w:t xml:space="preserve">be </w:t>
      </w:r>
      <w:r>
        <w:rPr>
          <w:noProof/>
        </w:rPr>
        <w:t>achieved</w:t>
      </w:r>
      <w:r>
        <w:t xml:space="preserve">. Using the </w:t>
      </w:r>
      <w:r w:rsidRPr="006B2702">
        <w:rPr>
          <w:noProof/>
        </w:rPr>
        <w:t>thermodynamic</w:t>
      </w:r>
      <w:r>
        <w:t xml:space="preserve"> method, He </w:t>
      </w:r>
      <w:r w:rsidRPr="00615249">
        <w:rPr>
          <w:i/>
        </w:rPr>
        <w:t>et al.</w:t>
      </w:r>
      <w:r>
        <w:t xml:space="preserve"> </w:t>
      </w:r>
      <w:r>
        <w:fldChar w:fldCharType="begin" w:fldLock="1"/>
      </w:r>
      <w:r>
        <w:instrText>ADDIN CSL_CITATION {"citationItems":[{"id":"ITEM-1","itemData":{"DOI":"10.1016/j.intermet.2016.09.005","ISBN":"0966-9795","ISSN":"09669795","abstract":"In this work, we present a systematic study on the precipitation behavior and mechanical properties of a FeCoNiCr-based high-entropy alloy alloyed with dilute amounts of Ti and Al, (FeCoNiCr)100-x-yTixAly(where x = 1–3, y = 4–9 at.%). It was found that, upon aging, nano-sized L12-Ni3(Ti, Al) particles are formed within grains, whilst L21-(Ni, Co)2TiAl Heusler particles are formed mainly along grain boundaries. The relative thermal stability of the two phases were studied at different aging temperatures (700–900 °C) with various durations of time (up to 48 h) and the results were directly compared with Thermo-calc calculations. Tensile tests were also conducted on alloys aged under different conditions. The measured properties, including strength and ductility, were correlated with the microstructure of aged (FeCoNiCr)100-x-yTixAlyalloys, with particular attention on the distribution and morphology of the two kinds of precipitate. Whereas both phases could contribute to the strengthening of the alloys via either Orowan bowing or particle shearing mechanism, the brittle (Ni, Co)2TiAl Heusler phase was found to mainly affect the tensile plasticity. A simple composite model was proposed to describe the plastic strain of alloys. Based on observed microstructure and its corresponding mechanical performance, the alloy with the composition of (FeCoNiCr)94Ti2Al4, when aged between 700 and 800 °C, gives the best balanced strength/ductility properties.","author":[{"dropping-particle":"","family":"He","given":"J. Y.","non-dropping-particle":"","parse-names":false,"suffix":""},{"dropping-particle":"","family":"Wang","given":"H.","non-dropping-particle":"","parse-names":false,"suffix":""},{"dropping-particle":"","family":"Wu","given":"Y.","non-dropping-particle":"","parse-names":false,"suffix":""},{"dropping-particle":"","family":"Liu","given":"X. J.","non-dropping-particle":"","parse-names":false,"suffix":""},{"dropping-particle":"","family":"Mao","given":"H. H.","non-dropping-particle":"","parse-names":false,"suffix":""},{"dropping-particle":"","family":"Nieh","given":"T. G.","non-dropping-particle":"","parse-names":false,"suffix":""},{"dropping-particle":"","family":"Lu","given":"Z. P.","non-dropping-particle":"","parse-names":false,"suffix":""}],"container-title":"Intermetallics","id":"ITEM-1","issued":{"date-parts":[["2016"]]},"title":"Precipitation behavior and its effects on tensile properties of FeCoNiCr high-entropy alloys","type":"article-journal"},"uris":["http://www.mendeley.com/documents/?uuid=6883d1d3-6a8c-462c-a891-eb66efe147fe","http://www.mendeley.com/documents/?uuid=25d94ed5-5b65-45be-8e2e-4e3436a16faa"]}],"mendeley":{"formattedCitation":"[100]","plainTextFormattedCitation":"[100]","previouslyFormattedCitation":"[100]"},"properties":{"noteIndex":0},"schema":"https://github.com/citation-style-language/schema/raw/master/csl-citation.json"}</w:instrText>
      </w:r>
      <w:r>
        <w:fldChar w:fldCharType="separate"/>
      </w:r>
      <w:r w:rsidRPr="003B39BC">
        <w:rPr>
          <w:noProof/>
        </w:rPr>
        <w:t>[100]</w:t>
      </w:r>
      <w:r>
        <w:fldChar w:fldCharType="end"/>
      </w:r>
      <w:r>
        <w:t xml:space="preserve"> developed the (CoCrFeNi)</w:t>
      </w:r>
      <w:r>
        <w:rPr>
          <w:vertAlign w:val="subscript"/>
        </w:rPr>
        <w:t>100-x-y</w:t>
      </w:r>
      <w:r>
        <w:t>Ti</w:t>
      </w:r>
      <w:r w:rsidRPr="00901B2B">
        <w:rPr>
          <w:vertAlign w:val="subscript"/>
        </w:rPr>
        <w:t>x</w:t>
      </w:r>
      <w:r>
        <w:t>Al</w:t>
      </w:r>
      <w:r>
        <w:rPr>
          <w:vertAlign w:val="subscript"/>
        </w:rPr>
        <w:t>y</w:t>
      </w:r>
      <w:r>
        <w:t>(at%)</w:t>
      </w:r>
      <w:r>
        <w:rPr>
          <w:vertAlign w:val="subscript"/>
        </w:rPr>
        <w:t xml:space="preserve"> </w:t>
      </w:r>
      <w:r>
        <w:t xml:space="preserve">system with two different types of the </w:t>
      </w:r>
      <w:r w:rsidRPr="006B2702">
        <w:rPr>
          <w:noProof/>
        </w:rPr>
        <w:t>second</w:t>
      </w:r>
      <w:r>
        <w:t xml:space="preserve"> phases as a reinforcement</w:t>
      </w:r>
      <w:bookmarkStart w:id="139" w:name="OLE_LINK48"/>
      <w:r>
        <w:t xml:space="preserve">. </w:t>
      </w:r>
      <w:bookmarkEnd w:id="139"/>
      <w:r>
        <w:t xml:space="preserve">The phase prediction </w:t>
      </w:r>
      <w:r w:rsidRPr="006B2702">
        <w:rPr>
          <w:noProof/>
        </w:rPr>
        <w:t>enabled</w:t>
      </w:r>
      <w:r>
        <w:t xml:space="preserve"> by CALPHAD conforms to the experimental results. Nanosized precipitates L1</w:t>
      </w:r>
      <w:r>
        <w:rPr>
          <w:vertAlign w:val="subscript"/>
        </w:rPr>
        <w:t>2</w:t>
      </w:r>
      <w:r>
        <w:t>-Ni</w:t>
      </w:r>
      <w:r>
        <w:rPr>
          <w:vertAlign w:val="subscript"/>
        </w:rPr>
        <w:t>3</w:t>
      </w:r>
      <w:r>
        <w:t>(Ti, Al) and L2</w:t>
      </w:r>
      <w:r>
        <w:rPr>
          <w:vertAlign w:val="subscript"/>
        </w:rPr>
        <w:t>1</w:t>
      </w:r>
      <w:r>
        <w:t>-(Ni</w:t>
      </w:r>
      <w:r w:rsidRPr="006B2702">
        <w:rPr>
          <w:noProof/>
        </w:rPr>
        <w:t>, Co</w:t>
      </w:r>
      <w:r>
        <w:t>)</w:t>
      </w:r>
      <w:r>
        <w:rPr>
          <w:vertAlign w:val="subscript"/>
        </w:rPr>
        <w:t>2</w:t>
      </w:r>
      <w:r>
        <w:t xml:space="preserve">TiAl were observed within FCC grains next to the grain boundaries. By conducting a series of heat-treatments, it </w:t>
      </w:r>
      <w:r w:rsidRPr="006B2702">
        <w:rPr>
          <w:noProof/>
        </w:rPr>
        <w:t>was concluded</w:t>
      </w:r>
      <w:r>
        <w:t xml:space="preserve"> that the phase fraction of both precipitates increased with the addition of Ti and Al</w:t>
      </w:r>
      <w:r w:rsidRPr="006B2702">
        <w:rPr>
          <w:noProof/>
        </w:rPr>
        <w:t xml:space="preserve">. </w:t>
      </w:r>
      <w:r w:rsidRPr="008C71F2">
        <w:rPr>
          <w:noProof/>
        </w:rPr>
        <w:t>However</w:t>
      </w:r>
      <w:r>
        <w:rPr>
          <w:noProof/>
        </w:rPr>
        <w:t>,</w:t>
      </w:r>
      <w:r>
        <w:t xml:space="preserve"> the temperature dependence of the phase stability of both precipitates is very different. Through careful control of the heat-treatment process, the formation of L2</w:t>
      </w:r>
      <w:r>
        <w:rPr>
          <w:vertAlign w:val="subscript"/>
        </w:rPr>
        <w:t>1</w:t>
      </w:r>
      <w:r>
        <w:t>-(Ni</w:t>
      </w:r>
      <w:r w:rsidRPr="006B2702">
        <w:rPr>
          <w:noProof/>
        </w:rPr>
        <w:t>, Co</w:t>
      </w:r>
      <w:r>
        <w:t>)</w:t>
      </w:r>
      <w:r>
        <w:rPr>
          <w:vertAlign w:val="subscript"/>
        </w:rPr>
        <w:t>2</w:t>
      </w:r>
      <w:r>
        <w:t>TiAl was prevented, whilst L1</w:t>
      </w:r>
      <w:r>
        <w:rPr>
          <w:vertAlign w:val="subscript"/>
        </w:rPr>
        <w:t>2</w:t>
      </w:r>
      <w:r>
        <w:t>-Ni</w:t>
      </w:r>
      <w:r>
        <w:rPr>
          <w:vertAlign w:val="subscript"/>
        </w:rPr>
        <w:t>3</w:t>
      </w:r>
      <w:r>
        <w:t xml:space="preserve">(Ti, Al) precipitates </w:t>
      </w:r>
      <w:r w:rsidRPr="006B2702">
        <w:rPr>
          <w:noProof/>
        </w:rPr>
        <w:t>remained</w:t>
      </w:r>
      <w:r>
        <w:t xml:space="preserve"> within the FCC grain. As shown in Fig. 2-19, the strength of the CCFN-based alloy was enhanced significantly through the addition of </w:t>
      </w:r>
      <w:r w:rsidRPr="008C71F2">
        <w:rPr>
          <w:noProof/>
        </w:rPr>
        <w:t>small</w:t>
      </w:r>
      <w:r>
        <w:t xml:space="preserve"> amounts of Ti and Al. This is attributed to the coherent precipitated L1</w:t>
      </w:r>
      <w:r>
        <w:rPr>
          <w:vertAlign w:val="subscript"/>
        </w:rPr>
        <w:t>2</w:t>
      </w:r>
      <w:r>
        <w:t>-structure in the FCC matrix, which resembles the γ(FCC) and γ’(L1</w:t>
      </w:r>
      <w:r>
        <w:rPr>
          <w:vertAlign w:val="subscript"/>
        </w:rPr>
        <w:t>2</w:t>
      </w:r>
      <w:r>
        <w:t xml:space="preserve">) precipitates in the Ni-based </w:t>
      </w:r>
      <w:r w:rsidRPr="006B2702">
        <w:rPr>
          <w:noProof/>
        </w:rPr>
        <w:t>superalloy</w:t>
      </w:r>
      <w:r>
        <w:t>.</w:t>
      </w:r>
    </w:p>
    <w:p w14:paraId="38AB55E2" w14:textId="77777777" w:rsidR="00624970" w:rsidRDefault="00624970" w:rsidP="00624970">
      <w:pPr>
        <w:keepNext/>
        <w:spacing w:afterLines="60" w:after="144" w:line="360" w:lineRule="auto"/>
        <w:jc w:val="center"/>
      </w:pPr>
      <w:r w:rsidRPr="008F17A1">
        <w:rPr>
          <w:noProof/>
          <w:lang w:val="en-US" w:eastAsia="en-US"/>
        </w:rPr>
        <w:lastRenderedPageBreak/>
        <w:drawing>
          <wp:inline distT="0" distB="0" distL="0" distR="0" wp14:anchorId="0387E818" wp14:editId="0FDF9240">
            <wp:extent cx="4579315" cy="2956003"/>
            <wp:effectExtent l="0" t="0" r="0" b="0"/>
            <wp:docPr id="28" name="图片 27">
              <a:extLst xmlns:a="http://schemas.openxmlformats.org/drawingml/2006/main">
                <a:ext uri="{FF2B5EF4-FFF2-40B4-BE49-F238E27FC236}">
                  <a16:creationId xmlns:a16="http://schemas.microsoft.com/office/drawing/2014/main" id="{4C437B9C-9B44-4C43-A56C-F5ED8D3200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a:extLst>
                        <a:ext uri="{FF2B5EF4-FFF2-40B4-BE49-F238E27FC236}">
                          <a16:creationId xmlns:a16="http://schemas.microsoft.com/office/drawing/2014/main" id="{4C437B9C-9B44-4C43-A56C-F5ED8D3200F9}"/>
                        </a:ext>
                      </a:extLst>
                    </pic:cNvPr>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4599433" cy="2968990"/>
                    </a:xfrm>
                    <a:prstGeom prst="rect">
                      <a:avLst/>
                    </a:prstGeom>
                  </pic:spPr>
                </pic:pic>
              </a:graphicData>
            </a:graphic>
          </wp:inline>
        </w:drawing>
      </w:r>
    </w:p>
    <w:p w14:paraId="200A9ABE" w14:textId="2B94E9B2" w:rsidR="00624970" w:rsidRPr="00A03FC4" w:rsidRDefault="00624970" w:rsidP="00624970">
      <w:pPr>
        <w:spacing w:afterLines="60" w:after="144" w:line="360" w:lineRule="auto"/>
        <w:jc w:val="both"/>
        <w:rPr>
          <w:b/>
          <w:sz w:val="20"/>
          <w:szCs w:val="20"/>
        </w:rPr>
      </w:pPr>
      <w:bookmarkStart w:id="140" w:name="_Toc7364574"/>
      <w:bookmarkStart w:id="141" w:name="_Toc5617641"/>
      <w:bookmarkStart w:id="142" w:name="_Toc39312688"/>
      <w:r w:rsidRPr="00A03FC4">
        <w:rPr>
          <w:b/>
          <w:sz w:val="20"/>
          <w:szCs w:val="20"/>
        </w:rPr>
        <w:t>Figure</w:t>
      </w:r>
      <w:r>
        <w:rPr>
          <w:b/>
          <w:sz w:val="20"/>
          <w:szCs w:val="20"/>
        </w:rPr>
        <w:t xml:space="preserve"> 2-</w:t>
      </w:r>
      <w:r w:rsidRPr="008B6028">
        <w:rPr>
          <w:b/>
          <w:sz w:val="20"/>
        </w:rPr>
        <w:fldChar w:fldCharType="begin"/>
      </w:r>
      <w:r w:rsidRPr="008B6028">
        <w:rPr>
          <w:b/>
          <w:sz w:val="20"/>
        </w:rPr>
        <w:instrText xml:space="preserve"> SEQ Figure \* ARABIC </w:instrText>
      </w:r>
      <w:r w:rsidRPr="008B6028">
        <w:rPr>
          <w:b/>
          <w:sz w:val="20"/>
        </w:rPr>
        <w:fldChar w:fldCharType="separate"/>
      </w:r>
      <w:r>
        <w:rPr>
          <w:b/>
          <w:noProof/>
          <w:sz w:val="20"/>
        </w:rPr>
        <w:t>19</w:t>
      </w:r>
      <w:r w:rsidRPr="008B6028">
        <w:rPr>
          <w:b/>
          <w:sz w:val="20"/>
        </w:rPr>
        <w:fldChar w:fldCharType="end"/>
      </w:r>
      <w:r w:rsidRPr="00A03FC4">
        <w:rPr>
          <w:b/>
          <w:sz w:val="20"/>
          <w:szCs w:val="20"/>
        </w:rPr>
        <w:t xml:space="preserve"> </w:t>
      </w:r>
      <w:r w:rsidRPr="00A03FC4">
        <w:rPr>
          <w:sz w:val="20"/>
          <w:szCs w:val="20"/>
        </w:rPr>
        <w:t>(</w:t>
      </w:r>
      <w:r w:rsidRPr="00A03FC4">
        <w:rPr>
          <w:b/>
          <w:sz w:val="20"/>
          <w:szCs w:val="20"/>
        </w:rPr>
        <w:t>a</w:t>
      </w:r>
      <w:r w:rsidRPr="00A03FC4">
        <w:rPr>
          <w:sz w:val="20"/>
          <w:szCs w:val="20"/>
        </w:rPr>
        <w:t>)</w:t>
      </w:r>
      <w:r>
        <w:rPr>
          <w:sz w:val="20"/>
          <w:szCs w:val="20"/>
        </w:rPr>
        <w:t xml:space="preserve"> An i</w:t>
      </w:r>
      <w:r w:rsidRPr="00A03FC4">
        <w:rPr>
          <w:sz w:val="20"/>
          <w:szCs w:val="20"/>
        </w:rPr>
        <w:t xml:space="preserve">llustration of </w:t>
      </w:r>
      <w:r>
        <w:rPr>
          <w:sz w:val="20"/>
          <w:szCs w:val="20"/>
        </w:rPr>
        <w:t xml:space="preserve">the </w:t>
      </w:r>
      <w:r w:rsidRPr="00A03FC4">
        <w:rPr>
          <w:sz w:val="20"/>
          <w:szCs w:val="20"/>
        </w:rPr>
        <w:t>microstructure evolution during heat</w:t>
      </w:r>
      <w:r>
        <w:rPr>
          <w:sz w:val="20"/>
          <w:szCs w:val="20"/>
        </w:rPr>
        <w:t>-</w:t>
      </w:r>
      <w:r w:rsidRPr="00A03FC4">
        <w:rPr>
          <w:sz w:val="20"/>
          <w:szCs w:val="20"/>
        </w:rPr>
        <w:t xml:space="preserve">treatment, </w:t>
      </w:r>
      <w:r>
        <w:rPr>
          <w:sz w:val="20"/>
          <w:szCs w:val="20"/>
        </w:rPr>
        <w:t xml:space="preserve">with </w:t>
      </w:r>
      <w:r w:rsidRPr="00A03FC4">
        <w:rPr>
          <w:sz w:val="20"/>
          <w:szCs w:val="20"/>
        </w:rPr>
        <w:t xml:space="preserve">precipitates selection showing distinct dependence with </w:t>
      </w:r>
      <w:r w:rsidRPr="006B2702">
        <w:rPr>
          <w:noProof/>
          <w:sz w:val="20"/>
          <w:szCs w:val="20"/>
        </w:rPr>
        <w:t>ag</w:t>
      </w:r>
      <w:r>
        <w:rPr>
          <w:noProof/>
          <w:sz w:val="20"/>
          <w:szCs w:val="20"/>
        </w:rPr>
        <w:t>e</w:t>
      </w:r>
      <w:r w:rsidRPr="006B2702">
        <w:rPr>
          <w:noProof/>
          <w:sz w:val="20"/>
          <w:szCs w:val="20"/>
        </w:rPr>
        <w:t>ing</w:t>
      </w:r>
      <w:r w:rsidRPr="00A03FC4">
        <w:rPr>
          <w:sz w:val="20"/>
          <w:szCs w:val="20"/>
        </w:rPr>
        <w:t xml:space="preserve"> temperature</w:t>
      </w:r>
      <w:r>
        <w:rPr>
          <w:sz w:val="20"/>
          <w:szCs w:val="20"/>
        </w:rPr>
        <w:t>;</w:t>
      </w:r>
      <w:r w:rsidRPr="00A03FC4">
        <w:rPr>
          <w:sz w:val="20"/>
          <w:szCs w:val="20"/>
        </w:rPr>
        <w:t xml:space="preserve"> (</w:t>
      </w:r>
      <w:r w:rsidRPr="00A03FC4">
        <w:rPr>
          <w:b/>
          <w:sz w:val="20"/>
          <w:szCs w:val="20"/>
        </w:rPr>
        <w:t>b</w:t>
      </w:r>
      <w:r w:rsidRPr="00A03FC4">
        <w:rPr>
          <w:sz w:val="20"/>
          <w:szCs w:val="20"/>
        </w:rPr>
        <w:t xml:space="preserve">) </w:t>
      </w:r>
      <w:r>
        <w:rPr>
          <w:sz w:val="20"/>
          <w:szCs w:val="20"/>
        </w:rPr>
        <w:t xml:space="preserve">a </w:t>
      </w:r>
      <w:r w:rsidRPr="008C71F2">
        <w:rPr>
          <w:noProof/>
          <w:sz w:val="20"/>
          <w:szCs w:val="20"/>
        </w:rPr>
        <w:t>2-D</w:t>
      </w:r>
      <w:r w:rsidRPr="00A03FC4">
        <w:rPr>
          <w:sz w:val="20"/>
          <w:szCs w:val="20"/>
        </w:rPr>
        <w:t xml:space="preserve"> plot of phase fraction against </w:t>
      </w:r>
      <w:r w:rsidRPr="006B2702">
        <w:rPr>
          <w:noProof/>
          <w:sz w:val="20"/>
          <w:szCs w:val="20"/>
        </w:rPr>
        <w:t>ag</w:t>
      </w:r>
      <w:r>
        <w:rPr>
          <w:noProof/>
          <w:sz w:val="20"/>
          <w:szCs w:val="20"/>
        </w:rPr>
        <w:t>e</w:t>
      </w:r>
      <w:r w:rsidRPr="006B2702">
        <w:rPr>
          <w:noProof/>
          <w:sz w:val="20"/>
          <w:szCs w:val="20"/>
        </w:rPr>
        <w:t>ing</w:t>
      </w:r>
      <w:r w:rsidRPr="00A03FC4">
        <w:rPr>
          <w:sz w:val="20"/>
          <w:szCs w:val="20"/>
        </w:rPr>
        <w:t xml:space="preserve"> temperature</w:t>
      </w:r>
      <w:r>
        <w:rPr>
          <w:sz w:val="20"/>
          <w:szCs w:val="20"/>
        </w:rPr>
        <w:t>.</w:t>
      </w:r>
      <w:r w:rsidRPr="00A03FC4">
        <w:rPr>
          <w:sz w:val="20"/>
          <w:szCs w:val="20"/>
        </w:rPr>
        <w:t xml:space="preserve"> </w:t>
      </w:r>
      <w:r>
        <w:rPr>
          <w:sz w:val="20"/>
          <w:szCs w:val="20"/>
        </w:rPr>
        <w:t>W</w:t>
      </w:r>
      <w:r w:rsidRPr="00A03FC4">
        <w:rPr>
          <w:sz w:val="20"/>
          <w:szCs w:val="20"/>
        </w:rPr>
        <w:t xml:space="preserve">ith different dependence </w:t>
      </w:r>
      <w:r>
        <w:rPr>
          <w:sz w:val="20"/>
          <w:szCs w:val="20"/>
        </w:rPr>
        <w:t>on</w:t>
      </w:r>
      <w:r w:rsidRPr="00A03FC4">
        <w:rPr>
          <w:sz w:val="20"/>
          <w:szCs w:val="20"/>
        </w:rPr>
        <w:t xml:space="preserve"> </w:t>
      </w:r>
      <w:r w:rsidRPr="006B2702">
        <w:rPr>
          <w:noProof/>
          <w:sz w:val="20"/>
          <w:szCs w:val="20"/>
        </w:rPr>
        <w:t>ag</w:t>
      </w:r>
      <w:r>
        <w:rPr>
          <w:noProof/>
          <w:sz w:val="20"/>
          <w:szCs w:val="20"/>
        </w:rPr>
        <w:t>e</w:t>
      </w:r>
      <w:r w:rsidRPr="006B2702">
        <w:rPr>
          <w:noProof/>
          <w:sz w:val="20"/>
          <w:szCs w:val="20"/>
        </w:rPr>
        <w:t>ing</w:t>
      </w:r>
      <w:r w:rsidRPr="00A03FC4">
        <w:rPr>
          <w:sz w:val="20"/>
          <w:szCs w:val="20"/>
        </w:rPr>
        <w:t xml:space="preserve"> temperature, the </w:t>
      </w:r>
      <w:r>
        <w:rPr>
          <w:sz w:val="20"/>
          <w:szCs w:val="20"/>
        </w:rPr>
        <w:t>formation</w:t>
      </w:r>
      <w:r w:rsidRPr="000A4D1F">
        <w:rPr>
          <w:sz w:val="20"/>
          <w:szCs w:val="20"/>
        </w:rPr>
        <w:t xml:space="preserve"> of </w:t>
      </w:r>
      <w:bookmarkStart w:id="143" w:name="OLE_LINK45"/>
      <w:bookmarkStart w:id="144" w:name="OLE_LINK46"/>
      <w:r w:rsidRPr="000A4D1F">
        <w:rPr>
          <w:rFonts w:eastAsia="等线"/>
          <w:sz w:val="20"/>
          <w:szCs w:val="20"/>
        </w:rPr>
        <w:t>γ</w:t>
      </w:r>
      <w:r w:rsidRPr="000A4D1F">
        <w:rPr>
          <w:sz w:val="20"/>
          <w:szCs w:val="20"/>
        </w:rPr>
        <w:t>’</w:t>
      </w:r>
      <w:bookmarkEnd w:id="143"/>
      <w:bookmarkEnd w:id="144"/>
      <w:r w:rsidRPr="000A4D1F">
        <w:rPr>
          <w:sz w:val="20"/>
          <w:szCs w:val="20"/>
        </w:rPr>
        <w:t xml:space="preserve"> p</w:t>
      </w:r>
      <w:r w:rsidRPr="00A03FC4">
        <w:rPr>
          <w:sz w:val="20"/>
          <w:szCs w:val="20"/>
        </w:rPr>
        <w:t>hase suppress</w:t>
      </w:r>
      <w:r>
        <w:rPr>
          <w:sz w:val="20"/>
          <w:szCs w:val="20"/>
        </w:rPr>
        <w:t>ed</w:t>
      </w:r>
      <w:r w:rsidRPr="00A03FC4">
        <w:rPr>
          <w:sz w:val="20"/>
          <w:szCs w:val="20"/>
        </w:rPr>
        <w:t xml:space="preserve"> the </w:t>
      </w:r>
      <w:r>
        <w:rPr>
          <w:sz w:val="20"/>
          <w:szCs w:val="20"/>
        </w:rPr>
        <w:t>formation</w:t>
      </w:r>
      <w:r w:rsidRPr="00A03FC4">
        <w:rPr>
          <w:sz w:val="20"/>
          <w:szCs w:val="20"/>
        </w:rPr>
        <w:t xml:space="preserve"> of </w:t>
      </w:r>
      <w:r w:rsidRPr="008C71F2">
        <w:rPr>
          <w:noProof/>
          <w:sz w:val="20"/>
          <w:szCs w:val="20"/>
        </w:rPr>
        <w:t>Heusler</w:t>
      </w:r>
      <w:r w:rsidRPr="00A03FC4">
        <w:rPr>
          <w:sz w:val="20"/>
          <w:szCs w:val="20"/>
        </w:rPr>
        <w:t xml:space="preserve"> phase</w:t>
      </w:r>
      <w:r>
        <w:rPr>
          <w:sz w:val="20"/>
          <w:szCs w:val="20"/>
        </w:rPr>
        <w:t xml:space="preserve">; </w:t>
      </w:r>
      <w:r w:rsidRPr="00A03FC4">
        <w:rPr>
          <w:sz w:val="20"/>
          <w:szCs w:val="20"/>
        </w:rPr>
        <w:t>(</w:t>
      </w:r>
      <w:r w:rsidRPr="00A03FC4">
        <w:rPr>
          <w:b/>
          <w:sz w:val="20"/>
          <w:szCs w:val="20"/>
        </w:rPr>
        <w:t>c</w:t>
      </w:r>
      <w:r w:rsidRPr="00A03FC4">
        <w:rPr>
          <w:sz w:val="20"/>
          <w:szCs w:val="20"/>
        </w:rPr>
        <w:t xml:space="preserve">) </w:t>
      </w:r>
      <w:r>
        <w:rPr>
          <w:sz w:val="20"/>
          <w:szCs w:val="20"/>
        </w:rPr>
        <w:t>the tensile</w:t>
      </w:r>
      <w:r w:rsidRPr="00A03FC4">
        <w:rPr>
          <w:sz w:val="20"/>
          <w:szCs w:val="20"/>
        </w:rPr>
        <w:t xml:space="preserve"> performance of </w:t>
      </w:r>
      <w:r>
        <w:rPr>
          <w:sz w:val="20"/>
          <w:szCs w:val="20"/>
        </w:rPr>
        <w:t>materials possessing different ageing</w:t>
      </w:r>
      <w:r w:rsidRPr="000A4D1F">
        <w:rPr>
          <w:sz w:val="20"/>
          <w:szCs w:val="20"/>
        </w:rPr>
        <w:t xml:space="preserve">. Inset </w:t>
      </w:r>
      <w:r>
        <w:rPr>
          <w:sz w:val="20"/>
          <w:szCs w:val="20"/>
        </w:rPr>
        <w:t>reveals the</w:t>
      </w:r>
      <w:r w:rsidRPr="000A4D1F">
        <w:rPr>
          <w:sz w:val="20"/>
          <w:szCs w:val="20"/>
        </w:rPr>
        <w:t xml:space="preserve"> coexistence of both precipitates</w:t>
      </w:r>
      <w:r>
        <w:rPr>
          <w:sz w:val="20"/>
          <w:szCs w:val="20"/>
        </w:rPr>
        <w:t>; and</w:t>
      </w:r>
      <w:r w:rsidRPr="000A4D1F">
        <w:rPr>
          <w:sz w:val="20"/>
          <w:szCs w:val="20"/>
        </w:rPr>
        <w:t xml:space="preserve"> (</w:t>
      </w:r>
      <w:r w:rsidRPr="000A4D1F">
        <w:rPr>
          <w:b/>
          <w:sz w:val="20"/>
          <w:szCs w:val="20"/>
        </w:rPr>
        <w:t>d</w:t>
      </w:r>
      <w:r w:rsidRPr="000A4D1F">
        <w:rPr>
          <w:sz w:val="20"/>
          <w:szCs w:val="20"/>
        </w:rPr>
        <w:t xml:space="preserve">) HRTEM </w:t>
      </w:r>
      <w:r>
        <w:rPr>
          <w:sz w:val="20"/>
          <w:szCs w:val="20"/>
        </w:rPr>
        <w:t xml:space="preserve">image showing </w:t>
      </w:r>
      <w:r w:rsidRPr="000A4D1F">
        <w:rPr>
          <w:sz w:val="20"/>
          <w:szCs w:val="20"/>
        </w:rPr>
        <w:t xml:space="preserve">coherent </w:t>
      </w:r>
      <w:r w:rsidRPr="000A4D1F">
        <w:rPr>
          <w:rFonts w:eastAsia="等线"/>
          <w:sz w:val="20"/>
          <w:szCs w:val="20"/>
        </w:rPr>
        <w:t>γ</w:t>
      </w:r>
      <w:r w:rsidRPr="000A4D1F">
        <w:rPr>
          <w:sz w:val="20"/>
          <w:szCs w:val="20"/>
        </w:rPr>
        <w:t>’ precipitates in</w:t>
      </w:r>
      <w:r>
        <w:rPr>
          <w:sz w:val="20"/>
          <w:szCs w:val="20"/>
        </w:rPr>
        <w:t xml:space="preserve"> the</w:t>
      </w:r>
      <w:r w:rsidRPr="000A4D1F">
        <w:rPr>
          <w:sz w:val="20"/>
          <w:szCs w:val="20"/>
        </w:rPr>
        <w:t xml:space="preserve"> FCC</w:t>
      </w:r>
      <w:r w:rsidRPr="00A03FC4">
        <w:rPr>
          <w:sz w:val="20"/>
          <w:szCs w:val="20"/>
        </w:rPr>
        <w:t xml:space="preserve"> matrix </w:t>
      </w:r>
      <w:r w:rsidRPr="00A03FC4">
        <w:rPr>
          <w:sz w:val="20"/>
          <w:szCs w:val="20"/>
        </w:rPr>
        <w:fldChar w:fldCharType="begin" w:fldLock="1"/>
      </w:r>
      <w:r>
        <w:rPr>
          <w:sz w:val="20"/>
          <w:szCs w:val="20"/>
        </w:rPr>
        <w:instrText>ADDIN CSL_CITATION {"citationItems":[{"id":"ITEM-1","itemData":{"DOI":"10.1016/j.intermet.2016.09.005","ISBN":"0966-9795","ISSN":"09669795","abstract":"In this work, we present a systematic study on the precipitation behavior and mechanical properties of a FeCoNiCr-based high-entropy alloy alloyed with dilute amounts of Ti and Al, (FeCoNiCr)100-x-yTixAly(where x = 1–3, y = 4–9 at.%). It was found that, upon aging, nano-sized L12-Ni3(Ti, Al) particles are formed within grains, whilst L21-(Ni, Co)2TiAl Heusler particles are formed mainly along grain boundaries. The relative thermal stability of the two phases were studied at different aging temperatures (700–900 °C) with various durations of time (up to 48 h) and the results were directly compared with Thermo-calc calculations. Tensile tests were also conducted on alloys aged under different conditions. The measured properties, including strength and ductility, were correlated with the microstructure of aged (FeCoNiCr)100-x-yTixAlyalloys, with particular attention on the distribution and morphology of the two kinds of precipitate. Whereas both phases could contribute to the strengthening of the alloys via either Orowan bowing or particle shearing mechanism, the brittle (Ni, Co)2TiAl Heusler phase was found to mainly affect the tensile plasticity. A simple composite model was proposed to describe the plastic strain of alloys. Based on observed microstructure and its corresponding mechanical performance, the alloy with the composition of (FeCoNiCr)94Ti2Al4, when aged between 700 and 800 °C, gives the best balanced strength/ductility properties.","author":[{"dropping-particle":"","family":"He","given":"J. Y.","non-dropping-particle":"","parse-names":false,"suffix":""},{"dropping-particle":"","family":"Wang","given":"H.","non-dropping-particle":"","parse-names":false,"suffix":""},{"dropping-particle":"","family":"Wu","given":"Y.","non-dropping-particle":"","parse-names":false,"suffix":""},{"dropping-particle":"","family":"Liu","given":"X. J.","non-dropping-particle":"","parse-names":false,"suffix":""},{"dropping-particle":"","family":"Mao","given":"H. H.","non-dropping-particle":"","parse-names":false,"suffix":""},{"dropping-particle":"","family":"Nieh","given":"T. G.","non-dropping-particle":"","parse-names":false,"suffix":""},{"dropping-particle":"","family":"Lu","given":"Z. P.","non-dropping-particle":"","parse-names":false,"suffix":""}],"container-title":"Intermetallics","id":"ITEM-1","issued":{"date-parts":[["2016"]]},"title":"Precipitation behavior and its effects on tensile properties of FeCoNiCr high-entropy alloys","type":"article-journal"},"uris":["http://www.mendeley.com/documents/?uuid=25d94ed5-5b65-45be-8e2e-4e3436a16faa","http://www.mendeley.com/documents/?uuid=6883d1d3-6a8c-462c-a891-eb66efe147fe"]}],"mendeley":{"formattedCitation":"[100]","plainTextFormattedCitation":"[100]","previouslyFormattedCitation":"[100]"},"properties":{"noteIndex":0},"schema":"https://github.com/citation-style-language/schema/raw/master/csl-citation.json"}</w:instrText>
      </w:r>
      <w:r w:rsidRPr="00A03FC4">
        <w:rPr>
          <w:sz w:val="20"/>
          <w:szCs w:val="20"/>
        </w:rPr>
        <w:fldChar w:fldCharType="separate"/>
      </w:r>
      <w:bookmarkEnd w:id="140"/>
      <w:bookmarkEnd w:id="141"/>
      <w:r w:rsidRPr="003B39BC">
        <w:rPr>
          <w:noProof/>
          <w:sz w:val="20"/>
          <w:szCs w:val="20"/>
        </w:rPr>
        <w:t>[100]</w:t>
      </w:r>
      <w:r w:rsidRPr="00A03FC4">
        <w:rPr>
          <w:sz w:val="20"/>
          <w:szCs w:val="20"/>
        </w:rPr>
        <w:fldChar w:fldCharType="end"/>
      </w:r>
      <w:r>
        <w:rPr>
          <w:sz w:val="20"/>
          <w:szCs w:val="20"/>
        </w:rPr>
        <w:t>.</w:t>
      </w:r>
      <w:bookmarkEnd w:id="142"/>
    </w:p>
    <w:p w14:paraId="51DF241E" w14:textId="0F948B59" w:rsidR="00624970" w:rsidRPr="009D3A09" w:rsidRDefault="00624970" w:rsidP="00624970">
      <w:pPr>
        <w:spacing w:afterLines="60" w:after="144" w:line="360" w:lineRule="auto"/>
        <w:jc w:val="both"/>
        <w:rPr>
          <w:color w:val="FF0000"/>
        </w:rPr>
      </w:pPr>
      <w:r>
        <w:t xml:space="preserve">With regard to the effectiveness of precipitates resulting in hardening in HEAs, recently Liang </w:t>
      </w:r>
      <w:r>
        <w:fldChar w:fldCharType="begin" w:fldLock="1"/>
      </w:r>
      <w:r>
        <w:instrText>ADDIN CSL_CITATION {"citationItems":[{"id":"ITEM-1","itemData":{"DOI":"10.1038/s41467-018-06600-8","ISSN":"20411723","abstract":"Precipitation-hardening high-entropy alloys (PH-HEAs) with good strength−ductility balances are a promising candidate for advanced structural applications. However, current HEAs emphasize near-equiatomic initial compositions, which limit the increase of intermetallic precipitates that are closely related to the alloy strength. Here we present a strategy to design ultrastrong HEAs with high-content nanoprecipitates by phase separation, which can generate a near-equiatomic matrix in situ while forming strengthening phases, producing a PH-HEA regardless of the initial atomic ratio. Accordingly, we develop a non-equiatomic alloy that utilizes spinodal decomposition to create a low-misfit coherent nanostructure combining a near-equiatomic disordered face-centered-cubic (FCC) matrix with high-content ductile Ni3Al-type ordered nanoprecipitates. We find that this spinodal order–disorder nanostructure contributes to a strength increase of ~1.5 GPa (&gt;560%) relative to the HEA without precipitation, achieving one of the highest tensile strength (1.9 GPa) among all bulk HEAs reported previously while retaining good ductility (&gt;9%).","author":[{"dropping-particle":"","family":"Liang","given":"Yao Jian","non-dropping-particle":"","parse-names":false,"suffix":""},{"dropping-particle":"","family":"Wang","given":"Linjing","non-dropping-particle":"","parse-names":false,"suffix":""},{"dropping-particle":"","family":"Wen","given":"Yuren","non-dropping-particle":"","parse-names":false,"suffix":""},{"dropping-particle":"","family":"Cheng","given":"Baoyuan","non-dropping-particle":"","parse-names":false,"suffix":""},{"dropping-particle":"","family":"Wu","given":"Qinli","non-dropping-particle":"","parse-names":false,"suffix":""},{"dropping-particle":"","family":"Cao","given":"Tangqing","non-dropping-particle":"","parse-names":false,"suffix":""},{"dropping-particle":"","family":"Xiao","given":"Qian","non-dropping-particle":"","parse-names":false,"suffix":""},{"dropping-particle":"","family":"Xue","given":"Yunfei","non-dropping-particle":"","parse-names":false,"suffix":""},{"dropping-particle":"","family":"Sha","given":"Gang","non-dropping-particle":"","parse-names":false,"suffix":""},{"dropping-particle":"","family":"Wang","given":"Yandong","non-dropping-particle":"","parse-names":false,"suffix":""},{"dropping-particle":"","family":"Ren","given":"Yang","non-dropping-particle":"","parse-names":false,"suffix":""},{"dropping-particle":"","family":"Li","given":"Xiaoyan","non-dropping-particle":"","parse-names":false,"suffix":""},{"dropping-particle":"","family":"Wang","given":"Lu","non-dropping-particle":"","parse-names":false,"suffix":""},{"dropping-particle":"","family":"Wang","given":"Fuchi","non-dropping-particle":"","parse-names":false,"suffix":""},{"dropping-particle":"","family":"Cai","given":"Hongnian","non-dropping-particle":"","parse-names":false,"suffix":""}],"container-title":"Nature Communications","id":"ITEM-1","issued":{"date-parts":[["2018"]]},"title":"High-content ductile coherent nanoprecipitates achieve ultrastrong high-entropy alloys","type":"article-journal"},"uris":["http://www.mendeley.com/documents/?uuid=d1e0de3f-afd9-4009-b3a8-64fed11a3856","http://www.mendeley.com/documents/?uuid=1308574e-26bb-4ecc-9879-6d26e932b748"]}],"mendeley":{"formattedCitation":"[13]","plainTextFormattedCitation":"[13]","previouslyFormattedCitation":"[13]"},"properties":{"noteIndex":0},"schema":"https://github.com/citation-style-language/schema/raw/master/csl-citation.json"}</w:instrText>
      </w:r>
      <w:r>
        <w:fldChar w:fldCharType="separate"/>
      </w:r>
      <w:r w:rsidRPr="003B39BC">
        <w:rPr>
          <w:noProof/>
        </w:rPr>
        <w:t>[13]</w:t>
      </w:r>
      <w:r>
        <w:fldChar w:fldCharType="end"/>
      </w:r>
      <w:r>
        <w:t xml:space="preserve"> developed </w:t>
      </w:r>
      <w:bookmarkStart w:id="145" w:name="OLE_LINK60"/>
      <w:bookmarkStart w:id="146" w:name="OLE_LINK62"/>
      <w:bookmarkStart w:id="147" w:name="OLE_LINK63"/>
      <w:r>
        <w:t>Al</w:t>
      </w:r>
      <w:r w:rsidRPr="00003660">
        <w:rPr>
          <w:vertAlign w:val="subscript"/>
        </w:rPr>
        <w:t>0.</w:t>
      </w:r>
      <w:r>
        <w:rPr>
          <w:vertAlign w:val="subscript"/>
        </w:rPr>
        <w:t>5</w:t>
      </w:r>
      <w:r>
        <w:t>Cr</w:t>
      </w:r>
      <w:r w:rsidRPr="004401B8">
        <w:rPr>
          <w:vertAlign w:val="subscript"/>
        </w:rPr>
        <w:t>0.</w:t>
      </w:r>
      <w:r>
        <w:rPr>
          <w:vertAlign w:val="subscript"/>
        </w:rPr>
        <w:t>9</w:t>
      </w:r>
      <w:r>
        <w:t>FeNi</w:t>
      </w:r>
      <w:r w:rsidRPr="004401B8">
        <w:rPr>
          <w:vertAlign w:val="subscript"/>
        </w:rPr>
        <w:t>2</w:t>
      </w:r>
      <w:r>
        <w:rPr>
          <w:vertAlign w:val="subscript"/>
        </w:rPr>
        <w:t>.5</w:t>
      </w:r>
      <w:r>
        <w:t>V</w:t>
      </w:r>
      <w:r w:rsidRPr="004401B8">
        <w:rPr>
          <w:vertAlign w:val="subscript"/>
        </w:rPr>
        <w:t>0.</w:t>
      </w:r>
      <w:r>
        <w:rPr>
          <w:vertAlign w:val="subscript"/>
        </w:rPr>
        <w:t>2</w:t>
      </w:r>
      <w:bookmarkEnd w:id="145"/>
      <w:r>
        <w:t xml:space="preserve"> </w:t>
      </w:r>
      <w:bookmarkEnd w:id="146"/>
      <w:bookmarkEnd w:id="147"/>
      <w:r>
        <w:t xml:space="preserve">with isotropic spinodal nanoprecipitates. </w:t>
      </w:r>
      <w:r w:rsidRPr="000826E5">
        <w:t xml:space="preserve">As with </w:t>
      </w:r>
      <w:r>
        <w:t xml:space="preserve">the strategy proposed by He </w:t>
      </w:r>
      <w:r w:rsidRPr="00ED7C6F">
        <w:rPr>
          <w:i/>
        </w:rPr>
        <w:t>et al.</w:t>
      </w:r>
      <w:r>
        <w:t xml:space="preserve"> </w:t>
      </w:r>
      <w:r>
        <w:fldChar w:fldCharType="begin" w:fldLock="1"/>
      </w:r>
      <w:r>
        <w:instrText>ADDIN CSL_CITATION {"citationItems":[{"id":"ITEM-1","itemData":{"DOI":"10.1016/j.intermet.2016.09.005","ISBN":"0966-9795","ISSN":"09669795","abstract":"In this work, we present a systematic study on the precipitation behavior and mechanical properties of a FeCoNiCr-based high-entropy alloy alloyed with dilute amounts of Ti and Al, (FeCoNiCr)100-x-yTixAly(where x = 1–3, y = 4–9 at.%). It was found that, upon aging, nano-sized L12-Ni3(Ti, Al) particles are formed within grains, whilst L21-(Ni, Co)2TiAl Heusler particles are formed mainly along grain boundaries. The relative thermal stability of the two phases were studied at different aging temperatures (700–900 °C) with various durations of time (up to 48 h) and the results were directly compared with Thermo-calc calculations. Tensile tests were also conducted on alloys aged under different conditions. The measured properties, including strength and ductility, were correlated with the microstructure of aged (FeCoNiCr)100-x-yTixAlyalloys, with particular attention on the distribution and morphology of the two kinds of precipitate. Whereas both phases could contribute to the strengthening of the alloys via either Orowan bowing or particle shearing mechanism, the brittle (Ni, Co)2TiAl Heusler phase was found to mainly affect the tensile plasticity. A simple composite model was proposed to describe the plastic strain of alloys. Based on observed microstructure and its corresponding mechanical performance, the alloy with the composition of (FeCoNiCr)94Ti2Al4, when aged between 700 and 800 °C, gives the best balanced strength/ductility properties.","author":[{"dropping-particle":"","family":"He","given":"J. Y.","non-dropping-particle":"","parse-names":false,"suffix":""},{"dropping-particle":"","family":"Wang","given":"H.","non-dropping-particle":"","parse-names":false,"suffix":""},{"dropping-particle":"","family":"Wu","given":"Y.","non-dropping-particle":"","parse-names":false,"suffix":""},{"dropping-particle":"","family":"Liu","given":"X. J.","non-dropping-particle":"","parse-names":false,"suffix":""},{"dropping-particle":"","family":"Mao","given":"H. H.","non-dropping-particle":"","parse-names":false,"suffix":""},{"dropping-particle":"","family":"Nieh","given":"T. G.","non-dropping-particle":"","parse-names":false,"suffix":""},{"dropping-particle":"","family":"Lu","given":"Z. P.","non-dropping-particle":"","parse-names":false,"suffix":""}],"container-title":"Intermetallics","id":"ITEM-1","issued":{"date-parts":[["2016"]]},"title":"Precipitation behavior and its effects on tensile properties of FeCoNiCr high-entropy alloys","type":"article-journal"},"uris":["http://www.mendeley.com/documents/?uuid=6883d1d3-6a8c-462c-a891-eb66efe147fe","http://www.mendeley.com/documents/?uuid=25d94ed5-5b65-45be-8e2e-4e3436a16faa"]}],"mendeley":{"formattedCitation":"[100]","plainTextFormattedCitation":"[100]","previouslyFormattedCitation":"[100]"},"properties":{"noteIndex":0},"schema":"https://github.com/citation-style-language/schema/raw/master/csl-citation.json"}</w:instrText>
      </w:r>
      <w:r>
        <w:fldChar w:fldCharType="separate"/>
      </w:r>
      <w:r w:rsidRPr="003B39BC">
        <w:rPr>
          <w:noProof/>
        </w:rPr>
        <w:t>[100]</w:t>
      </w:r>
      <w:r>
        <w:fldChar w:fldCharType="end"/>
      </w:r>
      <w:r>
        <w:t xml:space="preserve"> which employed the</w:t>
      </w:r>
      <w:r w:rsidRPr="000826E5">
        <w:t xml:space="preserve"> γ phase as the matrix and introduc</w:t>
      </w:r>
      <w:r>
        <w:t>ed</w:t>
      </w:r>
      <w:r w:rsidRPr="000826E5">
        <w:t xml:space="preserve"> γ’ Ni-Al rich precipitates as the strengthening phase, </w:t>
      </w:r>
      <w:r>
        <w:t xml:space="preserve">it was found that </w:t>
      </w:r>
      <w:r w:rsidRPr="000826E5">
        <w:t xml:space="preserve">the precipitates </w:t>
      </w:r>
      <w:r>
        <w:t xml:space="preserve">formed </w:t>
      </w:r>
      <w:r w:rsidRPr="000826E5">
        <w:t xml:space="preserve">coherently within </w:t>
      </w:r>
      <w:r w:rsidR="005918C3">
        <w:t xml:space="preserve">the </w:t>
      </w:r>
      <w:r w:rsidRPr="000826E5">
        <w:t>γ matrix as shown in Fig.  2-20</w:t>
      </w:r>
      <w:r>
        <w:t>. This resulted in the</w:t>
      </w:r>
      <w:r w:rsidRPr="000826E5">
        <w:t xml:space="preserve"> enhancement of strength</w:t>
      </w:r>
      <w:r>
        <w:t xml:space="preserve">. Using different heat-treatment conditions, the mechanical performance of the alloy can </w:t>
      </w:r>
      <w:r w:rsidRPr="006B2702">
        <w:rPr>
          <w:noProof/>
        </w:rPr>
        <w:t>be tailored</w:t>
      </w:r>
      <w:r>
        <w:t xml:space="preserve"> in a large range (strength range from 270 MPa to 1900 MPa and </w:t>
      </w:r>
      <w:r>
        <w:rPr>
          <w:noProof/>
        </w:rPr>
        <w:t>e</w:t>
      </w:r>
      <w:r w:rsidRPr="006B2702">
        <w:rPr>
          <w:noProof/>
        </w:rPr>
        <w:t>longation</w:t>
      </w:r>
      <w:r>
        <w:t xml:space="preserve"> of approximately 40%). Through the activation of the low-</w:t>
      </w:r>
      <w:r w:rsidRPr="008C71F2">
        <w:rPr>
          <w:noProof/>
        </w:rPr>
        <w:t>misfit</w:t>
      </w:r>
      <w:r>
        <w:t xml:space="preserve"> isotropic γ’ precipitates, impressive strength (~1.5 GPa) with acceptable ductility (~9% elongation) was achieve</w:t>
      </w:r>
      <w:r w:rsidRPr="7D712FBC">
        <w:t>d</w:t>
      </w:r>
      <w:r>
        <w:t>. In summary, most reported precipitate</w:t>
      </w:r>
      <w:r w:rsidRPr="375D51F6">
        <w:t xml:space="preserve"> hardened</w:t>
      </w:r>
      <w:r>
        <w:t xml:space="preserve"> HEAs </w:t>
      </w:r>
      <w:r w:rsidRPr="006B2702">
        <w:rPr>
          <w:noProof/>
        </w:rPr>
        <w:t>concentrate</w:t>
      </w:r>
      <w:r>
        <w:t xml:space="preserve"> on ‘3d transitional group HEAs’ with </w:t>
      </w:r>
      <w:r w:rsidR="005918C3">
        <w:t xml:space="preserve">a </w:t>
      </w:r>
      <w:r>
        <w:t xml:space="preserve">FCC as the matrix. </w:t>
      </w:r>
      <w:r w:rsidRPr="00876B25">
        <w:t xml:space="preserve">Unlike precipitates such as B2, Laves and the sigma phase, precipitate with the most strengthening potential in this series of HEAs is γ’, which </w:t>
      </w:r>
      <w:r>
        <w:t>forms</w:t>
      </w:r>
      <w:r w:rsidRPr="00876B25">
        <w:t xml:space="preserve"> in a low misfit coherent manner in the </w:t>
      </w:r>
      <w:r>
        <w:t>CC</w:t>
      </w:r>
      <w:r w:rsidRPr="00876B25">
        <w:t xml:space="preserve"> matrix, where the strengthening effect is maximised </w:t>
      </w:r>
      <w:r>
        <w:t>and</w:t>
      </w:r>
      <w:r w:rsidRPr="00876B25">
        <w:t xml:space="preserve"> the loss of ductility is prevented</w:t>
      </w:r>
      <w:r w:rsidRPr="375D51F6">
        <w:t>.</w:t>
      </w:r>
    </w:p>
    <w:p w14:paraId="78797C78" w14:textId="77777777" w:rsidR="00624970" w:rsidRDefault="00624970" w:rsidP="00624970">
      <w:pPr>
        <w:keepNext/>
        <w:spacing w:afterLines="60" w:after="144" w:line="360" w:lineRule="auto"/>
        <w:jc w:val="center"/>
      </w:pPr>
      <w:r>
        <w:rPr>
          <w:noProof/>
          <w:lang w:val="en-US" w:eastAsia="en-US"/>
        </w:rPr>
        <w:lastRenderedPageBreak/>
        <w:drawing>
          <wp:inline distT="0" distB="0" distL="0" distR="0" wp14:anchorId="0EFA5734" wp14:editId="34F010FA">
            <wp:extent cx="3502325" cy="2991569"/>
            <wp:effectExtent l="0" t="0" r="3175" b="0"/>
            <wp:docPr id="17" name="图片 17" descr="Fi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06391" cy="2995042"/>
                    </a:xfrm>
                    <a:prstGeom prst="rect">
                      <a:avLst/>
                    </a:prstGeom>
                    <a:noFill/>
                    <a:ln>
                      <a:noFill/>
                    </a:ln>
                  </pic:spPr>
                </pic:pic>
              </a:graphicData>
            </a:graphic>
          </wp:inline>
        </w:drawing>
      </w:r>
    </w:p>
    <w:p w14:paraId="67A9052C" w14:textId="42BBF565" w:rsidR="00624970" w:rsidRPr="001F5994" w:rsidRDefault="00624970" w:rsidP="00624970">
      <w:pPr>
        <w:spacing w:afterLines="60" w:after="144" w:line="360" w:lineRule="auto"/>
        <w:jc w:val="both"/>
        <w:rPr>
          <w:sz w:val="20"/>
        </w:rPr>
      </w:pPr>
      <w:bookmarkStart w:id="148" w:name="_Toc5617642"/>
      <w:bookmarkStart w:id="149" w:name="_Toc7364575"/>
      <w:bookmarkStart w:id="150" w:name="_Toc39312689"/>
      <w:bookmarkStart w:id="151" w:name="OLE_LINK64"/>
      <w:r w:rsidRPr="001F5994">
        <w:rPr>
          <w:rFonts w:hint="eastAsia"/>
          <w:b/>
          <w:sz w:val="20"/>
        </w:rPr>
        <w:t>F</w:t>
      </w:r>
      <w:r w:rsidRPr="001F5994">
        <w:rPr>
          <w:b/>
          <w:sz w:val="20"/>
        </w:rPr>
        <w:t>ig</w:t>
      </w:r>
      <w:r>
        <w:rPr>
          <w:b/>
          <w:sz w:val="20"/>
        </w:rPr>
        <w:t>ure 2-</w:t>
      </w:r>
      <w:r w:rsidRPr="008B6028">
        <w:rPr>
          <w:b/>
          <w:sz w:val="20"/>
        </w:rPr>
        <w:fldChar w:fldCharType="begin"/>
      </w:r>
      <w:r w:rsidRPr="008B6028">
        <w:rPr>
          <w:b/>
          <w:sz w:val="20"/>
        </w:rPr>
        <w:instrText xml:space="preserve"> SEQ Figure \* ARABIC </w:instrText>
      </w:r>
      <w:r w:rsidRPr="008B6028">
        <w:rPr>
          <w:b/>
          <w:sz w:val="20"/>
        </w:rPr>
        <w:fldChar w:fldCharType="separate"/>
      </w:r>
      <w:r>
        <w:rPr>
          <w:b/>
          <w:noProof/>
          <w:sz w:val="20"/>
        </w:rPr>
        <w:t>20</w:t>
      </w:r>
      <w:r w:rsidRPr="008B6028">
        <w:rPr>
          <w:b/>
          <w:sz w:val="20"/>
        </w:rPr>
        <w:fldChar w:fldCharType="end"/>
      </w:r>
      <w:r>
        <w:rPr>
          <w:b/>
          <w:sz w:val="20"/>
        </w:rPr>
        <w:t xml:space="preserve"> Microstructure of </w:t>
      </w:r>
      <w:r w:rsidRPr="00FC36C7">
        <w:rPr>
          <w:b/>
          <w:sz w:val="20"/>
        </w:rPr>
        <w:t>Al</w:t>
      </w:r>
      <w:r w:rsidRPr="007870BB">
        <w:rPr>
          <w:b/>
          <w:sz w:val="20"/>
          <w:vertAlign w:val="subscript"/>
        </w:rPr>
        <w:t>0.</w:t>
      </w:r>
      <w:r w:rsidRPr="007C6BBB">
        <w:rPr>
          <w:b/>
          <w:sz w:val="20"/>
          <w:vertAlign w:val="subscript"/>
        </w:rPr>
        <w:t>5</w:t>
      </w:r>
      <w:r w:rsidRPr="00FC36C7">
        <w:rPr>
          <w:b/>
          <w:sz w:val="20"/>
        </w:rPr>
        <w:t>Cr</w:t>
      </w:r>
      <w:r w:rsidRPr="007C6BBB">
        <w:rPr>
          <w:b/>
          <w:sz w:val="20"/>
          <w:vertAlign w:val="subscript"/>
        </w:rPr>
        <w:t>0.9</w:t>
      </w:r>
      <w:r w:rsidRPr="00FC36C7">
        <w:rPr>
          <w:b/>
          <w:sz w:val="20"/>
        </w:rPr>
        <w:t>FeNi</w:t>
      </w:r>
      <w:r w:rsidRPr="007C6BBB">
        <w:rPr>
          <w:b/>
          <w:sz w:val="20"/>
          <w:vertAlign w:val="subscript"/>
        </w:rPr>
        <w:t>2.5</w:t>
      </w:r>
      <w:r w:rsidRPr="00FC36C7">
        <w:rPr>
          <w:b/>
          <w:sz w:val="20"/>
        </w:rPr>
        <w:t>V</w:t>
      </w:r>
      <w:r w:rsidRPr="007C6BBB">
        <w:rPr>
          <w:b/>
          <w:sz w:val="20"/>
          <w:vertAlign w:val="subscript"/>
        </w:rPr>
        <w:t>0.2</w:t>
      </w:r>
      <w:r>
        <w:rPr>
          <w:b/>
          <w:sz w:val="20"/>
        </w:rPr>
        <w:t xml:space="preserve"> and element distribution. </w:t>
      </w:r>
      <w:r w:rsidRPr="001F5994">
        <w:rPr>
          <w:sz w:val="20"/>
        </w:rPr>
        <w:t>(</w:t>
      </w:r>
      <w:r w:rsidRPr="001F5994">
        <w:rPr>
          <w:b/>
          <w:sz w:val="20"/>
        </w:rPr>
        <w:t>a</w:t>
      </w:r>
      <w:r w:rsidRPr="001F5994">
        <w:rPr>
          <w:sz w:val="20"/>
        </w:rPr>
        <w:t xml:space="preserve">) </w:t>
      </w:r>
      <w:r>
        <w:rPr>
          <w:sz w:val="20"/>
        </w:rPr>
        <w:t>a HRTEM</w:t>
      </w:r>
      <w:r w:rsidRPr="001F5994">
        <w:rPr>
          <w:sz w:val="20"/>
        </w:rPr>
        <w:t xml:space="preserve"> </w:t>
      </w:r>
      <w:r>
        <w:rPr>
          <w:sz w:val="20"/>
        </w:rPr>
        <w:t xml:space="preserve">image </w:t>
      </w:r>
      <w:r w:rsidRPr="001F5994">
        <w:rPr>
          <w:sz w:val="20"/>
        </w:rPr>
        <w:t>of L1</w:t>
      </w:r>
      <w:r w:rsidRPr="00960297">
        <w:rPr>
          <w:sz w:val="20"/>
          <w:vertAlign w:val="subscript"/>
        </w:rPr>
        <w:t>2</w:t>
      </w:r>
      <w:r w:rsidRPr="001F5994">
        <w:rPr>
          <w:sz w:val="20"/>
        </w:rPr>
        <w:t xml:space="preserve"> precipitates in</w:t>
      </w:r>
      <w:r>
        <w:rPr>
          <w:sz w:val="20"/>
        </w:rPr>
        <w:t xml:space="preserve"> the</w:t>
      </w:r>
      <w:r w:rsidRPr="001F5994">
        <w:rPr>
          <w:sz w:val="20"/>
        </w:rPr>
        <w:t xml:space="preserve"> </w:t>
      </w:r>
      <w:r>
        <w:rPr>
          <w:sz w:val="20"/>
        </w:rPr>
        <w:t>FCC matrix</w:t>
      </w:r>
      <w:r w:rsidRPr="001F5994">
        <w:rPr>
          <w:sz w:val="20"/>
        </w:rPr>
        <w:t xml:space="preserve">, inset showing </w:t>
      </w:r>
      <w:r>
        <w:rPr>
          <w:sz w:val="20"/>
        </w:rPr>
        <w:t>IFFT</w:t>
      </w:r>
      <w:r w:rsidRPr="001F5994">
        <w:rPr>
          <w:sz w:val="20"/>
        </w:rPr>
        <w:t xml:space="preserve"> spot</w:t>
      </w:r>
      <w:r>
        <w:rPr>
          <w:sz w:val="20"/>
        </w:rPr>
        <w:t>,</w:t>
      </w:r>
      <w:r w:rsidRPr="001F5994">
        <w:rPr>
          <w:sz w:val="20"/>
        </w:rPr>
        <w:t xml:space="preserve"> correspond</w:t>
      </w:r>
      <w:r>
        <w:rPr>
          <w:sz w:val="20"/>
        </w:rPr>
        <w:t>ing</w:t>
      </w:r>
      <w:r w:rsidRPr="001F5994">
        <w:rPr>
          <w:sz w:val="20"/>
        </w:rPr>
        <w:t xml:space="preserve"> to L1</w:t>
      </w:r>
      <w:r w:rsidRPr="00960297">
        <w:rPr>
          <w:sz w:val="20"/>
          <w:vertAlign w:val="subscript"/>
        </w:rPr>
        <w:t>2</w:t>
      </w:r>
      <w:r w:rsidRPr="001F5994">
        <w:rPr>
          <w:sz w:val="20"/>
        </w:rPr>
        <w:t xml:space="preserve"> </w:t>
      </w:r>
      <w:r>
        <w:rPr>
          <w:sz w:val="20"/>
        </w:rPr>
        <w:t>and the FCC structure; (</w:t>
      </w:r>
      <w:r w:rsidRPr="003F421B">
        <w:rPr>
          <w:b/>
          <w:sz w:val="20"/>
        </w:rPr>
        <w:t>b</w:t>
      </w:r>
      <w:r>
        <w:rPr>
          <w:sz w:val="20"/>
        </w:rPr>
        <w:t>) the lattice plane spacing; (</w:t>
      </w:r>
      <w:r w:rsidRPr="003F421B">
        <w:rPr>
          <w:b/>
          <w:sz w:val="20"/>
        </w:rPr>
        <w:t>c</w:t>
      </w:r>
      <w:r>
        <w:rPr>
          <w:b/>
          <w:sz w:val="20"/>
        </w:rPr>
        <w:t>-d</w:t>
      </w:r>
      <w:r>
        <w:rPr>
          <w:sz w:val="20"/>
        </w:rPr>
        <w:t xml:space="preserve">) </w:t>
      </w:r>
      <w:r>
        <w:rPr>
          <w:noProof/>
          <w:sz w:val="20"/>
        </w:rPr>
        <w:t>atom probe tomography revealin</w:t>
      </w:r>
      <w:r w:rsidR="00F35F2D">
        <w:rPr>
          <w:noProof/>
          <w:sz w:val="20"/>
        </w:rPr>
        <w:t>g</w:t>
      </w:r>
      <w:r>
        <w:rPr>
          <w:sz w:val="20"/>
        </w:rPr>
        <w:t xml:space="preserve"> elemental distribution for L1</w:t>
      </w:r>
      <w:r w:rsidRPr="00960297">
        <w:rPr>
          <w:sz w:val="20"/>
          <w:vertAlign w:val="subscript"/>
        </w:rPr>
        <w:t>2</w:t>
      </w:r>
      <w:r>
        <w:rPr>
          <w:sz w:val="20"/>
        </w:rPr>
        <w:t xml:space="preserve"> and the FCC phase; and (</w:t>
      </w:r>
      <w:r w:rsidRPr="007C6BBB">
        <w:rPr>
          <w:b/>
          <w:sz w:val="20"/>
        </w:rPr>
        <w:t>e-</w:t>
      </w:r>
      <w:r>
        <w:rPr>
          <w:b/>
          <w:sz w:val="20"/>
        </w:rPr>
        <w:t>f</w:t>
      </w:r>
      <w:r>
        <w:rPr>
          <w:sz w:val="20"/>
        </w:rPr>
        <w:t>)</w:t>
      </w:r>
      <w:r w:rsidRPr="003F421B">
        <w:rPr>
          <w:sz w:val="20"/>
        </w:rPr>
        <w:t xml:space="preserve"> </w:t>
      </w:r>
      <w:r>
        <w:rPr>
          <w:sz w:val="20"/>
        </w:rPr>
        <w:t xml:space="preserve">component concentrations varying against distance, indicating a diffuse gradient between precipitates and matrix </w:t>
      </w:r>
      <w:r>
        <w:rPr>
          <w:sz w:val="20"/>
        </w:rPr>
        <w:fldChar w:fldCharType="begin" w:fldLock="1"/>
      </w:r>
      <w:r>
        <w:rPr>
          <w:sz w:val="20"/>
        </w:rPr>
        <w:instrText>ADDIN CSL_CITATION {"citationItems":[{"id":"ITEM-1","itemData":{"DOI":"10.1038/s41467-018-06600-8","ISSN":"20411723","abstract":"Precipitation-hardening high-entropy alloys (PH-HEAs) with good strength−ductility balances are a promising candidate for advanced structural applications. However, current HEAs emphasize near-equiatomic initial compositions, which limit the increase of intermetallic precipitates that are closely related to the alloy strength. Here we present a strategy to design ultrastrong HEAs with high-content nanoprecipitates by phase separation, which can generate a near-equiatomic matrix in situ while forming strengthening phases, producing a PH-HEA regardless of the initial atomic ratio. Accordingly, we develop a non-equiatomic alloy that utilizes spinodal decomposition to create a low-misfit coherent nanostructure combining a near-equiatomic disordered face-centered-cubic (FCC) matrix with high-content ductile Ni3Al-type ordered nanoprecipitates. We find that this spinodal order–disorder nanostructure contributes to a strength increase of ~1.5 GPa (&gt;560%) relative to the HEA without precipitation, achieving one of the highest tensile strength (1.9 GPa) among all bulk HEAs reported previously while retaining good ductility (&gt;9%).","author":[{"dropping-particle":"","family":"Liang","given":"Yao Jian","non-dropping-particle":"","parse-names":false,"suffix":""},{"dropping-particle":"","family":"Wang","given":"Linjing","non-dropping-particle":"","parse-names":false,"suffix":""},{"dropping-particle":"","family":"Wen","given":"Yuren","non-dropping-particle":"","parse-names":false,"suffix":""},{"dropping-particle":"","family":"Cheng","given":"Baoyuan","non-dropping-particle":"","parse-names":false,"suffix":""},{"dropping-particle":"","family":"Wu","given":"Qinli","non-dropping-particle":"","parse-names":false,"suffix":""},{"dropping-particle":"","family":"Cao","given":"Tangqing","non-dropping-particle":"","parse-names":false,"suffix":""},{"dropping-particle":"","family":"Xiao","given":"Qian","non-dropping-particle":"","parse-names":false,"suffix":""},{"dropping-particle":"","family":"Xue","given":"Yunfei","non-dropping-particle":"","parse-names":false,"suffix":""},{"dropping-particle":"","family":"Sha","given":"Gang","non-dropping-particle":"","parse-names":false,"suffix":""},{"dropping-particle":"","family":"Wang","given":"Yandong","non-dropping-particle":"","parse-names":false,"suffix":""},{"dropping-particle":"","family":"Ren","given":"Yang","non-dropping-particle":"","parse-names":false,"suffix":""},{"dropping-particle":"","family":"Li","given":"Xiaoyan","non-dropping-particle":"","parse-names":false,"suffix":""},{"dropping-particle":"","family":"Wang","given":"Lu","non-dropping-particle":"","parse-names":false,"suffix":""},{"dropping-particle":"","family":"Wang","given":"Fuchi","non-dropping-particle":"","parse-names":false,"suffix":""},{"dropping-particle":"","family":"Cai","given":"Hongnian","non-dropping-particle":"","parse-names":false,"suffix":""}],"container-title":"Nature Communications","id":"ITEM-1","issued":{"date-parts":[["2018"]]},"title":"High-content ductile coherent nanoprecipitates achieve ultrastrong high-entropy alloys","type":"article-journal"},"uris":["http://www.mendeley.com/documents/?uuid=d1e0de3f-afd9-4009-b3a8-64fed11a3856"]}],"mendeley":{"formattedCitation":"[13]","plainTextFormattedCitation":"[13]","previouslyFormattedCitation":"[13]"},"properties":{"noteIndex":0},"schema":"https://github.com/citation-style-language/schema/raw/master/csl-citation.json"}</w:instrText>
      </w:r>
      <w:r>
        <w:rPr>
          <w:sz w:val="20"/>
        </w:rPr>
        <w:fldChar w:fldCharType="separate"/>
      </w:r>
      <w:bookmarkEnd w:id="148"/>
      <w:bookmarkEnd w:id="149"/>
      <w:r w:rsidRPr="003B39BC">
        <w:rPr>
          <w:noProof/>
          <w:sz w:val="20"/>
        </w:rPr>
        <w:t>[13]</w:t>
      </w:r>
      <w:r>
        <w:rPr>
          <w:sz w:val="20"/>
        </w:rPr>
        <w:fldChar w:fldCharType="end"/>
      </w:r>
      <w:r>
        <w:rPr>
          <w:sz w:val="20"/>
        </w:rPr>
        <w:t>.</w:t>
      </w:r>
      <w:bookmarkEnd w:id="150"/>
    </w:p>
    <w:bookmarkEnd w:id="151"/>
    <w:p w14:paraId="5A38534E" w14:textId="77777777" w:rsidR="00624970" w:rsidRDefault="00624970" w:rsidP="00624970">
      <w:pPr>
        <w:spacing w:afterLines="60" w:after="144" w:line="360" w:lineRule="auto"/>
        <w:jc w:val="both"/>
      </w:pPr>
      <w:r>
        <w:rPr>
          <w:rFonts w:hint="eastAsia"/>
        </w:rPr>
        <w:t>T</w:t>
      </w:r>
      <w:r>
        <w:t xml:space="preserve">he strategy of </w:t>
      </w:r>
      <w:r w:rsidRPr="006B2702">
        <w:rPr>
          <w:noProof/>
        </w:rPr>
        <w:t>utili</w:t>
      </w:r>
      <w:r>
        <w:rPr>
          <w:noProof/>
        </w:rPr>
        <w:t>s</w:t>
      </w:r>
      <w:r w:rsidRPr="006B2702">
        <w:rPr>
          <w:noProof/>
        </w:rPr>
        <w:t>ing</w:t>
      </w:r>
      <w:r>
        <w:t xml:space="preserve"> coherent ductile intermetallic precipitate strengthening of FCC based-HEAs has been researched extensively. </w:t>
      </w:r>
      <w:r>
        <w:rPr>
          <w:noProof/>
        </w:rPr>
        <w:t xml:space="preserve">By using </w:t>
      </w:r>
      <w:r>
        <w:t xml:space="preserve">FeCoNi </w:t>
      </w:r>
      <w:r>
        <w:fldChar w:fldCharType="begin" w:fldLock="1"/>
      </w:r>
      <w:r>
        <w:instrText>ADDIN CSL_CITATION {"citationItems":[{"id":"ITEM-1","itemData":{"DOI":"10.1016/j.actamat.2014.08.026","ISBN":"1359-6454","ISSN":"13596454","PMID":"27279217","abstract":"Compared to decades-old theories of strengthening in dilute solid solutions, the mechanical behavior of concentrated solid solutions is relatively poorly understood. A special subset of these materials includes alloys in which the constituent elements are present in equal atomic proportions, including the high-entropy alloys of recent interest. A unique characteristic of equiatomic alloys is the absence of \"solvent\" and \"solute\" atoms, resulting in a breakdown of the textbook picture of dislocations moving through a solvent lattice and encountering discrete solute obstacles. To clarify the mechanical behavior of this interesting new class of materials, we investigate here a family of equiatomic binary, ternary and quaternary alloys based on the elements Fe, Ni, Co, Cr and Mn that were previously shown to be single-phase face-centered cubic (fcc) solid solutions. The alloys were arc-melted, drop-cast, homogenized, cold-rolled and recrystallized to produce equiaxed microstructures with comparable grain sizes. Tensile tests were performed at an engineering strain rate of 10-3s-1at temperatures in the range 77-673 K. Unalloyed fcc Ni was processed similarly and tested for comparison. The flow stresses depend to varying degrees on temperature, with some (e.g. NiCoCr, NiCoCrMn and FeNiCoCr) exhibiting yield and ultimate strengths that increase strongly with decreasing temperature, while others (e.g. NiCo and Ni) exhibit very weak temperature dependencies. To better understand this behavior, the temperature dependencies of the yield strength and strain hardening were analyzed separately. Lattice friction appears to be the predominant component of the temperature-dependent yield stress, possibly because the Peierls barrier height decreases with increasing temperature due to a thermally induced increase of dislocation width. In the early stages of plastic flow (5-13% strain, depending on material), the temperature dependence of strain hardening is due mainly to the temperature dependence of the shear modulus. In all the equiatomic alloys, ductility and strength increase with decreasing temperature down to 77 K.","author":[{"dropping-particle":"","family":"Wu","given":"Z.","non-dropping-particle":"","parse-names":false,"suffix":""},{"dropping-particle":"","family":"Bei","given":"H.","non-dropping-particle":"","parse-names":false,"suffix":""},{"dropping-particle":"","family":"Pharr","given":"G. M.","non-dropping-particle":"","parse-names":false,"suffix":""},{"dropping-particle":"","family":"George","given":"E. P.","non-dropping-particle":"","parse-names":false,"suffix":""}],"container-title":"Acta Materialia","id":"ITEM-1","issued":{"date-parts":[["2014"]]},"title":"Temperature dependence of the mechanical properties of equiatomic solid solution alloys with face-centered cubic crystal structures","type":"article-journal"},"uris":["http://www.mendeley.com/documents/?uuid=efc75f0c-6808-48bf-a0bf-d59d4be3f36c","http://www.mendeley.com/documents/?uuid=50e0a4df-a237-4912-84ff-44b4f86c5c2b"]}],"mendeley":{"formattedCitation":"[101]","plainTextFormattedCitation":"[101]","previouslyFormattedCitation":"[101]"},"properties":{"noteIndex":0},"schema":"https://github.com/citation-style-language/schema/raw/master/csl-citation.json"}</w:instrText>
      </w:r>
      <w:r>
        <w:fldChar w:fldCharType="separate"/>
      </w:r>
      <w:r w:rsidRPr="003B39BC">
        <w:rPr>
          <w:noProof/>
        </w:rPr>
        <w:t>[101]</w:t>
      </w:r>
      <w:r>
        <w:fldChar w:fldCharType="end"/>
      </w:r>
      <w:r>
        <w:t xml:space="preserve"> as a base alloy, Yang developed </w:t>
      </w:r>
      <w:r w:rsidRPr="000638CB">
        <w:t>(FeCoNi)</w:t>
      </w:r>
      <w:r w:rsidRPr="004521C9">
        <w:rPr>
          <w:vertAlign w:val="subscript"/>
        </w:rPr>
        <w:t>86</w:t>
      </w:r>
      <w:r w:rsidRPr="000638CB">
        <w:t>-Al</w:t>
      </w:r>
      <w:r w:rsidRPr="004521C9">
        <w:rPr>
          <w:vertAlign w:val="subscript"/>
        </w:rPr>
        <w:t>7</w:t>
      </w:r>
      <w:r w:rsidRPr="000638CB">
        <w:t>Ti</w:t>
      </w:r>
      <w:r w:rsidRPr="004521C9">
        <w:rPr>
          <w:vertAlign w:val="subscript"/>
        </w:rPr>
        <w:t>7</w:t>
      </w:r>
      <w:r w:rsidRPr="000638CB">
        <w:t xml:space="preserve"> and (FeCoNi)</w:t>
      </w:r>
      <w:r w:rsidRPr="004521C9">
        <w:rPr>
          <w:vertAlign w:val="subscript"/>
        </w:rPr>
        <w:t>86</w:t>
      </w:r>
      <w:r w:rsidRPr="000638CB">
        <w:t>-Al</w:t>
      </w:r>
      <w:r w:rsidRPr="004521C9">
        <w:rPr>
          <w:vertAlign w:val="subscript"/>
        </w:rPr>
        <w:t>8</w:t>
      </w:r>
      <w:r w:rsidRPr="000638CB">
        <w:t>Ti</w:t>
      </w:r>
      <w:r w:rsidRPr="004521C9">
        <w:rPr>
          <w:vertAlign w:val="subscript"/>
        </w:rPr>
        <w:t>6</w:t>
      </w:r>
      <w:r w:rsidRPr="000638CB">
        <w:t xml:space="preserve"> </w:t>
      </w:r>
      <w:r w:rsidRPr="006B2702">
        <w:rPr>
          <w:noProof/>
        </w:rPr>
        <w:t>high</w:t>
      </w:r>
      <w:r>
        <w:rPr>
          <w:noProof/>
        </w:rPr>
        <w:t>-</w:t>
      </w:r>
      <w:r w:rsidRPr="006B2702">
        <w:rPr>
          <w:noProof/>
        </w:rPr>
        <w:t>performance</w:t>
      </w:r>
      <w:r>
        <w:t xml:space="preserve"> HEAs</w:t>
      </w:r>
      <w:r>
        <w:fldChar w:fldCharType="begin" w:fldLock="1"/>
      </w:r>
      <w:r>
        <w:instrText>ADDIN CSL_CITATION {"citationItems":[{"id":"ITEM-1","itemData":{"DOI":"10.1126/science.aas8815","ISBN":"1520-6106 (Print)","ISSN":"0036-8075","PMID":"18630956","abstract":"&lt;p&gt;Alloy design based on single–principal-element systems has approached its limit for performance enhancements. A substantial increase in strength up to gigapascal levels typically causes the premature failure of materials with reduced ductility. Here, we report a strategy to break this trade-off by controllably introducing high-density ductile multicomponent intermetallic nanoparticles (MCINPs) in complex alloy systems. Distinct from the intermetallic-induced embrittlement under conventional wisdom, such MCINP-strengthened alloys exhibit superior strengths of 1.5 gigapascals and ductility as high as 50% in tension at ambient temperature. The plastic instability, a major concern for high-strength materials, can be completely eliminated by generating a distinctive multistage work-hardening behavior, resulting from pronounced dislocation activities and deformation-induced microbands. This MCINP strategy offers a paradigm to develop next-generation materials for structural applications.&lt;/p&gt;","author":[{"dropping-particle":"","family":"Yang","given":"T.","non-dropping-particle":"","parse-names":false,"suffix":""},{"dropping-particle":"","family":"Zhao","given":"Y. L.","non-dropping-particle":"","parse-names":false,"suffix":""},{"dropping-particle":"","family":"Tong","given":"Y.","non-dropping-particle":"","parse-names":false,"suffix":""},{"dropping-particle":"","family":"Jiao","given":"Z. B.","non-dropping-particle":"","parse-names":false,"suffix":""},{"dropping-particle":"","family":"Wei","given":"J.","non-dropping-particle":"","parse-names":false,"suffix":""},{"dropping-particle":"","family":"Cai","given":"J. X.","non-dropping-particle":"","parse-names":false,"suffix":""},{"dropping-particle":"","family":"Han","given":"X. D.","non-dropping-particle":"","parse-names":false,"suffix":""},{"dropping-particle":"","family":"Chen","given":"D.","non-dropping-particle":"","parse-names":false,"suffix":""},{"dropping-particle":"","family":"Hu","given":"A.","non-dropping-particle":"","parse-names":false,"suffix":""},{"dropping-particle":"","family":"Kai","given":"J. J.","non-dropping-particle":"","parse-names":false,"suffix":""},{"dropping-particle":"","family":"Lu","given":"K.","non-dropping-particle":"","parse-names":false,"suffix":""},{"dropping-particle":"","family":"Liu","given":"Y.","non-dropping-particle":"","parse-names":false,"suffix":""},{"dropping-particle":"","family":"Liu","given":"C. T.","non-dropping-particle":"","parse-names":false,"suffix":""}],"container-title":"Science","id":"ITEM-1","issued":{"date-parts":[["2018"]]},"title":"Multicomponent intermetallic nanoparticles and superb mechanical behaviors of complex alloys","type":"article-journal"},"uris":["http://www.mendeley.com/documents/?uuid=ae5ed308-f15c-4253-a125-4e021776be44"]}],"mendeley":{"formattedCitation":"[92]","plainTextFormattedCitation":"[92]","previouslyFormattedCitation":"[92]"},"properties":{"noteIndex":0},"schema":"https://github.com/citation-style-language/schema/raw/master/csl-citation.json"}</w:instrText>
      </w:r>
      <w:r>
        <w:fldChar w:fldCharType="separate"/>
      </w:r>
      <w:r w:rsidRPr="003B39BC">
        <w:rPr>
          <w:noProof/>
        </w:rPr>
        <w:t>[92]</w:t>
      </w:r>
      <w:r>
        <w:fldChar w:fldCharType="end"/>
      </w:r>
      <w:r>
        <w:t>. For dense L1</w:t>
      </w:r>
      <w:r w:rsidRPr="002A56BE">
        <w:rPr>
          <w:vertAlign w:val="subscript"/>
        </w:rPr>
        <w:t>2</w:t>
      </w:r>
      <w:r>
        <w:t xml:space="preserve"> phase precipitated </w:t>
      </w:r>
      <w:r>
        <w:rPr>
          <w:rFonts w:hint="eastAsia"/>
        </w:rPr>
        <w:t>alloys</w:t>
      </w:r>
      <w:r>
        <w:t>, the yield strength and ultimate tensile strength were increased to the GPa level. In addition, over 50% tensile elongation was achieved</w:t>
      </w:r>
      <w:r w:rsidRPr="002E7407">
        <w:t xml:space="preserve"> </w:t>
      </w:r>
      <w:r>
        <w:t xml:space="preserve">whilst also obtaining high strength levels as mentioned, which can be attributed to the coherent nature of the </w:t>
      </w:r>
      <w:r w:rsidRPr="008C71F2">
        <w:rPr>
          <w:noProof/>
        </w:rPr>
        <w:t>L1</w:t>
      </w:r>
      <w:r w:rsidRPr="002A56BE">
        <w:rPr>
          <w:noProof/>
          <w:vertAlign w:val="subscript"/>
        </w:rPr>
        <w:t>2</w:t>
      </w:r>
      <w:r>
        <w:t xml:space="preserve"> phase with the FCC matrix. The L1</w:t>
      </w:r>
      <w:r w:rsidRPr="002A56BE">
        <w:rPr>
          <w:vertAlign w:val="subscript"/>
        </w:rPr>
        <w:t>2</w:t>
      </w:r>
      <w:r>
        <w:t xml:space="preserve"> </w:t>
      </w:r>
      <w:r w:rsidRPr="006B2702">
        <w:rPr>
          <w:noProof/>
        </w:rPr>
        <w:t>precipitates</w:t>
      </w:r>
      <w:r>
        <w:rPr>
          <w:noProof/>
        </w:rPr>
        <w:t xml:space="preserve"> show</w:t>
      </w:r>
      <w:r>
        <w:t xml:space="preserve"> clear dependence with the </w:t>
      </w:r>
      <w:r w:rsidRPr="008C71F2">
        <w:rPr>
          <w:noProof/>
        </w:rPr>
        <w:t>addition</w:t>
      </w:r>
      <w:r>
        <w:t xml:space="preserve"> of Al and Ti, which is identical to the reports previously</w:t>
      </w:r>
      <w:r w:rsidRPr="00E85B28">
        <w:t xml:space="preserve"> </w:t>
      </w:r>
      <w:r>
        <w:t>discussed.</w:t>
      </w:r>
      <w:r>
        <w:rPr>
          <w:rFonts w:hint="eastAsia"/>
        </w:rPr>
        <w:t xml:space="preserve"> </w:t>
      </w:r>
      <w:r>
        <w:rPr>
          <w:noProof/>
        </w:rPr>
        <w:t>The c</w:t>
      </w:r>
      <w:r w:rsidRPr="008C71F2">
        <w:rPr>
          <w:noProof/>
        </w:rPr>
        <w:t>arefully</w:t>
      </w:r>
      <w:r>
        <w:t xml:space="preserve"> tailored composition resulting in an innovative multi-stage work hardening phenomenon is shown in Fig. 2-21(g). </w:t>
      </w:r>
      <w:r w:rsidRPr="00511B3B">
        <w:t xml:space="preserve">Furthermore, through conducting </w:t>
      </w:r>
      <w:r>
        <w:t>atom probe tomography (</w:t>
      </w:r>
      <w:r w:rsidRPr="00511B3B">
        <w:t>APT</w:t>
      </w:r>
      <w:r>
        <w:t>)</w:t>
      </w:r>
      <w:r w:rsidRPr="00511B3B">
        <w:t xml:space="preserve"> analysis and DFT simulations on the L1</w:t>
      </w:r>
      <w:r w:rsidRPr="00F35F2D">
        <w:rPr>
          <w:vertAlign w:val="subscript"/>
        </w:rPr>
        <w:t>2</w:t>
      </w:r>
      <w:r w:rsidRPr="00511B3B">
        <w:t xml:space="preserve"> precipitates, the lattice occupanc</w:t>
      </w:r>
      <w:r>
        <w:t>y</w:t>
      </w:r>
      <w:r w:rsidRPr="00511B3B">
        <w:t xml:space="preserve"> of L1</w:t>
      </w:r>
      <w:r w:rsidRPr="00F35F2D">
        <w:rPr>
          <w:vertAlign w:val="subscript"/>
        </w:rPr>
        <w:t>2</w:t>
      </w:r>
      <w:r w:rsidRPr="00511B3B">
        <w:t xml:space="preserve"> </w:t>
      </w:r>
      <w:r>
        <w:t>was</w:t>
      </w:r>
      <w:r w:rsidRPr="00511B3B">
        <w:t xml:space="preserve"> identified as partially occupied by ordered</w:t>
      </w:r>
      <w:r>
        <w:t>,</w:t>
      </w:r>
      <w:r w:rsidRPr="00511B3B">
        <w:t xml:space="preserve"> multi-principal components</w:t>
      </w:r>
      <w:r>
        <w:t>. T</w:t>
      </w:r>
      <w:r w:rsidRPr="00511B3B">
        <w:t>he chemical composition of the L1</w:t>
      </w:r>
      <w:r w:rsidRPr="00F35F2D">
        <w:rPr>
          <w:vertAlign w:val="subscript"/>
        </w:rPr>
        <w:t>2</w:t>
      </w:r>
      <w:r w:rsidRPr="00511B3B">
        <w:t>-type precipitates is identified as (Ni</w:t>
      </w:r>
      <w:r w:rsidRPr="008C41ED">
        <w:rPr>
          <w:vertAlign w:val="subscript"/>
        </w:rPr>
        <w:t>43.3</w:t>
      </w:r>
      <w:r w:rsidRPr="00511B3B">
        <w:t>Co</w:t>
      </w:r>
      <w:r w:rsidRPr="008C41ED">
        <w:rPr>
          <w:vertAlign w:val="subscript"/>
        </w:rPr>
        <w:t>23.7</w:t>
      </w:r>
      <w:r w:rsidRPr="00511B3B">
        <w:t>Fe</w:t>
      </w:r>
      <w:r w:rsidRPr="008C41ED">
        <w:rPr>
          <w:vertAlign w:val="subscript"/>
        </w:rPr>
        <w:t>8</w:t>
      </w:r>
      <w:r w:rsidRPr="00511B3B">
        <w:t>)</w:t>
      </w:r>
      <w:r w:rsidRPr="008C41ED">
        <w:rPr>
          <w:vertAlign w:val="subscript"/>
        </w:rPr>
        <w:t>3</w:t>
      </w:r>
      <w:r w:rsidRPr="00511B3B">
        <w:t>(Ti</w:t>
      </w:r>
      <w:r w:rsidRPr="008C41ED">
        <w:rPr>
          <w:vertAlign w:val="subscript"/>
        </w:rPr>
        <w:t>14.4</w:t>
      </w:r>
      <w:r w:rsidRPr="00511B3B">
        <w:t>Al</w:t>
      </w:r>
      <w:r w:rsidRPr="008C41ED">
        <w:rPr>
          <w:vertAlign w:val="subscript"/>
        </w:rPr>
        <w:t>8.6</w:t>
      </w:r>
      <w:r w:rsidRPr="00511B3B">
        <w:t>Fe</w:t>
      </w:r>
      <w:r w:rsidRPr="008C41ED">
        <w:rPr>
          <w:vertAlign w:val="subscript"/>
        </w:rPr>
        <w:t>2</w:t>
      </w:r>
      <w:r w:rsidRPr="00511B3B">
        <w:t>)</w:t>
      </w:r>
      <w:r>
        <w:t>,</w:t>
      </w:r>
      <w:r w:rsidRPr="00511B3B">
        <w:t xml:space="preserve"> which made</w:t>
      </w:r>
      <w:r>
        <w:t xml:space="preserve"> a</w:t>
      </w:r>
      <w:r w:rsidRPr="00511B3B">
        <w:t xml:space="preserve"> major contribution to the impressive mechanical response of (FeCoNi)</w:t>
      </w:r>
      <w:r w:rsidRPr="008C41ED">
        <w:rPr>
          <w:vertAlign w:val="subscript"/>
        </w:rPr>
        <w:t>86</w:t>
      </w:r>
      <w:r w:rsidRPr="00511B3B">
        <w:t>-Al</w:t>
      </w:r>
      <w:r w:rsidRPr="008C41ED">
        <w:rPr>
          <w:vertAlign w:val="subscript"/>
        </w:rPr>
        <w:t>7</w:t>
      </w:r>
      <w:r w:rsidRPr="00511B3B">
        <w:t>Ti</w:t>
      </w:r>
      <w:r w:rsidRPr="008C41ED">
        <w:rPr>
          <w:vertAlign w:val="subscript"/>
        </w:rPr>
        <w:t>7</w:t>
      </w:r>
      <w:r w:rsidRPr="00511B3B">
        <w:t xml:space="preserve">.  </w:t>
      </w:r>
    </w:p>
    <w:p w14:paraId="3DE0CDDF" w14:textId="77777777" w:rsidR="00624970" w:rsidRDefault="00624970" w:rsidP="00624970">
      <w:pPr>
        <w:keepNext/>
        <w:spacing w:afterLines="60" w:after="144" w:line="360" w:lineRule="auto"/>
        <w:jc w:val="center"/>
      </w:pPr>
      <w:r w:rsidRPr="00A7356D">
        <w:rPr>
          <w:noProof/>
          <w:lang w:val="en-US" w:eastAsia="en-US"/>
        </w:rPr>
        <w:lastRenderedPageBreak/>
        <w:drawing>
          <wp:inline distT="0" distB="0" distL="0" distR="0" wp14:anchorId="78C80B4D" wp14:editId="2D6689ED">
            <wp:extent cx="5943600" cy="4156710"/>
            <wp:effectExtent l="0" t="0" r="0" b="0"/>
            <wp:docPr id="3" name="图片 20">
              <a:extLst xmlns:a="http://schemas.openxmlformats.org/drawingml/2006/main">
                <a:ext uri="{FF2B5EF4-FFF2-40B4-BE49-F238E27FC236}">
                  <a16:creationId xmlns:a16="http://schemas.microsoft.com/office/drawing/2014/main" id="{3B3B23B9-84C5-422B-A8A5-6056E7B837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a:extLst>
                        <a:ext uri="{FF2B5EF4-FFF2-40B4-BE49-F238E27FC236}">
                          <a16:creationId xmlns:a16="http://schemas.microsoft.com/office/drawing/2014/main" id="{3B3B23B9-84C5-422B-A8A5-6056E7B837E1}"/>
                        </a:ext>
                      </a:extLst>
                    </pic:cNvPr>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943600" cy="4156710"/>
                    </a:xfrm>
                    <a:prstGeom prst="rect">
                      <a:avLst/>
                    </a:prstGeom>
                  </pic:spPr>
                </pic:pic>
              </a:graphicData>
            </a:graphic>
          </wp:inline>
        </w:drawing>
      </w:r>
    </w:p>
    <w:p w14:paraId="7446CB7C" w14:textId="49FA5023" w:rsidR="00624970" w:rsidRPr="00977C79" w:rsidRDefault="00624970" w:rsidP="00624970">
      <w:pPr>
        <w:spacing w:afterLines="60" w:after="144" w:line="360" w:lineRule="auto"/>
        <w:jc w:val="both"/>
        <w:rPr>
          <w:sz w:val="20"/>
        </w:rPr>
      </w:pPr>
      <w:bookmarkStart w:id="152" w:name="_Toc5617643"/>
      <w:bookmarkStart w:id="153" w:name="_Toc7364576"/>
      <w:bookmarkStart w:id="154" w:name="_Toc39312690"/>
      <w:r w:rsidRPr="008B6028">
        <w:rPr>
          <w:rFonts w:hint="eastAsia"/>
          <w:b/>
          <w:sz w:val="20"/>
          <w:szCs w:val="20"/>
        </w:rPr>
        <w:t>F</w:t>
      </w:r>
      <w:r w:rsidRPr="008B6028">
        <w:rPr>
          <w:b/>
          <w:sz w:val="20"/>
          <w:szCs w:val="20"/>
        </w:rPr>
        <w:t>igure 2-</w:t>
      </w:r>
      <w:r w:rsidRPr="008B6028">
        <w:rPr>
          <w:b/>
          <w:sz w:val="20"/>
          <w:szCs w:val="20"/>
        </w:rPr>
        <w:fldChar w:fldCharType="begin"/>
      </w:r>
      <w:r w:rsidRPr="008B6028">
        <w:rPr>
          <w:b/>
          <w:sz w:val="20"/>
          <w:szCs w:val="20"/>
        </w:rPr>
        <w:instrText xml:space="preserve"> SEQ Figure \* ARABIC </w:instrText>
      </w:r>
      <w:r w:rsidRPr="008B6028">
        <w:rPr>
          <w:b/>
          <w:sz w:val="20"/>
          <w:szCs w:val="20"/>
        </w:rPr>
        <w:fldChar w:fldCharType="separate"/>
      </w:r>
      <w:r>
        <w:rPr>
          <w:b/>
          <w:noProof/>
          <w:sz w:val="20"/>
          <w:szCs w:val="20"/>
        </w:rPr>
        <w:t>21</w:t>
      </w:r>
      <w:r w:rsidRPr="008B6028">
        <w:rPr>
          <w:b/>
          <w:sz w:val="20"/>
          <w:szCs w:val="20"/>
        </w:rPr>
        <w:fldChar w:fldCharType="end"/>
      </w:r>
      <w:r w:rsidRPr="008B6028">
        <w:rPr>
          <w:b/>
          <w:sz w:val="20"/>
          <w:szCs w:val="20"/>
        </w:rPr>
        <w:t xml:space="preserve"> Illustration</w:t>
      </w:r>
      <w:r>
        <w:rPr>
          <w:b/>
          <w:sz w:val="20"/>
        </w:rPr>
        <w:t xml:space="preserve"> of the </w:t>
      </w:r>
      <w:r w:rsidRPr="006B2702">
        <w:rPr>
          <w:b/>
          <w:noProof/>
          <w:sz w:val="20"/>
        </w:rPr>
        <w:t>high</w:t>
      </w:r>
      <w:r>
        <w:rPr>
          <w:b/>
          <w:noProof/>
          <w:sz w:val="20"/>
        </w:rPr>
        <w:t>-</w:t>
      </w:r>
      <w:r w:rsidRPr="006B2702">
        <w:rPr>
          <w:b/>
          <w:noProof/>
          <w:sz w:val="20"/>
        </w:rPr>
        <w:t>performance</w:t>
      </w:r>
      <w:r>
        <w:rPr>
          <w:b/>
          <w:sz w:val="20"/>
        </w:rPr>
        <w:t xml:space="preserve"> L1</w:t>
      </w:r>
      <w:r w:rsidRPr="00841ACC">
        <w:rPr>
          <w:b/>
          <w:sz w:val="20"/>
          <w:vertAlign w:val="subscript"/>
        </w:rPr>
        <w:t>2</w:t>
      </w:r>
      <w:r>
        <w:rPr>
          <w:b/>
          <w:sz w:val="20"/>
        </w:rPr>
        <w:t xml:space="preserve"> precipitates strengthened </w:t>
      </w:r>
      <w:r w:rsidRPr="00CB3411">
        <w:rPr>
          <w:b/>
          <w:sz w:val="20"/>
        </w:rPr>
        <w:t>(FeCoNi)</w:t>
      </w:r>
      <w:r w:rsidRPr="00270BC5">
        <w:rPr>
          <w:b/>
          <w:sz w:val="20"/>
          <w:vertAlign w:val="subscript"/>
        </w:rPr>
        <w:t>86</w:t>
      </w:r>
      <w:r w:rsidRPr="00CB3411">
        <w:rPr>
          <w:b/>
          <w:sz w:val="20"/>
        </w:rPr>
        <w:t>-Al</w:t>
      </w:r>
      <w:r w:rsidRPr="00270BC5">
        <w:rPr>
          <w:b/>
          <w:sz w:val="20"/>
          <w:vertAlign w:val="subscript"/>
        </w:rPr>
        <w:t>7</w:t>
      </w:r>
      <w:r w:rsidRPr="00CB3411">
        <w:rPr>
          <w:b/>
          <w:sz w:val="20"/>
        </w:rPr>
        <w:t>Ti</w:t>
      </w:r>
      <w:r w:rsidRPr="00270BC5">
        <w:rPr>
          <w:b/>
          <w:sz w:val="20"/>
          <w:vertAlign w:val="subscript"/>
        </w:rPr>
        <w:t>7</w:t>
      </w:r>
      <w:r w:rsidRPr="00CB3411">
        <w:rPr>
          <w:b/>
          <w:sz w:val="20"/>
        </w:rPr>
        <w:t xml:space="preserve"> and (FeCoNi)</w:t>
      </w:r>
      <w:r w:rsidRPr="00050C7E">
        <w:rPr>
          <w:b/>
          <w:sz w:val="20"/>
          <w:vertAlign w:val="subscript"/>
        </w:rPr>
        <w:t>86</w:t>
      </w:r>
      <w:r w:rsidRPr="00CB3411">
        <w:rPr>
          <w:b/>
          <w:sz w:val="20"/>
        </w:rPr>
        <w:t>-Al</w:t>
      </w:r>
      <w:r w:rsidRPr="00050C7E">
        <w:rPr>
          <w:b/>
          <w:sz w:val="20"/>
          <w:vertAlign w:val="subscript"/>
        </w:rPr>
        <w:t>8</w:t>
      </w:r>
      <w:r w:rsidRPr="00CB3411">
        <w:rPr>
          <w:b/>
          <w:sz w:val="20"/>
        </w:rPr>
        <w:t>Ti</w:t>
      </w:r>
      <w:r w:rsidRPr="00050C7E">
        <w:rPr>
          <w:b/>
          <w:sz w:val="20"/>
          <w:vertAlign w:val="subscript"/>
        </w:rPr>
        <w:t>6</w:t>
      </w:r>
      <w:r>
        <w:rPr>
          <w:b/>
          <w:sz w:val="20"/>
        </w:rPr>
        <w:t xml:space="preserve">. </w:t>
      </w:r>
      <w:r w:rsidRPr="00A27DDF">
        <w:rPr>
          <w:sz w:val="20"/>
        </w:rPr>
        <w:t>(</w:t>
      </w:r>
      <w:r w:rsidRPr="001F5994">
        <w:rPr>
          <w:b/>
          <w:sz w:val="20"/>
        </w:rPr>
        <w:t>a</w:t>
      </w:r>
      <w:r w:rsidRPr="001F5994">
        <w:rPr>
          <w:sz w:val="20"/>
        </w:rPr>
        <w:t xml:space="preserve">) </w:t>
      </w:r>
      <w:r>
        <w:rPr>
          <w:sz w:val="20"/>
        </w:rPr>
        <w:t>The design strategy of L1</w:t>
      </w:r>
      <w:r w:rsidRPr="007103A5">
        <w:rPr>
          <w:sz w:val="20"/>
          <w:vertAlign w:val="subscript"/>
        </w:rPr>
        <w:t>2</w:t>
      </w:r>
      <w:r>
        <w:rPr>
          <w:sz w:val="20"/>
        </w:rPr>
        <w:t xml:space="preserve"> high entropy intermetallic reinforced HEAs; (</w:t>
      </w:r>
      <w:r>
        <w:rPr>
          <w:b/>
          <w:sz w:val="20"/>
        </w:rPr>
        <w:t>b-f</w:t>
      </w:r>
      <w:r>
        <w:rPr>
          <w:sz w:val="20"/>
        </w:rPr>
        <w:t>)</w:t>
      </w:r>
      <w:r w:rsidRPr="006B2702">
        <w:rPr>
          <w:noProof/>
          <w:sz w:val="20"/>
        </w:rPr>
        <w:t xml:space="preserve"> </w:t>
      </w:r>
      <w:r w:rsidRPr="008C71F2">
        <w:rPr>
          <w:noProof/>
          <w:sz w:val="20"/>
        </w:rPr>
        <w:t>microstructure</w:t>
      </w:r>
      <w:r>
        <w:rPr>
          <w:sz w:val="20"/>
        </w:rPr>
        <w:t xml:space="preserve"> of the </w:t>
      </w:r>
      <w:r w:rsidRPr="006B2702">
        <w:rPr>
          <w:noProof/>
          <w:sz w:val="20"/>
        </w:rPr>
        <w:t>synthesized</w:t>
      </w:r>
      <w:r>
        <w:rPr>
          <w:sz w:val="20"/>
        </w:rPr>
        <w:t xml:space="preserve"> target </w:t>
      </w:r>
      <w:r w:rsidRPr="008C71F2">
        <w:rPr>
          <w:noProof/>
          <w:sz w:val="20"/>
        </w:rPr>
        <w:t>alloy,</w:t>
      </w:r>
      <w:r>
        <w:rPr>
          <w:sz w:val="20"/>
        </w:rPr>
        <w:t xml:space="preserve"> consisting of nano L1</w:t>
      </w:r>
      <w:r w:rsidRPr="007103A5">
        <w:rPr>
          <w:sz w:val="20"/>
          <w:vertAlign w:val="subscript"/>
        </w:rPr>
        <w:t>2</w:t>
      </w:r>
      <w:r>
        <w:rPr>
          <w:sz w:val="20"/>
        </w:rPr>
        <w:t xml:space="preserve"> precipitates in the FCC matrix; and (</w:t>
      </w:r>
      <w:r>
        <w:rPr>
          <w:b/>
          <w:sz w:val="20"/>
        </w:rPr>
        <w:t>g-h</w:t>
      </w:r>
      <w:r>
        <w:rPr>
          <w:sz w:val="20"/>
        </w:rPr>
        <w:t>)</w:t>
      </w:r>
      <w:r w:rsidRPr="003F421B">
        <w:rPr>
          <w:sz w:val="20"/>
        </w:rPr>
        <w:t xml:space="preserve"> </w:t>
      </w:r>
      <w:r>
        <w:rPr>
          <w:sz w:val="20"/>
        </w:rPr>
        <w:t xml:space="preserve">the tensile properties of </w:t>
      </w:r>
      <w:r w:rsidRPr="00CB3411">
        <w:rPr>
          <w:sz w:val="20"/>
        </w:rPr>
        <w:t>(FeCoNi)</w:t>
      </w:r>
      <w:r w:rsidRPr="00050C7E">
        <w:rPr>
          <w:sz w:val="20"/>
          <w:vertAlign w:val="subscript"/>
        </w:rPr>
        <w:t>86</w:t>
      </w:r>
      <w:r w:rsidRPr="00CB3411">
        <w:rPr>
          <w:sz w:val="20"/>
        </w:rPr>
        <w:t>-Al</w:t>
      </w:r>
      <w:r w:rsidRPr="00050C7E">
        <w:rPr>
          <w:sz w:val="20"/>
          <w:vertAlign w:val="subscript"/>
        </w:rPr>
        <w:t>7</w:t>
      </w:r>
      <w:r w:rsidRPr="00CB3411">
        <w:rPr>
          <w:sz w:val="20"/>
        </w:rPr>
        <w:t>Ti</w:t>
      </w:r>
      <w:r w:rsidRPr="00050C7E">
        <w:rPr>
          <w:sz w:val="20"/>
          <w:vertAlign w:val="subscript"/>
        </w:rPr>
        <w:t>7</w:t>
      </w:r>
      <w:r w:rsidRPr="00CB3411">
        <w:rPr>
          <w:sz w:val="20"/>
        </w:rPr>
        <w:t xml:space="preserve"> and (FeCoNi)</w:t>
      </w:r>
      <w:r w:rsidRPr="007103A5">
        <w:rPr>
          <w:sz w:val="20"/>
          <w:vertAlign w:val="subscript"/>
        </w:rPr>
        <w:t>86</w:t>
      </w:r>
      <w:r w:rsidRPr="00CB3411">
        <w:rPr>
          <w:sz w:val="20"/>
        </w:rPr>
        <w:t>-Al</w:t>
      </w:r>
      <w:r w:rsidRPr="007103A5">
        <w:rPr>
          <w:sz w:val="20"/>
          <w:vertAlign w:val="subscript"/>
        </w:rPr>
        <w:t>8</w:t>
      </w:r>
      <w:r w:rsidRPr="00CB3411">
        <w:rPr>
          <w:sz w:val="20"/>
        </w:rPr>
        <w:t>Ti</w:t>
      </w:r>
      <w:r w:rsidRPr="007103A5">
        <w:rPr>
          <w:sz w:val="20"/>
          <w:vertAlign w:val="subscript"/>
        </w:rPr>
        <w:t>6</w:t>
      </w:r>
      <w:r>
        <w:rPr>
          <w:sz w:val="20"/>
        </w:rPr>
        <w:t xml:space="preserve">. The mechanical response </w:t>
      </w:r>
      <w:r w:rsidRPr="006B2702">
        <w:rPr>
          <w:noProof/>
          <w:sz w:val="20"/>
        </w:rPr>
        <w:t>outperform</w:t>
      </w:r>
      <w:r>
        <w:rPr>
          <w:noProof/>
          <w:sz w:val="20"/>
        </w:rPr>
        <w:t>s</w:t>
      </w:r>
      <w:r>
        <w:rPr>
          <w:sz w:val="20"/>
        </w:rPr>
        <w:t xml:space="preserve"> most known advanced alloy systems</w:t>
      </w:r>
      <w:r w:rsidRPr="00CB3411">
        <w:rPr>
          <w:sz w:val="20"/>
        </w:rPr>
        <w:t xml:space="preserve"> </w:t>
      </w:r>
      <w:r>
        <w:rPr>
          <w:sz w:val="20"/>
        </w:rPr>
        <w:fldChar w:fldCharType="begin" w:fldLock="1"/>
      </w:r>
      <w:r>
        <w:rPr>
          <w:sz w:val="20"/>
        </w:rPr>
        <w:instrText>ADDIN CSL_CITATION {"citationItems":[{"id":"ITEM-1","itemData":{"DOI":"10.1126/science.aas8815","ISBN":"1520-6106 (Print)","ISSN":"0036-8075","PMID":"18630956","abstract":"&lt;p&gt;Alloy design based on single–principal-element systems has approached its limit for performance enhancements. A substantial increase in strength up to gigapascal levels typically causes the premature failure of materials with reduced ductility. Here, we report a strategy to break this trade-off by controllably introducing high-density ductile multicomponent intermetallic nanoparticles (MCINPs) in complex alloy systems. Distinct from the intermetallic-induced embrittlement under conventional wisdom, such MCINP-strengthened alloys exhibit superior strengths of 1.5 gigapascals and ductility as high as 50% in tension at ambient temperature. The plastic instability, a major concern for high-strength materials, can be completely eliminated by generating a distinctive multistage work-hardening behavior, resulting from pronounced dislocation activities and deformation-induced microbands. This MCINP strategy offers a paradigm to develop next-generation materials for structural applications.&lt;/p&gt;","author":[{"dropping-particle":"","family":"Yang","given":"T.","non-dropping-particle":"","parse-names":false,"suffix":""},{"dropping-particle":"","family":"Zhao","given":"Y. L.","non-dropping-particle":"","parse-names":false,"suffix":""},{"dropping-particle":"","family":"Tong","given":"Y.","non-dropping-particle":"","parse-names":false,"suffix":""},{"dropping-particle":"","family":"Jiao","given":"Z. B.","non-dropping-particle":"","parse-names":false,"suffix":""},{"dropping-particle":"","family":"Wei","given":"J.","non-dropping-particle":"","parse-names":false,"suffix":""},{"dropping-particle":"","family":"Cai","given":"J. X.","non-dropping-particle":"","parse-names":false,"suffix":""},{"dropping-particle":"","family":"Han","given":"X. D.","non-dropping-particle":"","parse-names":false,"suffix":""},{"dropping-particle":"","family":"Chen","given":"D.","non-dropping-particle":"","parse-names":false,"suffix":""},{"dropping-particle":"","family":"Hu","given":"A.","non-dropping-particle":"","parse-names":false,"suffix":""},{"dropping-particle":"","family":"Kai","given":"J. J.","non-dropping-particle":"","parse-names":false,"suffix":""},{"dropping-particle":"","family":"Lu","given":"K.","non-dropping-particle":"","parse-names":false,"suffix":""},{"dropping-particle":"","family":"Liu","given":"Y.","non-dropping-particle":"","parse-names":false,"suffix":""},{"dropping-particle":"","family":"Liu","given":"C. T.","non-dropping-particle":"","parse-names":false,"suffix":""}],"container-title":"Science","id":"ITEM-1","issued":{"date-parts":[["2018"]]},"title":"Multicomponent intermetallic nanoparticles and superb mechanical behaviors of complex alloys","type":"article-journal"},"uris":["http://www.mendeley.com/documents/?uuid=ae5ed308-f15c-4253-a125-4e021776be44"]}],"mendeley":{"formattedCitation":"[92]","plainTextFormattedCitation":"[92]","previouslyFormattedCitation":"[92]"},"properties":{"noteIndex":0},"schema":"https://github.com/citation-style-language/schema/raw/master/csl-citation.json"}</w:instrText>
      </w:r>
      <w:r>
        <w:rPr>
          <w:sz w:val="20"/>
        </w:rPr>
        <w:fldChar w:fldCharType="separate"/>
      </w:r>
      <w:bookmarkEnd w:id="152"/>
      <w:bookmarkEnd w:id="153"/>
      <w:r w:rsidRPr="003B39BC">
        <w:rPr>
          <w:noProof/>
          <w:sz w:val="20"/>
        </w:rPr>
        <w:t>[92]</w:t>
      </w:r>
      <w:r>
        <w:rPr>
          <w:sz w:val="20"/>
        </w:rPr>
        <w:fldChar w:fldCharType="end"/>
      </w:r>
      <w:r>
        <w:rPr>
          <w:sz w:val="20"/>
        </w:rPr>
        <w:t>.</w:t>
      </w:r>
      <w:bookmarkEnd w:id="154"/>
    </w:p>
    <w:p w14:paraId="5AF94E54" w14:textId="77777777" w:rsidR="00624970" w:rsidRPr="001E3029" w:rsidRDefault="00624970" w:rsidP="00624970">
      <w:pPr>
        <w:pStyle w:val="3"/>
        <w:spacing w:before="0" w:afterLines="60" w:after="144" w:line="360" w:lineRule="auto"/>
        <w:rPr>
          <w:rFonts w:asciiTheme="minorHAnsi" w:hAnsiTheme="minorHAnsi"/>
          <w:b/>
          <w:color w:val="000000" w:themeColor="text1"/>
          <w:sz w:val="32"/>
        </w:rPr>
      </w:pPr>
      <w:bookmarkStart w:id="155" w:name="_Toc5618287"/>
      <w:bookmarkStart w:id="156" w:name="_Toc22052513"/>
      <w:r w:rsidRPr="001E3029">
        <w:rPr>
          <w:rFonts w:asciiTheme="minorHAnsi" w:hAnsiTheme="minorHAnsi"/>
          <w:b/>
          <w:color w:val="000000" w:themeColor="text1"/>
          <w:sz w:val="32"/>
        </w:rPr>
        <w:t>2.5.2 TRIP, TWIP and other strengthening strateg</w:t>
      </w:r>
      <w:r>
        <w:rPr>
          <w:rFonts w:asciiTheme="minorHAnsi" w:hAnsiTheme="minorHAnsi"/>
          <w:b/>
          <w:color w:val="000000" w:themeColor="text1"/>
          <w:sz w:val="32"/>
        </w:rPr>
        <w:t>ies</w:t>
      </w:r>
      <w:bookmarkEnd w:id="155"/>
      <w:bookmarkEnd w:id="156"/>
    </w:p>
    <w:p w14:paraId="293ED724" w14:textId="6C96261A" w:rsidR="00624970" w:rsidRDefault="00624970" w:rsidP="00624970">
      <w:pPr>
        <w:spacing w:afterLines="60" w:after="144" w:line="360" w:lineRule="auto"/>
        <w:jc w:val="both"/>
      </w:pPr>
      <w:r>
        <w:t xml:space="preserve">Twining induced plasticity (TWIP) has attracted great </w:t>
      </w:r>
      <w:r>
        <w:rPr>
          <w:noProof/>
        </w:rPr>
        <w:t>interest in recent years,</w:t>
      </w:r>
      <w:r w:rsidRPr="531279D5">
        <w:t xml:space="preserve"> </w:t>
      </w:r>
      <w:r>
        <w:t>owing to its effectiveness in solving the strength</w:t>
      </w:r>
      <w:r w:rsidRPr="531279D5">
        <w:t>-</w:t>
      </w:r>
      <w:r>
        <w:t>ductility trade-off. As a deformation mechanism with virtually no misfit between deformation products and matrix lattice, the strength of TWIP alloys is maintained by the dynamic Hall-Petch effect; while the ductility is enabled by continuously formed mechanical twinning</w:t>
      </w:r>
      <w:r w:rsidRPr="531279D5">
        <w:t>,</w:t>
      </w:r>
      <w:r>
        <w:t xml:space="preserve"> which acts to alleviate the defect accumulation, hence avoiding early crack formation. The critical condition to introduce TWIP into selected metallic materials</w:t>
      </w:r>
      <w:r w:rsidRPr="531279D5">
        <w:t xml:space="preserve">, </w:t>
      </w:r>
      <w:r w:rsidRPr="006B2702">
        <w:rPr>
          <w:noProof/>
        </w:rPr>
        <w:t>is mainly determined</w:t>
      </w:r>
      <w:r>
        <w:t xml:space="preserve"> by the magnitude of stacking fault energy (SFE). The deformation mechanism follows a sequence of activations, (i) dislocation glide domain; (ii) dislocation glide and mechanical twinning domain; and (iii) dislocation glide and phase transformation </w:t>
      </w:r>
      <w:r>
        <w:lastRenderedPageBreak/>
        <w:t xml:space="preserve">domain. </w:t>
      </w:r>
      <w:r>
        <w:rPr>
          <w:noProof/>
        </w:rPr>
        <w:t>An i</w:t>
      </w:r>
      <w:r w:rsidRPr="006B2702">
        <w:rPr>
          <w:noProof/>
        </w:rPr>
        <w:t>nteresting</w:t>
      </w:r>
      <w:r>
        <w:t xml:space="preserve"> discovery summarised from previous </w:t>
      </w:r>
      <w:r w:rsidRPr="006B2702">
        <w:rPr>
          <w:noProof/>
        </w:rPr>
        <w:t>experimental</w:t>
      </w:r>
      <w:r>
        <w:t xml:space="preserve"> results, is that the tuning of SFE will affect the activation of TWIP and the activation of TRIP</w:t>
      </w:r>
      <w:r w:rsidRPr="531279D5">
        <w:t>,</w:t>
      </w:r>
      <w:r>
        <w:t xml:space="preserve"> which </w:t>
      </w:r>
      <w:r w:rsidRPr="008C71F2">
        <w:rPr>
          <w:noProof/>
        </w:rPr>
        <w:t>indicate</w:t>
      </w:r>
      <w:r>
        <w:rPr>
          <w:noProof/>
        </w:rPr>
        <w:t>s</w:t>
      </w:r>
      <w:r>
        <w:t xml:space="preserve"> the underlying mechanism to </w:t>
      </w:r>
      <w:r w:rsidRPr="006B2702">
        <w:rPr>
          <w:noProof/>
        </w:rPr>
        <w:t>induc</w:t>
      </w:r>
      <w:r>
        <w:rPr>
          <w:noProof/>
        </w:rPr>
        <w:t>e</w:t>
      </w:r>
      <w:r>
        <w:t xml:space="preserve"> TWIP is similar to the one to activate TRIP </w:t>
      </w:r>
      <w:r>
        <w:fldChar w:fldCharType="begin" w:fldLock="1"/>
      </w:r>
      <w:r>
        <w:instrText xml:space="preserve">ADDIN CSL_CITATION {"citationItems":[{"id":"ITEM-1","itemData":{"DOI":"10.1016/j.actamat.2014.01.001","ISBN":"13596454","ISSN":"13596454","PMID":"14814773","abstract":"The stacking fault and interfacial energies of three transformation- and twinning-induced plasticity steels (TRIP/TWIP) (Fe-22/25/28Mn-3Al-3Si wt.%) were determined by experimental and theoretical methods. Analysis of Shockley partial dislocation configurations in the three alloys using weak-beam dark-field transmission electron microscopy yielded stacking fault energy (SFE) values of 15 ± 3, 21 ± 3 and 39 ± 5 mJ m-2 for alloys with 22, 25 and 28 wt.% Mn, respectively. The experimental SFE includes a coherency strain energy of </w:instrText>
      </w:r>
      <w:r>
        <w:rPr>
          <w:rFonts w:ascii="Cambria Math" w:hAnsi="Cambria Math" w:cs="Cambria Math"/>
        </w:rPr>
        <w:instrText>∼</w:instrText>
      </w:r>
      <w:r>
        <w:instrText>1-4 mJ m-2, determined by X-ray diffraction, which arises from the contraction in volume of the stacking fault upon the face-centered cubic (fcc) to hexagonal close-packed (hcp) phase transformation. The ideal SFE, computed as the difference between the experimental SFE and the coherency strain energy, is equal to14 ± 3, 19 ± 3 and 35 ± 5 mJ m-2, respectively. These SFE values were used in conjunction with a thermodynamic model developed in the present work to calculate the free energy difference of the fcc and hcp phases and to determine a probable range for the fcc/hcp interfacial energy in the three Fe-Mn-(Al-Si) steels investigated. In addition, the interfacial energies of three Fe-18Mn-0.6C-0/1.5(Al/Si) TWIP and five Fe-16/18/20/22/25Mn binary alloys were also determined from experimental data in the literature. The interfacial energy ranged from 8 to 12 mJ m-2 in the TRIP/TWIP steels and from 15 to 33 mJ m-2 in the binary Fe-Mn alloys. The interfacial energy exhibits a strong dependence on the difference in Gibbs energy of the individual fcc and hcp phases. Accordingly, an empirical description of this parameter is proposed to improve the accuracy of thermodynamic SFE calculations.© 2014 Acta Materialia Inc. Published by Elsevier Ltd. All rights reserved.","author":[{"dropping-particle":"","family":"Pierce","given":"D. T.","non-dropping-particle":"","parse-names":false,"suffix":""},{"dropping-particle":"","family":"Jiménez","given":"J. A.","non-dropping-particle":"","parse-names":false,"suffix":""},{"dropping-particle":"","family":"Bentley","given":"J.","non-dropping-particle":"","parse-names":false,"suffix":""},{"dropping-particle":"","family":"Raabe","given":"D.","non-dropping-particle":"","parse-names":false,"suffix":""},{"dropping-particle":"","family":"Oskay","given":"C.","non-dropping-particle":"","parse-names":false,"suffix":""},{"dropping-particle":"","family":"Wittig","given":"J. E.","non-dropping-particle":"","parse-names":false,"suffix":""}],"container-title":"Acta Materialia","id":"ITEM-1","issued":{"date-parts":[["2014"]]},"title":"The influence of manganese content on the stacking fault and austenite/ε-martensite interfacial energies in Fe-Mn-(Al-Si) steels investigated by experiment and theory","type":"article-journal"},"uris":["http://www.mendeley.com/documents/?uuid=02a17970-a993-48f6-bd15-e53613f65058","http://www.mendeley.com/documents/?uuid=4a74090d-f73f-4c50-8613-396332d2ebed"]},{"id":"ITEM-2","itemData":{"DOI":"10.1016/j.msea.2006.12.170","ISBN":"09215093","ISSN":"09215093","abstract":"We present a thermochemical model of the stacking-fault energy (SFE) in the Fe-Mn-C system with few percent of Cu, Cr, Al and Si in addition. Aluminium strongly increases the SFE, contrary to chromium, while the effect of silicon is more complex. Copper also increases the SFE, but strongly decreases the Néel temperature. The SFE is the relevant parameter that controls mechanical twinning, which is known to be at the origin of the excellent mechanical properties of these steels. Using this model, copper containing Fe-Mn-C grades were elaborated with SFE below 18 mJ/m2, in the range where ε-martensite platelets form instead of microtwins during plastic deformation. This substitution of deformation modes, confirmed by X-ray diffraction, does not significantly damage the mechanical properties, as long as the SFE</w:instrText>
      </w:r>
      <w:r>
        <w:rPr>
          <w:rFonts w:hint="eastAsia"/>
        </w:rPr>
        <w:instrText xml:space="preserve"> is greater than 12 mJ/m2, which avoids the formation of </w:instrText>
      </w:r>
      <w:r>
        <w:rPr>
          <w:rFonts w:hint="eastAsia"/>
        </w:rPr>
        <w:instrText>α′</w:instrText>
      </w:r>
      <w:r>
        <w:rPr>
          <w:rFonts w:hint="eastAsia"/>
        </w:rPr>
        <w:instrText>-martensite. © 2007 Elsevier B.V. All rights reserved.","author":[{"dropping-particle":"","family":"Dumay","given":"A.","non-dropping-particle":"","parse-names":false,"suffix":""},{"dropping-parti</w:instrText>
      </w:r>
      <w:r>
        <w:instrText>cle":"","family":"Chateau","given":"J. P.","non-dropping-particle":"","parse-names":false,"suffix":""},{"dropping-particle":"","family":"Allain","given":"S.","non-dropping-particle":"","parse-names":false,"suffix":""},{"dropping-particle":"","family":"Migot","given":"S.","non-dropping-particle":"","parse-names":false,"suffix":""},{"dropping-particle":"","family":"Bouaziz","given":"O.","non-dropping-particle":"","parse-names":false,"suffix":""}],"container-title":"Materials Science and Engineering A","id":"ITEM-2","issued":{"date-parts":[["2008"]]},"title":"Influence of addition elements on the stacking-fault energy and mechanical properties of an austenitic Fe-Mn-C steel","type":"article-journal"},"uris":["http://www.mendeley.com/documents/?uuid=4327ed4c-f96d-48a4-a7f8-dc2d732ec633","http://www.mendeley.com/documents/?uuid=ce5e0483-a2ff-4e73-8628-ab0dd788f62f"]},{"id":"ITEM-3","itemData":{"DOI":"10.1007/s40195-012-0501-x","ISBN":"1006-7191","ISSN":"10067191","abstract":"High manganese twinning-induced plasticity (TWIP) steel is a new kind of\\nstructural material and possesses both high strength and superior\\nplasticity and can meet the weight-lightening requirement for\\nmanufacturing vehicle body. The excellent formability of the TWIP steel\\ncomes from the extraordinary strain hardening effect during plastic\\ndeformation. The reduction of specific weight by aluminum alloying and\\nstrain hardening effect can lead to an effective weight reduction of the\\nsteel components, and provide a better choice for materials in vehicle\\nbody design. The TWIP effect in high Mn steels is generally associated\\nwith the successive work-hardening generated by twins and influenced by\\nsome factors, such as Mn content, Al addition revealed by stacking fault\\nenergy (SFE), grain size, deformation temperature and strain rate. The\\npresent review introduces some aspects of the TWIP steels relating to\\ntheir physical metallurgy, influencing factors associated with their\\ndeformation mechanisms, and a prospect for the future investigation is\\nalso described. Moreover, as a potential candidate for replacing Ni-Cr\\naustenitic stainless steel, researches on the oxidation behavior and\\ncorrosion resistance of Fe-Mn-Al-C system steels are also reviewed.","author":[{"dropping-particle":"","family":"Chen","given":"Liqing","non-dropping-particle":"","parse-names":false,"suffix":""},{"dropping-particle":"","family":"Zhao","given":"Yang","non-dropping-particle":"","parse-names":false,"suffix":""},{"dropping-particle":"","family":"Qin","given":"Xiaomei","non-dropping-particle":"","parse-names":false,"suffix":""}],"container-title":"Acta Metallurgica Sinica (English Letters)","id":"ITEM-3","issued":{"date-parts":[["2013"]]},"title":"Some aspects of high manganese twinning-induced plasticity (TWIP) steel, a review","type":"article"},"uris":["http://www.mendeley.com/documents/?uuid=21ba262a-5af4-4e4d-a9ed-bc927f054968","http://www.mendeley.com/documents/?uuid=8c6badef-4bbd-49b0-b637-654d454b4f30"]},{"id":"ITEM-4","itemData":{"DOI":"10.1016/j.msea.2004.05.038","ISBN":"0921-5093","ISSN":"09215093","abstract":"We propose a 2D simulation of the formation of twins, in correlation with their microstructure observed in a Fe-22 wt.% Mn-0.6 wt.% C austenitic steel deformed at room temperature. TEM observations show that microtwins of a few tens of nanometer thick develop in between grain and twin boundaries, and are stored into stacks of a few tenth of micron wide. We first use a model of the emission of an isolated microtwin, based on the critical stress required to develop successive Shockley dislocation loops along parallel slip planes. As the first loop drags a stacking fault, while the following ones only thicken it, when the critical stress is reached, several dislocations are emitted until the backstress shuts down the source at the equilibrium state. After, the twin thickens stably with the increase of the applied stress. The same model is reproduced to simulate numerically the simultaneous formation of interacting microtwins in a stack. We give a general law correlating the average thickness of the twins with the stacking fault energy, their length, their number and their distance. The thickness is a key parameter in our physically based model presented during this congress. © 2004 Elsevier B.V. All rights reserved.","author":[{"dropping-particle":"","family":"Allain","given":"S.","non-dropping-particle":"","parse-names":false,"suffix":""},{"dropping-particle":"","family":"Chateau","given":"J. P.","non-dropping-particle":"","parse-names":false,"suffix":""},{"dropping-particle":"","family":"Dahmoun","given":"D.","non-dropping-particle":"","parse-names":false,"suffix":""},{"dropping-particle":"","family":"Bouaziz","given":"O.","non-dropping-particle":"","parse-names":false,"suffix":""}],"container-title":"Materials Science and Engineering A","id":"ITEM-4","issued":{"date-parts":[["2004"]]},"title":"Modeling of mechanical twinning in a high manganese content austenitic steel","type":"article-journal"},"uris":["http://www.mendeley.com/documents/?uuid=f13ff061-401d-4d1f-b355-8c57d6e3dd57","http://www.mendeley.com/documents/?uuid=775c6acd-3297-4850-873e-f55a559f16ab"]}],"mendeley":{"formattedCitation":"[102–105]","plainTextFormattedCitation":"[102–105]","previouslyFormattedCitation":"[102–105]"},"properties":{"noteIndex":0},"schema":"https://github.com/citation-style-language/schema/raw/master/csl-citation.json"}</w:instrText>
      </w:r>
      <w:r>
        <w:fldChar w:fldCharType="separate"/>
      </w:r>
      <w:r w:rsidRPr="003B39BC">
        <w:rPr>
          <w:noProof/>
        </w:rPr>
        <w:t>[102–105]</w:t>
      </w:r>
      <w:r>
        <w:fldChar w:fldCharType="end"/>
      </w:r>
      <w:r w:rsidRPr="531279D5">
        <w:t xml:space="preserve">. </w:t>
      </w:r>
      <w:r w:rsidRPr="006B2702">
        <w:rPr>
          <w:noProof/>
        </w:rPr>
        <w:t>Detailed</w:t>
      </w:r>
      <w:r>
        <w:t xml:space="preserve"> investigations </w:t>
      </w:r>
      <w:r w:rsidRPr="008C71F2">
        <w:rPr>
          <w:noProof/>
        </w:rPr>
        <w:t>ha</w:t>
      </w:r>
      <w:r>
        <w:rPr>
          <w:noProof/>
        </w:rPr>
        <w:t>ve</w:t>
      </w:r>
      <w:r>
        <w:t xml:space="preserve"> been conducted on steel with a</w:t>
      </w:r>
      <w:r w:rsidRPr="531279D5">
        <w:t xml:space="preserve"> </w:t>
      </w:r>
      <w:r>
        <w:t>high Mn content</w:t>
      </w:r>
      <w:r w:rsidRPr="531279D5">
        <w:t xml:space="preserve"> </w:t>
      </w:r>
      <w:r>
        <w:t xml:space="preserve">to explore the influence of SFE on the selection of deformation mechanisms through varying the content of Mn </w:t>
      </w:r>
      <w:r>
        <w:fldChar w:fldCharType="begin" w:fldLock="1"/>
      </w:r>
      <w:r>
        <w:instrText>ADDIN CSL_CITATION {"citationItems":[{"id":"ITEM-1","itemData":{"DOI":"10.2355/isijinternational.43.438","ISBN":"10.2355/isijinternational.43.438","ISSN":"0915-1559","PMID":"19085183","abstract":"The microstructural properties of advanced high strength and supra-ductile TRIP and TWIP steels with high-manganese concentrations (15 to 25 mass%) and additions of aluminum and silicon (2 to 4mass%) were investigated as a function of temperature (−196 to 400°C) and strain rate (10−4</w:instrText>
      </w:r>
      <w:r>
        <w:rPr>
          <w:rFonts w:hint="eastAsia"/>
        </w:rPr>
        <w:instrText>≤ε≤</w:instrText>
      </w:r>
      <w:r>
        <w:instrText>103 s−1). Multiple martensi</w:instrText>
      </w:r>
      <w:r>
        <w:rPr>
          <w:rFonts w:hint="eastAsia"/>
        </w:rPr>
        <w:instrText xml:space="preserve">tic </w:instrText>
      </w:r>
      <w:r>
        <w:rPr>
          <w:rFonts w:hint="eastAsia"/>
        </w:rPr>
        <w:instrText>γ</w:instrText>
      </w:r>
      <w:r>
        <w:rPr>
          <w:rFonts w:hint="eastAsia"/>
        </w:rPr>
        <w:instrText>fcc (austenie)</w:instrText>
      </w:r>
      <w:r>
        <w:rPr>
          <w:rFonts w:hint="eastAsia"/>
        </w:rPr>
        <w:instrText>→ε</w:instrText>
      </w:r>
      <w:r>
        <w:rPr>
          <w:rFonts w:hint="eastAsia"/>
        </w:rPr>
        <w:instrText>hcpMs (hcp-martensite)</w:instrText>
      </w:r>
      <w:r>
        <w:rPr>
          <w:rFonts w:hint="eastAsia"/>
        </w:rPr>
        <w:instrText>→α</w:instrText>
      </w:r>
      <w:r>
        <w:rPr>
          <w:rFonts w:hint="eastAsia"/>
        </w:rPr>
        <w:instrText>bccMs (bcc-martensite)-transformations occurred in the TRIP steel when deformed at higher strain rates and ambient temperatures. This mechanism leads to a pronounced strain hardening and high tensile strength (</w:instrText>
      </w:r>
      <w:r>
        <w:instrText>&gt;1 000 MPa) with improved elongations to failure of &gt;50%. The austenitic TWIP steel reveals extensive twin formation when deformed below 150°C at low and high strain rates. Under these conditions extremely high tensile ductility (&gt;80%) and energy absorpti</w:instrText>
      </w:r>
      <w:r>
        <w:rPr>
          <w:rFonts w:hint="eastAsia"/>
        </w:rPr>
        <w:instrText xml:space="preserve">on is achieved and no brittle fracture transition temperature occurs. The governing microstructural parameter is the stacking fault energy </w:instrText>
      </w:r>
      <w:r>
        <w:rPr>
          <w:rFonts w:hint="eastAsia"/>
        </w:rPr>
        <w:instrText>Γ</w:instrText>
      </w:r>
      <w:r>
        <w:rPr>
          <w:rFonts w:hint="eastAsia"/>
        </w:rPr>
        <w:instrText xml:space="preserve">fcc of the fcc austenite and the phase stability determined by the Gibbs free energy </w:instrText>
      </w:r>
      <w:r>
        <w:rPr>
          <w:rFonts w:hint="eastAsia"/>
        </w:rPr>
        <w:instrText>Δ</w:instrText>
      </w:r>
      <w:r>
        <w:rPr>
          <w:rFonts w:hint="eastAsia"/>
        </w:rPr>
        <w:instrText>G</w:instrText>
      </w:r>
      <w:r>
        <w:rPr>
          <w:rFonts w:hint="eastAsia"/>
        </w:rPr>
        <w:instrText>γ→ε</w:instrText>
      </w:r>
      <w:r>
        <w:rPr>
          <w:rFonts w:hint="eastAsia"/>
        </w:rPr>
        <w:instrText>. These factors are stron</w:instrText>
      </w:r>
      <w:r>
        <w:instrText>gly influenced by the manganese content and additions of aluminum and silicon.The stacking fault energy Γfcc and the Gibbs free energy G were calculated using the regular solution model. The results show that aluminum increases Γfcc and suppresses the γfc</w:instrText>
      </w:r>
      <w:r>
        <w:rPr>
          <w:rFonts w:hint="eastAsia"/>
        </w:rPr>
        <w:instrText>c</w:instrText>
      </w:r>
      <w:r>
        <w:rPr>
          <w:rFonts w:hint="eastAsia"/>
        </w:rPr>
        <w:instrText>→ε</w:instrText>
      </w:r>
      <w:r>
        <w:rPr>
          <w:rFonts w:hint="eastAsia"/>
        </w:rPr>
        <w:instrText xml:space="preserve">hcpMs transformation, whereas silicon sustains the </w:instrText>
      </w:r>
      <w:r>
        <w:rPr>
          <w:rFonts w:hint="eastAsia"/>
        </w:rPr>
        <w:instrText>γ</w:instrText>
      </w:r>
      <w:r>
        <w:rPr>
          <w:rFonts w:hint="eastAsia"/>
        </w:rPr>
        <w:instrText>fcc</w:instrText>
      </w:r>
      <w:r>
        <w:rPr>
          <w:rFonts w:hint="eastAsia"/>
        </w:rPr>
        <w:instrText>→ε</w:instrText>
      </w:r>
      <w:r>
        <w:rPr>
          <w:rFonts w:hint="eastAsia"/>
        </w:rPr>
        <w:instrText xml:space="preserve">hcpMs transformation and decreases the stacking fault energy. At the critical value of </w:instrText>
      </w:r>
      <w:r>
        <w:rPr>
          <w:rFonts w:hint="eastAsia"/>
        </w:rPr>
        <w:instrText>Γ</w:instrText>
      </w:r>
      <w:r>
        <w:rPr>
          <w:rFonts w:hint="eastAsia"/>
        </w:rPr>
        <w:instrText>fcc</w:instrText>
      </w:r>
      <w:r>
        <w:rPr>
          <w:rFonts w:hint="eastAsia"/>
        </w:rPr>
        <w:instrText>≈</w:instrText>
      </w:r>
      <w:r>
        <w:rPr>
          <w:rFonts w:hint="eastAsia"/>
        </w:rPr>
        <w:instrText xml:space="preserve">25 mJ/mol and for </w:instrText>
      </w:r>
      <w:r>
        <w:rPr>
          <w:rFonts w:hint="eastAsia"/>
        </w:rPr>
        <w:instrText>Δ</w:instrText>
      </w:r>
      <w:r>
        <w:rPr>
          <w:rFonts w:hint="eastAsia"/>
        </w:rPr>
        <w:instrText>G</w:instrText>
      </w:r>
      <w:r>
        <w:rPr>
          <w:rFonts w:hint="eastAsia"/>
        </w:rPr>
        <w:instrText>γ→ε</w:instrText>
      </w:r>
      <w:r>
        <w:rPr>
          <w:rFonts w:hint="eastAsia"/>
        </w:rPr>
        <w:instrText>&gt;0, the twinning mechanism is favored. At lower stacking fault energy of (</w:instrText>
      </w:r>
      <w:r>
        <w:rPr>
          <w:rFonts w:hint="eastAsia"/>
        </w:rPr>
        <w:instrText>Γ</w:instrText>
      </w:r>
      <w:r>
        <w:rPr>
          <w:rFonts w:hint="eastAsia"/>
        </w:rPr>
        <w:instrText xml:space="preserve">fcc&lt;16 mJ/mol and for </w:instrText>
      </w:r>
      <w:r>
        <w:rPr>
          <w:rFonts w:hint="eastAsia"/>
        </w:rPr>
        <w:instrText>Δ</w:instrText>
      </w:r>
      <w:r>
        <w:rPr>
          <w:rFonts w:hint="eastAsia"/>
        </w:rPr>
        <w:instrText>G</w:instrText>
      </w:r>
      <w:r>
        <w:rPr>
          <w:rFonts w:hint="eastAsia"/>
        </w:rPr>
        <w:instrText>γ→ε</w:instrText>
      </w:r>
      <w:r>
        <w:rPr>
          <w:rFonts w:hint="eastAsia"/>
        </w:rPr>
        <w:instrText>&gt;0, martensitic phase transformation will be the governing deformation mechanism.The excellent ductility and the enhanced impact properties enable complex deep drawing or stretch forming operations of sheets and the fabrication of cr</w:instrText>
      </w:r>
      <w:r>
        <w:instrText xml:space="preserve">ash absorbing frame structures.","author":[{"dropping-particle":"","family":"Frommeyer","given":"Georg","non-dropping-particle":"","parse-names":false,"suffix":""},{"dropping-particle":"","family":"Brüx","given":"Udo","non-dropping-particle":"","parse-names":false,"suffix":""},{"dropping-particle":"","family":"Neumann","given":"Peter","non-dropping-particle":"","parse-names":false,"suffix":""}],"container-title":"ISIJ International","id":"ITEM-1","issued":{"date-parts":[["2003"]]},"title":"Supra-Ductile and High-Strength Manganese-TRIP/TWIP Steels for High Energy Absorption Purposes.","type":"article-journal"},"uris":["http://www.mendeley.com/documents/?uuid=316c681c-fa1f-4eb9-b7ef-d8174f10640c","http://www.mendeley.com/documents/?uuid=09bb2d40-c6ec-4fbe-b43a-1ab4db7c4088"]},{"id":"ITEM-2","itemData":{"DOI":"10.1016/j.ijplas.2015.11.004","ISBN":"0749-6419","ISSN":"07496419","abstract":"The additional deep cryogenic treatment process prior to intercritical annealing was employed to tailor the mechanical stability of austenite grains in a new medium Mn steel. As a consequence, the medium Mn steel after intercritical annealing contains the austenite grains with different mechanical stability due to the different grain size and C content. The large austenite grains with low C content transform to martensite prior to the strain of 9.5% due to their low mechanical stability and provide the transformation-induced plasticity (TRIP) effect during tensile test. On the other hand, the small austenite grains with high C content have high mechanical stability and proper stacking fault energy, therefore do not transform to martensite but offer the twinning-induced plasticity (TWIP) effect from 9.5% strain up to fracture. Subsequently some of the twinned austenite grains provide the nucleation site for martensite formation from the strain of 26.2% up to fracture, providing the TRIP effect again in the large strain regime. In summary, the present novel medium Mn steel has TRIP effect firstly, followed by TWIP effect and then TWIP + TRIP effects during tensile test, therefore demonstrating enhanced work hardening behavior and excellent tensile properties.","author":[{"dropping-particle":"","family":"He","given":"B. B.","non-dropping-particle":"","parse-names":false,"suffix":""},{"dropping-particle":"","family":"Luo","given":"H. W.","non-dropping-particle":"","parse-names":false,"suffix":""},{"dropping-particle":"","family":"Huang","given":"M. X.","non-dropping-particle":"","parse-names":false,"suffix":""}],"container-title":"International Journal of Plasticity","id":"ITEM-2","issued":{"date-parts":[["2016"]]},"title":"Experimental investigation on a novel medium Mn steel combining transformation-induced plasticity and twinning-induced plasticity effects","type":"article-journal"},"uris":["http://www.mendeley.com/documents/?uuid=d782355d-a635-43ad-ae8a-d6ba843b5f3b","http://www.mendeley.com/documents/?uuid=5c28e66e-0b11-478f-b0f1-3c5e9f951547"]},{"id":"ITEM-3","itemData":{"DOI":"10.1016/j.actamat.2014.01.001","ISBN":"13596454","ISSN":"13596454","PMID":"14814773","abstract":"The stacking fault and interfacial energies of three transformation- and twinning-induced plasticity steels (TRIP/TWIP) (Fe-22/25/28Mn-3Al-3Si wt.%) were determined by experimental and theoretical methods. Analysis of Shockley partial dislocation configurations in the three alloys using weak-beam dark-field transmission electron microscopy yielded stacking fault energy (SFE) values of 15 ± 3, 21 ± 3 and 39 ± 5 mJ m-2 for alloys with 22, 25 and 28 wt.% Mn, respectively. The experimental SFE includes a coherency strain energy of </w:instrText>
      </w:r>
      <w:r>
        <w:rPr>
          <w:rFonts w:ascii="Cambria Math" w:hAnsi="Cambria Math" w:cs="Cambria Math"/>
        </w:rPr>
        <w:instrText>∼</w:instrText>
      </w:r>
      <w:r>
        <w:instrText>1-4 mJ m-2, determined by X-ray diffraction, which arises from the contraction in volume of the stacking fault upon the face-centered cubic (fcc) to hexagonal close-packed (hcp) phase transformation. The ideal SFE, computed as the difference between the experimental SFE and the coherency strain energy, is equal to14 ± 3, 19 ± 3 and 35 ± 5 mJ m-2, respectively. These SFE values were used in conjunction with a thermodynamic model developed in the present work to calculate the free energy difference of the fcc and hcp phases and to determine a probable range for the fcc/hcp interfacial energy in the three Fe-Mn-(Al-Si) steels investigated. In addition, the interfacial energies of three Fe-18Mn-0.6C-0/1.5(Al/Si) TWIP and five Fe-16/18/20/22/25Mn binary alloys were also determined from experimental data in the literature. The interfacial energy ranged from 8 to 12 mJ m-2 in the TRIP/TWIP steels and from 15 to 33 mJ m-2 in the binary Fe-Mn alloys. The interfacial energy exhibits a strong dependence on the difference in Gibbs energy of the individual fcc and hcp phases. Accordingly, an empirical description of this parameter is proposed to improve the accuracy of thermodynamic SFE calculations.© 2014 Acta Materialia Inc. Published by Elsevier Ltd. All rights reserved.","author":[{"dropping-particle":"","family":"Pierce","given":"D. T.","non-dropping-particle":"","parse-names":false,"suffix":""},{"dropping-particle":"","family":"Jiménez","given":"J. A.","non-dropping-particle":"","parse-names":false,"suffix":""},{"dropping-particle":"","family":"Bentley","given":"J.","non-dropping-particle":"","parse-names":false,"suffix":""},{"dropping-particle":"","family":"Raabe","given":"D.","non-dropping-particle":"","parse-names":false,"suffix":""},{"dropping-particle":"","family":"Oskay","given":"C.","non-dropping-particle":"","parse-names":false,"suffix":""},{"dropping-particle":"","family":"Wittig","given":"J. E.","non-dropping-particle":"","parse-names":false,"suffix":""}],"container-title":"Acta Materialia","id":"ITEM-3","issued":{"date-parts":[["2014"]]},"title":"The influence of manganese content on the stacking fault and austenite/ε-martensite interfacial energies in Fe-Mn-(Al-Si) steels investigated by experiment and theory","type":"article-journal"},"uris":["http://www.mendeley.com/documents/?uuid=4a74090d-f73f-4c50-8613-396332d2ebed","http://www.mendeley.com/documents/?uuid=02a17970-a993-48f6-bd15-e53613f65058"]}],"mendeley":{"formattedCitation":"[102,106,107]","plainTextFormattedCitation":"[102,106,107]","previouslyFormattedCitation":"[102,106,107]"},"properties":{"noteIndex":0},"schema":"https://github.com/citation-style-language/schema/raw/master/csl-citation.json"}</w:instrText>
      </w:r>
      <w:r>
        <w:fldChar w:fldCharType="separate"/>
      </w:r>
      <w:r w:rsidRPr="003B39BC">
        <w:rPr>
          <w:noProof/>
        </w:rPr>
        <w:t>[102,106,107]</w:t>
      </w:r>
      <w:r>
        <w:fldChar w:fldCharType="end"/>
      </w:r>
      <w:r>
        <w:t xml:space="preserve">. In HEAs, the TWIP effect </w:t>
      </w:r>
      <w:r>
        <w:rPr>
          <w:noProof/>
        </w:rPr>
        <w:t>was</w:t>
      </w:r>
      <w:r w:rsidRPr="006B2702">
        <w:rPr>
          <w:noProof/>
        </w:rPr>
        <w:t xml:space="preserve"> first discovered</w:t>
      </w:r>
      <w:r>
        <w:t xml:space="preserve"> in</w:t>
      </w:r>
      <w:r w:rsidR="007D04B9">
        <w:t xml:space="preserve"> the</w:t>
      </w:r>
      <w:r>
        <w:t xml:space="preserve"> CCFN-Mn system during tensile testing at cryogenic temperature </w:t>
      </w:r>
      <w:r>
        <w:fldChar w:fldCharType="begin" w:fldLock="1"/>
      </w:r>
      <w:r>
        <w:instrText>ADDIN CSL_CITATION {"citationItems":[{"id":"ITEM-1","itemData":{"DOI":"10.1126/science.1254581","ISBN":"1095-9203 (Electronic)\\r0036-8075 (Linking)","ISSN":"10959203","PMID":"25190791","abstract":"High-entropy alloys are equiatomic, multi-element systems that can crystallize as a single phase, despite containing multiple elements with different crystal structures. A rationale for this is that the configurational entropy contribution to the total free energy in alloys with five or more major elements may stabilize the solid-solution state relative to multiphase microstructures. We examined a five-element high-entropy alloy, CrMnFeCoNi, which forms a single-phase face-centered cubic solid solution, and found it to have exceptional damage tolerance with tensile strengths above 1 GPa and fracture toughness values exceeding 200 MPa·m(1/2). Furthermore, its mechanical properties actually improve at cryogenic temperatures; we attribute this to a transition from planar-slip dislocation activity at room temperature to deformation by mechanical nanotwinning with decreasing temperature, which results in continuous steady strain hardening.","author":[{"dropping-particle":"","family":"Gludovatz","given":"Bernd","non-dropping-particle":"","parse-names":false,"suffix":""},{"dropping-particle":"","family":"Hohenwarter","given":"Anton","non-dropping-particle":"","parse-names":false,"suffix":""},{"dropping-particle":"","family":"Catoor","given":"Dhiraj","non-dropping-particle":"","parse-names":false,"suffix":""},{"dropping-particle":"","family":"Chang","given":"Edwin H.","non-dropping-particle":"","parse-names":false,"suffix":""},{"dropping-particle":"","family":"George","given":"Easo P.","non-dropping-particle":"","parse-names":false,"suffix":""},{"dropping-particle":"","family":"Ritchie","given":"Robert O.","non-dropping-particle":"","parse-names":false,"suffix":""}],"container-title":"Science","id":"ITEM-1","issued":{"date-parts":[["2014"]]},"title":"A fracture-resistant high-entropy alloy for cryogenic applications","type":"article-journal"},"uris":["http://www.mendeley.com/documents/?uuid=52a97d34-c7ae-4a6b-a4e4-bbfd7e221d7c","http://www.mendeley.com/documents/?uuid=3fbb4a19-b4f6-4b59-a8cc-306beae747e5"]}],"mendeley":{"formattedCitation":"[91]","plainTextFormattedCitation":"[91]","previouslyFormattedCitation":"[91]"},"properties":{"noteIndex":0},"schema":"https://github.com/citation-style-language/schema/raw/master/csl-citation.json"}</w:instrText>
      </w:r>
      <w:r>
        <w:fldChar w:fldCharType="separate"/>
      </w:r>
      <w:r w:rsidRPr="003B39BC">
        <w:rPr>
          <w:noProof/>
        </w:rPr>
        <w:t>[91]</w:t>
      </w:r>
      <w:r>
        <w:fldChar w:fldCharType="end"/>
      </w:r>
      <w:r w:rsidRPr="531279D5">
        <w:t xml:space="preserve">. </w:t>
      </w:r>
      <w:r>
        <w:t xml:space="preserve">Owing to the high density of nano-sized mechanical twinning, this five component equiatomic HEA exhibited excellent tolerance </w:t>
      </w:r>
      <w:r w:rsidR="007D04B9">
        <w:t>to</w:t>
      </w:r>
      <w:r>
        <w:t xml:space="preserve"> crack growth and outperforms most traditional alloy systems in fracture toughness under the</w:t>
      </w:r>
      <w:r w:rsidRPr="531279D5">
        <w:t xml:space="preserve"> </w:t>
      </w:r>
      <w:r w:rsidRPr="008C71F2">
        <w:rPr>
          <w:noProof/>
        </w:rPr>
        <w:t>same</w:t>
      </w:r>
      <w:r>
        <w:t xml:space="preserve"> low temperature environment. Similar to the origin of mechanical twinning in </w:t>
      </w:r>
      <w:r w:rsidRPr="00BD07C6">
        <w:t xml:space="preserve">high </w:t>
      </w:r>
      <w:r>
        <w:t>Mn</w:t>
      </w:r>
      <w:r w:rsidRPr="00BD07C6">
        <w:t xml:space="preserve"> steel</w:t>
      </w:r>
      <w:r>
        <w:t xml:space="preserve">s, the </w:t>
      </w:r>
      <w:r w:rsidRPr="008C71F2">
        <w:rPr>
          <w:noProof/>
        </w:rPr>
        <w:t>nanotwinning</w:t>
      </w:r>
      <w:r>
        <w:t xml:space="preserve"> generated in the CCFN-Mn system was observed to originate</w:t>
      </w:r>
      <w:r w:rsidRPr="531279D5">
        <w:t xml:space="preserve"> </w:t>
      </w:r>
      <w:r>
        <w:t xml:space="preserve">from the growth of stacking faults, which result from dissociation of perfect dislocations and 1/2&lt;110&gt; into 1/6&lt;112&gt; Shockley partials </w:t>
      </w:r>
      <w:r>
        <w:fldChar w:fldCharType="begin" w:fldLock="1"/>
      </w:r>
      <w:r>
        <w:instrText xml:space="preserve">ADDIN CSL_CITATION {"citationItems":[{"id":"ITEM-1","itemData":{"DOI":"10.1038/ncomms10143","ISBN":"9788578110796","ISSN":"20411723","PMID":"26647978","abstract":"Damage tolerance can be an elusive characteristic of structural materials requiring both high strength and ductility, properties that are often mutually exclusive. High-entropy alloys are of interest in this regard. Specifically, the single-phase CrMnFeCoNi alloy displays tensile strength levels of </w:instrText>
      </w:r>
      <w:r>
        <w:rPr>
          <w:rFonts w:ascii="Cambria Math" w:hAnsi="Cambria Math" w:cs="Cambria Math"/>
        </w:rPr>
        <w:instrText>∼</w:instrText>
      </w:r>
      <w:r>
        <w:instrText>1</w:instrText>
      </w:r>
      <w:r>
        <w:rPr>
          <w:rFonts w:ascii="Calibri" w:hAnsi="Calibri" w:cs="Calibri"/>
        </w:rPr>
        <w:instrText> </w:instrText>
      </w:r>
      <w:r>
        <w:instrText>GPa, excellent ductility (</w:instrText>
      </w:r>
      <w:r>
        <w:rPr>
          <w:rFonts w:ascii="Cambria Math" w:hAnsi="Cambria Math" w:cs="Cambria Math"/>
        </w:rPr>
        <w:instrText>∼</w:instrText>
      </w:r>
      <w:r>
        <w:instrText>60-70%) and exceptional fracture toughness (KJIc&gt;200 MPa</w:instrText>
      </w:r>
      <w:r>
        <w:rPr>
          <w:rFonts w:hint="eastAsia"/>
        </w:rPr>
        <w:instrText>√</w:instrText>
      </w:r>
      <w:r>
        <w:instrText>m). Here through the use of in situ straining in an aberration-corrected transmission electron microscope, we report on the salient atomistic to micro-scale mechanisms underlying the origin of these properties. We identify a synergy of multiple deformation mechanisms, rarely achieved in metallic alloys, which generates high strength, work hardening and ductility, including the easy motion of Shockley partials, their interactions to form stacking-fault parallelepipeds, and arrest at planar slip bands of undissociated dislocations. We further show that crack propagation is impeded by twinned, nanoscale bridges that form between the near-tip crack faces and delay fracture by shielding the crack tip.","author":[{"dropping-particle":"","family":"Zhang","given":"Zi Jiao","non-dropping-particle":"","parse-names":false,"suffix":""},{"dropping-particle":"","family":"Mao","given":"M. M.","non-dropping-particle":"","parse-names":false,"suffix":""},{"dropping-particle":"","family":"Wang","given":"Jiangwei","non-dropping-particle":"","parse-names":false,"suffix":""},{"dropping-particle":"","family":"Gludovatz","given":"Bernd","non-dropping-particle":"","parse-names":false,"suffix":""},{"dropping-particle":"","family":"Zhang","given":"Ze","non-dropping-particle":"","parse-names":false,"suffix":""},{"dropping-particle":"","family":"Mao","given":"Scott X.","non-dropping-particle":"","parse-names":false,"suffix":""},{"dropping-particle":"","family":"George","given":"Easo P.","non-dropping-particle":"","parse-names":false,"suffix":""},{"dropping-particle":"","family":"Yu","given":"Qian","non-dropping-particle":"","parse-names":false,"suffix":""},{"dropping-particle":"","family":"Ritchie","given":"Robert O.","non-dropping-particle":"","parse-names":false,"suffix":""}],"container-title":"Nature Communications","id":"ITEM-1","issued":{"date-parts":[["2015"]]},"title":"Nanoscale origins of the damage tolerance of the high-entropy alloy CrMnFeCoNi","type":"article-journal"},"uris":["http://www.mendeley.com/documents/?uuid=fa9e718c-440d-47d9-a188-1e1398c6a52b","http://www.mendeley.com/documents/?uuid=f161965d-0f85-44b3-9806-50792d56f47d"]}],"mendeley":{"formattedCitation":"[108]","plainTextFormattedCitation":"[108]","previouslyFormattedCitation":"[108]"},"properties":{"noteIndex":0},"schema":"https://github.com/citation-style-language/schema/raw/master/csl-citation.json"}</w:instrText>
      </w:r>
      <w:r>
        <w:fldChar w:fldCharType="separate"/>
      </w:r>
      <w:r w:rsidRPr="003B39BC">
        <w:rPr>
          <w:noProof/>
        </w:rPr>
        <w:t>[108]</w:t>
      </w:r>
      <w:r>
        <w:fldChar w:fldCharType="end"/>
      </w:r>
      <w:r>
        <w:t>. Thus, the effect of SFE on the activation of TWIP should also potentially work for CCFN-based HEAs using the 3</w:t>
      </w:r>
      <w:r w:rsidRPr="006B2891">
        <w:rPr>
          <w:i/>
        </w:rPr>
        <w:t>d</w:t>
      </w:r>
      <w:r>
        <w:t xml:space="preserve"> transitional group and can be utilised to tailor the effects of TWIP. </w:t>
      </w:r>
      <w:r w:rsidRPr="006B2702">
        <w:rPr>
          <w:noProof/>
        </w:rPr>
        <w:t>Reali</w:t>
      </w:r>
      <w:r>
        <w:rPr>
          <w:noProof/>
        </w:rPr>
        <w:t>s</w:t>
      </w:r>
      <w:r w:rsidRPr="006B2702">
        <w:rPr>
          <w:noProof/>
        </w:rPr>
        <w:t>ing</w:t>
      </w:r>
      <w:r>
        <w:t xml:space="preserve"> the possibility of using SFE as a </w:t>
      </w:r>
      <w:r w:rsidRPr="008C71F2">
        <w:rPr>
          <w:noProof/>
        </w:rPr>
        <w:t>reference</w:t>
      </w:r>
      <w:r>
        <w:t xml:space="preserve"> to </w:t>
      </w:r>
      <w:r w:rsidRPr="006B2702">
        <w:rPr>
          <w:noProof/>
        </w:rPr>
        <w:t>maximi</w:t>
      </w:r>
      <w:r>
        <w:rPr>
          <w:noProof/>
        </w:rPr>
        <w:t>s</w:t>
      </w:r>
      <w:r w:rsidRPr="006B2702">
        <w:rPr>
          <w:noProof/>
        </w:rPr>
        <w:t>e</w:t>
      </w:r>
      <w:r>
        <w:rPr>
          <w:noProof/>
        </w:rPr>
        <w:t xml:space="preserve"> the</w:t>
      </w:r>
      <w:r>
        <w:t xml:space="preserve"> TWIP effect, </w:t>
      </w:r>
      <w:r>
        <w:br/>
        <w:t xml:space="preserve">Deng </w:t>
      </w:r>
      <w:r w:rsidRPr="007C6BBB">
        <w:rPr>
          <w:i/>
        </w:rPr>
        <w:t>et al.</w:t>
      </w:r>
      <w:r w:rsidRPr="009F66B1">
        <w:t xml:space="preserve"> </w:t>
      </w:r>
      <w:r>
        <w:fldChar w:fldCharType="begin" w:fldLock="1"/>
      </w:r>
      <w:r>
        <w:instrText>ADDIN CSL_CITATION {"citationItems":[{"id":"ITEM-1","itemData":{"DOI":"10.1016/j.actamat.2015.04.014","ISBN":"13596454","ISSN":"13596454","abstract":"We introduce a liquid metallurgy synthesized, non-equiatomic Fe&lt;inf&gt;40&lt;/inf&gt;Mn&lt;inf&gt;40&lt;/inf&gt;Co&lt;inf&gt;10&lt;/inf&gt;Cr&lt;inf&gt;10&lt;/inf&gt; high entropy alloy that is designed to undergo mechanically-induced twinning upon deformation at room temperature. Microstructure characterization, carried out using SEM, TEM and APT shows a homogeneous fcc structured single phase solid solution in the as-cast, hot-rolled and homogenized states. Investigations of the deformation substructures at specific strain levels with electron channeling contrast imaging (ECCI) combined with EBSD reveal a clear change in the deformation mechanisms of the designed alloy starting from dislocation slip to twinning as a function of strain. Such twinning induced plasticity has only been observed under cryogenic conditions in the equiatomic FeMnNiCoCr high entropy alloy. Thus, despite the decreased contribution of solid solution strengthening, the tensile properties of the introduced lean alloy at room temperature are found to be comparable to that of the well-studied five component FeMnNiCoCr system.","author":[{"dropping-particle":"","family":"Deng","given":"Y.","non-dropping-particle":"","parse-names":false,"suffix":""},{"dropping-particle":"","family":"Tasan","given":"C. C.","non-dropping-particle":"","parse-names":false,"suffix":""},{"dropping-particle":"","family":"Pradeep","given":"K. G.","non-dropping-particle":"","parse-names":false,"suffix":""},{"dropping-particle":"","family":"Springer","given":"H.","non-dropping-particle":"","parse-names":false,"suffix":""},{"dropping-particle":"","family":"Kostka","given":"A.","non-dropping-particle":"","parse-names":false,"suffix":""},{"dropping-particle":"","family":"Raabe","given":"D.","non-dropping-particle":"","parse-names":false,"suffix":""}],"container-title":"Acta Materialia","id":"ITEM-1","issued":{"date-parts":[["2015"]]},"title":"Design of a twinning-induced plasticity high entropy alloy","type":"article-journal"},"uris":["http://www.mendeley.com/documents/?uuid=4d3e3d2f-70a0-4617-88b1-847e108297e4"]}],"mendeley":{"formattedCitation":"[109]","plainTextFormattedCitation":"[109]","previouslyFormattedCitation":"[109]"},"properties":{"noteIndex":0},"schema":"https://github.com/citation-style-language/schema/raw/master/csl-citation.json"}</w:instrText>
      </w:r>
      <w:r>
        <w:fldChar w:fldCharType="separate"/>
      </w:r>
      <w:r w:rsidRPr="003B39BC">
        <w:rPr>
          <w:noProof/>
        </w:rPr>
        <w:t>[109]</w:t>
      </w:r>
      <w:r>
        <w:fldChar w:fldCharType="end"/>
      </w:r>
      <w:r>
        <w:t xml:space="preserve"> developed a </w:t>
      </w:r>
      <w:r w:rsidRPr="006B2702">
        <w:rPr>
          <w:noProof/>
        </w:rPr>
        <w:t>non</w:t>
      </w:r>
      <w:r w:rsidRPr="531279D5">
        <w:t>-</w:t>
      </w:r>
      <w:r w:rsidRPr="006B2702">
        <w:rPr>
          <w:noProof/>
        </w:rPr>
        <w:t>equal</w:t>
      </w:r>
      <w:r>
        <w:rPr>
          <w:noProof/>
        </w:rPr>
        <w:t xml:space="preserve"> </w:t>
      </w:r>
      <w:r w:rsidRPr="006B2702">
        <w:rPr>
          <w:noProof/>
        </w:rPr>
        <w:t>molar</w:t>
      </w:r>
      <w:r>
        <w:t xml:space="preserve"> Fe</w:t>
      </w:r>
      <w:r w:rsidRPr="00142930">
        <w:rPr>
          <w:vertAlign w:val="subscript"/>
        </w:rPr>
        <w:t>40</w:t>
      </w:r>
      <w:r>
        <w:t>Mn</w:t>
      </w:r>
      <w:r w:rsidRPr="00142930">
        <w:rPr>
          <w:vertAlign w:val="subscript"/>
        </w:rPr>
        <w:t>40</w:t>
      </w:r>
      <w:r>
        <w:t>Co</w:t>
      </w:r>
      <w:r w:rsidRPr="00142930">
        <w:rPr>
          <w:vertAlign w:val="subscript"/>
        </w:rPr>
        <w:t>10</w:t>
      </w:r>
      <w:r>
        <w:t>Cr</w:t>
      </w:r>
      <w:r w:rsidRPr="00142930">
        <w:rPr>
          <w:vertAlign w:val="subscript"/>
        </w:rPr>
        <w:t>10</w:t>
      </w:r>
      <w:r>
        <w:t xml:space="preserve"> HEA. Based on DFT and experimental results simulated SFE for CCFN-Mn(~25mJ/m</w:t>
      </w:r>
      <w:r w:rsidRPr="007C6BBB">
        <w:rPr>
          <w:vertAlign w:val="superscript"/>
        </w:rPr>
        <w:t>2</w:t>
      </w:r>
      <w:r>
        <w:t>)</w:t>
      </w:r>
      <w:r w:rsidRPr="531279D5">
        <w:t xml:space="preserve">, </w:t>
      </w:r>
      <w:r>
        <w:t xml:space="preserve">the Ni content was lowered to reduce stacking fault energy in the target alloy. Yet the lack of </w:t>
      </w:r>
      <w:r w:rsidRPr="008C71F2">
        <w:rPr>
          <w:noProof/>
        </w:rPr>
        <w:t>Ni</w:t>
      </w:r>
      <w:r>
        <w:rPr>
          <w:noProof/>
        </w:rPr>
        <w:t xml:space="preserve"> addition</w:t>
      </w:r>
      <w:r>
        <w:t xml:space="preserve"> results in the formation of Cr rich intermetallic sigma phase, which will reduce the mechanical performance of the alloy. Thus, the Cr addition was also reduced, and the final composition was determined as Fe</w:t>
      </w:r>
      <w:r w:rsidRPr="00142930">
        <w:rPr>
          <w:vertAlign w:val="subscript"/>
        </w:rPr>
        <w:t>40</w:t>
      </w:r>
      <w:r>
        <w:t>Mn</w:t>
      </w:r>
      <w:r w:rsidRPr="00142930">
        <w:rPr>
          <w:vertAlign w:val="subscript"/>
        </w:rPr>
        <w:t>40</w:t>
      </w:r>
      <w:r>
        <w:t>Co</w:t>
      </w:r>
      <w:r w:rsidRPr="00142930">
        <w:rPr>
          <w:vertAlign w:val="subscript"/>
        </w:rPr>
        <w:t>10</w:t>
      </w:r>
      <w:r>
        <w:t>Cr</w:t>
      </w:r>
      <w:r w:rsidRPr="00142930">
        <w:rPr>
          <w:vertAlign w:val="subscript"/>
        </w:rPr>
        <w:t>10</w:t>
      </w:r>
      <w:r>
        <w:rPr>
          <w:vertAlign w:val="subscript"/>
        </w:rPr>
        <w:t xml:space="preserve"> </w:t>
      </w:r>
      <w:r>
        <w:t xml:space="preserve">(at%), to maintain the effect of TWIP and remove the influence of the sigma phase. By successfully introducing the TWIP effect, the refined HEAs possessing four </w:t>
      </w:r>
      <w:r w:rsidRPr="006B2702">
        <w:rPr>
          <w:noProof/>
        </w:rPr>
        <w:t>princip</w:t>
      </w:r>
      <w:r>
        <w:rPr>
          <w:noProof/>
        </w:rPr>
        <w:t>al</w:t>
      </w:r>
      <w:r>
        <w:t xml:space="preserve"> components, exhibit similar performances to CCFN-Mn but with cheaper elemental additions. </w:t>
      </w:r>
    </w:p>
    <w:p w14:paraId="6AD045C2" w14:textId="77777777" w:rsidR="00624970" w:rsidRDefault="00624970" w:rsidP="00624970">
      <w:pPr>
        <w:spacing w:afterLines="60" w:after="144" w:line="360" w:lineRule="auto"/>
        <w:jc w:val="both"/>
      </w:pPr>
      <w:r>
        <w:t xml:space="preserve">The introduction of the TWIP effect presents the improvement of plasticity of the base alloy. On the other hand, the introduction of the transformation induced plasticity (TRIP) effect, is well known for promoting strength in metallic materials </w:t>
      </w:r>
      <w:r>
        <w:fldChar w:fldCharType="begin" w:fldLock="1"/>
      </w:r>
      <w:r>
        <w:instrText>ADDIN CSL_CITATION {"citationItems":[{"id":"ITEM-1","itemData":{"DOI":"10.1115/1.3101930","ISSN":"08827958","abstract":"This review article attempts to explain TRIP generally and its appearance in different materials. Continuum mechanics formulations are mainly used to explain this phase change phenomenon. An overview is given of the published literature which is often not very easily accessible. Technological aspects are presented, such as constitutive equations of materials showing TRIP. Aspects of material selection and future material design are also treated. This article contains 315 references. © 1996 American Society of Mechanical Engineers.","container-title":"Advanced Materials and Processes","id":"ITEM-1","issued":{"date-parts":[["2005"]]},"title":"Transformation induced plasticity","type":"article-journal"},"uris":["http://www.mendeley.com/documents/?uuid=43a96386-7aad-44e6-a1cc-1b8130275bdd","http://www.mendeley.com/documents/?uuid=a6c23f90-0d2b-4bb8-8382-5bca67deaa1b"]},{"id":"ITEM-2","itemData":{"DOI":"10.1016/j.actamat.2009.04.009","ISBN":"1359-6454","ISSN":"13596454","abstract":"[1 1 0]-oriented microcrystals of solutionized 50.7 at.% Ni-Ti were prepared by focused ion beam machining and then tested in compression to investigate the stress</w:instrText>
      </w:r>
      <w:r>
        <w:rPr>
          <w:rFonts w:hint="eastAsia"/>
        </w:rPr>
        <w:instrText>-induced B2-to-B19</w:instrText>
      </w:r>
      <w:r>
        <w:rPr>
          <w:rFonts w:hint="eastAsia"/>
        </w:rPr>
        <w:instrText>′</w:instrText>
      </w:r>
      <w:r>
        <w:rPr>
          <w:rFonts w:hint="eastAsia"/>
        </w:rPr>
        <w:instrText xml:space="preserve"> transformation in the pseudoelastic regime. The compression results indicate a sharp onset of the transformation, consistent with little prior plasticity. Post-mortem scanning transmission electron microscopy reveals no apparent retain</w:instrText>
      </w:r>
      <w:r>
        <w:instrText xml:space="preserve">ed martensite but rather a macroscopic band of dislocation activity within which are planar arrays of </w:instrText>
      </w:r>
      <w:r>
        <w:rPr>
          <w:rFonts w:ascii="Cambria Math" w:hAnsi="Cambria Math" w:cs="Cambria Math"/>
        </w:rPr>
        <w:instrText>∼</w:instrText>
      </w:r>
      <w:r>
        <w:instrText>100 nm dislocation loops involving a single a</w:instrText>
      </w:r>
      <w:r>
        <w:rPr>
          <w:rFonts w:hint="eastAsia"/>
        </w:rPr>
        <w:instrText>〈</w:instrText>
      </w:r>
      <w:r>
        <w:instrText>0 1 0</w:instrText>
      </w:r>
      <w:r>
        <w:rPr>
          <w:rFonts w:hint="eastAsia"/>
        </w:rPr>
        <w:instrText>〉</w:instrText>
      </w:r>
      <w:r>
        <w:instrText>{1 0 1} slip system. Micromechanics analyses show that the angle of the band is consistent with activation of a favored martensite plate. Further, the stress from the individual variants within the plate is shown to favor activation of the observed slip system. The work done by the applied stress during the B2-to-B19</w:instrText>
      </w:r>
      <w:r>
        <w:rPr>
          <w:rFonts w:hint="eastAsia"/>
        </w:rPr>
        <w:instrText>′</w:instrText>
      </w:r>
      <w:r>
        <w:instrText xml:space="preserve"> transformation is estimated to be </w:instrText>
      </w:r>
      <w:r>
        <w:rPr>
          <w:rFonts w:ascii="Cambria Math" w:hAnsi="Cambria Math" w:cs="Cambria Math"/>
        </w:rPr>
        <w:instrText>∼</w:instrText>
      </w:r>
      <w:r>
        <w:instrText>34 MJ m-3at ambient temperature. © 2009 Acta Materialia Inc.","author":[{"dropping-particle":"","family":"Norfleet","given":"D. M.","non-dropping-particle":"","parse-names":false,"suffix":""},{"dropping-particle":"","family":"Sarosi","given":"P. M.","non-dropping-particle":"","parse-names":false,"suffix":""},{"dropping-particle":"","family":"Manchiraju","given":"S.","non-dropping-particle":"","parse-names":false,"suffix":""},{"dropping-particle":"","family":"Wagner","given":"M. F.X.","non-dropping-particle":"","parse-names":false,"suffix":""},{"dropping-particle":"","family":"Uchic","given":"M. D.","non-dropping-particle":"","parse-names":false,"suffix":""},{"dropping-particle":"","family":"Anderson","given":"P. M.","non-dropping-particle":"","parse-names":false,"suffix":""},{"dropping-particle":"","family":"Mills","given":"M. J.","non-dropping-particle":"","parse-names":false,"suffix":""}],"container-title":"Acta Materialia","id":"ITEM-2","issued":{"date-parts":[["2009"]]},"title":"Transformation-induced plasticity during pseudoelastic deformation in Ni-Ti microcrystals","type":"article-journal"},"uris":["http://www.mendeley.com/documents/?uuid=4ca94a7d-690b-41b7-83d7-46edb94af5e7","http://www.mendeley.com/documents/?uuid=946c9962-85b7-4d39-a172-5c3b40247b3b"]},{"id":"ITEM-3","itemData":{"DOI":"10.1016/j.jmps.2005.03.004","ISBN":"0022-5096","ISSN":"00225096","abstract":"We study the mechanical behavior of a class of multiphase carbon steels where metastable austenite at room temperature is found in grains dispersed in a ferrite-based matrix. During mechanical loading, the austenite undergoes a displacive phase change and transforms into martensite. This transformation is accommodated by plastic deformations in the surrounding matrix. Experimental results show that the presence of austenite typically enhances the ductility and strength of the steel. We use a recently developed model (Turteltaub and Suiker, 2005) to analyze in detail the contribution of the martensitic transformation to the overall stress-strain response of a specimen containing a single island of austenite embedded in a ferrite-based matrix. Results show that the performance of the material depends strongly on the lattice orientation of the austenite with respect to the loading direction. More importantly, we identify cases in which the presence of austenite can in fact be detrimental in terms of strength, which is relevant information in order to improve the behavior of this class of steels. © 2005 Elsevier Ltd. All rights reserved.","author":[{"dropping-particle":"","family":"Turteltaub","given":"S.","non-dropping-particle":"","parse-names":false,"suffix":""},{"dropping-particle":"","family":"Suiker","given":"A. S.J.","non-dropping-particle":"","parse-names":false,"suffix":""}],"container-title":"Journal of the Mechanics and Physics of Solids","id":"ITEM-3","issued":{"date-parts":[["2005"]]},"title":"Transformation-induced plasticity in ferrous alloys","type":"article-journal"},"uris":["http://www.mendeley.com/documents/?uuid=eae190b6-aa57-4ed7-8ae0-d03667b2e47b","http://www.mendeley.com/documents/?uuid=f77195b2-aad7-49a5-81db-22f42fbe1b65"]},{"id":"ITEM-4","itemData":{"DOI":"10.1016/j.cossms.2004.09.006","ISBN":"1359-0286","ISSN":"13590286","abstract":"Recent advances in the development of high performance steels presenting improved properties of strength and ductility rely on the TRIP effect, i.e. on the mechanically-induced martensitic transformation of the retained austenite dispersed in a soft ferrite-based matrix. As a consequence, the stabilisation and retention of austenite at room temperature have become of primary importance, leading to specifically designed steel grades and thermal or thermomechanical treatments. Particularly, carbon enrichment of the austenite during intercritical annealing and bainite transformation was found to be very effective in retaining austenite. This metastable austenite then progressively transforms during straining, bringing about a large increase of the work hardening rate. This increase results from the stress and strain partitioning continuously evolving with the appearance of the hard martensite. © 2004 Elsevier Ltd. All rights reserved.","author":[{"dropping-particle":"","family":"Jacques","given":"P. J.","non-dropping-particle":"","parse-names":false,"suffix":""}],"container-title":"Current Opinion in Solid State and Materials Science","id":"ITEM-4","issued":{"date-parts":[["2004"]]},"title":"Transformation-induced plasticity for high strength formable steels","type":"article-journal"},"uris":["http://www.mendeley.com/documents/?uuid=58166062-d2f8-4453-a7c0-3344722fdbd1","http://www.mendeley.com/documents/?uuid=68bd8c4f-ec5a-4186-b774-f2d874c7f278"]},{"id":"ITEM-5","itemData":{"DOI":"10.1179/030634582790427316","ISBN":"0306-3453","ISSN":"0306-3453","PMID":"2385044","abstract":"The author suggests that deformation-induced martensitic transformation can be understood only in terms of the effect of applied stress rather than the effect of strain. An increase in elongation is obtained when martensites are formed during deformation. This phenomenon is transformation-induced plasticity (TRIP). The cause and various controlling factors of TRIP are discussed. Industrial application of the phenomenon is briefly described.","author":[{"dropping-particle":"","family":"Tamura","given":"I.","non-dropping-particle":"","parse-names":false,"suffix":""}],"container-title":"Metal Science","id":"ITEM-5","issued":{"date-parts":[["1982"]]},"title":"Deformation-induced martensitic transformation and transformation-induced plasticity in steels","type":"article-journal"},"uris":["http://www.mendeley.com/documents/?uuid=5df4ef5f-f54b-41e2-823b-4204f327c959","http://www.mendeley.com/documents/?uuid=de380180-14eb-42ff-a540-f9a8558d95fd"]},{"id":"ITEM-6","itemData":{"DOI":"10.1016/S0749-6419(99)00078-9","ISBN":"0749-6419","ISSN":"07496419","abstract":"The phenomenon of transformation induced plasticity (TRIP) in steel is reinvestigated both experimentally and theoretically. The irreversible length change (TRIP strain) consists not only of a plastic contribution ('Greenwood-Johnson 'effect) but also of a contribution due to the length change caused by the transformation shear component of the martensitic variants (orientation effect or 'Magee' effect). This orientation effect, which is fully accepted for shape memory alloys, is explained for steels. Micromechanical investigations help to quantify the orientation effect. Finally a proposal for a modified constitutive law for elastic plastic phase changing materials is presented.","author":[{"dropping-particle":"","family":"Fischer","given":"F. D.","non-dropping-particle":"","parse-names":false,"suffix":""},{"dropping-particle":"","family":"Reisner","given":"G.","non-dropping-particle":"","parse-names":false,"suffix":""},{"dropping-particle":"","family":"Werner","given":"E.","non-dropping-particle":"","parse-names":false,"suffix":""},{"dropping-particle":"","family":"Tanaka","given":"K.","non-dropping-particle":"","parse-names":false,"suffix":""},{"dropping-particle":"","family":"Cailletaud","given":"G.","non-dropping-particle":"","parse-names":false,"suffix":""},{"dropping-particle":"","family":"Antretter","given":"T.","non-dropping-particle":"","parse-names":false,"suffix":""}],"container-title":"International journal of plasticity","id":"ITEM-6","issued":{"date-parts":[["2000"]]},"title":"New view on transformation induced plasticity (TRIP)","type":"article-journal"},"uris":["http://www.mendeley.com/documents/?uuid=89e6c505-3c39-4a29-b869-e25c4091e331","http://www.mendeley.com/documents/?uuid=2ab53695-0735-4a35-9fbf-1f7ba721397e"]}],"mendeley":{"formattedCitation":"[110–115]","plainTextFormattedCitation":"[110–115]","previouslyFormattedCitation":"[110–115]"},"properties":{"noteIndex":0},"schema":"https://github.com/citation-style-language/schema/raw/master/csl-citation.json"}</w:instrText>
      </w:r>
      <w:r>
        <w:fldChar w:fldCharType="separate"/>
      </w:r>
      <w:r w:rsidRPr="003B39BC">
        <w:rPr>
          <w:noProof/>
        </w:rPr>
        <w:t>[110–115]</w:t>
      </w:r>
      <w:r>
        <w:fldChar w:fldCharType="end"/>
      </w:r>
      <w:r>
        <w:t xml:space="preserve">. The transformed phase is generally accepted as martensite phase (stable at low temperatures), while the </w:t>
      </w:r>
      <w:r w:rsidRPr="006B2702">
        <w:rPr>
          <w:noProof/>
        </w:rPr>
        <w:t>m</w:t>
      </w:r>
      <w:r>
        <w:rPr>
          <w:noProof/>
        </w:rPr>
        <w:t>etastable matrix</w:t>
      </w:r>
      <w:r>
        <w:t xml:space="preserve"> phase </w:t>
      </w:r>
      <w:r w:rsidRPr="006B2702">
        <w:rPr>
          <w:noProof/>
        </w:rPr>
        <w:t xml:space="preserve">is </w:t>
      </w:r>
      <w:r>
        <w:t xml:space="preserve">austenite (stable at high temperatures). During </w:t>
      </w:r>
      <w:r w:rsidRPr="006B2702">
        <w:rPr>
          <w:noProof/>
        </w:rPr>
        <w:t>deformation</w:t>
      </w:r>
      <w:r>
        <w:rPr>
          <w:noProof/>
        </w:rPr>
        <w:t>,</w:t>
      </w:r>
      <w:r>
        <w:t xml:space="preserve"> TRIP acts as a comprehensive dynamic hardening effect, since the martensite phase is formed randomly within the matrix as a function of deformation. As such, consideration must be given to interfacial hardening, second phase hardening and the dynamic Hall-Petch effect simultaneously. In contrast with the precipitate-strengthening strategy discussed previously, the athermal phase transformation included in TRIP indicates there is no chemical composition difference between matrix and the second phase. Therefore, without differences in chemical composition the </w:t>
      </w:r>
      <w:r>
        <w:lastRenderedPageBreak/>
        <w:t xml:space="preserve">comparatively lower energy barrier between austenite and stress-induced martensite phase allows the second phase strengthening </w:t>
      </w:r>
      <w:r>
        <w:rPr>
          <w:noProof/>
        </w:rPr>
        <w:t>to</w:t>
      </w:r>
      <w:r>
        <w:t xml:space="preserve"> take effect dynamically. This profoundly improves the work hardening capability of the matrix. In conventional alloy systems, the applications of TRIP have been well studied in developing </w:t>
      </w:r>
      <w:r w:rsidRPr="006B2702">
        <w:rPr>
          <w:noProof/>
        </w:rPr>
        <w:t>high</w:t>
      </w:r>
      <w:r>
        <w:rPr>
          <w:noProof/>
        </w:rPr>
        <w:t>-</w:t>
      </w:r>
      <w:r w:rsidRPr="006B2702">
        <w:rPr>
          <w:noProof/>
        </w:rPr>
        <w:t>performance</w:t>
      </w:r>
      <w:r>
        <w:t xml:space="preserve"> steels and </w:t>
      </w:r>
      <w:r>
        <w:rPr>
          <w:rFonts w:ascii="Times New Roman" w:hAnsi="Times New Roman" w:cs="Times New Roman"/>
        </w:rPr>
        <w:t>β</w:t>
      </w:r>
      <w:r>
        <w:t xml:space="preserve">-Ti alloys </w:t>
      </w:r>
      <w:r>
        <w:fldChar w:fldCharType="begin" w:fldLock="1"/>
      </w:r>
      <w:r>
        <w:instrText>ADDIN CSL_CITATION {"citationItems":[{"id":"ITEM-1","itemData":{"DOI":"10.1016/j.scriptamat.2012.01.049","ISBN":"1359-6462","ISSN":"13596462","PMID":"9986980","abstract":"In this work, preliminary results are presented on attempts to develop a new family of titanium alloys with high ductility induced by combined transformation-induced plasticity and twinning-induced plasticity effects. Mechanical tests carried out on a binary β-metastable Ti-12 wt.% Mo alloy designed by a formulation strategy based on the</w:instrText>
      </w:r>
      <w:r>
        <w:rPr>
          <w:rFonts w:hint="eastAsia"/>
        </w:rPr>
        <w:instrText xml:space="preserve"> \"d-electron alloy design\" show a very high work hardening rate. X-ray diffraction, electron backscattered diffraction and transmission electron microscopy reveal the mechanical activation of twinning and of </w:instrText>
      </w:r>
      <w:r>
        <w:rPr>
          <w:rFonts w:hint="eastAsia"/>
        </w:rPr>
        <w:instrText>α′</w:instrText>
      </w:r>
      <w:r>
        <w:rPr>
          <w:rFonts w:hint="eastAsia"/>
        </w:rPr>
        <w:instrText xml:space="preserve">, </w:instrText>
      </w:r>
      <w:r>
        <w:rPr>
          <w:rFonts w:hint="eastAsia"/>
        </w:rPr>
        <w:instrText>α″</w:instrText>
      </w:r>
      <w:r>
        <w:rPr>
          <w:rFonts w:hint="eastAsia"/>
        </w:rPr>
        <w:instrText xml:space="preserve"> and </w:instrText>
      </w:r>
      <w:r>
        <w:rPr>
          <w:rFonts w:hint="eastAsia"/>
        </w:rPr>
        <w:instrText>ω</w:instrText>
      </w:r>
      <w:r>
        <w:rPr>
          <w:rFonts w:hint="eastAsia"/>
        </w:rPr>
        <w:instrText xml:space="preserve"> phases. © 2012 Acta Materialia I</w:instrText>
      </w:r>
      <w:r>
        <w:instrText>nc. Published by Elsevier Ltd. All rights reserved.","author":[{"dropping-particle":"","family":"Marteleur","given":"Matthieu","non-dropping-particle":"","parse-names":false,"suffix":""},{"dropping-particle":"","family":"Sun","given":"Fan","non-dropping-particle":"","parse-names":false,"suffix":""},{"dropping-particle":"","family":"Gloriant","given":"Thierry","non-dropping-particle":"","parse-names":false,"suffix":""},{"dropping-particle":"","family":"Vermaut","given":"Philippe","non-dropping-particle":"","parse-names":false,"suffix":""},{"dropping-particle":"","family":"Jacques","given":"Pascal J.","non-dropping-particle":"","parse-names":false,"suffix":""},{"dropping-particle":"","family":"Prima","given":"Frédéric","non-dropping-particle":"","parse-names":false,"suffix":""}],"container-title":"Scripta Materialia","id":"ITEM-1","issued":{"date-parts":[["2012"]]},"title":"On the design of new β-metastable titanium alloys with improved work hardening rate thanks to simultaneous TRIP and TWIP effects","type":"article-journal"},"uris":["http://www.mendeley.com/documents/?uuid=3b3b3872-dccf-4265-8674-322c558de58e","http://www.mendeley.com/documents/?uuid=1090121d-4d47-4101-802f-3f4768a75559"]},{"id":"ITEM-2","itemData":{"DOI":"10.1016/j.actamat.2015.11.026","ISBN":"1359-6454","ISSN":"13596454","abstract":"A metastable β Ti-10V-3Fe-3Al-0.27O (wt.%) alloy was subjected to thermo-mechanical processing to induce α and ω phase formation, so that the alloy can exhibit the features responsible for both transformatio</w:instrText>
      </w:r>
      <w:r>
        <w:rPr>
          <w:rFonts w:hint="eastAsia"/>
        </w:rPr>
        <w:instrText>n induced plasticity (TRIP) and twinning induced plasticity (TWIP) behaviour during deformation. The alloy thereafter was deformed at different strain rates (10-3, 10-1, 101, 102 s-1) at ambient temperature. At slow strain rate (</w:instrText>
      </w:r>
      <w:r>
        <w:rPr>
          <w:rFonts w:hint="eastAsia"/>
        </w:rPr>
        <w:instrText>≤</w:instrText>
      </w:r>
      <w:r>
        <w:rPr>
          <w:rFonts w:hint="eastAsia"/>
        </w:rPr>
        <w:instrText xml:space="preserve">10-3 s-1), in addition to slip the alloy displayed a dominant deformation mechanism with </w:instrText>
      </w:r>
      <w:r>
        <w:rPr>
          <w:rFonts w:hint="eastAsia"/>
        </w:rPr>
        <w:instrText>α″</w:instrText>
      </w:r>
      <w:r>
        <w:rPr>
          <w:rFonts w:hint="eastAsia"/>
        </w:rPr>
        <w:instrText xml:space="preserve"> martensite formation, where mechanical {332}&lt;113&gt;</w:instrText>
      </w:r>
      <w:r>
        <w:rPr>
          <w:rFonts w:hint="eastAsia"/>
        </w:rPr>
        <w:instrText>β</w:instrText>
      </w:r>
      <w:r>
        <w:rPr>
          <w:rFonts w:hint="eastAsia"/>
        </w:rPr>
        <w:instrText xml:space="preserve"> twinning and deformation-induced </w:instrText>
      </w:r>
      <w:r>
        <w:rPr>
          <w:rFonts w:hint="eastAsia"/>
        </w:rPr>
        <w:instrText>ω</w:instrText>
      </w:r>
      <w:r>
        <w:rPr>
          <w:rFonts w:hint="eastAsia"/>
        </w:rPr>
        <w:instrText xml:space="preserve"> phase were also activated. At an intermediate strain rate, 10-1 s-1, there was a competition between s</w:instrText>
      </w:r>
      <w:r>
        <w:instrText>tress-induced phase transformations and stress-induced twinning deformation mechanisms. With increasing strain rate to 101 s-1 or higher; it was found that the dominant deformation mode was twinning. These results have been correlated with the β phase stability of the samples.","author":[{"dropping-particle":"","family":"Ahmed","given":"Mansur","non-dropping-particle":"","parse-names":false,"suffix":""},{"dropping-particle":"","family":"Wexler","given":"David","non-dropping-particle":"","parse-names":false,"suffix":""},{"dropping-particle":"","family":"Casillas","given":"Gilberto","non-dropping-particle":"","parse-names":false,"suffix":""},{"dropping-particle":"","family":"Savvakin","given":"Dmytro G.","non-dropping-particle":"","parse-names":false,"suffix":""},{"dropping-particle":"V.","family":"Pereloma","given":"Elena","non-dropping-particle":"","parse-names":false,"suffix":""}],"container-title":"Acta Materialia","id":"ITEM-2","issued":{"date-parts":[["2016"]]},"title":"Strain rate dependence of deformation-induced transformation and twinning in a metastable titanium alloy","type":"article-journal"},"uris":["http://www.mendeley.com/documents/?uuid=ce811429-c9fd-43d5-840e-2261a9a12566","http://www.mendeley.com/documents/?uuid=8c415ca2-3da2-4d94-8d43-398cd3b6fdfa"]},{"id":"ITEM-3","itemData":{"DOI":"10.1016/j.jmps.2005.03.004","ISBN":"0022-5096","ISSN":"00225096","abstract":"We study the mechanical behavior of a class of multiphase carbon steels where metastable austenite at room temperature is found in grains dispersed in a ferrite-based matrix. During mechanical loading, the austenite undergoes a displacive phase change and transforms into martensite. This transformation is accommodated by plastic deformations in the surrounding matrix. Experimental results show that the presence of austenite typically enhances the ductility and strength of the steel. We use a recently developed model (Turteltaub and Suiker, 2005) to analyze in detail the contribution of the martensitic transformation to the overall stress-strain response of a specimen containing a single island of austenite embedded in a ferrite-based matrix. Results show that the performance of the material depends strongly on the lattice orientation of the austenite with respect to the loading direction. More importantly, we identify cases in which the presence of austenite can in fact be detrimental in terms of strength, which is relevant information in order to improve the behavior of this class of steels. © 2005 Elsevier Ltd. All rights reserved.","author":[{"dropping-particle":"","family":"Turteltaub","given":"S.","non-dropping-particle":"","parse-names":false,"suffix":""},{"dropping-particle":"","family":"Suiker","given":"A. S.J.","non-dropping-particle":"","parse-names":false,"suffix":""}],"container-title":"Journal of the Mechanics and Physics of Solids","id":"ITEM-3","issued":{"date-parts":[["2005"]]},"title":"Transformation-induced plasticity in ferrous alloys","type":"article-journal"},"uris":["http://www.mendeley.com/documents/?uuid=f77195b2-aad7-49a5-81db-22f42fbe1b65","http://www.mendeley.com/documents/?uuid=eae190b6-aa57-4ed7-8ae0-d03667b2e47b"]},{"id":"ITEM-4","itemData":{"DOI":"10.1016/S0749-6419(99)00078-9","ISBN":"0749-6419","ISSN":"07496419","abstract":"The phenomenon of transformation induced plasticity (TRIP) in steel is reinvestigated both experimentally and theoretically. The irreversible length change (TRIP strain) consists not only of a plastic contribution ('Greenwood-Johnson 'effect) but also of a contribution due to the length change caused by the transformation shear component of the martensitic variants (orientation effect or 'Magee' effect). This orientation effect, which is fully accepted for shape memory alloys, is explained for steels. Micromechanical investigations help to quantify the orientation effect. Finally a proposal for a modified constitutive law for elastic plastic phase changing materials is presented.","author":[{"dropping-particle":"","family":"Fischer","given":"F. D.","non-dropping-particle":"","parse-names":false,"suffix":""},{"dropping-particle":"","family":"Reisner","given":"G.","non-dropping-particle":"","parse-names":false,"suffix":""},{"dropping-particle":"","family":"Werner","given":"E.","non-dropping-particle":"","parse-names":false,"suffix":""},{"dropping-particle":"","family":"Tanaka","given":"K.","non-dropping-particle":"","parse-names":false,"suffix":""},{"dropping-particle":"","family":"Cailletaud","given":"G.","non-dropping-particle":"","parse-names":false,"suffix":""},{"dropping-particle":"","family":"Antretter","given":"T.","non-dropping-particle":"","parse-names":false,"suffix":""}],"container-title":"International journal of plasticity","id":"ITEM-4","issued":{"date-parts":[["2000"]]},"title":"New view on transformation induced plasticity (TRIP)","type":"article-journal"},"uris":["http://www.mendeley.com/documents/?uuid=2ab53695-0735-4a35-9fbf-1f7ba721397e","http://www.mendeley.com/documents/?uuid=89e6c505-3c39-4a29-b869-e25c4091e331","http://www.mendeley.com/documents/?uuid=4581e2a1-ea18-45c7-931c-82fe5eb9e9b6"]}],"mendeley":{"formattedCitation":"[112,115–117]","plainTextFormattedCitation":"[112,115–117]","previouslyFormattedCitation":"[112,115–117]"},"properties":{"noteIndex":0},"schema":"https://github.com/citation-style-language/schema/raw/master/csl-citation.json"}</w:instrText>
      </w:r>
      <w:r>
        <w:fldChar w:fldCharType="separate"/>
      </w:r>
      <w:r w:rsidRPr="003B39BC">
        <w:rPr>
          <w:noProof/>
        </w:rPr>
        <w:t>[112,115–117]</w:t>
      </w:r>
      <w:r>
        <w:fldChar w:fldCharType="end"/>
      </w:r>
      <w:r>
        <w:t xml:space="preserve">. </w:t>
      </w:r>
    </w:p>
    <w:p w14:paraId="531120D5" w14:textId="77777777" w:rsidR="00624970" w:rsidRDefault="00624970" w:rsidP="00624970">
      <w:pPr>
        <w:keepNext/>
        <w:spacing w:afterLines="60" w:after="144" w:line="360" w:lineRule="auto"/>
      </w:pPr>
      <w:r w:rsidRPr="00195DDC">
        <w:rPr>
          <w:noProof/>
          <w:lang w:val="en-US" w:eastAsia="en-US"/>
        </w:rPr>
        <w:drawing>
          <wp:inline distT="0" distB="0" distL="0" distR="0" wp14:anchorId="51C613CD" wp14:editId="36F27CFC">
            <wp:extent cx="5943600" cy="2994660"/>
            <wp:effectExtent l="0" t="0" r="0" b="0"/>
            <wp:docPr id="4" name="图片 10">
              <a:extLst xmlns:a="http://schemas.openxmlformats.org/drawingml/2006/main">
                <a:ext uri="{FF2B5EF4-FFF2-40B4-BE49-F238E27FC236}">
                  <a16:creationId xmlns:a16="http://schemas.microsoft.com/office/drawing/2014/main" id="{9EB81302-73E7-4FE5-905B-DF41FF0C79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9EB81302-73E7-4FE5-905B-DF41FF0C791F}"/>
                        </a:ext>
                      </a:extLst>
                    </pic:cNvPr>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943600" cy="2994660"/>
                    </a:xfrm>
                    <a:prstGeom prst="rect">
                      <a:avLst/>
                    </a:prstGeom>
                  </pic:spPr>
                </pic:pic>
              </a:graphicData>
            </a:graphic>
          </wp:inline>
        </w:drawing>
      </w:r>
    </w:p>
    <w:p w14:paraId="532560DF" w14:textId="3248F5F9" w:rsidR="00624970" w:rsidRPr="008C41ED" w:rsidRDefault="00624970" w:rsidP="00624970">
      <w:pPr>
        <w:spacing w:afterLines="60" w:after="144" w:line="360" w:lineRule="auto"/>
        <w:jc w:val="both"/>
        <w:rPr>
          <w:sz w:val="20"/>
          <w:szCs w:val="20"/>
        </w:rPr>
      </w:pPr>
      <w:bookmarkStart w:id="157" w:name="_Toc7364577"/>
      <w:bookmarkStart w:id="158" w:name="_Toc5617644"/>
      <w:bookmarkStart w:id="159" w:name="_Toc39312691"/>
      <w:r w:rsidRPr="006B2891">
        <w:rPr>
          <w:b/>
          <w:sz w:val="20"/>
          <w:szCs w:val="20"/>
        </w:rPr>
        <w:t>Figure 2-</w:t>
      </w:r>
      <w:r w:rsidRPr="008C41ED">
        <w:fldChar w:fldCharType="begin"/>
      </w:r>
      <w:r w:rsidRPr="0044096C">
        <w:rPr>
          <w:b/>
          <w:sz w:val="20"/>
        </w:rPr>
        <w:instrText xml:space="preserve"> SEQ Figure \* ARABIC </w:instrText>
      </w:r>
      <w:r w:rsidRPr="008C41ED">
        <w:rPr>
          <w:b/>
          <w:sz w:val="20"/>
        </w:rPr>
        <w:fldChar w:fldCharType="separate"/>
      </w:r>
      <w:r w:rsidRPr="008C41ED">
        <w:rPr>
          <w:b/>
          <w:bCs/>
          <w:noProof/>
          <w:sz w:val="20"/>
          <w:szCs w:val="20"/>
        </w:rPr>
        <w:t>22</w:t>
      </w:r>
      <w:r w:rsidRPr="008C41ED">
        <w:fldChar w:fldCharType="end"/>
      </w:r>
      <w:r w:rsidRPr="006B2891">
        <w:rPr>
          <w:b/>
          <w:sz w:val="20"/>
          <w:szCs w:val="20"/>
        </w:rPr>
        <w:t xml:space="preserve"> TEM investigation of grain size effect on a deformation mechanism </w:t>
      </w:r>
      <w:r w:rsidRPr="006B2891">
        <w:rPr>
          <w:sz w:val="20"/>
          <w:szCs w:val="20"/>
        </w:rPr>
        <w:t>(</w:t>
      </w:r>
      <w:r w:rsidRPr="00E561AF">
        <w:rPr>
          <w:b/>
          <w:sz w:val="20"/>
          <w:szCs w:val="20"/>
        </w:rPr>
        <w:t>a</w:t>
      </w:r>
      <w:r w:rsidRPr="00E561AF">
        <w:rPr>
          <w:sz w:val="20"/>
          <w:szCs w:val="20"/>
        </w:rPr>
        <w:t>)</w:t>
      </w:r>
      <w:r>
        <w:rPr>
          <w:sz w:val="20"/>
          <w:szCs w:val="20"/>
        </w:rPr>
        <w:t xml:space="preserve"> a b</w:t>
      </w:r>
      <w:r w:rsidRPr="00E561AF">
        <w:rPr>
          <w:sz w:val="20"/>
          <w:szCs w:val="20"/>
        </w:rPr>
        <w:t xml:space="preserve">right field image with </w:t>
      </w:r>
      <w:r>
        <w:rPr>
          <w:sz w:val="20"/>
          <w:szCs w:val="20"/>
        </w:rPr>
        <w:t xml:space="preserve">a </w:t>
      </w:r>
      <w:r w:rsidRPr="00E561AF">
        <w:rPr>
          <w:sz w:val="20"/>
          <w:szCs w:val="20"/>
        </w:rPr>
        <w:t>grain size of 503</w:t>
      </w:r>
      <w:r>
        <w:rPr>
          <w:sz w:val="20"/>
          <w:szCs w:val="20"/>
        </w:rPr>
        <w:t xml:space="preserve"> </w:t>
      </w:r>
      <w:r w:rsidRPr="00E561AF">
        <w:rPr>
          <w:sz w:val="20"/>
          <w:szCs w:val="20"/>
        </w:rPr>
        <w:t>nm</w:t>
      </w:r>
      <w:r>
        <w:rPr>
          <w:sz w:val="20"/>
          <w:szCs w:val="20"/>
        </w:rPr>
        <w:t>;</w:t>
      </w:r>
      <w:r w:rsidRPr="00E561AF">
        <w:rPr>
          <w:sz w:val="20"/>
          <w:szCs w:val="20"/>
        </w:rPr>
        <w:t xml:space="preserve"> (</w:t>
      </w:r>
      <w:r w:rsidRPr="008D07D9">
        <w:rPr>
          <w:b/>
          <w:bCs/>
          <w:sz w:val="20"/>
          <w:szCs w:val="20"/>
        </w:rPr>
        <w:t>a1-a2</w:t>
      </w:r>
      <w:r w:rsidRPr="008D07D9">
        <w:rPr>
          <w:sz w:val="20"/>
          <w:szCs w:val="20"/>
        </w:rPr>
        <w:t xml:space="preserve">) </w:t>
      </w:r>
      <w:r>
        <w:rPr>
          <w:sz w:val="20"/>
          <w:szCs w:val="20"/>
        </w:rPr>
        <w:t>the d</w:t>
      </w:r>
      <w:r w:rsidRPr="006B2891">
        <w:rPr>
          <w:sz w:val="20"/>
          <w:szCs w:val="20"/>
        </w:rPr>
        <w:t xml:space="preserve">eformation </w:t>
      </w:r>
      <w:r>
        <w:rPr>
          <w:sz w:val="20"/>
          <w:szCs w:val="20"/>
        </w:rPr>
        <w:t>microstructure</w:t>
      </w:r>
      <w:r w:rsidRPr="006B2891">
        <w:rPr>
          <w:sz w:val="20"/>
          <w:szCs w:val="20"/>
        </w:rPr>
        <w:t xml:space="preserve"> captured within the grain</w:t>
      </w:r>
      <w:r>
        <w:rPr>
          <w:sz w:val="20"/>
          <w:szCs w:val="20"/>
        </w:rPr>
        <w:t>;</w:t>
      </w:r>
      <w:r w:rsidRPr="006B2891">
        <w:rPr>
          <w:sz w:val="20"/>
          <w:szCs w:val="20"/>
        </w:rPr>
        <w:t xml:space="preserve"> (</w:t>
      </w:r>
      <w:r w:rsidRPr="006B2891">
        <w:rPr>
          <w:b/>
          <w:sz w:val="20"/>
          <w:szCs w:val="20"/>
        </w:rPr>
        <w:t>b-d</w:t>
      </w:r>
      <w:r w:rsidRPr="006B2891">
        <w:rPr>
          <w:sz w:val="20"/>
          <w:szCs w:val="20"/>
        </w:rPr>
        <w:t xml:space="preserve">) </w:t>
      </w:r>
      <w:r>
        <w:rPr>
          <w:sz w:val="20"/>
          <w:szCs w:val="20"/>
        </w:rPr>
        <w:t>the m</w:t>
      </w:r>
      <w:r w:rsidRPr="006B2891">
        <w:rPr>
          <w:sz w:val="20"/>
          <w:szCs w:val="20"/>
        </w:rPr>
        <w:t>icrostructure</w:t>
      </w:r>
      <w:r>
        <w:rPr>
          <w:sz w:val="20"/>
          <w:szCs w:val="20"/>
        </w:rPr>
        <w:t>s</w:t>
      </w:r>
      <w:r w:rsidRPr="00E561AF">
        <w:rPr>
          <w:sz w:val="20"/>
          <w:szCs w:val="20"/>
        </w:rPr>
        <w:t xml:space="preserve"> of sample</w:t>
      </w:r>
      <w:r>
        <w:rPr>
          <w:sz w:val="20"/>
          <w:szCs w:val="20"/>
        </w:rPr>
        <w:t>s</w:t>
      </w:r>
      <w:r w:rsidRPr="00E561AF">
        <w:rPr>
          <w:sz w:val="20"/>
          <w:szCs w:val="20"/>
        </w:rPr>
        <w:t xml:space="preserve"> with different grain size. Deformation products </w:t>
      </w:r>
      <w:r w:rsidRPr="006B2891">
        <w:rPr>
          <w:sz w:val="20"/>
          <w:szCs w:val="20"/>
        </w:rPr>
        <w:t>such as twinning were observed within the primary</w:t>
      </w:r>
      <w:r w:rsidRPr="00E561AF">
        <w:rPr>
          <w:sz w:val="20"/>
          <w:szCs w:val="20"/>
        </w:rPr>
        <w:t xml:space="preserve"> grain</w:t>
      </w:r>
      <w:r>
        <w:rPr>
          <w:sz w:val="20"/>
          <w:szCs w:val="20"/>
        </w:rPr>
        <w:t xml:space="preserve"> </w:t>
      </w:r>
      <w:r w:rsidRPr="0095124F">
        <w:rPr>
          <w:b/>
          <w:sz w:val="20"/>
          <w:szCs w:val="20"/>
        </w:rPr>
        <w:t>(d1)</w:t>
      </w:r>
      <w:r w:rsidRPr="00E561AF">
        <w:rPr>
          <w:sz w:val="20"/>
          <w:szCs w:val="20"/>
        </w:rPr>
        <w:t>. Inset is a selected</w:t>
      </w:r>
      <w:r w:rsidRPr="008D07D9">
        <w:rPr>
          <w:sz w:val="20"/>
          <w:szCs w:val="20"/>
        </w:rPr>
        <w:t xml:space="preserve"> area diffraction pattern showing the</w:t>
      </w:r>
      <w:r w:rsidRPr="00522EBC">
        <w:rPr>
          <w:sz w:val="20"/>
          <w:szCs w:val="20"/>
        </w:rPr>
        <w:t xml:space="preserve"> corresponding</w:t>
      </w:r>
      <w:r w:rsidRPr="006B7596">
        <w:rPr>
          <w:sz w:val="20"/>
          <w:szCs w:val="20"/>
        </w:rPr>
        <w:t xml:space="preserve"> orientation relationship</w:t>
      </w:r>
      <w:r>
        <w:rPr>
          <w:sz w:val="20"/>
          <w:szCs w:val="20"/>
        </w:rPr>
        <w:t xml:space="preserve"> </w:t>
      </w:r>
      <w:r w:rsidRPr="0095124F">
        <w:rPr>
          <w:b/>
          <w:sz w:val="20"/>
          <w:szCs w:val="20"/>
        </w:rPr>
        <w:t>(d2)</w:t>
      </w:r>
      <w:r w:rsidRPr="006B7596">
        <w:rPr>
          <w:sz w:val="20"/>
          <w:szCs w:val="20"/>
        </w:rPr>
        <w:t>.</w:t>
      </w:r>
      <w:r>
        <w:rPr>
          <w:sz w:val="20"/>
          <w:szCs w:val="20"/>
        </w:rPr>
        <w:t xml:space="preserve">; </w:t>
      </w:r>
      <w:r w:rsidRPr="006B7596">
        <w:rPr>
          <w:sz w:val="20"/>
          <w:szCs w:val="20"/>
        </w:rPr>
        <w:t>(</w:t>
      </w:r>
      <w:r w:rsidRPr="009C5F0F">
        <w:rPr>
          <w:b/>
          <w:bCs/>
          <w:sz w:val="20"/>
          <w:szCs w:val="20"/>
        </w:rPr>
        <w:t>e</w:t>
      </w:r>
      <w:r w:rsidRPr="009C5F0F">
        <w:rPr>
          <w:sz w:val="20"/>
          <w:szCs w:val="20"/>
        </w:rPr>
        <w:t xml:space="preserve">) </w:t>
      </w:r>
      <w:r>
        <w:rPr>
          <w:sz w:val="20"/>
          <w:szCs w:val="20"/>
        </w:rPr>
        <w:t>the t</w:t>
      </w:r>
      <w:r w:rsidRPr="009C5F0F">
        <w:rPr>
          <w:sz w:val="20"/>
          <w:szCs w:val="20"/>
        </w:rPr>
        <w:t xml:space="preserve">ensile properties of </w:t>
      </w:r>
      <w:r>
        <w:rPr>
          <w:sz w:val="20"/>
          <w:szCs w:val="20"/>
        </w:rPr>
        <w:t>the</w:t>
      </w:r>
      <w:r w:rsidRPr="002F436A">
        <w:rPr>
          <w:sz w:val="20"/>
          <w:szCs w:val="20"/>
        </w:rPr>
        <w:t xml:space="preserve"> alloy with different grain size</w:t>
      </w:r>
      <w:r>
        <w:rPr>
          <w:noProof/>
          <w:sz w:val="20"/>
          <w:szCs w:val="20"/>
        </w:rPr>
        <w:t>; a</w:t>
      </w:r>
      <w:r w:rsidR="007D04B9">
        <w:rPr>
          <w:noProof/>
          <w:sz w:val="20"/>
          <w:szCs w:val="20"/>
        </w:rPr>
        <w:t>n</w:t>
      </w:r>
      <w:r>
        <w:rPr>
          <w:noProof/>
          <w:sz w:val="20"/>
          <w:szCs w:val="20"/>
        </w:rPr>
        <w:t xml:space="preserve">d </w:t>
      </w:r>
      <w:r w:rsidRPr="002F436A">
        <w:rPr>
          <w:noProof/>
          <w:sz w:val="20"/>
          <w:szCs w:val="20"/>
        </w:rPr>
        <w:t>(</w:t>
      </w:r>
      <w:r w:rsidRPr="002F436A">
        <w:rPr>
          <w:b/>
          <w:bCs/>
          <w:sz w:val="20"/>
          <w:szCs w:val="20"/>
        </w:rPr>
        <w:t>f</w:t>
      </w:r>
      <w:r w:rsidRPr="00467323">
        <w:rPr>
          <w:sz w:val="20"/>
          <w:szCs w:val="20"/>
        </w:rPr>
        <w:t>)</w:t>
      </w:r>
      <w:r w:rsidRPr="00901DCD">
        <w:rPr>
          <w:sz w:val="20"/>
          <w:szCs w:val="20"/>
        </w:rPr>
        <w:t xml:space="preserve"> </w:t>
      </w:r>
      <w:r>
        <w:rPr>
          <w:sz w:val="20"/>
          <w:szCs w:val="20"/>
        </w:rPr>
        <w:t>an i</w:t>
      </w:r>
      <w:r w:rsidRPr="00901DCD">
        <w:rPr>
          <w:sz w:val="20"/>
          <w:szCs w:val="20"/>
        </w:rPr>
        <w:t xml:space="preserve">llustration </w:t>
      </w:r>
      <w:r w:rsidRPr="006B2891">
        <w:rPr>
          <w:sz w:val="20"/>
          <w:szCs w:val="20"/>
        </w:rPr>
        <w:t xml:space="preserve">of deformation mechanisms dependence with grain size </w:t>
      </w:r>
      <w:r w:rsidRPr="008C41ED">
        <w:fldChar w:fldCharType="begin" w:fldLock="1"/>
      </w:r>
      <w:r>
        <w:rPr>
          <w:sz w:val="20"/>
        </w:rPr>
        <w:instrText>ADDIN CSL_CITATION {"citationItems":[{"id":"ITEM-1","itemData":{"DOI":"10.1016/j.msea.2017.12.022","ISBN":"0921-5093","ISSN":"09215093","abstract":"Fully recrystallized CoCrFeMnNi high entropy alloys (HEAs) with different grain sizes ranging from 503 nm to 88.9 µm were fabricated by cold rolling and controlled annealing. Tensile tests were conducted at ambient temperature, and deformation microstructures were investigated using electron channeling contrast imaging (ECCI) and transmission electron microscopy (TEM) techniques. It is found that strain-hardening curves changed dramatically with grain refinement. Deformation twinning prevails when the grain size is coarse, but it is absent when the grain size falls in the ultrafine-grained (UFG) regime. The transition of twinning behavior is supposed to be determined by the increased twinning stress with grain refinement. It is indicated that the twinning behavior of the HEAs is strongly dependent on the competition between the flow stress and critical twinning stress with grain refinement.","author":[{"dropping-particle":"","family":"Sun","given":"S. J.","non-dropping-particle":"","parse-names":false,"suffix":""},{"dropping-particle":"","family":"Tian","given":"Y. Z.","non-dropping-particle":"","parse-names":false,"suffix":""},{"dropping-particle":"","family":"Lin","given":"H. R.","non-dropping-particle":"","parse-names":false,"suffix":""},{"dropping-particle":"","family":"Yang","given":"H. J.","non-dropping-particle":"","parse-names":false,"suffix":""},{"dropping-particle":"","family":"Dong","given":"X. G.","non-dropping-particle":"","parse-names":false,"suffix":""},{"dropping-particle":"","family":"Wang","given":"Y. H.","non-dropping-particle":"","parse-names":false,"suffix":""},{"dropping-particle":"","family":"Zhang","given":"Z. F.","non-dropping-particle":"","parse-names":false,"suffix":""}],"container-title":"Materials Science and Engineering A","id":"ITEM-1","issued":{"date-parts":[["2018"]]},"title":"Transition of twinning behavior in CoCrFeMnNi high entropy alloy with grain refinement","type":"article-journal"},"uris":["http://www.mendeley.com/documents/?uuid=55341f03-acbc-4a92-9eeb-d174729afe48","http://www.mendeley.com/documents/?uuid=3f719dfb-0de3-497e-8da0-f57bfd213047"]}],"mendeley":{"formattedCitation":"[118]","plainTextFormattedCitation":"[118]","previouslyFormattedCitation":"[118]"},"properties":{"noteIndex":0},"schema":"https://github.com/citation-style-language/schema/raw/master/csl-citation.json"}</w:instrText>
      </w:r>
      <w:r w:rsidRPr="008C41ED">
        <w:rPr>
          <w:sz w:val="20"/>
        </w:rPr>
        <w:fldChar w:fldCharType="separate"/>
      </w:r>
      <w:bookmarkEnd w:id="157"/>
      <w:bookmarkEnd w:id="158"/>
      <w:r w:rsidRPr="003B39BC">
        <w:rPr>
          <w:noProof/>
          <w:sz w:val="20"/>
          <w:szCs w:val="20"/>
        </w:rPr>
        <w:t>[118]</w:t>
      </w:r>
      <w:r w:rsidRPr="008C41ED">
        <w:fldChar w:fldCharType="end"/>
      </w:r>
      <w:r>
        <w:t>.</w:t>
      </w:r>
      <w:bookmarkEnd w:id="159"/>
      <w:r w:rsidRPr="006B2891">
        <w:rPr>
          <w:sz w:val="20"/>
          <w:szCs w:val="20"/>
        </w:rPr>
        <w:t xml:space="preserve"> </w:t>
      </w:r>
    </w:p>
    <w:p w14:paraId="5C022E84" w14:textId="77777777" w:rsidR="00624970" w:rsidRDefault="00624970" w:rsidP="00624970">
      <w:pPr>
        <w:spacing w:afterLines="60" w:after="144" w:line="360" w:lineRule="auto"/>
        <w:jc w:val="both"/>
      </w:pPr>
      <w:r>
        <w:t xml:space="preserve">The activation of the TRIP effect can be satisfied by tuning the austenite phase stability, which in turn reduces the energy barrier between the austenite and stress-induced martensite phases. Recently, by using high-Mn TRIP steel as </w:t>
      </w:r>
      <w:r>
        <w:rPr>
          <w:noProof/>
        </w:rPr>
        <w:t>an example</w:t>
      </w:r>
      <w:r>
        <w:t xml:space="preserve">, the TRIP effect </w:t>
      </w:r>
      <w:r>
        <w:rPr>
          <w:noProof/>
        </w:rPr>
        <w:t>was</w:t>
      </w:r>
      <w:r w:rsidRPr="008C71F2">
        <w:rPr>
          <w:noProof/>
        </w:rPr>
        <w:t xml:space="preserve"> successfully introduce</w:t>
      </w:r>
      <w:r>
        <w:rPr>
          <w:noProof/>
        </w:rPr>
        <w:t>d</w:t>
      </w:r>
      <w:r>
        <w:t xml:space="preserve"> into the 3d transitional group HEAs by lowering γ phase stability </w:t>
      </w:r>
      <w:r>
        <w:fldChar w:fldCharType="begin" w:fldLock="1"/>
      </w:r>
      <w:r>
        <w:instrText>ADDIN CSL_CITATION {"citationItems":[{"id":"ITEM-1","itemData":{"DOI":"10.1038/srep40704","ISBN":"2045-2322 (Electronic) 2045-2322 (Linking)","ISSN":"20452322","PMID":"28079175","abstract":"High-entropy alloys (HEAs) consisting of multiple principle elements provide an avenue for realizing exceptional mechanical, physical and chemical properties. We report a novel strategy for designing a new class of HEAs incorporating the additional interstitial element carbon. This results in joint activation of twinning- and transformation-induced plasticity (TWIP and TRIP) by tuning the matrix phase's instability in a metastable TRIP-assisted dual-phase HEA. Besides TWIP and TRIP, such alloys benefit from massive substitutional and interstitial solid solution strengthening as well as from the composite effect associated with its dual-phase structure. Nanosize particle formation and grain size reduction are also utilized. The new interstitial TWIP-TRIP-HEA thus unifies all metallic strengthening mechanisms in one material, leading to twice the tensile strength compared to a single-phase HEA with similar composition, yet, at identical ductility.","author":[{"dropping-particle":"","family":"Li","given":"Zhiming","non-dropping-particle":"","parse-names":false,"suffix":""},{"dropping-particle":"","family":"Tasan","given":"Cemal Cem","non-dropping-particle":"","parse-names":false,"suffix":""},{"dropping-particle":"","family":"Springer","given":"Hauke","non-dropping-particle":"","parse-names":false,"suffix":""},{"dropping-particle":"","family":"Gault","given":"Baptiste","non-dropping-particle":"","parse-names":false,"suffix":""},{"dropping-particle":"","family":"Raabe","given":"Dierk","non-dropping-particle":"","parse-names":false,"suffix":""}],"container-title":"Scientific Reports","id":"ITEM-1","issued":{"date-parts":[["2017"]]},"title":"Interstitial atoms enable joint twinning and transformation induced plasticity in strong and ductile high-entropy alloys","type":"article-journal"},"uris":["http://www.mendeley.com/documents/?uuid=c7455a60-96a1-4e22-952d-b474fbdf1317","http://www.mendeley.com/documents/?uuid=1650cf74-6946-4d91-abda-d3caca716444"]},{"id":"ITEM-2","itemData":{"DOI":"10.1038/nature17981","ISBN":"0028-0836","ISSN":"14764687","PMID":"27279217","abstract":"Metals have been mankind's most essential materials for thousands of years; however, their use is affected by ecological and economical concerns. Alloys with higher strength and ductility could alleviate some of these concerns by reducing weight and improving energy efficiency. However, most metallurgical mechanisms for increasing strength lead to ductility loss, an effect referred to as the strength-ductility trade-off. Here we present a metastability-engineering strategy in which we design nanostructured, bulk high-entropy alloys with multiple compositionally equivalent high-entropy phases. High-entropy alloys were originally proposed to benefit from phase stabilization through entropy maximization. Yet here, motivated by recent work that relaxes the strict restrictions on high-entropy alloy compositions by demonstrating the weakness of this connection, the concept is overturned. We decrease phase stability to achieve two key benefits: interface hardening due to a dual-phase microstructure (resulting from reduced thermal stability of the high-temperature phase); and transformation-induced hardening (resulting from the reduced mechanical stability of the room-temperature phase). This combines the best of two worlds: extensive hardening due to the decreased phase stability known from advanced steels and massive solid-solution strengthening of high-entropy alloys. In our transformation-induced plasticity-assisted, dual-phase high-entropy alloy (TRIP-DP-HEA), these two contributions lead respectively to enhanced trans-grain and inter-grain slip resistance, and hence, increased strength. Moreover, the increased strain hardening capacity that is enabled by dislocation hardening of the stable phase and transformation-induced hardening of the metastable phase produces increased ductility. This combined increase in strength and ductility distinguishes the TRIP-DP-HEA alloy from other recently developed structural materials. This metastability-engineering strategy should thus usefully guide design in the near-infinite compositional space of high-entropy alloys.","author":[{"dropping-particle":"","family":"Li","given":"Zhiming","non-dropping-particle":"","parse-names":false,"suffix":""},{"dropping-particle":"","family":"Pradeep","given":"Konda Gokuldoss","non-dropping-particle":"","parse-names":false,"suffix":""},{"dropping-particle":"","family":"Deng","given":"Yun","non-dropping-particle":"","parse-names":false,"suffix":""},{"dropping-particle":"","family":"Raabe","given":"Dierk","non-dropping-particle":"","parse-names":false,"suffix":""},{"dropping-particle":"","family":"Tasan","given":"Cemal Cem","non-dropping-particle":"","parse-names":false,"suffix":""}],"container-title":"Nature","id":"ITEM-2","issued":{"date-parts":[["2016"]]},"title":"Metastable high-entropy dual-phase alloys overcome the strength-ductility trade-off","type":"article-journal"},"uris":["http://www.mendeley.com/documents/?uuid=082f25b9-5d2c-4b7f-b69b-80e2c555b8ca","http://www.mendeley.com/documents/?uuid=79c62913-e67b-478d-bbeb-1ba84235623f"]}],"mendeley":{"formattedCitation":"[93,119]","plainTextFormattedCitation":"[93,119]","previouslyFormattedCitation":"[93,119]"},"properties":{"noteIndex":0},"schema":"https://github.com/citation-style-language/schema/raw/master/csl-citation.json"}</w:instrText>
      </w:r>
      <w:r>
        <w:fldChar w:fldCharType="separate"/>
      </w:r>
      <w:r w:rsidRPr="003B39BC">
        <w:rPr>
          <w:noProof/>
        </w:rPr>
        <w:t>[93,119]</w:t>
      </w:r>
      <w:r>
        <w:fldChar w:fldCharType="end"/>
      </w:r>
      <w:r>
        <w:t xml:space="preserve">. The work </w:t>
      </w:r>
      <w:r>
        <w:rPr>
          <w:noProof/>
        </w:rPr>
        <w:t>was</w:t>
      </w:r>
      <w:r w:rsidRPr="006B2702">
        <w:rPr>
          <w:noProof/>
        </w:rPr>
        <w:t xml:space="preserve"> </w:t>
      </w:r>
      <w:r>
        <w:rPr>
          <w:noProof/>
        </w:rPr>
        <w:t>conducted on the basis of</w:t>
      </w:r>
      <w:r>
        <w:t xml:space="preserve"> </w:t>
      </w:r>
      <w:r w:rsidRPr="006B2702">
        <w:rPr>
          <w:noProof/>
        </w:rPr>
        <w:t>non</w:t>
      </w:r>
      <w:r>
        <w:t>-</w:t>
      </w:r>
      <w:r w:rsidRPr="006B2702">
        <w:rPr>
          <w:noProof/>
        </w:rPr>
        <w:t>equi</w:t>
      </w:r>
      <w:r>
        <w:t>atomic TWIP HEA Fe</w:t>
      </w:r>
      <w:r w:rsidRPr="00142930">
        <w:rPr>
          <w:vertAlign w:val="subscript"/>
        </w:rPr>
        <w:t>40</w:t>
      </w:r>
      <w:r>
        <w:t>Mn</w:t>
      </w:r>
      <w:r w:rsidRPr="00142930">
        <w:rPr>
          <w:vertAlign w:val="subscript"/>
        </w:rPr>
        <w:t>40</w:t>
      </w:r>
      <w:r>
        <w:t>Co</w:t>
      </w:r>
      <w:r w:rsidRPr="00142930">
        <w:rPr>
          <w:vertAlign w:val="subscript"/>
        </w:rPr>
        <w:t>10</w:t>
      </w:r>
      <w:r>
        <w:t>Cr</w:t>
      </w:r>
      <w:r w:rsidRPr="00142930">
        <w:rPr>
          <w:vertAlign w:val="subscript"/>
        </w:rPr>
        <w:t>10</w:t>
      </w:r>
      <w:r>
        <w:rPr>
          <w:vertAlign w:val="subscript"/>
        </w:rPr>
        <w:t xml:space="preserve"> </w:t>
      </w:r>
      <w:r>
        <w:fldChar w:fldCharType="begin" w:fldLock="1"/>
      </w:r>
      <w:r>
        <w:instrText>ADDIN CSL_CITATION {"citationItems":[{"id":"ITEM-1","itemData":{"DOI":"10.1016/j.actamat.2015.04.014","ISBN":"13596454","ISSN":"13596454","abstract":"We introduce a liquid metallurgy synthesized, non-equiatomic Fe&lt;inf&gt;40&lt;/inf&gt;Mn&lt;inf&gt;40&lt;/inf&gt;Co&lt;inf&gt;10&lt;/inf&gt;Cr&lt;inf&gt;10&lt;/inf&gt; high entropy alloy that is designed to undergo mechanically-induced twinning upon deformation at room temperature. Microstructure characterization, carried out using SEM, TEM and APT shows a homogeneous fcc structured single phase solid solution in the as-cast, hot-rolled and homogenized states. Investigations of the deformation substructures at specific strain levels with electron channeling contrast imaging (ECCI) combined with EBSD reveal a clear change in the deformation mechanisms of the designed alloy starting from dislocation slip to twinning as a function of strain. Such twinning induced plasticity has only been observed under cryogenic conditions in the equiatomic FeMnNiCoCr high entropy alloy. Thus, despite the decreased contribution of solid solution strengthening, the tensile properties of the introduced lean alloy at room temperature are found to be comparable to that of the well-studied five component FeMnNiCoCr system.","author":[{"dropping-particle":"","family":"Deng","given":"Y.","non-dropping-particle":"","parse-names":false,"suffix":""},{"dropping-particle":"","family":"Tasan","given":"C. C.","non-dropping-particle":"","parse-names":false,"suffix":""},{"dropping-particle":"","family":"Pradeep","given":"K. G.","non-dropping-particle":"","parse-names":false,"suffix":""},{"dropping-particle":"","family":"Springer","given":"H.","non-dropping-particle":"","parse-names":false,"suffix":""},{"dropping-particle":"","family":"Kostka","given":"A.","non-dropping-particle":"","parse-names":false,"suffix":""},{"dropping-particle":"","family":"Raabe","given":"D.","non-dropping-particle":"","parse-names":false,"suffix":""}],"container-title":"Acta Materialia","id":"ITEM-1","issued":{"date-parts":[["2015"]]},"title":"Design of a twinning-induced plasticity high entropy alloy","type":"article-journal"},"uris":["http://www.mendeley.com/documents/?uuid=4d3e3d2f-70a0-4617-88b1-847e108297e4"]}],"mendeley":{"formattedCitation":"[109]","plainTextFormattedCitation":"[109]","previouslyFormattedCitation":"[109]"},"properties":{"noteIndex":0},"schema":"https://github.com/citation-style-language/schema/raw/master/csl-citation.json"}</w:instrText>
      </w:r>
      <w:r>
        <w:fldChar w:fldCharType="separate"/>
      </w:r>
      <w:r w:rsidRPr="003B39BC">
        <w:rPr>
          <w:noProof/>
        </w:rPr>
        <w:t>[109]</w:t>
      </w:r>
      <w:r>
        <w:fldChar w:fldCharType="end"/>
      </w:r>
      <w:r>
        <w:t>. Through tuning the Fe and Mn ratio in Fe</w:t>
      </w:r>
      <w:r w:rsidRPr="00142930">
        <w:rPr>
          <w:vertAlign w:val="subscript"/>
        </w:rPr>
        <w:t>50</w:t>
      </w:r>
      <w:r>
        <w:t>Mn</w:t>
      </w:r>
      <w:r w:rsidRPr="00142930">
        <w:rPr>
          <w:vertAlign w:val="subscript"/>
        </w:rPr>
        <w:t>30</w:t>
      </w:r>
      <w:r>
        <w:t>Co</w:t>
      </w:r>
      <w:r w:rsidRPr="00142930">
        <w:rPr>
          <w:vertAlign w:val="subscript"/>
        </w:rPr>
        <w:t>10</w:t>
      </w:r>
      <w:r>
        <w:t>Cr</w:t>
      </w:r>
      <w:r w:rsidRPr="00142930">
        <w:rPr>
          <w:vertAlign w:val="subscript"/>
        </w:rPr>
        <w:t>10</w:t>
      </w:r>
      <w:r>
        <w:t xml:space="preserve">, the TRIP effect was successfully activated and stress-induced γ to ε (HCP) phase transformation was observed during deformation </w:t>
      </w:r>
      <w:r>
        <w:fldChar w:fldCharType="begin" w:fldLock="1"/>
      </w:r>
      <w:r>
        <w:instrText>ADDIN CSL_CITATION {"citationItems":[{"id":"ITEM-1","itemData":{"DOI":"10.1038/nature17981","ISBN":"0028-0836","ISSN":"14764687","PMID":"27279217","abstract":"Metals have been mankind's most essential materials for thousands of years; however, their use is affected by ecological and economical concerns. Alloys with higher strength and ductility could alleviate some of these concerns by reducing weight and improving energy efficiency. However, most metallurgical mechanisms for increasing strength lead to ductility loss, an effect referred to as the strength-ductility trade-off. Here we present a metastability-engineering strategy in which we design nanostructured, bulk high-entropy alloys with multiple compositionally equivalent high-entropy phases. High-entropy alloys were originally proposed to benefit from phase stabilization through entropy maximization. Yet here, motivated by recent work that relaxes the strict restrictions on high-entropy alloy compositions by demonstrating the weakness of this connection, the concept is overturned. We decrease phase stability to achieve two key benefits: interface hardening due to a dual-phase microstructure (resulting from reduced thermal stability of the high-temperature phase); and transformation-induced hardening (resulting from the reduced mechanical stability of the room-temperature phase). This combines the best of two worlds: extensive hardening due to the decreased phase stability known from advanced steels and massive solid-solution strengthening of high-entropy alloys. In our transformation-induced plasticity-assisted, dual-phase high-entropy alloy (TRIP-DP-HEA), these two contributions lead respectively to enhanced trans-grain and inter-grain slip resistance, and hence, increased strength. Moreover, the increased strain hardening capacity that is enabled by dislocation hardening of the stable phase and transformation-induced hardening of the metastable phase produces increased ductility. This combined increase in strength and ductility distinguishes the TRIP-DP-HEA alloy from other recently developed structural materials. This metastability-engineering strategy should thus usefully guide design in the near-infinite compositional space of high-entropy alloys.","author":[{"dropping-particle":"","family":"Li","given":"Zhiming","non-dropping-particle":"","parse-names":false,"suffix":""},{"dropping-particle":"","family":"Pradeep","given":"Konda Gokuldoss","non-dropping-particle":"","parse-names":false,"suffix":""},{"dropping-particle":"","family":"Deng","given":"Yun","non-dropping-particle":"","parse-names":false,"suffix":""},{"dropping-particle":"","family":"Raabe","given":"Dierk","non-dropping-particle":"","parse-names":false,"suffix":""},{"dropping-particle":"","family":"Tasan","given":"Cemal Cem","non-dropping-particle":"","parse-names":false,"suffix":""}],"container-title":"Nature","id":"ITEM-1","issued":{"date-parts":[["2016"]]},"title":"Metastable high-entropy dual-phase alloys overcome the strength-ductility trade-off","type":"article-journal"},"uris":["http://www.mendeley.com/documents/?uuid=082f25b9-5d2c-4b7f-b69b-80e2c555b8ca","http://www.mendeley.com/documents/?uuid=79c62913-e67b-478d-bbeb-1ba84235623f"]}],"mendeley":{"formattedCitation":"[93]","plainTextFormattedCitation":"[93]","previouslyFormattedCitation":"[93]"},"properties":{"noteIndex":0},"schema":"https://github.com/citation-style-language/schema/raw/master/csl-citation.json"}</w:instrText>
      </w:r>
      <w:r>
        <w:fldChar w:fldCharType="separate"/>
      </w:r>
      <w:r w:rsidRPr="003B39BC">
        <w:rPr>
          <w:noProof/>
        </w:rPr>
        <w:t>[93]</w:t>
      </w:r>
      <w:r>
        <w:fldChar w:fldCharType="end"/>
      </w:r>
      <w:r>
        <w:t>. The dynamic coherent grain refinement enabled by the γ to ε phase transformation, resulted in the formation of dense laths of hard ε phases within the soft γ matrix and further prevented the movement of dislocations.</w:t>
      </w:r>
      <w:bookmarkStart w:id="160" w:name="_Hlk7464913"/>
      <w:r>
        <w:t xml:space="preserve"> Additional hardening was observed in Fe</w:t>
      </w:r>
      <w:r w:rsidRPr="00BC627F">
        <w:rPr>
          <w:vertAlign w:val="subscript"/>
        </w:rPr>
        <w:t>50</w:t>
      </w:r>
      <w:r>
        <w:t>Mn</w:t>
      </w:r>
      <w:r w:rsidRPr="00BC627F">
        <w:rPr>
          <w:vertAlign w:val="subscript"/>
        </w:rPr>
        <w:t>30</w:t>
      </w:r>
      <w:r>
        <w:t>Co</w:t>
      </w:r>
      <w:r w:rsidRPr="00BC627F">
        <w:rPr>
          <w:vertAlign w:val="subscript"/>
        </w:rPr>
        <w:t>10</w:t>
      </w:r>
      <w:r>
        <w:t>Cr</w:t>
      </w:r>
      <w:r w:rsidRPr="00BC627F">
        <w:rPr>
          <w:vertAlign w:val="subscript"/>
        </w:rPr>
        <w:t>10</w:t>
      </w:r>
      <w:r w:rsidRPr="00DF6678">
        <w:t xml:space="preserve"> </w:t>
      </w:r>
      <w:r>
        <w:lastRenderedPageBreak/>
        <w:t>which enabled a good balance between strength and ductility during tensile test</w:t>
      </w:r>
      <w:r>
        <w:rPr>
          <w:rFonts w:hint="eastAsia"/>
        </w:rPr>
        <w:t>ing</w:t>
      </w:r>
      <w:r>
        <w:t xml:space="preserve"> shown in Fig. 2-23b. Similarly, using </w:t>
      </w:r>
      <w:r w:rsidRPr="006B2702">
        <w:rPr>
          <w:noProof/>
        </w:rPr>
        <w:t>TRIP</w:t>
      </w:r>
      <w:r>
        <w:rPr>
          <w:noProof/>
        </w:rPr>
        <w:t>-</w:t>
      </w:r>
      <w:r w:rsidRPr="006B2702">
        <w:rPr>
          <w:noProof/>
        </w:rPr>
        <w:t>assisted</w:t>
      </w:r>
      <w:r>
        <w:t xml:space="preserve"> </w:t>
      </w:r>
      <w:r>
        <w:rPr>
          <w:rFonts w:ascii="Times New Roman" w:hAnsi="Times New Roman" w:cs="Times New Roman"/>
        </w:rPr>
        <w:t>β</w:t>
      </w:r>
      <w:r>
        <w:t xml:space="preserve">-Ti biomedical alloys as an example, the TRIP effect </w:t>
      </w:r>
      <w:r w:rsidRPr="006B2702">
        <w:rPr>
          <w:noProof/>
        </w:rPr>
        <w:t>was also introduced</w:t>
      </w:r>
      <w:r>
        <w:t xml:space="preserve"> in BCC-based metastable refractory HEAs </w:t>
      </w:r>
      <w:bookmarkStart w:id="161" w:name="OLE_LINK1"/>
      <w:r>
        <w:t>Ti</w:t>
      </w:r>
      <w:r w:rsidRPr="00BC627F">
        <w:rPr>
          <w:vertAlign w:val="subscript"/>
        </w:rPr>
        <w:t>35</w:t>
      </w:r>
      <w:r>
        <w:t>Zr</w:t>
      </w:r>
      <w:r w:rsidRPr="00BC627F">
        <w:rPr>
          <w:vertAlign w:val="subscript"/>
        </w:rPr>
        <w:t>27</w:t>
      </w:r>
      <w:r>
        <w:rPr>
          <w:vertAlign w:val="subscript"/>
        </w:rPr>
        <w:t>.5</w:t>
      </w:r>
      <w:r>
        <w:t>Hf</w:t>
      </w:r>
      <w:r w:rsidRPr="00BC627F">
        <w:rPr>
          <w:vertAlign w:val="subscript"/>
        </w:rPr>
        <w:t>27</w:t>
      </w:r>
      <w:r>
        <w:rPr>
          <w:vertAlign w:val="subscript"/>
        </w:rPr>
        <w:t>.5</w:t>
      </w:r>
      <w:r>
        <w:t>Nb</w:t>
      </w:r>
      <w:r w:rsidRPr="00BC627F">
        <w:rPr>
          <w:vertAlign w:val="subscript"/>
        </w:rPr>
        <w:t>5</w:t>
      </w:r>
      <w:r>
        <w:t>Ta</w:t>
      </w:r>
      <w:r w:rsidRPr="00BC627F">
        <w:rPr>
          <w:vertAlign w:val="subscript"/>
        </w:rPr>
        <w:t>5</w:t>
      </w:r>
      <w:r>
        <w:t xml:space="preserve"> </w:t>
      </w:r>
      <w:bookmarkEnd w:id="161"/>
      <w:r>
        <w:t>and TiZrHfTa</w:t>
      </w:r>
      <w:r w:rsidRPr="00142930">
        <w:rPr>
          <w:vertAlign w:val="subscript"/>
        </w:rPr>
        <w:t>0.4</w:t>
      </w:r>
      <w:r>
        <w:fldChar w:fldCharType="begin" w:fldLock="1"/>
      </w:r>
      <w:r>
        <w:instrText>ADDIN CSL_CITATION {"citationItems":[{"id":"ITEM-1","itemData":{"DOI":"10.1002/adma.201701678","ISBN":"1521-4095","ISSN":"15214095","PMID":"28590527","abstract":"High-entropy alloys (HEAs) in which interesting physical, chemical, and structural properties are being continuously revealed have recently attracted extensive attention. Body-centered cubic (bcc) HEAs, particularly those based on refractory elements are promising for high-temperature application but generally fail by early cracking with limited plasticity at room temperature, which limits their malleability and widespread uses. Here, the “metastability-engineering” strategy is exploited in brittle bcc HEAs via tailoring the stability of the constituent phases, and transformation-induced ductility and work-hardening capability are successfully achieved. This not only sheds new insights on the development of HEAs with excellent combination of strength and ductility, but also has great implications on overcoming the long-standing strength–ductility tradeoff of metallic materials in general.","author":[{"dropping-particle":"","family":"Huang","given":"Hailong","non-dropping-particle":"","parse-names":false,"suffix":""},{"dropping-particle":"","family":"Wu","given":"Yuan","non-dropping-particle":"","parse-names":false,"suffix":""},{"dropping-particle":"","family":"He","given":"Junyang","non-dropping-particle":"","parse-names":false,"suffix":""},{"dropping-particle":"","family":"Wang","given":"Hui","non-dropping-particle":"","parse-names":false,"suffix":""},{"dropping-particle":"","family":"Liu","given":"Xiongjun","non-dropping-particle":"","parse-names":false,"suffix":""},{"dropping-particle":"","family":"An","given":"Ke","non-dropping-particle":"","parse-names":false,"suffix":""},{"dropping-particle":"","family":"Wu","given":"Wei","non-dropping-particle":"","parse-names":false,"suffix":""},{"dropping-particle":"","family":"Lu","given":"Zhaoping","non-dropping-particle":"","parse-names":false,"suffix":""}],"container-title":"Advanced Materials","id":"ITEM-1","issued":{"date-parts":[["2017"]]},"title":"Phase-Transformation Ductilization of Brittle High-Entropy Alloys via Metastability Engineering","type":"article-journal"},"uris":["http://www.mendeley.com/documents/?uuid=6a46615c-3283-4a8d-af14-6fe177696ac8","http://www.mendeley.com/documents/?uuid=a70db21f-f0c1-4d7a-8de8-59b660f6fd83"]},{"id":"ITEM-2","itemData":{"DOI":"10.1080/21663831.2016.1221861","ISBN":"2166-3831","ISSN":"21663831","abstract":"ABSTRACTA new bcc Ti-rich high-entropy alloy (HEA) of composition Ti35Zr27.5Hf27.5Nb5Ta5 was designed using the ‘d-electron alloy design’ approach. The tensile behavior displays a marked transformation-induced plasticity effect resulting in a high normalized work-hardening rate of 0.103 without loss of ductility when compared to the reference composition Ti20Zr20Hf20Nb20Ta20. In this paper, a detailed microstructural analysis was performed to understand the deformation process, revealing architectural-type microstructures and a high volume fraction (65%) o</w:instrText>
      </w:r>
      <w:r>
        <w:rPr>
          <w:rFonts w:hint="eastAsia"/>
        </w:rPr>
        <w:instrText xml:space="preserve">f internally twinned stress-induced martensite </w:instrText>
      </w:r>
      <w:r>
        <w:rPr>
          <w:rFonts w:hint="eastAsia"/>
        </w:rPr>
        <w:instrText>α″</w:instrText>
      </w:r>
      <w:r>
        <w:rPr>
          <w:rFonts w:hint="eastAsia"/>
        </w:rPr>
        <w:instrText xml:space="preserve"> after mechanical testing. This study opens the way to mechanical properties optimization and enhancement of titanium-based HEAs by combining multiple alloying designs.IMPACT STATEMENTFor the first time, pr</w:instrText>
      </w:r>
      <w:r>
        <w:instrText>oof is given that transformation-induced plasticity was triggered in a bcc refractory high-entropy alloy, leading to a twofold increase in the normalized work-hardening rate.","author":[{"dropping-particle":"","family":"Lilensten","given":"Lola","non-dropping-particle":"","parse-names":false,"suffix":""},{"dropping-particle":"","family":"Couzinié","given":"Jean Philippe","non-dropping-particle":"","parse-names":false,"suffix":""},{"dropping-particle":"","family":"Bourgon","given":"Julie","non-dropping-particle":"","parse-names":false,"suffix":""},{"dropping-particle":"","family":"Perrière","given":"Loïc","non-dropping-particle":"","parse-names":false,"suffix":""},{"dropping-particle":"","family":"Dirras","given":"Guy","non-dropping-particle":"","parse-names":false,"suffix":""},{"dropping-particle":"","family":"Prima","given":"Frédéric","non-dropping-particle":"","parse-names":false,"suffix":""},{"dropping-particle":"","family":"Guillot","given":"Ivan","non-dropping-particle":"","parse-names":false,"suffix":""}],"container-title":"Materials Research Letters","id":"ITEM-2","issued":{"date-parts":[["2017"]]},"title":"Design and tensile properties of a bcc Ti-rich high-entropy alloy with transformation-induced plasticity","type":"article-journal"},"uris":["http://www.mendeley.com/documents/?uuid=927b9064-4d30-4f71-b016-5b50c9e0e6e5","http://www.mendeley.com/documents/?uuid=7d6c410c-4dc8-4910-8a3b-35570bc83067"]}],"mendeley":{"formattedCitation":"[120,121]","plainTextFormattedCitation":"[120,121]","previouslyFormattedCitation":"[120,121]"},"properties":{"noteIndex":0},"schema":"https://github.com/citation-style-language/schema/raw/master/csl-citation.json"}</w:instrText>
      </w:r>
      <w:r>
        <w:fldChar w:fldCharType="separate"/>
      </w:r>
      <w:r w:rsidRPr="003B39BC">
        <w:rPr>
          <w:noProof/>
        </w:rPr>
        <w:t>[120,121]</w:t>
      </w:r>
      <w:r>
        <w:fldChar w:fldCharType="end"/>
      </w:r>
      <w:r>
        <w:t xml:space="preserve">. </w:t>
      </w:r>
      <w:r>
        <w:rPr>
          <w:rFonts w:ascii="Times New Roman" w:hAnsi="Times New Roman" w:cs="Times New Roman"/>
        </w:rPr>
        <w:t>β</w:t>
      </w:r>
      <w:r>
        <w:t xml:space="preserve"> </w:t>
      </w:r>
      <w:r w:rsidRPr="00BD169D">
        <w:t xml:space="preserve">to </w:t>
      </w:r>
      <w:r w:rsidRPr="00BD169D">
        <w:rPr>
          <w:rFonts w:cs="Times New Roman"/>
        </w:rPr>
        <w:t>α</w:t>
      </w:r>
      <w:r>
        <w:rPr>
          <w:rFonts w:cs="Times New Roman"/>
        </w:rPr>
        <w:t>’</w:t>
      </w:r>
      <w:r w:rsidRPr="00BD169D">
        <w:rPr>
          <w:rFonts w:cs="Times New Roman"/>
        </w:rPr>
        <w:t>’</w:t>
      </w:r>
      <w:r>
        <w:rPr>
          <w:rFonts w:cs="Times New Roman"/>
        </w:rPr>
        <w:t xml:space="preserve"> (BCC to orthorhombic)</w:t>
      </w:r>
      <w:r w:rsidRPr="00BD169D">
        <w:rPr>
          <w:rFonts w:cs="Times New Roman"/>
        </w:rPr>
        <w:t xml:space="preserve"> </w:t>
      </w:r>
      <w:r w:rsidRPr="00BD169D">
        <w:t>and</w:t>
      </w:r>
      <w:r>
        <w:t xml:space="preserve"> </w:t>
      </w:r>
      <w:r>
        <w:rPr>
          <w:rFonts w:ascii="Times New Roman" w:hAnsi="Times New Roman" w:cs="Times New Roman"/>
        </w:rPr>
        <w:t>β</w:t>
      </w:r>
      <w:r>
        <w:t xml:space="preserve"> </w:t>
      </w:r>
      <w:r w:rsidRPr="00BD169D">
        <w:t xml:space="preserve">to </w:t>
      </w:r>
      <w:r w:rsidRPr="00BD169D">
        <w:rPr>
          <w:rFonts w:cs="Times New Roman"/>
        </w:rPr>
        <w:t>α</w:t>
      </w:r>
      <w:r>
        <w:rPr>
          <w:rFonts w:cs="Times New Roman"/>
        </w:rPr>
        <w:t xml:space="preserve"> (BCC to HCP) dynamic phase transformation </w:t>
      </w:r>
      <w:r>
        <w:rPr>
          <w:rFonts w:cs="Times New Roman"/>
          <w:noProof/>
        </w:rPr>
        <w:t>was</w:t>
      </w:r>
      <w:r>
        <w:rPr>
          <w:rFonts w:cs="Times New Roman"/>
        </w:rPr>
        <w:t xml:space="preserve"> observed in these compositions, respectively. </w:t>
      </w:r>
    </w:p>
    <w:bookmarkEnd w:id="160"/>
    <w:p w14:paraId="1024AE05" w14:textId="5740ACFA" w:rsidR="00624970" w:rsidRPr="00151A4C" w:rsidRDefault="00624970" w:rsidP="00624970">
      <w:pPr>
        <w:spacing w:afterLines="60" w:after="144" w:line="360" w:lineRule="auto"/>
        <w:jc w:val="both"/>
      </w:pPr>
      <w:r>
        <w:t xml:space="preserve">Notably, the effect of Mn addition in CCFN based HEAs exhibits </w:t>
      </w:r>
      <w:r w:rsidRPr="008C71F2">
        <w:rPr>
          <w:noProof/>
        </w:rPr>
        <w:t>similar</w:t>
      </w:r>
      <w:r>
        <w:t xml:space="preserve"> influence on mechanical performance as in high-Mn steel. In high-Mn steel, the effect of Mn addition is mainly placed on the resultant SFE. From </w:t>
      </w:r>
      <w:r>
        <w:rPr>
          <w:noProof/>
        </w:rPr>
        <w:t>various</w:t>
      </w:r>
      <w:r>
        <w:t xml:space="preserve"> experimental results (</w:t>
      </w:r>
      <w:r w:rsidRPr="006B2702">
        <w:rPr>
          <w:noProof/>
        </w:rPr>
        <w:t>synchron</w:t>
      </w:r>
      <w:r>
        <w:rPr>
          <w:noProof/>
        </w:rPr>
        <w:t>ous</w:t>
      </w:r>
      <w:r>
        <w:t xml:space="preserve"> XRD), calculations concluded that different deformation mechanisms were </w:t>
      </w:r>
      <w:r w:rsidRPr="006B2702">
        <w:rPr>
          <w:noProof/>
        </w:rPr>
        <w:t>activate</w:t>
      </w:r>
      <w:r>
        <w:rPr>
          <w:noProof/>
        </w:rPr>
        <w:t>d</w:t>
      </w:r>
      <w:r>
        <w:t xml:space="preserve"> depending on the magnitude of the SFE </w:t>
      </w:r>
      <w:r>
        <w:fldChar w:fldCharType="begin" w:fldLock="1"/>
      </w:r>
      <w:r>
        <w:instrText>ADDIN CSL_CITATION {"citationItems":[{"id":"ITEM-1","itemData":{"DOI":"10.1016/j.msea.2011.09.060","ISBN":"09215093","ISSN":"09215093","abstract":"We have investigated micro-structural parameters, twin and stacking fault probabilities and dislocation density, of twinning induced plasticity (TWIP) steels by using neutron diffraction profile analysis. It is observed that the addition of 1.4. wt.% Al in Fe-18Mn-0.6C steel leads to lower tensile strength and higher elongation, reducing twin formation rate. In other words, Al addition weakens the tendency of twin and stacking faults evolution under applied strain in the range of e{open}= 0.0-0.4, while the screw component of dislocations is increased. It is also confirmed that enlarged austenite grain size in TWIP steels disfavors twin and stacking fault formation. © 2011 Elsevier B.V.","author":[{"dropping-particle":"","family":"Jeong","given":"J. S.","non-dropping-particle":"","parse-names":false,"suffix":""},{"dropping-particle":"","family":"Koo","given":"Y. M.","non-dropping-particle":"","parse-names":false,"suffix":""},{"dropping-particle":"","family":"Jeong","given":"I. K.","non-dropping-particle":"","parse-names":false,"suffix":""},{"dropping-particle":"","family":"Kim","given":"S. K.","non-dropping-particle":"","parse-names":false,"suffix":""},{"dropping-particle":"","family":"Kwon","given":"S. K.","non-dropping-particle":"","parse-names":false,"suffix":""}],"container-title":"Materials Science and Engineering A","id":"ITEM-1","issued":{"date-parts":[["2011"]]},"title":"Micro-structural study of high-Mn TWIP steels using diffraction profile analysis","type":"article-journal"},"uris":["http://www.mendeley.com/documents/?uuid=8266304e-72cf-464e-b1c9-fa1b2adab775","http://www.mendeley.com/documents/?uuid=b33b5728-5e91-4561-b5fc-aec4defbe896"]},{"id":"ITEM-2","itemData":{"DOI":"10.1016/j.msea.2004.05.038","ISBN":"0921-5093","ISSN":"09215093","abstract":"We propose a 2D simulation of the formation of twins, in correlation with their microstructure observed in a Fe-22 wt.% Mn-0.6 wt.% C austenitic steel deformed at room temperature. TEM observations show that microtwins of a few tens of nanometer thick develop in between grain and twin boundaries, and are stored into stacks of a few tenth of micron wide. We first use a model of the emission of an isolated microtwin, based on the critical stress required to develop successive Shockley dislocation loops along parallel slip planes. As the first loop drags a stacking fault, while the following ones only thicken it, when the critical stress is reached, several dislocations are emitted until the backstress shuts down the source at the equilibrium state. After, the twin thickens stably with the increase of the applied stress. The same model is reproduced to simulate numerically the simultaneous formation of interacting microtwins in a stack. We give a general law correlating the average thickness of the twins with the stacking fault energy, their length, their number and their distance. The thickness is a key parameter in our physically based model presented during this congress. © 2004 Elsevier B.V. All rights reserved.","author":[{"dropping-particle":"","family":"Allain","given":"S.","non-dropping-particle":"","parse-names":false,"suffix":""},{"dropping-particle":"","family":"Chateau","given":"J. P.","non-dropping-particle":"","parse-names":false,"suffix":""},{"dropping-particle":"","family":"Dahmoun","given":"D.","non-dropping-particle":"","parse-names":false,"suffix":""},{"dropping-particle":"","family":"Bouaziz","given":"O.","non-dropping-particle":"","parse-names":false,"suffix":""}],"container-title":"Materials Science and Engineering A","id":"ITEM-2","issued":{"date-parts":[["2004"]]},"title":"Modeling of mechanical twinning in a high manganese content austenitic steel","type":"article-journal"},"uris":["http://www.mendeley.com/documents/?uuid=775c6acd-3297-4850-873e-f55a559f16ab","http://www.mendeley.com/documents/?uuid=f13ff061-401d-4d1f-b355-8c57d6e3dd57"]}],"mendeley":{"formattedCitation":"[105,122]","plainTextFormattedCitation":"[105,122]","previouslyFormattedCitation":"[105,122]"},"properties":{"noteIndex":0},"schema":"https://github.com/citation-style-language/schema/raw/master/csl-citation.json"}</w:instrText>
      </w:r>
      <w:r>
        <w:fldChar w:fldCharType="separate"/>
      </w:r>
      <w:r w:rsidRPr="003B39BC">
        <w:rPr>
          <w:noProof/>
        </w:rPr>
        <w:t>[105,122]</w:t>
      </w:r>
      <w:r>
        <w:fldChar w:fldCharType="end"/>
      </w:r>
      <w:r>
        <w:t xml:space="preserve">.  When the SFE is lower than 20 </w:t>
      </w:r>
      <w:r w:rsidRPr="008C71F2">
        <w:rPr>
          <w:noProof/>
        </w:rPr>
        <w:t>mJ</w:t>
      </w:r>
      <w:r>
        <w:t>/m</w:t>
      </w:r>
      <w:r>
        <w:rPr>
          <w:vertAlign w:val="superscript"/>
        </w:rPr>
        <w:t>2</w:t>
      </w:r>
      <w:r>
        <w:t xml:space="preserve">, martensitic transformation will be </w:t>
      </w:r>
      <w:r w:rsidRPr="008C71F2">
        <w:rPr>
          <w:noProof/>
        </w:rPr>
        <w:t>activated</w:t>
      </w:r>
      <w:r>
        <w:rPr>
          <w:noProof/>
        </w:rPr>
        <w:t>;</w:t>
      </w:r>
      <w:r>
        <w:t xml:space="preserve"> whereas for SFE around 20-40</w:t>
      </w:r>
      <w:r w:rsidRPr="00E7142E">
        <w:t xml:space="preserve"> </w:t>
      </w:r>
      <w:r w:rsidRPr="008C71F2">
        <w:rPr>
          <w:noProof/>
        </w:rPr>
        <w:t>mJ</w:t>
      </w:r>
      <w:r>
        <w:t>/m</w:t>
      </w:r>
      <w:r>
        <w:rPr>
          <w:vertAlign w:val="superscript"/>
        </w:rPr>
        <w:t>2</w:t>
      </w:r>
      <w:r>
        <w:t xml:space="preserve">, mechanical twinning will be </w:t>
      </w:r>
      <w:r>
        <w:rPr>
          <w:noProof/>
        </w:rPr>
        <w:t>activated</w:t>
      </w:r>
      <w:r>
        <w:t xml:space="preserve"> during deformation </w:t>
      </w:r>
      <w:r>
        <w:fldChar w:fldCharType="begin" w:fldLock="1"/>
      </w:r>
      <w:r>
        <w:instrText>ADDIN CSL_CITATION {"citationItems":[{"id":"ITEM-1","itemData":{"DOI":"10.1016/j.actamat.2016.07.032","ISBN":"13596454","ISSN":"13596454","abstract":"A dislocation density-based crystal plasticity model incorporating both transformation-induced plasticity (TRIP) and twinning-induced plasticity (TWIP) is presented. The approach is a physically-based model which reflects microstructure investigations of ε-martensite, twins and dislocation structures in high manganese steels. Validation of the model was conducted using experimental data for a TRIP/TWIP Fe-22Mn-0.6C steel. The model is able to predict, based on the difference in the stacking fault energies, the activation of TRIP and/or TWIP deformation mechanisms at different temperatures.","author":[{"dropping-particle":"","family":"Wong","given":"Su Leen","non-dropping-particle":"","parse-names":false,"suffix":""},{"dropping-particle":"","family":"Madivala","given":"Manjunatha","non-dropping-particle":"","parse-names":false,"suffix":""},{"dropping-particle":"","family":"Prahl","given":"Ulrich","non-dropping-particle":"","parse-names":false,"suffix":""},{"dropping-particle":"","family":"Roters","given":"Franz","non-dropping-particle":"","parse-names":false,"suffix":""},{"dropping-particle":"","family":"Raabe","given":"Dierk","non-dropping-particle":"","parse-names":false,"suffix":""}],"container-title":"Acta Materialia","id":"ITEM-1","issued":{"date-parts":[["2016"]]},"title":"A crystal plasticity model for twinning- and transformation-induced plasticity","type":"article-journal"},"uris":["http://www.mendeley.com/documents/?uuid=973b2bb1-35ab-4664-862e-7676bcf3c159","http://www.mendeley.com/documents/?uuid=edf7875e-43cb-4ff1-9739-19a540cdcd54"]}],"mendeley":{"formattedCitation":"[123]","plainTextFormattedCitation":"[123]","previouslyFormattedCitation":"[123]"},"properties":{"noteIndex":0},"schema":"https://github.com/citation-style-language/schema/raw/master/csl-citation.json"}</w:instrText>
      </w:r>
      <w:r>
        <w:fldChar w:fldCharType="separate"/>
      </w:r>
      <w:r w:rsidRPr="003B39BC">
        <w:rPr>
          <w:noProof/>
        </w:rPr>
        <w:t>[123]</w:t>
      </w:r>
      <w:r>
        <w:fldChar w:fldCharType="end"/>
      </w:r>
      <w:r>
        <w:t xml:space="preserve">. Moreover, for high SFE steel, </w:t>
      </w:r>
      <w:r w:rsidRPr="008C71F2">
        <w:rPr>
          <w:noProof/>
        </w:rPr>
        <w:t>only</w:t>
      </w:r>
      <w:r>
        <w:t xml:space="preserve"> dislocation glide was observed as the </w:t>
      </w:r>
      <w:r w:rsidRPr="008C71F2">
        <w:rPr>
          <w:noProof/>
        </w:rPr>
        <w:t>predomina</w:t>
      </w:r>
      <w:r>
        <w:rPr>
          <w:noProof/>
        </w:rPr>
        <w:t>nt</w:t>
      </w:r>
      <w:r>
        <w:t xml:space="preserve"> deformation mechanism. An example of similar observations for the 3d transitional group FCC HEAs, CoCrFeNiMn possesses a SFE of approximately 25mJ/m</w:t>
      </w:r>
      <w:r>
        <w:rPr>
          <w:vertAlign w:val="superscript"/>
        </w:rPr>
        <w:t xml:space="preserve">2 </w:t>
      </w:r>
      <w:r>
        <w:fldChar w:fldCharType="begin" w:fldLock="1"/>
      </w:r>
      <w:r>
        <w:instrText>ADDIN CSL_CITATION {"citationItems":[{"id":"ITEM-1","itemData":{"DOI":"10.1016/j.actamat.2015.04.014","ISBN":"13596454","ISSN":"13596454","abstract":"We introduce a liquid metallurgy synthesized, non-equiatomic Fe&lt;inf&gt;40&lt;/inf&gt;Mn&lt;inf&gt;40&lt;/inf&gt;Co&lt;inf&gt;10&lt;/inf&gt;Cr&lt;inf&gt;10&lt;/inf&gt; high entropy alloy that is designed to undergo mechanically-induced twinning upon deformation at room temperature. Microstructure characterization, carried out using SEM, TEM and APT shows a homogeneous fcc structured single phase solid solution in the as-cast, hot-rolled and homogenized states. Investigations of the deformation substructures at specific strain levels with electron channeling contrast imaging (ECCI) combined with EBSD reveal a clear change in the deformation mechanisms of the designed alloy starting from dislocation slip to twinning as a function of strain. Such twinning induced plasticity has only been observed under cryogenic conditions in the equiatomic FeMnNiCoCr high entropy alloy. Thus, despite the decreased contribution of solid solution strengthening, the tensile properties of the introduced lean alloy at room temperature are found to be comparable to that of the well-studied five component FeMnNiCoCr system.","author":[{"dropping-particle":"","family":"Deng","given":"Y.","non-dropping-particle":"","parse-names":false,"suffix":""},{"dropping-particle":"","family":"Tasan","given":"C. C.","non-dropping-particle":"","parse-names":false,"suffix":""},{"dropping-particle":"","family":"Pradeep","given":"K. G.","non-dropping-particle":"","parse-names":false,"suffix":""},{"dropping-particle":"","family":"Springer","given":"H.","non-dropping-particle":"","parse-names":false,"suffix":""},{"dropping-particle":"","family":"Kostka","given":"A.","non-dropping-particle":"","parse-names":false,"suffix":""},{"dropping-particle":"","family":"Raabe","given":"D.","non-dropping-particle":"","parse-names":false,"suffix":""}],"container-title":"Acta Materialia","id":"ITEM-1","issued":{"date-parts":[["2015"]]},"title":"Design of a twinning-induced plasticity high entropy alloy","type":"article-journal"},"uris":["http://www.mendeley.com/documents/?uuid=4d3e3d2f-70a0-4617-88b1-847e108297e4"]}],"mendeley":{"formattedCitation":"[109]","plainTextFormattedCitation":"[109]","previouslyFormattedCitation":"[109]"},"properties":{"noteIndex":0},"schema":"https://github.com/citation-style-language/schema/raw/master/csl-citation.json"}</w:instrText>
      </w:r>
      <w:r>
        <w:fldChar w:fldCharType="separate"/>
      </w:r>
      <w:r w:rsidRPr="003B39BC">
        <w:rPr>
          <w:noProof/>
        </w:rPr>
        <w:t>[109]</w:t>
      </w:r>
      <w:r>
        <w:fldChar w:fldCharType="end"/>
      </w:r>
      <w:r>
        <w:t>. When varying the content of Ni to Fe</w:t>
      </w:r>
      <w:r w:rsidRPr="00BC627F">
        <w:rPr>
          <w:vertAlign w:val="subscript"/>
        </w:rPr>
        <w:t>40</w:t>
      </w:r>
      <w:r>
        <w:t>Mn</w:t>
      </w:r>
      <w:r w:rsidRPr="00BC627F">
        <w:rPr>
          <w:vertAlign w:val="subscript"/>
        </w:rPr>
        <w:t>40</w:t>
      </w:r>
      <w:r>
        <w:t>Co</w:t>
      </w:r>
      <w:r w:rsidRPr="00BC627F">
        <w:rPr>
          <w:vertAlign w:val="subscript"/>
        </w:rPr>
        <w:t>10</w:t>
      </w:r>
      <w:r>
        <w:t>Cr</w:t>
      </w:r>
      <w:r w:rsidRPr="00BC627F">
        <w:rPr>
          <w:vertAlign w:val="subscript"/>
        </w:rPr>
        <w:t>10</w:t>
      </w:r>
      <w:r>
        <w:t xml:space="preserve"> in order to reduce SFE, the TWIP effect was activated. Further reduction of SFE was undertaken by varying Fe and Mn contents in Fe</w:t>
      </w:r>
      <w:r w:rsidRPr="00BC627F">
        <w:rPr>
          <w:vertAlign w:val="subscript"/>
        </w:rPr>
        <w:t>50</w:t>
      </w:r>
      <w:r>
        <w:t>Mn</w:t>
      </w:r>
      <w:r w:rsidRPr="00BC627F">
        <w:rPr>
          <w:vertAlign w:val="subscript"/>
        </w:rPr>
        <w:t>30</w:t>
      </w:r>
      <w:r>
        <w:t>Co</w:t>
      </w:r>
      <w:r w:rsidRPr="00BC627F">
        <w:rPr>
          <w:vertAlign w:val="subscript"/>
        </w:rPr>
        <w:t>10</w:t>
      </w:r>
      <w:r>
        <w:t>Cr</w:t>
      </w:r>
      <w:r w:rsidRPr="00BC627F">
        <w:rPr>
          <w:vertAlign w:val="subscript"/>
        </w:rPr>
        <w:t>10</w:t>
      </w:r>
      <w:r>
        <w:t>, where in addition to the activation of TWIP, the activation of TRIP was found to occur</w:t>
      </w:r>
      <w:r>
        <w:fldChar w:fldCharType="begin" w:fldLock="1"/>
      </w:r>
      <w:r>
        <w:instrText>ADDIN CSL_CITATION {"citationItems":[{"id":"ITEM-1","itemData":{"DOI":"10.1038/nature17981","ISBN":"0028-0836","ISSN":"14764687","PMID":"27279217","abstract":"Metals have been mankind's most essential materials for thousands of years; however, their use is affected by ecological and economical concerns. Alloys with higher strength and ductility could alleviate some of these concerns by reducing weight and improving energy efficiency. However, most metallurgical mechanisms for increasing strength lead to ductility loss, an effect referred to as the strength-ductility trade-off. Here we present a metastability-engineering strategy in which we design nanostructured, bulk high-entropy alloys with multiple compositionally equivalent high-entropy phases. High-entropy alloys were originally proposed to benefit from phase stabilization through entropy maximization. Yet here, motivated by recent work that relaxes the strict restrictions on high-entropy alloy compositions by demonstrating the weakness of this connection, the concept is overturned. We decrease phase stability to achieve two key benefits: interface hardening due to a dual-phase microstructure (resulting from reduced thermal stability of the high-temperature phase); and transformation-induced hardening (resulting from the reduced mechanical stability of the room-temperature phase). This combines the best of two worlds: extensive hardening due to the decreased phase stability known from advanced steels and massive solid-solution strengthening of high-entropy alloys. In our transformation-induced plasticity-assisted, dual-phase high-entropy alloy (TRIP-DP-HEA), these two contributions lead respectively to enhanced trans-grain and inter-grain slip resistance, and hence, increased strength. Moreover, the increased strain hardening capacity that is enabled by dislocation hardening of the stable phase and transformation-induced hardening of the metastable phase produces increased ductility. This combined increase in strength and ductility distinguishes the TRIP-DP-HEA alloy from other recently developed structural materials. This metastability-engineering strategy should thus usefully guide design in the near-infinite compositional space of high-entropy alloys.","author":[{"dropping-particle":"","family":"Li","given":"Zhiming","non-dropping-particle":"","parse-names":false,"suffix":""},{"dropping-particle":"","family":"Pradeep","given":"Konda Gokuldoss","non-dropping-particle":"","parse-names":false,"suffix":""},{"dropping-particle":"","family":"Deng","given":"Yun","non-dropping-particle":"","parse-names":false,"suffix":""},{"dropping-particle":"","family":"Raabe","given":"Dierk","non-dropping-particle":"","parse-names":false,"suffix":""},{"dropping-particle":"","family":"Tasan","given":"Cemal Cem","non-dropping-particle":"","parse-names":false,"suffix":""}],"container-title":"Nature","id":"ITEM-1","issued":{"date-parts":[["2016"]]},"title":"Metastable high-entropy dual-phase alloys overcome the strength-ductility trade-off","type":"article-journal"},"uris":["http://www.mendeley.com/documents/?uuid=082f25b9-5d2c-4b7f-b69b-80e2c555b8ca"]}],"mendeley":{"formattedCitation":"[93]","plainTextFormattedCitation":"[93]","previouslyFormattedCitation":"[93]"},"properties":{"noteIndex":0},"schema":"https://github.com/citation-style-language/schema/raw/master/csl-citation.json"}</w:instrText>
      </w:r>
      <w:r>
        <w:fldChar w:fldCharType="separate"/>
      </w:r>
      <w:r w:rsidRPr="003B39BC">
        <w:rPr>
          <w:noProof/>
        </w:rPr>
        <w:t>[93]</w:t>
      </w:r>
      <w:r>
        <w:fldChar w:fldCharType="end"/>
      </w:r>
      <w:r>
        <w:t xml:space="preserve">. </w:t>
      </w:r>
      <w:r w:rsidRPr="004B6542">
        <w:t>The reason for activating mechanical twinning is the same both in HEAs and traditional alloy systems.</w:t>
      </w:r>
      <w:r>
        <w:t xml:space="preserve"> These results indicate the traditional strengthening strategy can also </w:t>
      </w:r>
      <w:r w:rsidRPr="006B2702">
        <w:rPr>
          <w:noProof/>
        </w:rPr>
        <w:t>be applied</w:t>
      </w:r>
      <w:r>
        <w:t xml:space="preserve"> </w:t>
      </w:r>
      <w:r>
        <w:rPr>
          <w:noProof/>
        </w:rPr>
        <w:t>to</w:t>
      </w:r>
      <w:r>
        <w:t xml:space="preserve"> HEAs to enhance work hardening capability to break the strength-ductility trade-off. It is well known that the performance of deformation mechanisms (TWIP or TRIP) are </w:t>
      </w:r>
      <w:r w:rsidRPr="008C71F2">
        <w:rPr>
          <w:noProof/>
        </w:rPr>
        <w:t>highly dependant</w:t>
      </w:r>
      <w:r w:rsidRPr="00C06CF3">
        <w:rPr>
          <w:noProof/>
        </w:rPr>
        <w:t xml:space="preserve"> </w:t>
      </w:r>
      <w:r>
        <w:t xml:space="preserve">on the average grain size of selected alloy systems. Ei-Danaf </w:t>
      </w:r>
      <w:r>
        <w:fldChar w:fldCharType="begin" w:fldLock="1"/>
      </w:r>
      <w:r>
        <w:instrText>ADDIN CSL_CITATION {"citationItems":[{"id":"ITEM-1","itemData":{"DOI":"10.1007/s11661-999-0272-9","ISBN":"1073-5623","ISSN":"10735623","PMID":"26","abstract":"This article investigates the microstructural variables influencing the stress required to produce deformation twins in polycrystalline fee metals. Classical studies on fee single crystals have concluded that the deformation-twinning stress has a parabolic dependence on the stacking-fault energy (SFE) of the metal. In this article, new data are presented, indicating that the SFE has only an indirect effect on the twinning stress. The results show that the dislocation density and the homogeneous slip length are the most relevant microstructural variables that directly influence the twinning stress in the polycrystal. A new criterion for the initiation of deformation twinning in polycrystalline fee metals at low homologous temperatures has been proposed as (sigma(tw) - sigma(0))/G = C(d/b)(A), where sigma(tw) is the deformation twinning stress, oo is the initial yield strength, G is the shear modulus, d is the average homogeneous slip length, b is the magnitude of the Burger's vector, and C and A are constants determined to have values of 0.0004 and -0.89, respectively. The role of the SFE was observed to be critical in building the necessary dislocation density while maintaining relatively large homogeneous slip lengths.","author":[{"dropping-particle":"","family":"El-Danaf","given":"Ehab","non-dropping-particle":"","parse-names":false,"suffix":""},{"dropping-particle":"","family":"Kalidindi","given":"Surya R.","non-dropping-particle":"","parse-names":false,"suffix":""},{"dropping-particle":"","family":"Doherty","given":"Roger D.","non-dropping-particle":"","parse-names":false,"suffix":""}],"container-title":"Metallurgical and Materials Transactions A: Physical Metallurgy and Materials Science","id":"ITEM-1","issued":{"date-parts":[["1999"]]},"title":"Influence of grain size and stacking-fault energy on deformation twinning in fcc metals","type":"article-journal"},"uris":["http://www.mendeley.com/documents/?uuid=ec4e3db7-9458-4e0d-94c5-ce74b980799f","http://www.mendeley.com/documents/?uuid=6830043a-4ab4-402c-8b3c-f5f34b16bf04"]}],"mendeley":{"formattedCitation":"[124]","plainTextFormattedCitation":"[124]","previouslyFormattedCitation":"[124]"},"properties":{"noteIndex":0},"schema":"https://github.com/citation-style-language/schema/raw/master/csl-citation.json"}</w:instrText>
      </w:r>
      <w:r>
        <w:fldChar w:fldCharType="separate"/>
      </w:r>
      <w:r w:rsidRPr="003B39BC">
        <w:rPr>
          <w:noProof/>
        </w:rPr>
        <w:t>[124]</w:t>
      </w:r>
      <w:r>
        <w:fldChar w:fldCharType="end"/>
      </w:r>
      <w:r>
        <w:t xml:space="preserve"> investigated the influence of grain size on deformation twinning in FCC alloys. The grain size effect strongly affects the early stage deformation of low SFE FCC material. Based on this grain size effect, by carefully </w:t>
      </w:r>
      <w:r w:rsidRPr="006B2702">
        <w:rPr>
          <w:noProof/>
        </w:rPr>
        <w:t>control</w:t>
      </w:r>
      <w:r>
        <w:rPr>
          <w:noProof/>
        </w:rPr>
        <w:t>ling</w:t>
      </w:r>
      <w:r>
        <w:t xml:space="preserve"> the heat treatment conditions</w:t>
      </w:r>
      <w:r w:rsidRPr="515D379A">
        <w:t xml:space="preserve">, </w:t>
      </w:r>
      <w:r w:rsidRPr="006B2702">
        <w:rPr>
          <w:noProof/>
        </w:rPr>
        <w:t>Gutierrez</w:t>
      </w:r>
      <w:r>
        <w:rPr>
          <w:noProof/>
        </w:rPr>
        <w:t xml:space="preserve"> </w:t>
      </w:r>
      <w:r>
        <w:fldChar w:fldCharType="begin" w:fldLock="1"/>
      </w:r>
      <w:r>
        <w:instrText>ADDIN CSL_CITATION {"citationItems":[{"id":"ITEM-1","itemData":{"DOI":"10.1016/j.scriptamat.2012.01.037","ISBN":"1359-6462","ISSN":"13596462","PMID":"20435120","abstract":"We investigate the influence of grain size on the strain hardening of two Fe-22Mn-0.6C (wt.%) twinning-induced plasticity steels with average grain sizes of 3 and 50 μm, respectively. The grain size has a significant influence on the strain hardening through the underlying microstructure. The dislocation substructure formed in the early deformation stages determines the density of nucleation sites for twins per unit grain boundary area which controls the developing twin substructure. © 2012 Acta Materialia Inc. Published by Elsevier Ltd. All rights reserved.","author":[{"dropping-particle":"","family":"Gutierrez-Urrutia","given":"I.","non-dropping-particle":"","parse-names":false,"suffix":""},{"dropping-particle":"","family":"Raabe","given":"D.","non-dropping-particle":"","parse-names":false,"suffix":""}],"container-title":"Scripta Materialia","id":"ITEM-1","issued":{"date-parts":[["2012"]]},"title":"Grain size effect on strain hardening in twinning-induced plasticity steels","type":"article-journal"},"uris":["http://www.mendeley.com/documents/?uuid=42888521-d82f-4221-b3b0-18a8b63fe5a4","http://www.mendeley.com/documents/?uuid=a43e8316-c0b0-46cf-8538-fe0e3c939bdd"]}],"mendeley":{"formattedCitation":"[125]","plainTextFormattedCitation":"[125]","previouslyFormattedCitation":"[125]"},"properties":{"noteIndex":0},"schema":"https://github.com/citation-style-language/schema/raw/master/csl-citation.json"}</w:instrText>
      </w:r>
      <w:r>
        <w:fldChar w:fldCharType="separate"/>
      </w:r>
      <w:r w:rsidRPr="003B39BC">
        <w:rPr>
          <w:noProof/>
        </w:rPr>
        <w:t>[125]</w:t>
      </w:r>
      <w:r>
        <w:fldChar w:fldCharType="end"/>
      </w:r>
      <w:r>
        <w:t xml:space="preserve"> undertook work on TWIP steel with </w:t>
      </w:r>
      <w:r w:rsidRPr="008C71F2">
        <w:rPr>
          <w:noProof/>
        </w:rPr>
        <w:t>grain</w:t>
      </w:r>
      <w:r>
        <w:t xml:space="preserve"> size of 3 and 50 </w:t>
      </w:r>
      <w:r w:rsidRPr="00B2121C">
        <w:t>µm</w:t>
      </w:r>
      <w:r>
        <w:t xml:space="preserve">. The substructure of dislocations regulated the density of twinning nucleation at </w:t>
      </w:r>
      <w:r w:rsidRPr="008C71F2">
        <w:rPr>
          <w:noProof/>
        </w:rPr>
        <w:t>grain</w:t>
      </w:r>
      <w:r>
        <w:t xml:space="preserve"> boundaries and thus affect</w:t>
      </w:r>
      <w:r w:rsidR="007D04B9">
        <w:t>s</w:t>
      </w:r>
      <w:r>
        <w:t xml:space="preserve"> the evolution of twinning throughout the deformation process. This is a result of twinning which may nucleate from a series of dislocation dissociations when the dislocations are crossing the grain boundary. Theoretical proof for the positive effect of grain refinement on deformation twinning was proposed by Meyers </w:t>
      </w:r>
      <w:r>
        <w:fldChar w:fldCharType="begin" w:fldLock="1"/>
      </w:r>
      <w:r>
        <w:instrText>ADDIN CSL_CITATION {"citationItems":[{"id":"ITEM-1","itemData":{"DOI":"10.1016/S1359-6454(01)00300-7","ISBN":"1858534569","ISSN":"13596454","PMID":"26","abstract":"A constitutive approach is developed that predicts the critical stress for twinning as a function of external (temperature, strain rate) and internal (grain size, stacking-fault energy) parameters. Plastic deformation by slip and twinning are considered as competitive mechanisms. The twinning stress is equated to the slip stress based on the plastic flow by thermally assisted movement of dislocations over obstacles, which leads to successful prediction of the slip-twinning transition. The model is applied to body centered cubic, face centered cubic, and hexagonal metals and alloys: Fe, Cu, brasses, and Ti, respectively. A constitutive expression for the twinning stress in BCC metals is developed using dislocation emission from a source and the formation of pile-ups, as rate-controlling mechanism. Employing an Eshelby-type analysis, the critical size of twin nucleus and twinning stress are correlated to the twin-boundary energy, which is directly related to the stacking-fault energy (SFE) for FCC metals. The effects of grain size and SFE are examined and the results indicate that the grain-scale pile-ups are not the source of the stress concentrations giving rise to twinning in FCC metals. The constitutive description of the slip-twinning transition are incorporated into the Weertman-Ashby deformation mechanism maps, thereby enabling the introduction of a twinning domain. This is illustrated for titanium with a grain size of 100 μm. © 2001 Acta Materialia Inc. Published by Elsevier Science Ltd. All rights reserved.","author":[{"dropping-particle":"","family":"Meyers","given":"M. A.","non-dropping-particle":"","parse-names":false,"suffix":""},{"dropping-particle":"","family":"Vöhringer","given":"O.","non-dropping-particle":"","parse-names":false,"suffix":""},{"dropping-particle":"","family":"Lubarda","given":"V. A.","non-dropping-particle":"","parse-names":false,"suffix":""}],"container-title":"Acta Materialia","id":"ITEM-1","issued":{"date-parts":[["2001"]]},"title":"The onset of twinning in metals: A constitutive description","type":"article-journal"},"uris":["http://www.mendeley.com/documents/?uuid=6aa4637f-c68f-485b-99cc-02cfbb792a5e","http://www.mendeley.com/documents/?uuid=ee2a0bd8-ecd4-4274-af86-4ffc82b127c7"]},{"id":"ITEM-2","itemData":{"DOI":"10.1016/j.msea.2015.07.075","ISBN":"09215093","ISSN":"09215093","abstract":"Grain size has a profound effect on the mechanical response of metals. Molecular dynamics continues to expand its range from a handful of atoms to grain sizes up to 50nm, albeit commonly at strain rates generally upwards of 10&lt;sup&gt;6&lt;/sup&gt;s&lt;sup&gt;-&lt;/sup&gt;&lt;sup&gt;1&lt;/sup&gt;. In this review we examine the most important theories of grain size dependent mechanical behavior pertaining to the nanocrystalline regime. For the sake of clarity, grain sizes d are commonly divided into three regimes: d&gt;1μm, 1μm&lt;d&lt;100nm; and d&lt;100nm. These different regimes are dominated by different mechanisms of plastic flow initiation. We focus here in the region d&lt;100nm, aptly named the nanocrystalline region. An interesting and representative phenomenon at this reduced spatial scale is the inverse Hall-Petch effect observed experimentally and in MD simulations in FCC, BCC, and HCP metals. Significantly, we compare the results of molecular dynamics simulations with analytical models and mechanisms based on the contributions of Conrad and Narayan and Argon and Yip, who attribute the inverse Hall-Petch relationship to the increased contribution of grain-boundary shear as the grain size is reduced. The occurrence of twinning, more prevalent at the high strain rates enabled by shock compression, is evaluated.","author":[{"dropping-particle":"","family":"Hahn","given":"Eric N.","non-dropping-particle":"","parse-names":false,"suffix":""},{"dropping-particle":"","family":"Meyers","given":"Marc A.","non-dropping-particle":"","parse-names":false,"suffix":""}],"container-title":"Materials Science and Engineering A","id":"ITEM-2","issued":{"date-parts":[["2015"]]},"title":"Grain-size dependent mechanical behavior of nanocrystalline metals","type":"article"},"uris":["http://www.mendeley.com/documents/?uuid=18ec8701-2cf4-4742-bb74-f3ebb7d5f725","http://www.mendeley.com/documents/?uuid=42437ebf-e066-4869-8d05-b348ce26b05a"]},{"id":"ITEM-3","itemData":{"DOI":"10.1007/s10853-013-7140-0","ISBN":"1573-4803","ISSN":"00222461","PMID":"2428273","abstract":"This article systematically overviews the grain size effect on deformation twinning and detwinning in face-centered cubic (fcc) metals. With decreasing grain size, coarse-grained fcc metals become more difficult to deform by twinning, whereas nanocrystalline (nc) fcc metals first become easier to deform by twinning and then become more difficult, exhibiting an optimum grain size for twinning. The transition in twinning behavior from coarse-grained to nc fcc metals is caused by the change in deformation mechanisms. An analytical model based on observed deformation physics in nc metals, i.e., grain boundary emission of dislocations, provides an explanation of the observed optimum grain size for twinning in nc fcc metals. The detwinning process is caused by the interaction between dislocations and twin boundaries. Under a certain deformation condition, there exists a grain size range where the twinning process dominates over the detwinning process to produce the highest density of twins.","author":[{"dropping-particle":"","family":"Zhu","given":"Y. T.","non-dropping-particle":"","parse-names":false,"suffix":""},{"dropping-particle":"","family":"Liao","given":"X. Z.","non-dropping-particle":"","parse-names":false,"suffix":""},{"dropping-particle":"","family":"Wu","given":"X. L.","non-dropping-particle":"","parse-names":false,"suffix":""},{"dropping-particle":"","family":"Narayan","given":"J.","non-dropping-particle":"","parse-names":false,"suffix":""}],"container-title":"Journal of Materials Science","id":"ITEM-3","issued":{"date-parts":[["2013"]]},"title":"Grain size effect on deformation twinning and detwinning","type":"paper-conference"},"uris":["http://www.mendeley.com/documents/?uuid=139b11d8-3da8-4f69-9012-779b70622397","http://www.mendeley.com/documents/?uuid=ef26807d-5f45-4e53-af75-174a66e0c74f"]}],"mendeley":{"formattedCitation":"[126–128]","plainTextFormattedCitation":"[126–128]","previouslyFormattedCitation":"[126–128]"},"properties":{"noteIndex":0},"schema":"https://github.com/citation-style-language/schema/raw/master/csl-citation.json"}</w:instrText>
      </w:r>
      <w:r>
        <w:fldChar w:fldCharType="separate"/>
      </w:r>
      <w:r w:rsidRPr="003B39BC">
        <w:rPr>
          <w:noProof/>
        </w:rPr>
        <w:t>[126–128]</w:t>
      </w:r>
      <w:r>
        <w:fldChar w:fldCharType="end"/>
      </w:r>
      <w:r>
        <w:t xml:space="preserve">. These works indicated that the </w:t>
      </w:r>
      <w:r w:rsidRPr="006B2702">
        <w:rPr>
          <w:noProof/>
        </w:rPr>
        <w:t>critical</w:t>
      </w:r>
      <w:r>
        <w:t xml:space="preserve"> resolved shear stress during twinning is inversely proportional to mean grain size. A detailed investigation of the effect of grain size on the mechanical performance was conducted</w:t>
      </w:r>
      <w:r w:rsidRPr="00014FE5">
        <w:rPr>
          <w:rFonts w:cs="Arial"/>
        </w:rPr>
        <w:t xml:space="preserve"> </w:t>
      </w:r>
      <w:r>
        <w:rPr>
          <w:rFonts w:cs="Arial"/>
        </w:rPr>
        <w:t>by Sun</w:t>
      </w:r>
      <w:r w:rsidRPr="006B2891">
        <w:fldChar w:fldCharType="begin" w:fldLock="1"/>
      </w:r>
      <w:r>
        <w:rPr>
          <w:rFonts w:cs="Arial"/>
        </w:rPr>
        <w:instrText>ADDIN CSL_CITATION {"citationItems":[{"id":"ITEM-1","itemData":{"DOI":"10.1016/j.msea.2017.12.022","ISBN":"0921-5093","ISSN":"09215093","abstract":"Fully recrystallized CoCrFeMnNi high entropy alloys (HEAs) with different grain sizes ranging from 503 nm to 88.9 µm were fabricated by cold rolling and controlled annealing. Tensile tests were conducted at ambient temperature, and deformation microstructures were investigated using electron channeling contrast imaging (ECCI) and transmission electron microscopy (TEM) techniques. It is found that strain-hardening curves changed dramatically with grain refinement. Deformation twinning prevails when the grain size is coarse, but it is absent when the grain size falls in the ultrafine-grained (UFG) regime. The transition of twinning behavior is supposed to be determined by the increased twinning stress with grain refinement. It is indicated that the twinning behavior of the HEAs is strongly dependent on the competition between the flow stress and critical twinning stress with grain refinement.","author":[{"dropping-particle":"","family":"Sun","given":"S. J.","non-dropping-particle":"","parse-names":false,"suffix":""},{"dropping-particle":"","family":"Tian","given":"Y. Z.","non-dropping-particle":"","parse-names":false,"suffix":""},{"dropping-particle":"","family":"Lin","given":"H. R.","non-dropping-particle":"","parse-names":false,"suffix":""},{"dropping-particle":"","family":"Yang","given":"H. J.","non-dropping-particle":"","parse-names":false,"suffix":""},{"dropping-particle":"","family":"Dong","given":"X. G.","non-dropping-particle":"","parse-names":false,"suffix":""},{"dropping-particle":"","family":"Wang","given":"Y. H.","non-dropping-particle":"","parse-names":false,"suffix":""},{"dropping-particle":"","family":"Zhang","given":"Z. F.","non-dropping-particle":"","parse-names":false,"suffix":""}],"container-title":"Materials Science and Engineering A","id":"ITEM-1","issued":{"date-parts":[["2018"]]},"title":"Transition of twinning behavior in CoCrFeMnNi high entropy alloy with grain refinement","type":"article-journal"},"uris":["http://www.mendeley.com/documents/?uuid=3f719dfb-0de3-497e-8da0-f57bfd213047","http://www.mendeley.com/documents/?uuid=55341f03-acbc-4a92-9eeb-d174729afe48"]}],"mendeley":{"formattedCitation":"[118]","plainTextFormattedCitation":"[118]","previouslyFormattedCitation":"[118]"},"properties":{"noteIndex":0},"schema":"https://github.com/citation-style-language/schema/raw/master/csl-citation.json"}</w:instrText>
      </w:r>
      <w:r w:rsidRPr="006B2891">
        <w:rPr>
          <w:rFonts w:cs="Arial"/>
        </w:rPr>
        <w:fldChar w:fldCharType="separate"/>
      </w:r>
      <w:r w:rsidRPr="003B39BC">
        <w:rPr>
          <w:rFonts w:cs="Arial"/>
          <w:noProof/>
        </w:rPr>
        <w:t>[118]</w:t>
      </w:r>
      <w:r w:rsidRPr="006B2891">
        <w:fldChar w:fldCharType="end"/>
      </w:r>
      <w:r>
        <w:t xml:space="preserve"> on</w:t>
      </w:r>
      <w:r w:rsidR="007D04B9">
        <w:t xml:space="preserve"> the</w:t>
      </w:r>
      <w:r>
        <w:t xml:space="preserve"> CoCrFeNiMn HEA system. This work employed a grain size ranging </w:t>
      </w:r>
      <w:r w:rsidRPr="00467916">
        <w:t xml:space="preserve">from 88.9 </w:t>
      </w:r>
      <w:r w:rsidRPr="00467916">
        <w:rPr>
          <w:rFonts w:cs="Arial"/>
        </w:rPr>
        <w:t xml:space="preserve">µm to </w:t>
      </w:r>
      <w:r>
        <w:rPr>
          <w:rFonts w:cs="Arial"/>
        </w:rPr>
        <w:t xml:space="preserve">503 nm. As shown in </w:t>
      </w:r>
      <w:r>
        <w:rPr>
          <w:rFonts w:cs="Arial"/>
          <w:noProof/>
        </w:rPr>
        <w:t>Fig. 2-22,</w:t>
      </w:r>
      <w:r>
        <w:rPr>
          <w:rFonts w:cs="Arial"/>
        </w:rPr>
        <w:t xml:space="preserve"> with a decreasing grain size of </w:t>
      </w:r>
      <w:r w:rsidRPr="006B2891">
        <w:rPr>
          <w:rFonts w:eastAsia="等线"/>
        </w:rPr>
        <w:t xml:space="preserve">γ phase, the ductility of </w:t>
      </w:r>
      <w:r w:rsidRPr="006B2891">
        <w:rPr>
          <w:rFonts w:eastAsia="等线"/>
        </w:rPr>
        <w:lastRenderedPageBreak/>
        <w:t xml:space="preserve">CoCrFeNiMn </w:t>
      </w:r>
      <w:r w:rsidRPr="008D07D9">
        <w:rPr>
          <w:rFonts w:eastAsia="等线"/>
          <w:noProof/>
        </w:rPr>
        <w:t>reduced</w:t>
      </w:r>
      <w:r>
        <w:rPr>
          <w:rFonts w:eastAsia="等线"/>
          <w:noProof/>
        </w:rPr>
        <w:t xml:space="preserve"> at the expense of </w:t>
      </w:r>
      <w:r w:rsidR="004A2B25">
        <w:rPr>
          <w:rFonts w:eastAsia="等线"/>
          <w:noProof/>
        </w:rPr>
        <w:t>increasing</w:t>
      </w:r>
      <w:r w:rsidRPr="00522EBC">
        <w:rPr>
          <w:rFonts w:eastAsia="等线"/>
        </w:rPr>
        <w:t xml:space="preserve"> strength. The </w:t>
      </w:r>
      <w:r>
        <w:rPr>
          <w:rFonts w:eastAsia="等线"/>
        </w:rPr>
        <w:t>reduction</w:t>
      </w:r>
      <w:r w:rsidRPr="00522EBC">
        <w:rPr>
          <w:rFonts w:eastAsia="等线"/>
        </w:rPr>
        <w:t xml:space="preserve"> of elongation</w:t>
      </w:r>
      <w:r>
        <w:rPr>
          <w:rFonts w:eastAsia="等线"/>
        </w:rPr>
        <w:t xml:space="preserve"> in this material appears to be a</w:t>
      </w:r>
      <w:r w:rsidRPr="00522EBC">
        <w:rPr>
          <w:rFonts w:eastAsia="等线"/>
        </w:rPr>
        <w:t xml:space="preserve"> result of</w:t>
      </w:r>
      <w:r w:rsidRPr="008D07D9">
        <w:rPr>
          <w:rFonts w:eastAsia="等线"/>
        </w:rPr>
        <w:t xml:space="preserve"> grain refinement</w:t>
      </w:r>
      <w:r>
        <w:rPr>
          <w:rFonts w:eastAsia="等线"/>
        </w:rPr>
        <w:t xml:space="preserve">. This was </w:t>
      </w:r>
      <w:r w:rsidRPr="008D07D9">
        <w:rPr>
          <w:rFonts w:eastAsia="等线"/>
        </w:rPr>
        <w:t xml:space="preserve">similar to </w:t>
      </w:r>
      <w:r>
        <w:rPr>
          <w:rFonts w:eastAsia="等线"/>
        </w:rPr>
        <w:t xml:space="preserve">the </w:t>
      </w:r>
      <w:r w:rsidRPr="00522EBC">
        <w:rPr>
          <w:rFonts w:eastAsia="等线"/>
        </w:rPr>
        <w:t xml:space="preserve">effects of grain refinement in steel, </w:t>
      </w:r>
      <w:r>
        <w:rPr>
          <w:rFonts w:eastAsia="等线"/>
        </w:rPr>
        <w:t xml:space="preserve">where </w:t>
      </w:r>
      <w:r w:rsidRPr="00522EBC">
        <w:rPr>
          <w:rFonts w:eastAsia="等线"/>
        </w:rPr>
        <w:t>t</w:t>
      </w:r>
      <w:r w:rsidRPr="006B7596">
        <w:rPr>
          <w:rFonts w:eastAsia="等线"/>
        </w:rPr>
        <w:t xml:space="preserve">he critical stress of twinning </w:t>
      </w:r>
      <w:r>
        <w:rPr>
          <w:rFonts w:eastAsia="等线"/>
        </w:rPr>
        <w:t>was</w:t>
      </w:r>
      <w:r w:rsidRPr="006B7596">
        <w:rPr>
          <w:rFonts w:eastAsia="等线"/>
        </w:rPr>
        <w:t xml:space="preserve"> negative</w:t>
      </w:r>
      <w:r>
        <w:rPr>
          <w:rFonts w:eastAsia="等线"/>
        </w:rPr>
        <w:t xml:space="preserve"> and</w:t>
      </w:r>
      <w:r w:rsidRPr="008D07D9">
        <w:rPr>
          <w:rFonts w:eastAsia="等线"/>
        </w:rPr>
        <w:t xml:space="preserve"> correlate</w:t>
      </w:r>
      <w:r>
        <w:rPr>
          <w:rFonts w:eastAsia="等线"/>
        </w:rPr>
        <w:t>d</w:t>
      </w:r>
      <w:r w:rsidRPr="006B2891">
        <w:rPr>
          <w:rFonts w:eastAsia="等线"/>
        </w:rPr>
        <w:t xml:space="preserve"> </w:t>
      </w:r>
      <w:r>
        <w:rPr>
          <w:rFonts w:eastAsia="等线"/>
        </w:rPr>
        <w:t>with</w:t>
      </w:r>
      <w:r w:rsidRPr="006B2891">
        <w:rPr>
          <w:rFonts w:eastAsia="等线"/>
        </w:rPr>
        <w:t xml:space="preserve"> the refined grain size</w:t>
      </w:r>
      <w:r>
        <w:rPr>
          <w:rFonts w:eastAsia="等线"/>
        </w:rPr>
        <w:t xml:space="preserve"> </w:t>
      </w:r>
      <w:r w:rsidRPr="006B2891">
        <w:rPr>
          <w:rFonts w:eastAsia="等线"/>
        </w:rPr>
        <w:t>to prevent the generation of mechanical twinning during deformation</w:t>
      </w:r>
      <w:r>
        <w:rPr>
          <w:rFonts w:eastAsia="等线"/>
        </w:rPr>
        <w:t xml:space="preserve"> </w:t>
      </w:r>
      <w:r w:rsidRPr="00C06CF3">
        <w:fldChar w:fldCharType="begin" w:fldLock="1"/>
      </w:r>
      <w:r>
        <w:rPr>
          <w:rFonts w:eastAsia="等线" w:cstheme="minorHAnsi"/>
        </w:rPr>
        <w:instrText>ADDIN CSL_CITATION {"citationItems":[{"id":"ITEM-1","itemData":{"DOI":"10.1016/j.msea.2017.12.022","ISBN":"0921-5093","ISSN":"09215093","abstract":"Fully recrystallized CoCrFeMnNi high entropy alloys (HEAs) with different grain sizes ranging from 503 nm to 88.9 µm were fabricated by cold rolling and controlled annealing. Tensile tests were conducted at ambient temperature, and deformation microstructures were investigated using electron channeling contrast imaging (ECCI) and transmission electron microscopy (TEM) techniques. It is found that strain-hardening curves changed dramatically with grain refinement. Deformation twinning prevails when the grain size is coarse, but it is absent when the grain size falls in the ultrafine-grained (UFG) regime. The transition of twinning behavior is supposed to be determined by the increased twinning stress with grain refinement. It is indicated that the twinning behavior of the HEAs is strongly dependent on the competition between the flow stress and critical twinning stress with grain refinement.","author":[{"dropping-particle":"","family":"Sun","given":"S. J.","non-dropping-particle":"","parse-names":false,"suffix":""},{"dropping-particle":"","family":"Tian","given":"Y. Z.","non-dropping-particle":"","parse-names":false,"suffix":""},{"dropping-particle":"","family":"Lin","given":"H. R.","non-dropping-particle":"","parse-names":false,"suffix":""},{"dropping-particle":"","family":"Yang","given":"H. J.","non-dropping-particle":"","parse-names":false,"suffix":""},{"dropping-particle":"","family":"Dong","given":"X. G.","non-dropping-particle":"","parse-names":false,"suffix":""},{"dropping-particle":"","family":"Wang","given":"Y. H.","non-dropping-particle":"","parse-names":false,"suffix":""},{"dropping-particle":"","family":"Zhang","given":"Z. F.","non-dropping-particle":"","parse-names":false,"suffix":""}],"container-title":"Materials Science and Engineering A","id":"ITEM-1","issued":{"date-parts":[["2018"]]},"title":"Transition of twinning behavior in CoCrFeMnNi high entropy alloy with grain refinement","type":"article-journal"},"uris":["http://www.mendeley.com/documents/?uuid=55341f03-acbc-4a92-9eeb-d174729afe48","http://www.mendeley.com/documents/?uuid=3f719dfb-0de3-497e-8da0-f57bfd213047"]}],"mendeley":{"formattedCitation":"[118]","plainTextFormattedCitation":"[118]","previouslyFormattedCitation":"[118]"},"properties":{"noteIndex":0},"schema":"https://github.com/citation-style-language/schema/raw/master/csl-citation.json"}</w:instrText>
      </w:r>
      <w:r w:rsidRPr="00C06CF3">
        <w:rPr>
          <w:rFonts w:eastAsia="等线" w:cstheme="minorHAnsi"/>
        </w:rPr>
        <w:fldChar w:fldCharType="separate"/>
      </w:r>
      <w:r w:rsidRPr="003B39BC">
        <w:rPr>
          <w:rFonts w:eastAsia="等线"/>
          <w:noProof/>
        </w:rPr>
        <w:t>[118]</w:t>
      </w:r>
      <w:r w:rsidRPr="00C06CF3">
        <w:fldChar w:fldCharType="end"/>
      </w:r>
      <w:r w:rsidRPr="006B2891">
        <w:rPr>
          <w:rFonts w:eastAsia="等线"/>
        </w:rPr>
        <w:t xml:space="preserve">. In Fig. 2-22, TEM </w:t>
      </w:r>
      <w:r w:rsidRPr="008C71F2">
        <w:rPr>
          <w:noProof/>
        </w:rPr>
        <w:t>analysis</w:t>
      </w:r>
      <w:r>
        <w:t xml:space="preserve"> revealed the activation of deformation mechanisms that have a dependence with grain size, including mechanical twinning, stacking fault and dislocations that were activated in large grain samples; while in contrast, dislocations and stacking faults are refined in small</w:t>
      </w:r>
      <w:r w:rsidRPr="006B2891">
        <w:rPr>
          <w:rFonts w:eastAsia="等线"/>
        </w:rPr>
        <w:t xml:space="preserve"> grain samples. The distribution of the mechanical twinning in grain refined CoCrFeNiMn </w:t>
      </w:r>
      <w:r>
        <w:rPr>
          <w:rFonts w:eastAsia="等线"/>
        </w:rPr>
        <w:t xml:space="preserve">was </w:t>
      </w:r>
      <w:r w:rsidRPr="006B2891">
        <w:rPr>
          <w:rFonts w:eastAsia="等线"/>
        </w:rPr>
        <w:t>similar</w:t>
      </w:r>
      <w:r>
        <w:rPr>
          <w:rFonts w:eastAsia="等线"/>
        </w:rPr>
        <w:t xml:space="preserve"> to</w:t>
      </w:r>
      <w:r w:rsidRPr="006B2891">
        <w:rPr>
          <w:rFonts w:eastAsia="等线"/>
        </w:rPr>
        <w:t xml:space="preserve"> high</w:t>
      </w:r>
      <w:r>
        <w:rPr>
          <w:rFonts w:eastAsia="等线"/>
        </w:rPr>
        <w:t>-</w:t>
      </w:r>
      <w:r w:rsidRPr="006B2891">
        <w:rPr>
          <w:rFonts w:eastAsia="等线"/>
        </w:rPr>
        <w:t>Mn Steel</w:t>
      </w:r>
      <w:r>
        <w:rPr>
          <w:rFonts w:eastAsia="等线"/>
        </w:rPr>
        <w:t xml:space="preserve"> </w:t>
      </w:r>
      <w:r w:rsidRPr="00C06CF3">
        <w:fldChar w:fldCharType="begin" w:fldLock="1"/>
      </w:r>
      <w:r>
        <w:rPr>
          <w:rFonts w:eastAsia="等线" w:cstheme="minorHAnsi"/>
        </w:rPr>
        <w:instrText>ADDIN CSL_CITATION {"citationItems":[{"id":"ITEM-1","itemData":{"DOI":"10.1016/j.msea.2011.09.060","ISBN":"09215093","ISSN":"09215093","abstract":"We have investigated micro-structural parameters, twin and stacking fault probabilities and dislocation density, of twinning induced plasticity (TWIP) steels by using neutron diffraction profile analysis. It is observed that the addition of 1.4. wt.% Al in Fe-18Mn-0.6C steel leads to lower tensile strength and higher elongation, reducing twin formation rate. In other words, Al addition weakens the tendency of twin and stacking faults evolution under applied strain in the range of e{open}= 0.0-0.4, while the screw component of dislocations is increased. It is also confirmed that enlarged austenite grain size in TWIP steels disfavors twin and stacking fault formation. © 2011 Elsevier B.V.","author":[{"dropping-particle":"","family":"Jeong","given":"J. S.","non-dropping-particle":"","parse-names":false,"suffix":""},{"dropping-particle":"","family":"Koo","given":"Y. M.","non-dropping-particle":"","parse-names":false,"suffix":""},{"dropping-particle":"","family":"Jeong","given":"I. K.","non-dropping-particle":"","parse-names":false,"suffix":""},{"dropping-particle":"","family":"Kim","given":"S. K.","non-dropping-particle":"","parse-names":false,"suffix":""},{"dropping-particle":"","family":"Kwon","given":"S. K.","non-dropping-particle":"","parse-names":false,"suffix":""}],"container-title":"Materials Science and Engineering A","id":"ITEM-1","issued":{"date-parts":[["2011"]]},"title":"Micro-structural study of high-Mn TWIP steels using diffraction profile analysis","type":"article-journal"},"uris":["http://www.mendeley.com/documents/?uuid=b33b5728-5e91-4561-b5fc-aec4defbe896","http://www.mendeley.com/documents/?uuid=8266304e-72cf-464e-b1c9-fa1b2adab775"]}],"mendeley":{"formattedCitation":"[122]","plainTextFormattedCitation":"[122]","previouslyFormattedCitation":"[122]"},"properties":{"noteIndex":0},"schema":"https://github.com/citation-style-language/schema/raw/master/csl-citation.json"}</w:instrText>
      </w:r>
      <w:r w:rsidRPr="00C06CF3">
        <w:rPr>
          <w:rFonts w:eastAsia="等线" w:cstheme="minorHAnsi"/>
        </w:rPr>
        <w:fldChar w:fldCharType="separate"/>
      </w:r>
      <w:r w:rsidRPr="003B39BC">
        <w:rPr>
          <w:rFonts w:eastAsia="等线"/>
          <w:noProof/>
        </w:rPr>
        <w:t>[122]</w:t>
      </w:r>
      <w:r w:rsidRPr="00C06CF3">
        <w:fldChar w:fldCharType="end"/>
      </w:r>
      <w:r>
        <w:rPr>
          <w:rFonts w:eastAsia="等线"/>
        </w:rPr>
        <w:t>. This adds promise by</w:t>
      </w:r>
      <w:r w:rsidRPr="006B2891">
        <w:rPr>
          <w:rFonts w:eastAsia="等线"/>
        </w:rPr>
        <w:t xml:space="preserve"> </w:t>
      </w:r>
      <w:r>
        <w:rPr>
          <w:rFonts w:eastAsia="等线"/>
        </w:rPr>
        <w:t>i</w:t>
      </w:r>
      <w:r w:rsidRPr="006B2891">
        <w:rPr>
          <w:rFonts w:eastAsia="等线"/>
        </w:rPr>
        <w:t xml:space="preserve">ndicating the possibility </w:t>
      </w:r>
      <w:r>
        <w:rPr>
          <w:rFonts w:eastAsia="等线"/>
        </w:rPr>
        <w:t>of allowing</w:t>
      </w:r>
      <w:r w:rsidRPr="006B2891">
        <w:rPr>
          <w:rFonts w:eastAsia="等线"/>
        </w:rPr>
        <w:t xml:space="preserve"> TWIP and grain refinement</w:t>
      </w:r>
      <w:r>
        <w:rPr>
          <w:rFonts w:eastAsia="等线"/>
        </w:rPr>
        <w:t xml:space="preserve"> to occur</w:t>
      </w:r>
      <w:r w:rsidRPr="006B2891">
        <w:rPr>
          <w:rFonts w:eastAsia="等线"/>
        </w:rPr>
        <w:t xml:space="preserve"> to find an optimal processing method for designing high performance HEAs. Recently, to </w:t>
      </w:r>
      <w:r>
        <w:rPr>
          <w:rFonts w:eastAsia="等线"/>
        </w:rPr>
        <w:t>achieve the mix of</w:t>
      </w:r>
      <w:r w:rsidRPr="006B2891">
        <w:rPr>
          <w:rFonts w:eastAsia="等线"/>
        </w:rPr>
        <w:t xml:space="preserve"> deformation mechanisms discussed, </w:t>
      </w:r>
      <w:r>
        <w:rPr>
          <w:rFonts w:eastAsia="等线"/>
        </w:rPr>
        <w:t>careful control of</w:t>
      </w:r>
      <w:r w:rsidRPr="00891AFC">
        <w:rPr>
          <w:rFonts w:eastAsia="等线"/>
        </w:rPr>
        <w:t xml:space="preserve"> the heat treatment </w:t>
      </w:r>
      <w:r>
        <w:rPr>
          <w:rFonts w:eastAsia="等线"/>
        </w:rPr>
        <w:t>parameters was applied to</w:t>
      </w:r>
      <w:r w:rsidRPr="006B2891" w:rsidDel="00882F2D">
        <w:rPr>
          <w:rFonts w:eastAsia="等线"/>
        </w:rPr>
        <w:t xml:space="preserve"> </w:t>
      </w:r>
      <w:r w:rsidRPr="001C1245">
        <w:rPr>
          <w:rFonts w:eastAsia="等线"/>
        </w:rPr>
        <w:t xml:space="preserve"> </w:t>
      </w:r>
      <w:r w:rsidRPr="002F436A">
        <w:rPr>
          <w:rFonts w:eastAsia="等线"/>
        </w:rPr>
        <w:t>Fe</w:t>
      </w:r>
      <w:r w:rsidRPr="002F436A">
        <w:rPr>
          <w:rFonts w:eastAsia="等线"/>
          <w:vertAlign w:val="subscript"/>
        </w:rPr>
        <w:t>50</w:t>
      </w:r>
      <w:r w:rsidRPr="00467323">
        <w:rPr>
          <w:rFonts w:eastAsia="等线"/>
        </w:rPr>
        <w:t>Mn</w:t>
      </w:r>
      <w:r w:rsidRPr="00901DCD">
        <w:rPr>
          <w:rFonts w:eastAsia="等线"/>
          <w:vertAlign w:val="subscript"/>
        </w:rPr>
        <w:t>30</w:t>
      </w:r>
      <w:r w:rsidRPr="00901DCD">
        <w:rPr>
          <w:rFonts w:eastAsia="等线"/>
        </w:rPr>
        <w:t>Co</w:t>
      </w:r>
      <w:r w:rsidRPr="000607B7">
        <w:rPr>
          <w:rFonts w:eastAsia="等线"/>
          <w:vertAlign w:val="subscript"/>
        </w:rPr>
        <w:t>10</w:t>
      </w:r>
      <w:r w:rsidRPr="000607B7">
        <w:rPr>
          <w:rFonts w:eastAsia="等线"/>
        </w:rPr>
        <w:t>Cr</w:t>
      </w:r>
      <w:r w:rsidRPr="000607B7">
        <w:rPr>
          <w:rFonts w:eastAsia="等线"/>
          <w:vertAlign w:val="subscript"/>
        </w:rPr>
        <w:t>10</w:t>
      </w:r>
      <w:r>
        <w:rPr>
          <w:rFonts w:eastAsia="等线"/>
        </w:rPr>
        <w:t>,</w:t>
      </w:r>
      <w:r w:rsidRPr="001C1245">
        <w:rPr>
          <w:rFonts w:eastAsia="等线"/>
        </w:rPr>
        <w:t xml:space="preserve"> </w:t>
      </w:r>
      <w:r>
        <w:rPr>
          <w:rFonts w:eastAsia="等线"/>
        </w:rPr>
        <w:t>resulting in a</w:t>
      </w:r>
      <w:r w:rsidRPr="00891AFC">
        <w:rPr>
          <w:rFonts w:eastAsia="等线"/>
        </w:rPr>
        <w:t xml:space="preserve"> TWIP-TRIP assisted </w:t>
      </w:r>
      <w:r w:rsidRPr="00891AFC">
        <w:rPr>
          <w:rFonts w:eastAsia="等线"/>
          <w:noProof/>
        </w:rPr>
        <w:t xml:space="preserve">HEA </w:t>
      </w:r>
      <w:r>
        <w:rPr>
          <w:rFonts w:eastAsia="等线"/>
          <w:noProof/>
        </w:rPr>
        <w:t>being</w:t>
      </w:r>
      <w:r w:rsidRPr="0060495C">
        <w:rPr>
          <w:rFonts w:eastAsia="等线"/>
          <w:noProof/>
        </w:rPr>
        <w:t xml:space="preserve"> developed</w:t>
      </w:r>
      <w:r>
        <w:rPr>
          <w:rFonts w:eastAsia="等线"/>
          <w:noProof/>
        </w:rPr>
        <w:t xml:space="preserve"> </w:t>
      </w:r>
      <w:r w:rsidRPr="00C06CF3">
        <w:fldChar w:fldCharType="begin" w:fldLock="1"/>
      </w:r>
      <w:r>
        <w:rPr>
          <w:rFonts w:eastAsia="等线" w:cstheme="minorHAnsi"/>
          <w:noProof/>
        </w:rPr>
        <w:instrText>ADDIN CSL_CITATION {"citationItems":[{"id":"ITEM-1","itemData":{"DOI":"10.1038/nature17981","ISBN":"0028-0836","ISSN":"14764687","PMID":"27279217","abstract":"Metals have been mankind's most essential materials for thousands of years; however, their use is affected by ecological and economical concerns. Alloys with higher strength and ductility could alleviate some of these concerns by reducing weight and improving energy efficiency. However, most metallurgical mechanisms for increasing strength lead to ductility loss, an effect referred to as the strength-ductility trade-off. Here we present a metastability-engineering strategy in which we design nanostructured, bulk high-entropy alloys with multiple compositionally equivalent high-entropy phases. High-entropy alloys were originally proposed to benefit from phase stabilization through entropy maximization. Yet here, motivated by recent work that relaxes the strict restrictions on high-entropy alloy compositions by demonstrating the weakness of this connection, the concept is overturned. We decrease phase stability to achieve two key benefits: interface hardening due to a dual-phase microstructure (resulting from reduced thermal stability of the high-temperature phase); and transformation-induced hardening (resulting from the reduced mechanical stability of the room-temperature phase). This combines the best of two worlds: extensive hardening due to the decreased phase stability known from advanced steels and massive solid-solution strengthening of high-entropy alloys. In our transformation-induced plasticity-assisted, dual-phase high-entropy alloy (TRIP-DP-HEA), these two contributions lead respectively to enhanced trans-grain and inter-grain slip resistance, and hence, increased strength. Moreover, the increased strain hardening capacity that is enabled by dislocation hardening of the stable phase and transformation-induced hardening of the metastable phase produces increased ductility. This combined increase in strength and ductility distinguishes the TRIP-DP-HEA alloy from other recently developed structural materials. This metastability-engineering strategy should thus usefully guide design in the near-infinite compositional space of high-entropy alloys.","author":[{"dropping-particle":"","family":"Li","given":"Zhiming","non-dropping-particle":"","parse-names":false,"suffix":""},{"dropping-particle":"","family":"Pradeep","given":"Konda Gokuldoss","non-dropping-particle":"","parse-names":false,"suffix":""},{"dropping-particle":"","family":"Deng","given":"Yun","non-dropping-particle":"","parse-names":false,"suffix":""},{"dropping-particle":"","family":"Raabe","given":"Dierk","non-dropping-particle":"","parse-names":false,"suffix":""},{"dropping-particle":"","family":"Tasan","given":"Cemal Cem","non-dropping-particle":"","parse-names":false,"suffix":""}],"container-title":"Nature","id":"ITEM-1","issued":{"date-parts":[["2016"]]},"title":"Metastable high-entropy dual-phase alloys overcome the strength-ductility trade-off","type":"article-journal"},"uris":["http://www.mendeley.com/documents/?uuid=082f25b9-5d2c-4b7f-b69b-80e2c555b8ca","http://www.mendeley.com/documents/?uuid=79c62913-e67b-478d-bbeb-1ba84235623f"]}],"mendeley":{"formattedCitation":"[93]","plainTextFormattedCitation":"[93]","previouslyFormattedCitation":"[93]"},"properties":{"noteIndex":0},"schema":"https://github.com/citation-style-language/schema/raw/master/csl-citation.json"}</w:instrText>
      </w:r>
      <w:r w:rsidRPr="00C06CF3">
        <w:rPr>
          <w:rFonts w:eastAsia="等线" w:cstheme="minorHAnsi"/>
          <w:noProof/>
        </w:rPr>
        <w:fldChar w:fldCharType="separate"/>
      </w:r>
      <w:r w:rsidRPr="003B39BC">
        <w:rPr>
          <w:rFonts w:eastAsia="等线"/>
          <w:noProof/>
        </w:rPr>
        <w:t>[93]</w:t>
      </w:r>
      <w:r w:rsidRPr="00C06CF3">
        <w:fldChar w:fldCharType="end"/>
      </w:r>
      <w:r w:rsidRPr="006B2891">
        <w:rPr>
          <w:rFonts w:eastAsia="等线"/>
        </w:rPr>
        <w:t xml:space="preserve">. </w:t>
      </w:r>
      <w:r>
        <w:rPr>
          <w:rFonts w:eastAsia="等线"/>
        </w:rPr>
        <w:t xml:space="preserve">It was found that both the strength and ductility of </w:t>
      </w:r>
      <w:r w:rsidRPr="002F436A">
        <w:rPr>
          <w:rFonts w:eastAsia="等线"/>
        </w:rPr>
        <w:t>Fe</w:t>
      </w:r>
      <w:r w:rsidRPr="002F436A">
        <w:rPr>
          <w:rFonts w:eastAsia="等线"/>
          <w:vertAlign w:val="subscript"/>
        </w:rPr>
        <w:t>50</w:t>
      </w:r>
      <w:r w:rsidRPr="00467323">
        <w:rPr>
          <w:rFonts w:eastAsia="等线"/>
        </w:rPr>
        <w:t>Mn</w:t>
      </w:r>
      <w:r w:rsidRPr="00901DCD">
        <w:rPr>
          <w:rFonts w:eastAsia="等线"/>
          <w:vertAlign w:val="subscript"/>
        </w:rPr>
        <w:t>30</w:t>
      </w:r>
      <w:r w:rsidRPr="00901DCD">
        <w:rPr>
          <w:rFonts w:eastAsia="等线"/>
        </w:rPr>
        <w:t>Co</w:t>
      </w:r>
      <w:r w:rsidRPr="000607B7">
        <w:rPr>
          <w:rFonts w:eastAsia="等线"/>
          <w:vertAlign w:val="subscript"/>
        </w:rPr>
        <w:t>10</w:t>
      </w:r>
      <w:r w:rsidRPr="000607B7">
        <w:rPr>
          <w:rFonts w:eastAsia="等线"/>
        </w:rPr>
        <w:t>Cr</w:t>
      </w:r>
      <w:r w:rsidRPr="000607B7">
        <w:rPr>
          <w:rFonts w:eastAsia="等线"/>
          <w:vertAlign w:val="subscript"/>
        </w:rPr>
        <w:t>10</w:t>
      </w:r>
      <w:r w:rsidRPr="000607B7">
        <w:rPr>
          <w:rFonts w:eastAsia="等线"/>
        </w:rPr>
        <w:t xml:space="preserve"> </w:t>
      </w:r>
      <w:r>
        <w:rPr>
          <w:rFonts w:eastAsia="等线"/>
        </w:rPr>
        <w:t xml:space="preserve">increased when compared to the equimolar HEA base alloy </w:t>
      </w:r>
      <w:r w:rsidRPr="008D07D9">
        <w:rPr>
          <w:rFonts w:eastAsia="等线"/>
        </w:rPr>
        <w:t>CoCrFeNiMn</w:t>
      </w:r>
      <w:r>
        <w:rPr>
          <w:rFonts w:eastAsia="等线"/>
        </w:rPr>
        <w:t>. This was directly a</w:t>
      </w:r>
      <w:r w:rsidRPr="006B2891">
        <w:rPr>
          <w:rFonts w:eastAsia="等线"/>
        </w:rPr>
        <w:t>ttributed to the activation of stress induced γ (FCC) to ε (HCP) martensitic phase transformation</w:t>
      </w:r>
      <w:r>
        <w:rPr>
          <w:rFonts w:eastAsia="等线"/>
        </w:rPr>
        <w:t>, in addition to the</w:t>
      </w:r>
      <w:r w:rsidRPr="006B2891">
        <w:rPr>
          <w:rFonts w:eastAsia="等线"/>
        </w:rPr>
        <w:t xml:space="preserve"> TWIP effect</w:t>
      </w:r>
      <w:r>
        <w:rPr>
          <w:rFonts w:eastAsia="等线"/>
        </w:rPr>
        <w:t>.</w:t>
      </w:r>
      <w:r w:rsidRPr="008D07D9">
        <w:rPr>
          <w:rFonts w:eastAsia="等线"/>
        </w:rPr>
        <w:t xml:space="preserve"> </w:t>
      </w:r>
      <w:r>
        <w:rPr>
          <w:rFonts w:eastAsia="等线"/>
        </w:rPr>
        <w:t xml:space="preserve">An </w:t>
      </w:r>
      <w:r w:rsidRPr="00522EBC">
        <w:rPr>
          <w:rFonts w:eastAsia="等线"/>
        </w:rPr>
        <w:t xml:space="preserve">increase </w:t>
      </w:r>
      <w:r>
        <w:rPr>
          <w:rFonts w:eastAsia="等线"/>
        </w:rPr>
        <w:t>in</w:t>
      </w:r>
      <w:r w:rsidRPr="00522EBC">
        <w:rPr>
          <w:rFonts w:eastAsia="等线"/>
        </w:rPr>
        <w:t xml:space="preserve"> strain hardening </w:t>
      </w:r>
      <w:r>
        <w:rPr>
          <w:rFonts w:eastAsia="等线"/>
        </w:rPr>
        <w:t>w</w:t>
      </w:r>
      <w:r w:rsidRPr="008D07D9">
        <w:rPr>
          <w:rFonts w:eastAsia="等线"/>
        </w:rPr>
        <w:t>ith further grain refinement</w:t>
      </w:r>
      <w:r w:rsidRPr="00522EBC" w:rsidDel="00A317CD">
        <w:rPr>
          <w:rFonts w:eastAsia="等线"/>
        </w:rPr>
        <w:t xml:space="preserve"> </w:t>
      </w:r>
      <w:r>
        <w:rPr>
          <w:rFonts w:eastAsia="等线"/>
        </w:rPr>
        <w:t>can be seen in</w:t>
      </w:r>
      <w:r w:rsidRPr="00522EBC">
        <w:rPr>
          <w:rFonts w:eastAsia="等线"/>
          <w:noProof/>
        </w:rPr>
        <w:t xml:space="preserve"> Fig. 2-23(d)</w:t>
      </w:r>
      <w:r>
        <w:rPr>
          <w:rFonts w:eastAsia="等线"/>
        </w:rPr>
        <w:t xml:space="preserve"> and was due</w:t>
      </w:r>
      <w:r w:rsidRPr="009C5F0F">
        <w:rPr>
          <w:rFonts w:eastAsia="等线"/>
        </w:rPr>
        <w:t xml:space="preserve"> to the </w:t>
      </w:r>
      <w:r w:rsidRPr="002F436A">
        <w:rPr>
          <w:rFonts w:eastAsia="等线"/>
        </w:rPr>
        <w:t>dynamic Hall-Petch effect</w:t>
      </w:r>
      <w:r w:rsidRPr="008D07D9">
        <w:rPr>
          <w:rFonts w:eastAsia="等线"/>
        </w:rPr>
        <w:t xml:space="preserve"> </w:t>
      </w:r>
      <w:r w:rsidRPr="008D07D9">
        <w:rPr>
          <w:rFonts w:eastAsia="等线"/>
          <w:noProof/>
        </w:rPr>
        <w:t>limit</w:t>
      </w:r>
      <w:r>
        <w:rPr>
          <w:rFonts w:eastAsia="等线"/>
          <w:noProof/>
        </w:rPr>
        <w:t>ing</w:t>
      </w:r>
      <w:r w:rsidRPr="00522EBC">
        <w:rPr>
          <w:rFonts w:eastAsia="等线"/>
        </w:rPr>
        <w:t xml:space="preserve"> the movement of </w:t>
      </w:r>
      <w:r w:rsidRPr="00522EBC">
        <w:rPr>
          <w:rFonts w:eastAsia="等线"/>
          <w:noProof/>
        </w:rPr>
        <w:t>dislocation</w:t>
      </w:r>
      <w:r w:rsidRPr="006B7596">
        <w:rPr>
          <w:rFonts w:eastAsia="等线"/>
        </w:rPr>
        <w:t xml:space="preserve"> glide. </w:t>
      </w:r>
      <w:r>
        <w:rPr>
          <w:rFonts w:eastAsia="等线"/>
        </w:rPr>
        <w:t xml:space="preserve">Another </w:t>
      </w:r>
      <w:r w:rsidRPr="008D07D9">
        <w:rPr>
          <w:rFonts w:eastAsia="等线"/>
        </w:rPr>
        <w:t xml:space="preserve">investigation was conducted to </w:t>
      </w:r>
      <w:r>
        <w:rPr>
          <w:rFonts w:eastAsia="等线"/>
        </w:rPr>
        <w:t>determine the</w:t>
      </w:r>
      <w:r w:rsidRPr="008D07D9">
        <w:rPr>
          <w:rFonts w:eastAsia="等线"/>
        </w:rPr>
        <w:t xml:space="preserve"> influence </w:t>
      </w:r>
      <w:r w:rsidRPr="00522EBC">
        <w:rPr>
          <w:rFonts w:eastAsia="等线"/>
          <w:noProof/>
        </w:rPr>
        <w:t>of</w:t>
      </w:r>
      <w:r w:rsidRPr="00522EBC">
        <w:rPr>
          <w:rFonts w:eastAsia="等线"/>
        </w:rPr>
        <w:t xml:space="preserve"> grain size and phase fraction on the </w:t>
      </w:r>
      <w:r w:rsidRPr="006B7596">
        <w:rPr>
          <w:rFonts w:eastAsia="等线"/>
          <w:noProof/>
        </w:rPr>
        <w:t>mec</w:t>
      </w:r>
      <w:r w:rsidRPr="009C5F0F">
        <w:rPr>
          <w:rFonts w:eastAsia="等线"/>
          <w:noProof/>
        </w:rPr>
        <w:t>hanical</w:t>
      </w:r>
      <w:r w:rsidRPr="009C5F0F">
        <w:rPr>
          <w:rFonts w:eastAsia="等线"/>
        </w:rPr>
        <w:t xml:space="preserve"> performance of TRIP-TWIP</w:t>
      </w:r>
      <w:r w:rsidRPr="002F436A">
        <w:rPr>
          <w:rFonts w:eastAsia="等线"/>
        </w:rPr>
        <w:t xml:space="preserve"> Fe</w:t>
      </w:r>
      <w:r w:rsidRPr="002F436A">
        <w:rPr>
          <w:rFonts w:eastAsia="等线"/>
          <w:vertAlign w:val="subscript"/>
        </w:rPr>
        <w:t>50</w:t>
      </w:r>
      <w:r w:rsidRPr="002F436A">
        <w:rPr>
          <w:rFonts w:eastAsia="等线"/>
        </w:rPr>
        <w:t>Mn</w:t>
      </w:r>
      <w:r w:rsidRPr="00467323">
        <w:rPr>
          <w:rFonts w:eastAsia="等线"/>
          <w:vertAlign w:val="subscript"/>
        </w:rPr>
        <w:t>30</w:t>
      </w:r>
      <w:r w:rsidRPr="00901DCD">
        <w:rPr>
          <w:rFonts w:eastAsia="等线"/>
        </w:rPr>
        <w:t>Co</w:t>
      </w:r>
      <w:r w:rsidRPr="00901DCD">
        <w:rPr>
          <w:rFonts w:eastAsia="等线"/>
          <w:vertAlign w:val="subscript"/>
        </w:rPr>
        <w:t>10</w:t>
      </w:r>
      <w:r w:rsidRPr="000607B7">
        <w:rPr>
          <w:rFonts w:eastAsia="等线"/>
        </w:rPr>
        <w:t>Cr</w:t>
      </w:r>
      <w:r w:rsidRPr="000607B7">
        <w:rPr>
          <w:rFonts w:eastAsia="等线"/>
          <w:vertAlign w:val="subscript"/>
        </w:rPr>
        <w:t>10</w:t>
      </w:r>
      <w:r w:rsidRPr="000607B7">
        <w:rPr>
          <w:rFonts w:eastAsia="等线"/>
        </w:rPr>
        <w:t xml:space="preserve"> HEAs</w:t>
      </w:r>
      <w:r>
        <w:rPr>
          <w:rFonts w:eastAsia="等线"/>
        </w:rPr>
        <w:t xml:space="preserve"> </w:t>
      </w:r>
      <w:r w:rsidRPr="00C06CF3">
        <w:fldChar w:fldCharType="begin" w:fldLock="1"/>
      </w:r>
      <w:r>
        <w:rPr>
          <w:rFonts w:eastAsia="等线" w:cstheme="minorHAnsi"/>
        </w:rPr>
        <w:instrText>ADDIN CSL_CITATION {"citationItems":[{"id":"ITEM-1","itemData":{"DOI":"10.1016/j.actamat.2017.03.069","ISBN":"13596454","ISSN":"13596454","abstract":"We present a systematic microstructure oriented mechanical property investigation for a newly developed class of transformation-induced plasticity-assisted dual-phase high-entropy alloys (TRIP-DP-HEAs) with varying grain sizes and phase fractions. The DP-HEAs in both, as-homogenized and recrystallized states consist of a face-centered cubic (FCC) matrix containing a high-density of stacking faults and a laminate hexagonal close-packed (HCP) phase. No elemental segregation was observed in grain interiors or at interfaces even down to near-atomic resolution, as confirmed by energy-dispersive X-ray spectroscopy and atom probe tomography. The strength-ductility combinations of the recrystallized DP-HEAs (Fe50Mn30Co10Cr10) with varying FCC grain sizes and HCP phase fractions prior to deformation are superior to those of the recrystallized equiatomic single-phase Cantor reference HEA (Fe20Mn20Ni20Co20Cr20). The multiple deformation micro-mechanisms (including strain-induced transformation from FCC to HCP phase) and dynamic strain partitioning behavior among the two phases are revealed in detail. Both, strength and ductility of the DP-HEAs increase with decreasing the average FCC matrix grain size and increasing the HCP phase fraction prior to loading (in the range of 10–35%) due to the resulting enhanced stability of the FCC matrix. These insights are used to project some future directions for designing advanced TRIP-HEAs through the adjustment of the matrix phase's stability by alloy tuning and grain size effects.","author":[{"dropping-particle":"","family":"Li","given":"Zhiming","non-dropping-particle":"","parse-names":false,"suffix":""},{"dropping-particle":"","family":"Tasan","given":"Cemal Cem","non-dropping-particle":"","parse-names":false,"suffix":""},{"dropping-particle":"","family":"Pradeep","given":"Konda Gokuldoss","non-dropping-particle":"","parse-names":false,"suffix":""},{"dropping-particle":"","family":"Raabe","given":"Dierk","non-dropping-particle":"","parse-names":false,"suffix":""}],"container-title":"Acta Materialia","id":"ITEM-1","issued":{"date-parts":[["2017"]]},"title":"A TRIP-assisted dual-phase high-entropy alloy: Grain size and phase fraction effects on deformation behavior","type":"article-journal"},"uris":["http://www.mendeley.com/documents/?uuid=8217745e-99df-4905-a59b-66827e38e19a","http://www.mendeley.com/documents/?uuid=e9cd3da2-1c0f-445e-a76e-12c6886bf026"]}],"mendeley":{"formattedCitation":"[129]","plainTextFormattedCitation":"[129]","previouslyFormattedCitation":"[129]"},"properties":{"noteIndex":0},"schema":"https://github.com/citation-style-language/schema/raw/master/csl-citation.json"}</w:instrText>
      </w:r>
      <w:r w:rsidRPr="00C06CF3">
        <w:rPr>
          <w:rFonts w:eastAsia="等线" w:cstheme="minorHAnsi"/>
        </w:rPr>
        <w:fldChar w:fldCharType="separate"/>
      </w:r>
      <w:r w:rsidRPr="003B39BC">
        <w:rPr>
          <w:rFonts w:eastAsia="等线"/>
          <w:noProof/>
        </w:rPr>
        <w:t>[129]</w:t>
      </w:r>
      <w:r w:rsidRPr="00C06CF3">
        <w:fldChar w:fldCharType="end"/>
      </w:r>
      <w:r w:rsidRPr="006B2891">
        <w:rPr>
          <w:rFonts w:eastAsia="等线"/>
        </w:rPr>
        <w:t xml:space="preserve">. </w:t>
      </w:r>
      <w:r>
        <w:rPr>
          <w:rFonts w:eastAsia="等线"/>
        </w:rPr>
        <w:t>Using both</w:t>
      </w:r>
      <w:r w:rsidRPr="006B2891">
        <w:rPr>
          <w:rFonts w:eastAsia="等线"/>
        </w:rPr>
        <w:t xml:space="preserve"> EBSD and ECC</w:t>
      </w:r>
      <w:r>
        <w:rPr>
          <w:rFonts w:eastAsia="等线"/>
        </w:rPr>
        <w:t>L</w:t>
      </w:r>
      <w:r w:rsidRPr="006B2891">
        <w:rPr>
          <w:rFonts w:eastAsia="等线"/>
        </w:rPr>
        <w:t xml:space="preserve"> </w:t>
      </w:r>
      <w:r>
        <w:rPr>
          <w:rFonts w:eastAsia="等线"/>
        </w:rPr>
        <w:t xml:space="preserve">as shown </w:t>
      </w:r>
      <w:r w:rsidRPr="006B2891">
        <w:rPr>
          <w:rFonts w:eastAsia="等线"/>
        </w:rPr>
        <w:t>in Fig. 2-23(a-b), multiple deformation mechanisms were observed in th</w:t>
      </w:r>
      <w:r>
        <w:rPr>
          <w:rFonts w:eastAsia="等线"/>
        </w:rPr>
        <w:t>is</w:t>
      </w:r>
      <w:r w:rsidRPr="006B2891">
        <w:rPr>
          <w:rFonts w:eastAsia="等线"/>
        </w:rPr>
        <w:t xml:space="preserve"> dual phase HEA</w:t>
      </w:r>
      <w:r>
        <w:rPr>
          <w:rFonts w:eastAsia="等线"/>
        </w:rPr>
        <w:t xml:space="preserve"> during tensile deformation. These included</w:t>
      </w:r>
      <w:r w:rsidRPr="006B2891">
        <w:rPr>
          <w:rFonts w:eastAsia="等线"/>
        </w:rPr>
        <w:t xml:space="preserve"> stacking fault and dislocation slip in both γ and ε phase</w:t>
      </w:r>
      <w:r>
        <w:rPr>
          <w:rFonts w:eastAsia="等线"/>
        </w:rPr>
        <w:t>, as well as</w:t>
      </w:r>
      <w:r w:rsidRPr="006B2891">
        <w:rPr>
          <w:rFonts w:eastAsia="等线"/>
        </w:rPr>
        <w:t xml:space="preserve"> mecha</w:t>
      </w:r>
      <w:r w:rsidRPr="008D07D9">
        <w:rPr>
          <w:rFonts w:eastAsia="等线"/>
        </w:rPr>
        <w:t xml:space="preserve">nical twinning in </w:t>
      </w:r>
      <w:r w:rsidRPr="008D07D9">
        <w:rPr>
          <w:rFonts w:eastAsia="等线"/>
          <w:noProof/>
        </w:rPr>
        <w:t>ε</w:t>
      </w:r>
      <w:r w:rsidRPr="00522EBC">
        <w:rPr>
          <w:rFonts w:eastAsia="等线"/>
        </w:rPr>
        <w:t xml:space="preserve"> phase </w:t>
      </w:r>
      <w:r>
        <w:rPr>
          <w:rFonts w:eastAsia="等线"/>
        </w:rPr>
        <w:t>at the later stages of deformation</w:t>
      </w:r>
      <w:r w:rsidRPr="008D07D9">
        <w:rPr>
          <w:rFonts w:eastAsia="等线"/>
        </w:rPr>
        <w:t xml:space="preserve">. With similar grain </w:t>
      </w:r>
      <w:r w:rsidRPr="008D07D9">
        <w:rPr>
          <w:rFonts w:eastAsia="等线"/>
          <w:noProof/>
        </w:rPr>
        <w:t>size,</w:t>
      </w:r>
      <w:r>
        <w:rPr>
          <w:rFonts w:eastAsia="等线"/>
          <w:noProof/>
        </w:rPr>
        <w:t xml:space="preserve"> and increased </w:t>
      </w:r>
      <w:r w:rsidRPr="006B7596">
        <w:rPr>
          <w:rFonts w:eastAsia="等线"/>
        </w:rPr>
        <w:t>ε phase frac</w:t>
      </w:r>
      <w:r w:rsidRPr="009C5F0F">
        <w:rPr>
          <w:rFonts w:eastAsia="等线"/>
        </w:rPr>
        <w:t>tion</w:t>
      </w:r>
      <w:r>
        <w:rPr>
          <w:rFonts w:eastAsia="等线"/>
        </w:rPr>
        <w:t>,</w:t>
      </w:r>
      <w:r w:rsidRPr="00522EBC">
        <w:rPr>
          <w:rFonts w:eastAsia="等线"/>
        </w:rPr>
        <w:t xml:space="preserve"> the strength and ductility of </w:t>
      </w:r>
      <w:r>
        <w:rPr>
          <w:rFonts w:eastAsia="等线"/>
        </w:rPr>
        <w:t>the material was</w:t>
      </w:r>
      <w:r w:rsidRPr="006B7596">
        <w:rPr>
          <w:rFonts w:eastAsia="等线"/>
        </w:rPr>
        <w:t xml:space="preserve"> enhanced</w:t>
      </w:r>
      <w:r w:rsidRPr="009C5F0F">
        <w:rPr>
          <w:rFonts w:eastAsia="等线"/>
        </w:rPr>
        <w:t xml:space="preserve">. </w:t>
      </w:r>
      <w:r>
        <w:rPr>
          <w:rFonts w:eastAsia="等线"/>
        </w:rPr>
        <w:t xml:space="preserve">Therefore, in contrast to research undertaken on </w:t>
      </w:r>
      <w:r w:rsidRPr="00522EBC">
        <w:rPr>
          <w:rFonts w:eastAsia="等线"/>
        </w:rPr>
        <w:t>CoCrFeNiMn equal-molar HEA</w:t>
      </w:r>
      <w:r>
        <w:rPr>
          <w:rFonts w:eastAsia="等线"/>
        </w:rPr>
        <w:t>s</w:t>
      </w:r>
      <w:r w:rsidRPr="006B7596">
        <w:rPr>
          <w:rFonts w:eastAsia="等线"/>
        </w:rPr>
        <w:t xml:space="preserve">, </w:t>
      </w:r>
      <w:r>
        <w:rPr>
          <w:rFonts w:eastAsia="等线"/>
        </w:rPr>
        <w:t>it is evident that with grain refinement the strength and ductility of TRIP-TWIP HEAs increase. Moreover,</w:t>
      </w:r>
      <w:r w:rsidRPr="009C5F0F">
        <w:rPr>
          <w:rFonts w:eastAsia="等线"/>
        </w:rPr>
        <w:t xml:space="preserve"> </w:t>
      </w:r>
      <w:r>
        <w:rPr>
          <w:rFonts w:eastAsia="等线"/>
        </w:rPr>
        <w:t>contrasting observations for</w:t>
      </w:r>
      <w:r w:rsidRPr="009C5F0F">
        <w:rPr>
          <w:rFonts w:eastAsia="等线"/>
        </w:rPr>
        <w:t xml:space="preserve"> strength and ductility </w:t>
      </w:r>
      <w:r>
        <w:rPr>
          <w:rFonts w:eastAsia="等线"/>
        </w:rPr>
        <w:t>as a function of</w:t>
      </w:r>
      <w:r w:rsidRPr="009C5F0F">
        <w:rPr>
          <w:rFonts w:eastAsia="等线"/>
        </w:rPr>
        <w:t xml:space="preserve"> grain refinement </w:t>
      </w:r>
      <w:r>
        <w:rPr>
          <w:rFonts w:eastAsia="等线"/>
        </w:rPr>
        <w:t>for</w:t>
      </w:r>
      <w:r w:rsidRPr="009C5F0F">
        <w:rPr>
          <w:rFonts w:eastAsia="等线"/>
        </w:rPr>
        <w:t xml:space="preserve"> </w:t>
      </w:r>
      <w:r w:rsidRPr="002F436A">
        <w:rPr>
          <w:rFonts w:eastAsia="等线"/>
        </w:rPr>
        <w:t>the equiatomic CoCrFeNiMn and Fe</w:t>
      </w:r>
      <w:r w:rsidRPr="002F436A">
        <w:rPr>
          <w:rFonts w:eastAsia="等线"/>
          <w:vertAlign w:val="subscript"/>
        </w:rPr>
        <w:t>50</w:t>
      </w:r>
      <w:r w:rsidRPr="002F436A">
        <w:rPr>
          <w:rFonts w:eastAsia="等线"/>
        </w:rPr>
        <w:t>Mn</w:t>
      </w:r>
      <w:r w:rsidRPr="002F436A">
        <w:rPr>
          <w:rFonts w:eastAsia="等线"/>
          <w:vertAlign w:val="subscript"/>
        </w:rPr>
        <w:t>30</w:t>
      </w:r>
      <w:r w:rsidRPr="00467323">
        <w:rPr>
          <w:rFonts w:eastAsia="等线"/>
        </w:rPr>
        <w:t>Co</w:t>
      </w:r>
      <w:r w:rsidRPr="00901DCD">
        <w:rPr>
          <w:rFonts w:eastAsia="等线"/>
          <w:vertAlign w:val="subscript"/>
        </w:rPr>
        <w:t>10</w:t>
      </w:r>
      <w:r w:rsidRPr="00901DCD">
        <w:rPr>
          <w:rFonts w:eastAsia="等线"/>
        </w:rPr>
        <w:t>Cr</w:t>
      </w:r>
      <w:r w:rsidRPr="000607B7">
        <w:rPr>
          <w:rFonts w:eastAsia="等线"/>
          <w:vertAlign w:val="subscript"/>
        </w:rPr>
        <w:t>10</w:t>
      </w:r>
      <w:r>
        <w:rPr>
          <w:rFonts w:eastAsia="等线"/>
        </w:rPr>
        <w:t xml:space="preserve">, </w:t>
      </w:r>
      <w:r w:rsidRPr="000607B7">
        <w:rPr>
          <w:rFonts w:eastAsia="等线"/>
        </w:rPr>
        <w:t xml:space="preserve">may </w:t>
      </w:r>
      <w:r>
        <w:rPr>
          <w:rFonts w:eastAsia="等线"/>
        </w:rPr>
        <w:t xml:space="preserve">be </w:t>
      </w:r>
      <w:r w:rsidRPr="008D07D9">
        <w:rPr>
          <w:rFonts w:eastAsia="等线"/>
        </w:rPr>
        <w:t xml:space="preserve">attributed to the activation of TWIP and TRIP mechanisms in the </w:t>
      </w:r>
      <w:r>
        <w:rPr>
          <w:rFonts w:eastAsia="等线"/>
        </w:rPr>
        <w:t xml:space="preserve">dual phase </w:t>
      </w:r>
      <w:r w:rsidRPr="008D07D9">
        <w:rPr>
          <w:rFonts w:eastAsia="等线"/>
        </w:rPr>
        <w:t xml:space="preserve">TRIP-TWIP HEAs.  </w:t>
      </w:r>
    </w:p>
    <w:p w14:paraId="6A34A159" w14:textId="77777777" w:rsidR="00624970" w:rsidRDefault="00624970" w:rsidP="00624970">
      <w:pPr>
        <w:keepNext/>
        <w:spacing w:afterLines="60" w:after="144" w:line="360" w:lineRule="auto"/>
        <w:jc w:val="center"/>
      </w:pPr>
      <w:r>
        <w:rPr>
          <w:noProof/>
          <w:lang w:val="en-US" w:eastAsia="en-US"/>
        </w:rPr>
        <w:lastRenderedPageBreak/>
        <w:drawing>
          <wp:inline distT="0" distB="0" distL="0" distR="0" wp14:anchorId="0FB19D67" wp14:editId="2BF02155">
            <wp:extent cx="5389418" cy="3688527"/>
            <wp:effectExtent l="0" t="0" r="1905" b="7620"/>
            <wp:docPr id="20" name="图片 12">
              <a:extLst xmlns:a="http://schemas.openxmlformats.org/drawingml/2006/main">
                <a:ext uri="{FF2B5EF4-FFF2-40B4-BE49-F238E27FC236}">
                  <a16:creationId xmlns:a16="http://schemas.microsoft.com/office/drawing/2014/main" id="{1519AB7C-E801-4441-870E-F486716EE9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a:extLst>
                        <a:ext uri="{FF2B5EF4-FFF2-40B4-BE49-F238E27FC236}">
                          <a16:creationId xmlns:a16="http://schemas.microsoft.com/office/drawing/2014/main" id="{1519AB7C-E801-4441-870E-F486716EE9DA}"/>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12204" cy="3704122"/>
                    </a:xfrm>
                    <a:prstGeom prst="rect">
                      <a:avLst/>
                    </a:prstGeom>
                  </pic:spPr>
                </pic:pic>
              </a:graphicData>
            </a:graphic>
          </wp:inline>
        </w:drawing>
      </w:r>
    </w:p>
    <w:p w14:paraId="001EC1A1" w14:textId="23C96AF4" w:rsidR="00624970" w:rsidRPr="009A580F" w:rsidRDefault="00624970" w:rsidP="00624970">
      <w:pPr>
        <w:spacing w:afterLines="60" w:after="144" w:line="360" w:lineRule="auto"/>
        <w:jc w:val="both"/>
        <w:rPr>
          <w:sz w:val="20"/>
        </w:rPr>
      </w:pPr>
      <w:bookmarkStart w:id="162" w:name="_Toc5617645"/>
      <w:bookmarkStart w:id="163" w:name="_Toc7364578"/>
      <w:bookmarkStart w:id="164" w:name="_Toc39312692"/>
      <w:r w:rsidRPr="001F5994">
        <w:rPr>
          <w:rFonts w:hint="eastAsia"/>
          <w:b/>
          <w:sz w:val="20"/>
        </w:rPr>
        <w:t>F</w:t>
      </w:r>
      <w:r w:rsidRPr="001F5994">
        <w:rPr>
          <w:b/>
          <w:sz w:val="20"/>
        </w:rPr>
        <w:t>ig</w:t>
      </w:r>
      <w:r>
        <w:rPr>
          <w:b/>
          <w:sz w:val="20"/>
        </w:rPr>
        <w:t>ure 2-</w:t>
      </w:r>
      <w:r w:rsidRPr="0044096C">
        <w:rPr>
          <w:b/>
          <w:sz w:val="20"/>
          <w:szCs w:val="20"/>
        </w:rPr>
        <w:fldChar w:fldCharType="begin"/>
      </w:r>
      <w:r w:rsidRPr="0044096C">
        <w:rPr>
          <w:b/>
          <w:sz w:val="20"/>
          <w:szCs w:val="20"/>
        </w:rPr>
        <w:instrText xml:space="preserve"> SEQ Figure \* ARABIC </w:instrText>
      </w:r>
      <w:r w:rsidRPr="0044096C">
        <w:rPr>
          <w:b/>
          <w:sz w:val="20"/>
          <w:szCs w:val="20"/>
        </w:rPr>
        <w:fldChar w:fldCharType="separate"/>
      </w:r>
      <w:r>
        <w:rPr>
          <w:b/>
          <w:noProof/>
          <w:sz w:val="20"/>
          <w:szCs w:val="20"/>
        </w:rPr>
        <w:t>23</w:t>
      </w:r>
      <w:r w:rsidRPr="0044096C">
        <w:rPr>
          <w:b/>
          <w:sz w:val="20"/>
          <w:szCs w:val="20"/>
        </w:rPr>
        <w:fldChar w:fldCharType="end"/>
      </w:r>
      <w:r>
        <w:rPr>
          <w:b/>
          <w:sz w:val="20"/>
        </w:rPr>
        <w:t xml:space="preserve"> Microstructure evolution of metastable TRIP/TWIP HEAs</w:t>
      </w:r>
      <w:r w:rsidRPr="00CB3411">
        <w:rPr>
          <w:b/>
          <w:sz w:val="20"/>
        </w:rPr>
        <w:t xml:space="preserve"> </w:t>
      </w:r>
      <w:r w:rsidRPr="001F5994">
        <w:rPr>
          <w:sz w:val="20"/>
        </w:rPr>
        <w:t>(</w:t>
      </w:r>
      <w:r w:rsidRPr="001F5994">
        <w:rPr>
          <w:b/>
          <w:sz w:val="20"/>
        </w:rPr>
        <w:t>a</w:t>
      </w:r>
      <w:r w:rsidRPr="001F5994">
        <w:rPr>
          <w:sz w:val="20"/>
        </w:rPr>
        <w:t>)</w:t>
      </w:r>
      <w:r>
        <w:rPr>
          <w:sz w:val="20"/>
        </w:rPr>
        <w:t xml:space="preserve"> EBSD image showing the phase fraction as a function of increasing tensile strain; (</w:t>
      </w:r>
      <w:r>
        <w:rPr>
          <w:b/>
          <w:sz w:val="20"/>
        </w:rPr>
        <w:t>b</w:t>
      </w:r>
      <w:r>
        <w:rPr>
          <w:sz w:val="20"/>
        </w:rPr>
        <w:t>) an ECCL image of deformation products; (</w:t>
      </w:r>
      <w:r w:rsidRPr="00151A4C">
        <w:rPr>
          <w:b/>
          <w:sz w:val="20"/>
        </w:rPr>
        <w:t>c</w:t>
      </w:r>
      <w:r>
        <w:rPr>
          <w:sz w:val="20"/>
        </w:rPr>
        <w:t>) a schematic of the evolution of both microstructure and deformation mechanisms as a function of increasing tensile strain; (</w:t>
      </w:r>
      <w:r>
        <w:rPr>
          <w:b/>
          <w:sz w:val="20"/>
        </w:rPr>
        <w:t>d</w:t>
      </w:r>
      <w:r>
        <w:rPr>
          <w:sz w:val="20"/>
        </w:rPr>
        <w:t>)</w:t>
      </w:r>
      <w:r w:rsidRPr="003F421B">
        <w:rPr>
          <w:sz w:val="20"/>
        </w:rPr>
        <w:t xml:space="preserve"> </w:t>
      </w:r>
      <w:r>
        <w:rPr>
          <w:sz w:val="20"/>
        </w:rPr>
        <w:t>the tensile properties of target alloy possessing different grain sizes</w:t>
      </w:r>
      <w:r>
        <w:rPr>
          <w:noProof/>
          <w:sz w:val="20"/>
        </w:rPr>
        <w:t xml:space="preserve">; and </w:t>
      </w:r>
      <w:r w:rsidRPr="008C71F2">
        <w:rPr>
          <w:noProof/>
          <w:sz w:val="20"/>
        </w:rPr>
        <w:t>(</w:t>
      </w:r>
      <w:r>
        <w:rPr>
          <w:b/>
          <w:sz w:val="20"/>
        </w:rPr>
        <w:t>e</w:t>
      </w:r>
      <w:r>
        <w:rPr>
          <w:sz w:val="20"/>
        </w:rPr>
        <w:t xml:space="preserve">) the strain hardening properties of the materials </w:t>
      </w:r>
      <w:r>
        <w:rPr>
          <w:sz w:val="20"/>
        </w:rPr>
        <w:fldChar w:fldCharType="begin" w:fldLock="1"/>
      </w:r>
      <w:r>
        <w:rPr>
          <w:sz w:val="20"/>
        </w:rPr>
        <w:instrText>ADDIN CSL_CITATION {"citationItems":[{"id":"ITEM-1","itemData":{"DOI":"10.1038/nature17981","ISBN":"0028-0836","ISSN":"14764687","PMID":"27279217","abstract":"Metals have been mankind's most essential materials for thousands of years; however, their use is affected by ecological and economical concerns. Alloys with higher strength and ductility could alleviate some of these concerns by reducing weight and improving energy efficiency. However, most metallurgical mechanisms for increasing strength lead to ductility loss, an effect referred to as the strength-ductility trade-off. Here we present a metastability-engineering strategy in which we design nanostructured, bulk high-entropy alloys with multiple compositionally equivalent high-entropy phases. High-entropy alloys were originally proposed to benefit from phase stabilization through entropy maximization. Yet here, motivated by recent work that relaxes the strict restrictions on high-entropy alloy compositions by demonstrating the weakness of this connection, the concept is overturned. We decrease phase stability to achieve two key benefits: interface hardening due to a dual-phase microstructure (resulting from reduced thermal stability of the high-temperature phase); and transformation-induced hardening (resulting from the reduced mechanical stability of the room-temperature phase). This combines the best of two worlds: extensive hardening due to the decreased phase stability known from advanced steels and massive solid-solution strengthening of high-entropy alloys. In our transformation-induced plasticity-assisted, dual-phase high-entropy alloy (TRIP-DP-HEA), these two contributions lead respectively to enhanced trans-grain and inter-grain slip resistance, and hence, increased strength. Moreover, the increased strain hardening capacity that is enabled by dislocation hardening of the stable phase and transformation-induced hardening of the metastable phase produces increased ductility. This combined increase in strength and ductility distinguishes the TRIP-DP-HEA alloy from other recently developed structural materials. This metastability-engineering strategy should thus usefully guide design in the near-infinite compositional space of high-entropy alloys.","author":[{"dropping-particle":"","family":"Li","given":"Zhiming","non-dropping-particle":"","parse-names":false,"suffix":""},{"dropping-particle":"","family":"Pradeep","given":"Konda Gokuldoss","non-dropping-particle":"","parse-names":false,"suffix":""},{"dropping-particle":"","family":"Deng","given":"Yun","non-dropping-particle":"","parse-names":false,"suffix":""},{"dropping-particle":"","family":"Raabe","given":"Dierk","non-dropping-particle":"","parse-names":false,"suffix":""},{"dropping-particle":"","family":"Tasan","given":"Cemal Cem","non-dropping-particle":"","parse-names":false,"suffix":""}],"container-title":"Nature","id":"ITEM-1","issued":{"date-parts":[["2016"]]},"title":"Metastable high-entropy dual-phase alloys overcome the strength-ductility trade-off","type":"article-journal"},"uris":["http://www.mendeley.com/documents/?uuid=082f25b9-5d2c-4b7f-b69b-80e2c555b8ca","http://www.mendeley.com/documents/?uuid=79c62913-e67b-478d-bbeb-1ba84235623f"]}],"mendeley":{"formattedCitation":"[93]","plainTextFormattedCitation":"[93]","previouslyFormattedCitation":"[93]"},"properties":{"noteIndex":0},"schema":"https://github.com/citation-style-language/schema/raw/master/csl-citation.json"}</w:instrText>
      </w:r>
      <w:r>
        <w:rPr>
          <w:sz w:val="20"/>
        </w:rPr>
        <w:fldChar w:fldCharType="separate"/>
      </w:r>
      <w:bookmarkEnd w:id="162"/>
      <w:bookmarkEnd w:id="163"/>
      <w:r w:rsidRPr="003B39BC">
        <w:rPr>
          <w:noProof/>
          <w:sz w:val="20"/>
        </w:rPr>
        <w:t>[93]</w:t>
      </w:r>
      <w:r>
        <w:rPr>
          <w:sz w:val="20"/>
        </w:rPr>
        <w:fldChar w:fldCharType="end"/>
      </w:r>
      <w:r>
        <w:rPr>
          <w:sz w:val="20"/>
        </w:rPr>
        <w:t>.</w:t>
      </w:r>
      <w:bookmarkEnd w:id="164"/>
      <w:r w:rsidRPr="00CB3411">
        <w:rPr>
          <w:sz w:val="20"/>
        </w:rPr>
        <w:t xml:space="preserve"> </w:t>
      </w:r>
    </w:p>
    <w:p w14:paraId="36F6FF5A" w14:textId="77777777" w:rsidR="00624970" w:rsidRPr="001E3029" w:rsidRDefault="00624970" w:rsidP="00624970">
      <w:pPr>
        <w:pStyle w:val="2"/>
        <w:spacing w:before="0" w:afterLines="60" w:after="144" w:line="360" w:lineRule="auto"/>
        <w:rPr>
          <w:rFonts w:asciiTheme="minorHAnsi" w:hAnsiTheme="minorHAnsi"/>
          <w:b/>
          <w:color w:val="000000" w:themeColor="text1"/>
          <w:sz w:val="32"/>
          <w:szCs w:val="32"/>
        </w:rPr>
      </w:pPr>
      <w:bookmarkStart w:id="165" w:name="_Toc5618288"/>
      <w:bookmarkStart w:id="166" w:name="_Toc22052514"/>
      <w:r w:rsidRPr="001E3029">
        <w:rPr>
          <w:rFonts w:asciiTheme="minorHAnsi" w:hAnsiTheme="minorHAnsi"/>
          <w:b/>
          <w:color w:val="000000" w:themeColor="text1"/>
          <w:sz w:val="32"/>
          <w:szCs w:val="32"/>
        </w:rPr>
        <w:t xml:space="preserve">2.6 Possibility to design </w:t>
      </w:r>
      <w:r w:rsidRPr="001E3029">
        <w:rPr>
          <w:rFonts w:asciiTheme="minorHAnsi" w:hAnsiTheme="minorHAnsi"/>
          <w:b/>
          <w:noProof/>
          <w:color w:val="000000" w:themeColor="text1"/>
          <w:sz w:val="32"/>
          <w:szCs w:val="32"/>
        </w:rPr>
        <w:t>high-performance</w:t>
      </w:r>
      <w:r w:rsidRPr="001E3029">
        <w:rPr>
          <w:rFonts w:asciiTheme="minorHAnsi" w:hAnsiTheme="minorHAnsi"/>
          <w:b/>
          <w:color w:val="000000" w:themeColor="text1"/>
          <w:sz w:val="32"/>
          <w:szCs w:val="32"/>
        </w:rPr>
        <w:t xml:space="preserve"> </w:t>
      </w:r>
      <w:r>
        <w:rPr>
          <w:rFonts w:asciiTheme="minorHAnsi" w:hAnsiTheme="minorHAnsi"/>
          <w:b/>
          <w:color w:val="000000" w:themeColor="text1"/>
          <w:sz w:val="32"/>
          <w:szCs w:val="32"/>
        </w:rPr>
        <w:t>R</w:t>
      </w:r>
      <w:r w:rsidRPr="001E3029">
        <w:rPr>
          <w:rFonts w:asciiTheme="minorHAnsi" w:hAnsiTheme="minorHAnsi"/>
          <w:b/>
          <w:color w:val="000000" w:themeColor="text1"/>
          <w:sz w:val="32"/>
          <w:szCs w:val="32"/>
        </w:rPr>
        <w:t>HEAs</w:t>
      </w:r>
      <w:bookmarkEnd w:id="165"/>
      <w:bookmarkEnd w:id="166"/>
    </w:p>
    <w:p w14:paraId="3CAEEC93" w14:textId="6D56999E" w:rsidR="00624970" w:rsidRDefault="00624970" w:rsidP="00624970">
      <w:pPr>
        <w:spacing w:afterLines="60" w:after="144" w:line="360" w:lineRule="auto"/>
        <w:jc w:val="both"/>
      </w:pPr>
      <w:r>
        <w:t xml:space="preserve">To satisfy the increasing demands of structural materials to operate at higher temperatures during service, it is imperative to design new alloys which do not possess the inherent shortfalls of traditional high-temperature alloys. As an example, Ni and </w:t>
      </w:r>
      <w:r w:rsidRPr="006B2702">
        <w:rPr>
          <w:noProof/>
        </w:rPr>
        <w:t>Co</w:t>
      </w:r>
      <w:r>
        <w:rPr>
          <w:noProof/>
        </w:rPr>
        <w:t>-</w:t>
      </w:r>
      <w:r w:rsidRPr="006B2702">
        <w:rPr>
          <w:noProof/>
        </w:rPr>
        <w:t>based</w:t>
      </w:r>
      <w:r>
        <w:t xml:space="preserve"> superalloys exhibit excellent mechanical properties under loading up to 1273K and have been widely applied in the aerospace industry. However, their application </w:t>
      </w:r>
      <w:r>
        <w:rPr>
          <w:noProof/>
        </w:rPr>
        <w:t>is</w:t>
      </w:r>
      <w:r w:rsidRPr="006B2702">
        <w:rPr>
          <w:noProof/>
        </w:rPr>
        <w:t xml:space="preserve"> limited</w:t>
      </w:r>
      <w:r>
        <w:t xml:space="preserve"> when considering operational temperatures between </w:t>
      </w:r>
      <w:r w:rsidRPr="0056181F">
        <w:t>1773K-2273</w:t>
      </w:r>
      <w:r w:rsidRPr="7228FB60">
        <w:t>K</w:t>
      </w:r>
      <w:r>
        <w:t>, in part due to the melting temperatures of the key elemental components</w:t>
      </w:r>
      <w:r w:rsidRPr="55C637D3">
        <w:t>.</w:t>
      </w:r>
      <w:r>
        <w:t xml:space="preserve"> The consideration of utilising the HEA strategy to develop a </w:t>
      </w:r>
      <w:r w:rsidRPr="008C71F2">
        <w:rPr>
          <w:noProof/>
        </w:rPr>
        <w:t>high</w:t>
      </w:r>
      <w:r>
        <w:rPr>
          <w:noProof/>
        </w:rPr>
        <w:t>-</w:t>
      </w:r>
      <w:r w:rsidRPr="008C71F2">
        <w:rPr>
          <w:noProof/>
        </w:rPr>
        <w:t>performance</w:t>
      </w:r>
      <w:r>
        <w:rPr>
          <w:noProof/>
        </w:rPr>
        <w:t>,</w:t>
      </w:r>
      <w:r>
        <w:t xml:space="preserve"> refractory multi-components alloy was therefore proposed. The first attempt was undertaken by Senkov</w:t>
      </w:r>
      <w:r w:rsidRPr="00994B73">
        <w:t xml:space="preserve"> </w:t>
      </w:r>
      <w:r>
        <w:fldChar w:fldCharType="begin" w:fldLock="1"/>
      </w:r>
      <w:r>
        <w:instrText>ADDIN CSL_CITATION {"citationItems":[{"id":"ITEM-1","itemData":{"DOI":"10.1016/j.intermet.2010.05.014","ISBN":"0966-9795","ISSN":"09669795","abstract":"Two refractory high-entropy alloys with near-equiatomic concentrations, W-Nb-Mo-Ta and W-Nb-Mo-Ta-V, were produced by vacuum arc melting. Despite containing many constituents both alloys have a single-phase body-centered cubic (BCC) structure. The lattice parameters a = 3.2134(3) for the quaternary alloy and a = 3.1832(2) for the quinternary alloy were determined with high-energy X-ray diffraction using a scattering vector length range from 0.7 to 20 Å-1. The alloy density and Vickers microhardness were ρ = 13.75 g/cm3and Hv= 4455 MPa for the W-Nb-Mo-Ta alloy and ρ = 12.36 g/cm3and Hv= 5250 MPa for the W-Nb-Mo-Ta-V alloy. The exceptional microhardness in these alloys is greater than any individual constituent, suggesting the operation of a solid-solution-like strengthening mechanism. © 2010 Elsevier Ltd. All rights reserved.","author":[{"dropping-particle":"","family":"Senkov","given":"O. N.","non-dropping-particle":"","parse-names":false,"suffix":""},{"dropping-particle":"","family":"Wilks","given":"G. B.","non-dropping-particle":"","parse-names":false,"suffix":""},{"dropping-particle":"","family":"Miracle","given":"D. B.","non-dropping-particle":"","parse-names":false,"suffix":""},{"dropping-particle":"","family":"Chuang","given":"C. P.","non-dropping-particle":"","parse-names":false,"suffix":""},{"dropping-particle":"","family":"Liaw","given":"P. K.","non-dropping-particle":"","parse-names":false,"suffix":""}],"container-title":"Intermetallics","id":"ITEM-1","issued":{"date-parts":[["2010"]]},"title":"Refractory high-entropy alloys","type":"article-journal"},"uris":["http://www.mendeley.com/documents/?uuid=62b0b7c6-7fd0-4b3b-8189-4d228543f0ab"]}],"mendeley":{"formattedCitation":"[20]","plainTextFormattedCitation":"[20]","previouslyFormattedCitation":"[20]"},"properties":{"noteIndex":0},"schema":"https://github.com/citation-style-language/schema/raw/master/csl-citation.json"}</w:instrText>
      </w:r>
      <w:r>
        <w:fldChar w:fldCharType="separate"/>
      </w:r>
      <w:r w:rsidRPr="003B39BC">
        <w:rPr>
          <w:noProof/>
        </w:rPr>
        <w:t>[20]</w:t>
      </w:r>
      <w:r>
        <w:fldChar w:fldCharType="end"/>
      </w:r>
      <w:r>
        <w:t>, by selecting components from refractory elements including W</w:t>
      </w:r>
      <w:r w:rsidRPr="006B2702">
        <w:rPr>
          <w:noProof/>
        </w:rPr>
        <w:t>,</w:t>
      </w:r>
      <w:r>
        <w:rPr>
          <w:noProof/>
        </w:rPr>
        <w:t xml:space="preserve"> </w:t>
      </w:r>
      <w:r w:rsidRPr="006B2702">
        <w:rPr>
          <w:noProof/>
        </w:rPr>
        <w:t>Nb,</w:t>
      </w:r>
      <w:r>
        <w:rPr>
          <w:noProof/>
        </w:rPr>
        <w:t xml:space="preserve"> </w:t>
      </w:r>
      <w:r w:rsidRPr="006B2702">
        <w:rPr>
          <w:noProof/>
        </w:rPr>
        <w:t>Mo,</w:t>
      </w:r>
      <w:r>
        <w:rPr>
          <w:noProof/>
        </w:rPr>
        <w:t xml:space="preserve"> </w:t>
      </w:r>
      <w:r w:rsidRPr="006B2702">
        <w:rPr>
          <w:noProof/>
        </w:rPr>
        <w:t>Ta,</w:t>
      </w:r>
      <w:r>
        <w:rPr>
          <w:noProof/>
        </w:rPr>
        <w:t xml:space="preserve"> </w:t>
      </w:r>
      <w:r w:rsidRPr="006B2702">
        <w:rPr>
          <w:noProof/>
        </w:rPr>
        <w:t>V</w:t>
      </w:r>
      <w:r>
        <w:t xml:space="preserve">. As a result, equiatomic HEAs WNbTaMo and WNbTaMoV were </w:t>
      </w:r>
      <w:r w:rsidRPr="006B2702">
        <w:t>synthesi</w:t>
      </w:r>
      <w:r>
        <w:t>s</w:t>
      </w:r>
      <w:r w:rsidRPr="006B2702">
        <w:t>ed</w:t>
      </w:r>
      <w:r>
        <w:t xml:space="preserve"> and </w:t>
      </w:r>
      <w:r w:rsidRPr="0056181F">
        <w:t>characterised</w:t>
      </w:r>
      <w:r>
        <w:t xml:space="preserve"> as simple solid solution alloys. These RHEAs exhibited a good level of strength at room </w:t>
      </w:r>
      <w:r>
        <w:lastRenderedPageBreak/>
        <w:t>temperature and a high level of strength was retained at elevated temperatures up to 1873K</w:t>
      </w:r>
      <w:r w:rsidRPr="00FB0CF2">
        <w:fldChar w:fldCharType="begin" w:fldLock="1"/>
      </w:r>
      <w:r>
        <w:instrText>ADDIN CSL_CITATION {"citationItems":[{"id":"ITEM-1","itemData":{"DOI":"10.1557/jmr.2018.153","ISSN":"20445326","abstract":"&lt;p&gt; &lt;fig position=\"anchor\"&gt; &lt;graphic href=\"S088429141800153X_figAb\" mime-subtype=\"jpeg\" mimetype=\"image\" position=\"float\" type=\"simple\"/&gt; &lt;/fig&gt; &lt;/p&gt;","author":[{"dropping-particle":"","family":"Senkov","given":"Oleg N.","non-dropping-particle":"","parse-names":false,"suffix":""},{"dropping-particle":"","family":"Miracle","given":"Daniel B.","non-dropping-particle":"","parse-names":false,"suffix":""},{"dropping-particle":"","family":"Chaput","given":"Kevin J.","non-dropping-particle":"","parse-names":false,"suffix":""},{"dropping-particle":"","family":"Couzinie","given":"Jean Philippe","non-dropping-particle":"","parse-names":false,"suffix":""}],"container-title":"Journal of Materials Research","id":"ITEM-1","issued":{"date-parts":[["2018"]]},"title":"Development and exploration of refractory high entropy alloys - A review","type":"article"},"uris":["http://www.mendeley.com/documents/?uuid=d1c52530-7e10-4c3f-af10-ca6979da1712","http://www.mendeley.com/documents/?uuid=e6c43fc8-a4f9-4e49-9aa6-1f9bb6c0e55d"]},{"id":"ITEM-2","itemData":{"DOI":"10.1016/j.jallcom.2018.05.067","ISBN":"0925-8388","ISSN":"09258388","abstract":"High entropy alloys (HEAs) have five or more principal elements with four core effects: high entropy, sluggish diffusion, severe lattice distortion, and cocktail effects. These effects lead to some distinct properties of HEAs. Some HEAs are promising for high</w:instrText>
      </w:r>
      <w:r>
        <w:rPr>
          <w:rFonts w:hint="eastAsia"/>
        </w:rPr>
        <w:instrText xml:space="preserve"> temperature applications and have the potential to replace Ni-base superalloys as the next generation high-temperature materials, such as high entropy superalloys (HESAs) and refractory HEAs. The microstructures of HESAs consisting of </w:instrText>
      </w:r>
      <w:r>
        <w:rPr>
          <w:rFonts w:hint="eastAsia"/>
        </w:rPr>
        <w:instrText>γ</w:instrText>
      </w:r>
      <w:r>
        <w:rPr>
          <w:rFonts w:hint="eastAsia"/>
        </w:rPr>
        <w:instrText xml:space="preserve"> and </w:instrText>
      </w:r>
      <w:r>
        <w:rPr>
          <w:rFonts w:hint="eastAsia"/>
        </w:rPr>
        <w:instrText>γ′</w:instrText>
      </w:r>
      <w:r>
        <w:rPr>
          <w:rFonts w:hint="eastAsia"/>
        </w:rPr>
        <w:instrText xml:space="preserve"> phases are</w:instrText>
      </w:r>
      <w:r>
        <w:instrText xml:space="preserve"> similar to that of Ni-base superalloys. Refractory HEAs contain refractory elements with high melting temperatures. Thus, a number of aspects of HESAs and refractory HEAs are reviewed and discussed in the present paper, including microstructure, density, room-temperature mechanical properties, high-temperature strength, creep behavior, and oxidation resistance. Furthermore, a number of future research topics are suggested, emphasizing on developing high-performance high-temperature materials.","author":[{"dropping-particle":"","family":"Chen","given":"Jian","non-dropping-particle":"","parse-names":false,"suffix":""},{"dropping-particle":"","family":"Zhou","given":"Xueyang","non-dropping-particle":"","parse-names":false,"suffix":""},{"dropping-particle":"","family":"Wang","given":"Weili","non-dropping-particle":"","parse-names":false,"suffix":""},{"dropping-particle":"","family":"Liu","given":"Bing","non-dropping-particle":"","parse-names":false,"suffix":""},{"dropping-particle":"","family":"Lv","given":"Yukun","non-dropping-particle":"","parse-names":false,"suffix":""},{"dropping-particle":"","family":"Yang","given":"Wei","non-dropping-particle":"","parse-names":false,"suffix":""},{"dropping-particle":"","family":"Xu","given":"Dapeng","non-dropping-particle":"","parse-names":false,"suffix":""},{"dropping-particle":"","family":"Liu","given":"Yong","non-dropping-particle":"","parse-names":false,"suffix":""}],"container-title":"Journal of Alloys and Compounds","id":"ITEM-2","issued":{"date-parts":[["2018"]]},"title":"A review on fundamental of high entropy alloys with promising high–temperature properties","type":"article"},"uris":["http://www.mendeley.com/documents/?uuid=5d197025-e02d-4b46-b44b-e1f510ccfe48","http://www.mendeley.com/documents/?uuid=aeedca4d-30c2-4da5-b656-8cb3bfc99a9d"]}],"mendeley":{"formattedCitation":"[130,131]","plainTextFormattedCitation":"[130,131]","previouslyFormattedCitation":"[130,131]"},"properties":{"noteIndex":0},"schema":"https://github.com/citation-style-language/schema/raw/master/csl-citation.json"}</w:instrText>
      </w:r>
      <w:r w:rsidRPr="00FB0CF2">
        <w:fldChar w:fldCharType="separate"/>
      </w:r>
      <w:r w:rsidRPr="003B39BC">
        <w:rPr>
          <w:noProof/>
        </w:rPr>
        <w:t>[130,131]</w:t>
      </w:r>
      <w:r w:rsidRPr="00FB0CF2">
        <w:fldChar w:fldCharType="end"/>
      </w:r>
      <w:r w:rsidRPr="55C637D3">
        <w:t xml:space="preserve">. </w:t>
      </w:r>
      <w:r>
        <w:t>Currently, RHEAs have been developed to possess over 100 compositions. The general classification of RHEA</w:t>
      </w:r>
      <w:r w:rsidR="007D04B9">
        <w:t>s</w:t>
      </w:r>
      <w:r>
        <w:t xml:space="preserve"> depends on the principal components which </w:t>
      </w:r>
      <w:r w:rsidRPr="006B2702">
        <w:rPr>
          <w:noProof/>
        </w:rPr>
        <w:t xml:space="preserve">mainly </w:t>
      </w:r>
      <w:r>
        <w:rPr>
          <w:noProof/>
        </w:rPr>
        <w:t>comprises</w:t>
      </w:r>
      <w:r>
        <w:t xml:space="preserve"> refractory elements including Ti</w:t>
      </w:r>
      <w:r w:rsidRPr="006B2702">
        <w:rPr>
          <w:noProof/>
        </w:rPr>
        <w:t>,</w:t>
      </w:r>
      <w:r>
        <w:rPr>
          <w:noProof/>
        </w:rPr>
        <w:t xml:space="preserve"> </w:t>
      </w:r>
      <w:r w:rsidRPr="006B2702">
        <w:rPr>
          <w:noProof/>
        </w:rPr>
        <w:t>Zr,</w:t>
      </w:r>
      <w:r>
        <w:rPr>
          <w:noProof/>
        </w:rPr>
        <w:t xml:space="preserve"> </w:t>
      </w:r>
      <w:r w:rsidRPr="006B2702">
        <w:rPr>
          <w:noProof/>
        </w:rPr>
        <w:t>Hf,</w:t>
      </w:r>
      <w:r>
        <w:rPr>
          <w:noProof/>
        </w:rPr>
        <w:t xml:space="preserve"> </w:t>
      </w:r>
      <w:r w:rsidRPr="006B2702">
        <w:rPr>
          <w:noProof/>
        </w:rPr>
        <w:t>V,</w:t>
      </w:r>
      <w:r>
        <w:rPr>
          <w:noProof/>
        </w:rPr>
        <w:t xml:space="preserve"> </w:t>
      </w:r>
      <w:r w:rsidRPr="006B2702">
        <w:rPr>
          <w:noProof/>
        </w:rPr>
        <w:t>Nb,</w:t>
      </w:r>
      <w:r>
        <w:rPr>
          <w:noProof/>
        </w:rPr>
        <w:t xml:space="preserve"> </w:t>
      </w:r>
      <w:r w:rsidRPr="006B2702">
        <w:rPr>
          <w:noProof/>
        </w:rPr>
        <w:t>Ta,</w:t>
      </w:r>
      <w:r>
        <w:rPr>
          <w:noProof/>
        </w:rPr>
        <w:t xml:space="preserve"> </w:t>
      </w:r>
      <w:r w:rsidRPr="006B2702">
        <w:rPr>
          <w:noProof/>
        </w:rPr>
        <w:t>Cr,</w:t>
      </w:r>
      <w:r>
        <w:rPr>
          <w:noProof/>
        </w:rPr>
        <w:t xml:space="preserve"> </w:t>
      </w:r>
      <w:r w:rsidRPr="006B2702">
        <w:rPr>
          <w:noProof/>
        </w:rPr>
        <w:t>Mo,</w:t>
      </w:r>
      <w:r>
        <w:rPr>
          <w:noProof/>
        </w:rPr>
        <w:t xml:space="preserve"> </w:t>
      </w:r>
      <w:r w:rsidRPr="006B2702">
        <w:rPr>
          <w:noProof/>
        </w:rPr>
        <w:t>W</w:t>
      </w:r>
      <w:r>
        <w:t xml:space="preserve">. Non-refractory elements such as </w:t>
      </w:r>
      <w:r w:rsidRPr="006B2702">
        <w:rPr>
          <w:noProof/>
        </w:rPr>
        <w:t>Si</w:t>
      </w:r>
      <w:r>
        <w:t xml:space="preserve"> may be added as a strengthening element. However, although most RHEAs </w:t>
      </w:r>
      <w:r>
        <w:rPr>
          <w:noProof/>
        </w:rPr>
        <w:t>show</w:t>
      </w:r>
      <w:r>
        <w:t xml:space="preserve"> satisfactory mechanical properties during loading at elevated temperatures, only a small number possess similar mechanical property levels at ambient temperatures. At ambient temperatures, machining of these materials is also difficult. With these disadvantages, their applications are clearly limited. In the </w:t>
      </w:r>
      <w:r w:rsidRPr="00331FE9">
        <w:rPr>
          <w:noProof/>
        </w:rPr>
        <w:t>following</w:t>
      </w:r>
      <w:r>
        <w:t xml:space="preserve"> sections, the possible strengthening methods and deformation mechanisms which can </w:t>
      </w:r>
      <w:r w:rsidRPr="006B2702">
        <w:rPr>
          <w:noProof/>
        </w:rPr>
        <w:t>be introduced</w:t>
      </w:r>
      <w:r>
        <w:t xml:space="preserve"> into RHEAs </w:t>
      </w:r>
      <w:r>
        <w:rPr>
          <w:noProof/>
        </w:rPr>
        <w:t>will be</w:t>
      </w:r>
      <w:r w:rsidRPr="006B2702">
        <w:rPr>
          <w:noProof/>
        </w:rPr>
        <w:t xml:space="preserve"> </w:t>
      </w:r>
      <w:r>
        <w:rPr>
          <w:noProof/>
        </w:rPr>
        <w:t>detailed, in an attempt to reduce the inherent limitations already discussed</w:t>
      </w:r>
      <w:r w:rsidRPr="55C637D3">
        <w:t xml:space="preserve">. </w:t>
      </w:r>
    </w:p>
    <w:p w14:paraId="1DB69334" w14:textId="77777777" w:rsidR="00624970" w:rsidRPr="001E3029" w:rsidRDefault="00624970" w:rsidP="00624970">
      <w:pPr>
        <w:pStyle w:val="3"/>
        <w:spacing w:before="0" w:afterLines="60" w:after="144" w:line="360" w:lineRule="auto"/>
        <w:rPr>
          <w:rFonts w:asciiTheme="minorHAnsi" w:hAnsiTheme="minorHAnsi"/>
          <w:b/>
          <w:color w:val="000000" w:themeColor="text1"/>
          <w:sz w:val="32"/>
        </w:rPr>
      </w:pPr>
      <w:bookmarkStart w:id="167" w:name="_Toc5618289"/>
      <w:bookmarkStart w:id="168" w:name="_Toc22052515"/>
      <w:r w:rsidRPr="001E3029">
        <w:rPr>
          <w:rFonts w:asciiTheme="minorHAnsi" w:hAnsiTheme="minorHAnsi"/>
          <w:b/>
          <w:color w:val="000000" w:themeColor="text1"/>
          <w:sz w:val="32"/>
        </w:rPr>
        <w:t xml:space="preserve">2.6.1 </w:t>
      </w:r>
      <w:r w:rsidRPr="001E3029">
        <w:rPr>
          <w:rFonts w:asciiTheme="minorHAnsi" w:hAnsiTheme="minorHAnsi"/>
          <w:b/>
          <w:noProof/>
          <w:color w:val="000000" w:themeColor="text1"/>
          <w:sz w:val="32"/>
        </w:rPr>
        <w:t>Stress-induced</w:t>
      </w:r>
      <w:r w:rsidRPr="001E3029">
        <w:rPr>
          <w:rFonts w:asciiTheme="minorHAnsi" w:hAnsiTheme="minorHAnsi"/>
          <w:b/>
          <w:color w:val="000000" w:themeColor="text1"/>
          <w:sz w:val="32"/>
        </w:rPr>
        <w:t xml:space="preserve"> </w:t>
      </w:r>
      <w:r w:rsidRPr="001E3029">
        <w:rPr>
          <w:rFonts w:asciiTheme="minorHAnsi" w:hAnsiTheme="minorHAnsi"/>
          <w:b/>
          <w:noProof/>
          <w:color w:val="000000" w:themeColor="text1"/>
          <w:sz w:val="32"/>
        </w:rPr>
        <w:t>athermal</w:t>
      </w:r>
      <w:r w:rsidRPr="001E3029">
        <w:rPr>
          <w:rFonts w:asciiTheme="minorHAnsi" w:hAnsiTheme="minorHAnsi"/>
          <w:b/>
          <w:color w:val="000000" w:themeColor="text1"/>
          <w:sz w:val="32"/>
        </w:rPr>
        <w:t xml:space="preserve"> phase transformation</w:t>
      </w:r>
      <w:bookmarkEnd w:id="167"/>
      <w:bookmarkEnd w:id="168"/>
      <w:r w:rsidRPr="001E3029">
        <w:rPr>
          <w:rFonts w:asciiTheme="minorHAnsi" w:hAnsiTheme="minorHAnsi"/>
          <w:b/>
          <w:color w:val="000000" w:themeColor="text1"/>
          <w:sz w:val="32"/>
        </w:rPr>
        <w:t xml:space="preserve"> </w:t>
      </w:r>
    </w:p>
    <w:p w14:paraId="0039F687" w14:textId="5ACED8AA" w:rsidR="00624970" w:rsidRDefault="00624970" w:rsidP="00624970">
      <w:pPr>
        <w:spacing w:afterLines="60" w:after="144" w:line="360" w:lineRule="auto"/>
        <w:jc w:val="both"/>
      </w:pPr>
      <w:r>
        <w:t xml:space="preserve">According to Senkov </w:t>
      </w:r>
      <w:r>
        <w:fldChar w:fldCharType="begin" w:fldLock="1"/>
      </w:r>
      <w:r>
        <w:instrText>ADDIN CSL_CITATION {"citationItems":[{"id":"ITEM-1","itemData":{"DOI":"10.1557/jmr.2018.153","ISSN":"20445326","abstract":"&lt;p&gt; &lt;fig position=\"anchor\"&gt; &lt;graphic href=\"S088429141800153X_figAb\" mime-subtype=\"jpeg\" mimetype=\"image\" position=\"float\" type=\"simple\"/&gt; &lt;/fig&gt; &lt;/p&gt;","author":[{"dropping-particle":"","family":"Senkov","given":"Oleg N.","non-dropping-particle":"","parse-names":false,"suffix":""},{"dropping-particle":"","family":"Miracle","given":"Daniel B.","non-dropping-particle":"","parse-names":false,"suffix":""},{"dropping-particle":"","family":"Chaput","given":"Kevin J.","non-dropping-particle":"","parse-names":false,"suffix":""},{"dropping-particle":"","family":"Couzinie","given":"Jean Philippe","non-dropping-particle":"","parse-names":false,"suffix":""}],"container-title":"Journal of Materials Research","id":"ITEM-1","issued":{"date-parts":[["2018"]]},"title":"Development and exploration of refractory high entropy alloys - A review","type":"article"},"uris":["http://www.mendeley.com/documents/?uuid=e6c43fc8-a4f9-4e49-9aa6-1f9bb6c0e55d","http://www.mendeley.com/documents/?uuid=d1c52530-7e10-4c3f-af10-ca6979da1712"]}],"mendeley":{"formattedCitation":"[130]","plainTextFormattedCitation":"[130]","previouslyFormattedCitation":"[130]"},"properties":{"noteIndex":0},"schema":"https://github.com/citation-style-language/schema/raw/master/csl-citation.json"}</w:instrText>
      </w:r>
      <w:r>
        <w:fldChar w:fldCharType="separate"/>
      </w:r>
      <w:r w:rsidRPr="003B39BC">
        <w:rPr>
          <w:noProof/>
        </w:rPr>
        <w:t>[130]</w:t>
      </w:r>
      <w:r>
        <w:fldChar w:fldCharType="end"/>
      </w:r>
      <w:r>
        <w:t xml:space="preserve">, most RHEAs </w:t>
      </w:r>
      <w:r w:rsidRPr="006B2702">
        <w:rPr>
          <w:noProof/>
        </w:rPr>
        <w:t>form</w:t>
      </w:r>
      <w:r>
        <w:rPr>
          <w:noProof/>
        </w:rPr>
        <w:t xml:space="preserve"> BCC</w:t>
      </w:r>
      <w:r>
        <w:t xml:space="preserve"> solid solution phase. The fact that the principal components of RHEAs are composed of IVB-VIB group elements</w:t>
      </w:r>
      <w:r w:rsidRPr="40ACC836">
        <w:t xml:space="preserve">, </w:t>
      </w:r>
      <w:r w:rsidRPr="006B2702">
        <w:rPr>
          <w:noProof/>
        </w:rPr>
        <w:t>indicate</w:t>
      </w:r>
      <w:r>
        <w:rPr>
          <w:noProof/>
        </w:rPr>
        <w:t>s</w:t>
      </w:r>
      <w:r>
        <w:t xml:space="preserve"> the primary phase formation prediction of RHEAs can be achieved by using the pseudo-</w:t>
      </w:r>
      <w:r w:rsidRPr="008C71F2">
        <w:rPr>
          <w:noProof/>
        </w:rPr>
        <w:t>binary</w:t>
      </w:r>
      <w:r>
        <w:t xml:space="preserve"> phase diagram as a </w:t>
      </w:r>
      <w:r w:rsidRPr="008C71F2">
        <w:rPr>
          <w:noProof/>
        </w:rPr>
        <w:t>reference</w:t>
      </w:r>
      <w:r w:rsidRPr="40ACC836">
        <w:t xml:space="preserve">. </w:t>
      </w:r>
      <w:r>
        <w:t xml:space="preserve">Without the addition of IVB group elements, the phase diagram of </w:t>
      </w:r>
      <w:r w:rsidRPr="008C71F2">
        <w:rPr>
          <w:noProof/>
        </w:rPr>
        <w:t>binary alloy</w:t>
      </w:r>
      <w:r>
        <w:rPr>
          <w:noProof/>
        </w:rPr>
        <w:t>s</w:t>
      </w:r>
      <w:r w:rsidRPr="40ACC836">
        <w:t xml:space="preserve"> </w:t>
      </w:r>
      <w:r>
        <w:t xml:space="preserve">that are composed of V and VIB group elements exhibit solely BCC phase formation. Once IVB elements are added, the </w:t>
      </w:r>
      <w:r w:rsidRPr="008C71F2">
        <w:rPr>
          <w:noProof/>
        </w:rPr>
        <w:t>HCP</w:t>
      </w:r>
      <w:r>
        <w:t xml:space="preserve"> phase started to form as a stabilised phase at low temperatures </w:t>
      </w:r>
      <w:r>
        <w:fldChar w:fldCharType="begin" w:fldLock="1"/>
      </w:r>
      <w:r>
        <w:instrText>ADDIN CSL_CITATION {"citationItems":[{"id":"ITEM-1","itemData":{"DOI":"10.1016/j.actamat.2016.04.059","ISBN":"1291701503375","ISSN":"13596454","abstract":"We have computed formation energies for all technologically relevant transition metal solutes in the α, β, and ω phases of Ti, employing ab initio simulations. We analyze and explain their periodic-table trends, and from their differences we derive stabilization energies which provide direct insight into phase stabilization effects of the various solutes with respect to α, β, and ω. This allows us to identify strong β stabilizers in the middle of each electronic d shell in consistency with experimental knowledge. Based on an extension of the stabilization energies to free energies we derive a wide range of Ti-transition metal phase diagrams. A detailed comparison to available experimental martensitic transformation temperatures and to measurements performed in this study shows that, despite some quantitative discrepancies, the qualitative trends can be expected to be correct. An important feature that is displayed by a limited range of the computed phase diagrams is a triple point at which the three phases, α, β, and ω, meet. This insight provides a plausible explanation for the complexity observed in gum metals, a class of Ti alloys with very special materials properties.","author":[{"dropping-particle":"","family":"Huang","given":"Liang Feng","non-dropping-particle":"","parse-names":false,"suffix":""},{"dropping-particle":"","family":"Grabowski","given":"Blazej","non-dropping-particle":"","parse-names":false,"suffix":""},{"dropping-particle":"","family":"Zhang","given":"Jian","non-dropping-particle":"","parse-names":false,"suffix":""},{"dropping-particle":"","family":"Lai","given":"Min Jie","non-dropping-particle":"","parse-names":false,"suffix":""},{"dropping-particle":"","family":"Tasan","given":"C. Cem","non-dropping-particle":"","parse-names":false,"suffix":""},{"dropping-particle":"","family":"Sandlöbes","given":"Stefanie","non-dropping-particle":"","parse-names":false,"suffix":""},{"dropping-particle":"","family":"Raabe","given":"Dierk","non-dropping-particle":"","parse-names":false,"suffix":""},{"dropping-particle":"","family":"Neugebauer","given":"Jörg","non-dropping-particle":"","parse-names":false,"suffix":""}],"container-title":"Acta Materialia","id":"ITEM-1","issued":{"date-parts":[["2016"]]},"title":"From electronic structure to phase diagrams: A bottom-up approach to understand the stability of titanium–transition metal alloys","type":"article-journal"},"uris":["http://www.mendeley.com/documents/?uuid=b24cb7de-0844-4eca-94f8-7ee8e827a86b","http://www.mendeley.com/documents/?uuid=cb5b3640-f82a-46e3-8a50-4730ed2617b9"]}],"mendeley":{"formattedCitation":"[76]","plainTextFormattedCitation":"[76]","previouslyFormattedCitation":"[76]"},"properties":{"noteIndex":0},"schema":"https://github.com/citation-style-language/schema/raw/master/csl-citation.json"}</w:instrText>
      </w:r>
      <w:r>
        <w:fldChar w:fldCharType="separate"/>
      </w:r>
      <w:r w:rsidRPr="003B39BC">
        <w:rPr>
          <w:noProof/>
        </w:rPr>
        <w:t>[76]</w:t>
      </w:r>
      <w:r>
        <w:fldChar w:fldCharType="end"/>
      </w:r>
      <w:r>
        <w:t xml:space="preserve">. The temperature difference between </w:t>
      </w:r>
      <w:r w:rsidRPr="006B2702">
        <w:rPr>
          <w:noProof/>
        </w:rPr>
        <w:t>stabili</w:t>
      </w:r>
      <w:r>
        <w:rPr>
          <w:noProof/>
        </w:rPr>
        <w:t>s</w:t>
      </w:r>
      <w:r w:rsidRPr="006B2702">
        <w:rPr>
          <w:noProof/>
        </w:rPr>
        <w:t>ation</w:t>
      </w:r>
      <w:r w:rsidRPr="40ACC836">
        <w:t xml:space="preserve"> </w:t>
      </w:r>
      <w:r>
        <w:t xml:space="preserve">of BCC and HCP phases, </w:t>
      </w:r>
      <w:r w:rsidRPr="008C71F2">
        <w:rPr>
          <w:noProof/>
        </w:rPr>
        <w:t>resembl</w:t>
      </w:r>
      <w:r>
        <w:rPr>
          <w:noProof/>
        </w:rPr>
        <w:t>e</w:t>
      </w:r>
      <w:r w:rsidR="007D04B9">
        <w:rPr>
          <w:noProof/>
        </w:rPr>
        <w:t>s</w:t>
      </w:r>
      <w:r>
        <w:t xml:space="preserve"> the phase transformation in high Mn TRIP steel, where the HCP phase is more stabilised than HCP phase at low temperatures. This </w:t>
      </w:r>
      <w:r w:rsidRPr="006B2702">
        <w:rPr>
          <w:noProof/>
        </w:rPr>
        <w:t>indicate</w:t>
      </w:r>
      <w:r>
        <w:rPr>
          <w:noProof/>
        </w:rPr>
        <w:t>s</w:t>
      </w:r>
      <w:r>
        <w:t xml:space="preserve"> the possibility to activate the TRIP effect in RHEAs.</w:t>
      </w:r>
      <w:r w:rsidRPr="40ACC836">
        <w:t xml:space="preserve"> </w:t>
      </w:r>
      <w:r>
        <w:rPr>
          <w:color w:val="000000" w:themeColor="text1"/>
        </w:rPr>
        <w:t>Using</w:t>
      </w:r>
      <w:r w:rsidRPr="00C06CF3">
        <w:rPr>
          <w:color w:val="000000" w:themeColor="text1"/>
        </w:rPr>
        <w:t xml:space="preserve"> the </w:t>
      </w:r>
      <w:r w:rsidRPr="00C06CF3">
        <w:rPr>
          <w:noProof/>
          <w:color w:val="000000" w:themeColor="text1"/>
        </w:rPr>
        <w:t>same</w:t>
      </w:r>
      <w:r w:rsidRPr="00C06CF3">
        <w:rPr>
          <w:color w:val="000000" w:themeColor="text1"/>
        </w:rPr>
        <w:t xml:space="preserve"> strategy from </w:t>
      </w:r>
      <w:r w:rsidRPr="00C06CF3">
        <w:rPr>
          <w:noProof/>
          <w:color w:val="000000" w:themeColor="text1"/>
        </w:rPr>
        <w:t>TRIP-assisted</w:t>
      </w:r>
      <w:r w:rsidRPr="00C06CF3">
        <w:rPr>
          <w:color w:val="000000" w:themeColor="text1"/>
        </w:rPr>
        <w:t xml:space="preserve"> </w:t>
      </w:r>
      <w:r w:rsidRPr="00C06CF3">
        <w:rPr>
          <w:rFonts w:eastAsia="等线"/>
          <w:color w:val="000000" w:themeColor="text1"/>
        </w:rPr>
        <w:t>β-Ti</w:t>
      </w:r>
      <w:r w:rsidRPr="00C06CF3">
        <w:rPr>
          <w:color w:val="000000" w:themeColor="text1"/>
        </w:rPr>
        <w:t xml:space="preserve"> alloy</w:t>
      </w:r>
      <w:r>
        <w:rPr>
          <w:color w:val="000000" w:themeColor="text1"/>
        </w:rPr>
        <w:t xml:space="preserve"> [123]</w:t>
      </w:r>
      <w:r w:rsidRPr="00C06CF3">
        <w:rPr>
          <w:color w:val="000000" w:themeColor="text1"/>
        </w:rPr>
        <w:t xml:space="preserve">, the TRIP effect was successfully </w:t>
      </w:r>
      <w:r>
        <w:rPr>
          <w:color w:val="000000" w:themeColor="text1"/>
        </w:rPr>
        <w:t>activated</w:t>
      </w:r>
      <w:r w:rsidRPr="00C06CF3">
        <w:rPr>
          <w:color w:val="000000" w:themeColor="text1"/>
        </w:rPr>
        <w:t xml:space="preserve"> in metastable TiZrHfTa</w:t>
      </w:r>
      <w:r w:rsidRPr="00C06CF3">
        <w:rPr>
          <w:color w:val="000000" w:themeColor="text1"/>
          <w:vertAlign w:val="subscript"/>
        </w:rPr>
        <w:t>0.4</w:t>
      </w:r>
      <w:r w:rsidRPr="00C06CF3">
        <w:rPr>
          <w:color w:val="000000" w:themeColor="text1"/>
        </w:rPr>
        <w:t xml:space="preserve"> (BCC to HCP) and Ti</w:t>
      </w:r>
      <w:r w:rsidRPr="00C06CF3">
        <w:rPr>
          <w:color w:val="000000" w:themeColor="text1"/>
          <w:vertAlign w:val="subscript"/>
        </w:rPr>
        <w:t>35</w:t>
      </w:r>
      <w:r w:rsidRPr="00C06CF3">
        <w:rPr>
          <w:color w:val="000000" w:themeColor="text1"/>
        </w:rPr>
        <w:t>Zr</w:t>
      </w:r>
      <w:r w:rsidRPr="00C06CF3">
        <w:rPr>
          <w:color w:val="000000" w:themeColor="text1"/>
          <w:vertAlign w:val="subscript"/>
        </w:rPr>
        <w:t>27.5</w:t>
      </w:r>
      <w:r w:rsidRPr="00C06CF3">
        <w:rPr>
          <w:color w:val="000000" w:themeColor="text1"/>
        </w:rPr>
        <w:t>Hf</w:t>
      </w:r>
      <w:r w:rsidRPr="00C06CF3">
        <w:rPr>
          <w:color w:val="000000" w:themeColor="text1"/>
          <w:vertAlign w:val="subscript"/>
        </w:rPr>
        <w:t>27.5</w:t>
      </w:r>
      <w:r w:rsidRPr="00C06CF3">
        <w:rPr>
          <w:color w:val="000000" w:themeColor="text1"/>
        </w:rPr>
        <w:t>Nb</w:t>
      </w:r>
      <w:r w:rsidRPr="00C06CF3">
        <w:rPr>
          <w:color w:val="000000" w:themeColor="text1"/>
          <w:vertAlign w:val="subscript"/>
        </w:rPr>
        <w:t>5</w:t>
      </w:r>
      <w:r w:rsidRPr="00C06CF3">
        <w:rPr>
          <w:color w:val="000000" w:themeColor="text1"/>
        </w:rPr>
        <w:t>Ta</w:t>
      </w:r>
      <w:r w:rsidRPr="00C06CF3">
        <w:rPr>
          <w:color w:val="000000" w:themeColor="text1"/>
          <w:vertAlign w:val="subscript"/>
        </w:rPr>
        <w:t>5</w:t>
      </w:r>
      <w:r w:rsidRPr="00C06CF3">
        <w:rPr>
          <w:color w:val="000000" w:themeColor="text1"/>
        </w:rPr>
        <w:t xml:space="preserve"> (BCC to orthorhombic) RHEAs. In both reported TRIP RHEAs,</w:t>
      </w:r>
      <w:r>
        <w:rPr>
          <w:color w:val="000000" w:themeColor="text1"/>
        </w:rPr>
        <w:t xml:space="preserve"> a</w:t>
      </w:r>
      <w:r w:rsidRPr="00C06CF3">
        <w:rPr>
          <w:color w:val="000000" w:themeColor="text1"/>
        </w:rPr>
        <w:t xml:space="preserve"> </w:t>
      </w:r>
      <w:r w:rsidRPr="00C06CF3">
        <w:rPr>
          <w:noProof/>
          <w:color w:val="000000" w:themeColor="text1"/>
        </w:rPr>
        <w:t>large</w:t>
      </w:r>
      <w:r w:rsidRPr="00C06CF3">
        <w:rPr>
          <w:color w:val="000000" w:themeColor="text1"/>
        </w:rPr>
        <w:t xml:space="preserve"> amount of IVB element addition </w:t>
      </w:r>
      <w:r>
        <w:rPr>
          <w:noProof/>
          <w:color w:val="000000" w:themeColor="text1"/>
        </w:rPr>
        <w:t>was</w:t>
      </w:r>
      <w:r w:rsidRPr="00C06CF3">
        <w:rPr>
          <w:noProof/>
          <w:color w:val="000000" w:themeColor="text1"/>
        </w:rPr>
        <w:t xml:space="preserve"> observed</w:t>
      </w:r>
      <w:r w:rsidRPr="00C06CF3">
        <w:rPr>
          <w:color w:val="000000" w:themeColor="text1"/>
        </w:rPr>
        <w:t xml:space="preserve"> as </w:t>
      </w:r>
      <w:r>
        <w:rPr>
          <w:color w:val="000000" w:themeColor="text1"/>
        </w:rPr>
        <w:t xml:space="preserve">the </w:t>
      </w:r>
      <w:r w:rsidRPr="00C06CF3">
        <w:rPr>
          <w:noProof/>
          <w:color w:val="000000" w:themeColor="text1"/>
        </w:rPr>
        <w:t>critical</w:t>
      </w:r>
      <w:r w:rsidRPr="00C06CF3">
        <w:rPr>
          <w:color w:val="000000" w:themeColor="text1"/>
        </w:rPr>
        <w:t xml:space="preserve"> condition for activating stress</w:t>
      </w:r>
      <w:r>
        <w:rPr>
          <w:color w:val="000000" w:themeColor="text1"/>
        </w:rPr>
        <w:t>-</w:t>
      </w:r>
      <w:r w:rsidRPr="00C06CF3">
        <w:rPr>
          <w:color w:val="000000" w:themeColor="text1"/>
        </w:rPr>
        <w:t xml:space="preserve">induced BCC to HCP/orthorhombic phase transformation. </w:t>
      </w:r>
      <w:r>
        <w:t xml:space="preserve">Therefore, the physical and mechanical background to activate TRIP effects in </w:t>
      </w:r>
      <w:bookmarkStart w:id="169" w:name="OLE_LINK3"/>
      <w:bookmarkStart w:id="170" w:name="OLE_LINK4"/>
      <w:r w:rsidRPr="006B2891">
        <w:rPr>
          <w:rFonts w:eastAsia="等线"/>
        </w:rPr>
        <w:t>β-Ti</w:t>
      </w:r>
      <w:r w:rsidRPr="006B2891">
        <w:t xml:space="preserve"> alloy</w:t>
      </w:r>
      <w:bookmarkEnd w:id="169"/>
      <w:bookmarkEnd w:id="170"/>
      <w:r w:rsidRPr="006B2891">
        <w:t xml:space="preserve"> can be </w:t>
      </w:r>
      <w:r>
        <w:t xml:space="preserve">used in designing TRIP RHEAs. </w:t>
      </w:r>
    </w:p>
    <w:p w14:paraId="4AB35B34" w14:textId="0654648E" w:rsidR="00624970" w:rsidRPr="002009D5" w:rsidRDefault="00624970" w:rsidP="00624970">
      <w:pPr>
        <w:spacing w:afterLines="60" w:after="144" w:line="360" w:lineRule="auto"/>
        <w:jc w:val="both"/>
      </w:pPr>
      <w:r>
        <w:t xml:space="preserve">For </w:t>
      </w:r>
      <w:bookmarkStart w:id="171" w:name="OLE_LINK7"/>
      <w:bookmarkStart w:id="172" w:name="OLE_LINK8"/>
      <w:r w:rsidRPr="008D07D9">
        <w:rPr>
          <w:rFonts w:eastAsia="等线"/>
        </w:rPr>
        <w:t>β</w:t>
      </w:r>
      <w:bookmarkEnd w:id="171"/>
      <w:bookmarkEnd w:id="172"/>
      <w:r w:rsidRPr="008D07D9">
        <w:rPr>
          <w:rFonts w:eastAsia="等线"/>
        </w:rPr>
        <w:t>-Ti</w:t>
      </w:r>
      <w:r w:rsidRPr="008D07D9">
        <w:t xml:space="preserve"> alloy stress</w:t>
      </w:r>
      <w:r>
        <w:t>-</w:t>
      </w:r>
      <w:r w:rsidRPr="008D07D9">
        <w:t>induced phase transformation</w:t>
      </w:r>
      <w:r>
        <w:t>s</w:t>
      </w:r>
      <w:r w:rsidRPr="008D07D9">
        <w:t xml:space="preserve"> </w:t>
      </w:r>
      <w:r w:rsidRPr="00522EBC">
        <w:t>incl</w:t>
      </w:r>
      <w:r w:rsidRPr="008D07D9">
        <w:t>udes</w:t>
      </w:r>
      <w:r w:rsidRPr="00522EBC">
        <w:t xml:space="preserve"> BCC to </w:t>
      </w:r>
      <w:bookmarkStart w:id="173" w:name="OLE_LINK5"/>
      <w:bookmarkStart w:id="174" w:name="OLE_LINK6"/>
      <w:bookmarkStart w:id="175" w:name="OLE_LINK9"/>
      <w:bookmarkStart w:id="176" w:name="OLE_LINK10"/>
      <w:r w:rsidRPr="00522EBC">
        <w:rPr>
          <w:rFonts w:eastAsia="等线"/>
        </w:rPr>
        <w:t>α’(HCP) martensite phase</w:t>
      </w:r>
      <w:bookmarkEnd w:id="173"/>
      <w:bookmarkEnd w:id="174"/>
      <w:r>
        <w:rPr>
          <w:rFonts w:eastAsia="等线"/>
        </w:rPr>
        <w:t>,</w:t>
      </w:r>
      <w:r w:rsidRPr="006B7596">
        <w:rPr>
          <w:rFonts w:eastAsia="等线"/>
        </w:rPr>
        <w:t xml:space="preserve"> BCC to α’’(orthorhombic) martensite phase and BCC to</w:t>
      </w:r>
      <w:r w:rsidRPr="009C5F0F">
        <w:rPr>
          <w:rFonts w:eastAsia="等线"/>
        </w:rPr>
        <w:t xml:space="preserve"> ω</w:t>
      </w:r>
      <w:r>
        <w:rPr>
          <w:rFonts w:eastAsia="等线"/>
        </w:rPr>
        <w:t xml:space="preserve"> </w:t>
      </w:r>
      <w:r w:rsidRPr="009C5F0F">
        <w:rPr>
          <w:rFonts w:eastAsia="等线"/>
        </w:rPr>
        <w:t xml:space="preserve">(close-packed </w:t>
      </w:r>
      <w:hyperlink r:id="rId37" w:history="1">
        <w:r w:rsidRPr="008D07D9">
          <w:rPr>
            <w:rFonts w:eastAsia="等线"/>
          </w:rPr>
          <w:t>hexagonal</w:t>
        </w:r>
      </w:hyperlink>
      <w:r w:rsidRPr="008D07D9">
        <w:rPr>
          <w:rFonts w:eastAsia="等线"/>
        </w:rPr>
        <w:t>) phase</w:t>
      </w:r>
      <w:bookmarkEnd w:id="175"/>
      <w:bookmarkEnd w:id="176"/>
      <w:r>
        <w:rPr>
          <w:rFonts w:eastAsia="等线"/>
        </w:rPr>
        <w:t xml:space="preserve"> </w:t>
      </w:r>
      <w:r w:rsidRPr="00C06CF3">
        <w:fldChar w:fldCharType="begin" w:fldLock="1"/>
      </w:r>
      <w:r>
        <w:rPr>
          <w:rFonts w:eastAsia="等线" w:cstheme="minorHAnsi"/>
        </w:rPr>
        <w:instrText>ADDIN CSL_CITATION {"citationItems":[{"id":"ITEM-1","itemData":{"ISBN":"110951851X","abstract":"Motivated by the prospect of lower cost Ti production processes, new directions in Ti alloy design were explored for naval and automotive applications. Building on the experience of the Steel Research Group at Northwestern University, an analogous design process was taken with titanium. As a new project, essential kinetic databases and models were developed for the design process and used to create a prototype design. Diffusion kinetic models were developed to predict the change in phase compositions and microstructure during heat treatment. Combining a mobility database created in this research with a licensed thermodynamic database, ThermoCalc and DICTRA software was used to model kinetic compositional changes in titanium alloys. Experimental diffusion couples were created and compared to DICTRA simulations to refine mobility parameters in the titanium mobility database. The software and database were able to predict homogenization times and the beta&amp;rarr;alpha plate thickening kinetics during cooling in the near-alpha Ti5111 alloy. The results of these models were compared to LEAP microanalysis and found to be in reasonable agreement. Powder metallurgy was explored using SPS at GM R&amp;amp;D to reduce the cost of titanium alloys. Fully dense Ti5111 alloys were produced and achieved similar microstructures to wrought Ti5111. High levels of oxygen in these alloys increased the strength while reducing the ductility. Preliminary Ti5111+Y alloys were created, where yttrium additions successfully gettered excess oxygen to create oxides. However, undesirable large oxides formed, indicating more research is needed into the homogeneous distribution of the yttrium powder to create finer oxides. Principles established in steels were used to optimize the beta phase transformation stability for martensite transformation toughening in titanium alloys. The Olson-Cohen kinetic model is calibrated to shear strains in titanium. A frictional work database is established for common alloying elements in titanium to model the effect of alloying elements on the Ms temperature in titanium. Available atomic volume data and collaborative first principles quantum mechanical calculations are combined to model the composition dependence of the transformation molar volume change. Composition analysis of the beta phase from the LEAP and Bolling-Richman experimental measurement of the M ssigma temperature defining mechanical transformation stability of the beta phase in Ti5111 provide…","author":[{"dropping-particle":"","family":"Tran","given":"Jamie","non-dropping-particle":"","parse-names":false,"suffix":""}],"container-title":"ProQuest Dissertations and Theses Global","id":"ITEM-1","issued":{"date-parts":[["2009"]]},"title":"Titanium by design: Trip titanium alloy","type":"article-journal"},"uris":["http://www.mendeley.com/documents/?uuid=e3a5d5d2-54f6-4b02-b5cf-bbad44ff0b07","http://www.mendeley.com/documents/?uuid=d15ad644-32ec-4461-9857-2a153fb29ee4"]},{"id":"ITEM-2","itemData":{"DOI":"10.1016/j.actamat.2018.03.053","ISBN":"1359-6454","ISSN":"13596454","abstract":"We have investigated the twinning-induced plasticity (TWIP) and transformation-induced plasticity (TRIP) as well as the influence of ω phase on these two phenomena in a metastable β-type Ti–25Nb–0.7Ta–2Zr (at.%) alloy. We set off with two starting states: one is ω-free and the other one contains a high number density (3.20 ± 0.78 × 1024 m−3) of nanometer-sized (</w:instrText>
      </w:r>
      <w:r>
        <w:rPr>
          <w:rFonts w:ascii="Cambria Math" w:eastAsia="等线" w:hAnsi="Cambria Math" w:cs="Cambria Math"/>
        </w:rPr>
        <w:instrText>∼</w:instrText>
      </w:r>
      <w:r>
        <w:rPr>
          <w:rFonts w:eastAsia="等线" w:cstheme="minorHAnsi"/>
        </w:rPr>
        <w:instrText xml:space="preserve">1.23 nm) </w:instrText>
      </w:r>
      <w:r>
        <w:rPr>
          <w:rFonts w:ascii="Calibri" w:eastAsia="等线" w:hAnsi="Calibri" w:cs="Calibri"/>
        </w:rPr>
        <w:instrText>ω</w:instrText>
      </w:r>
      <w:r>
        <w:rPr>
          <w:rFonts w:eastAsia="等线" w:cstheme="minorHAnsi"/>
        </w:rPr>
        <w:instrText xml:space="preserve"> par</w:instrText>
      </w:r>
      <w:r>
        <w:rPr>
          <w:rFonts w:eastAsia="等线" w:cstheme="minorHAnsi" w:hint="eastAsia"/>
        </w:rPr>
        <w:instrText xml:space="preserve">ticles. Deformation experiments demonstrate that the plastic deformation of the </w:instrText>
      </w:r>
      <w:r>
        <w:rPr>
          <w:rFonts w:eastAsia="等线" w:cstheme="minorHAnsi" w:hint="eastAsia"/>
        </w:rPr>
        <w:instrText>ω</w:instrText>
      </w:r>
      <w:r>
        <w:rPr>
          <w:rFonts w:eastAsia="等线" w:cstheme="minorHAnsi" w:hint="eastAsia"/>
        </w:rPr>
        <w:instrText xml:space="preserve">-free alloy is mediated by stress-induced </w:instrText>
      </w:r>
      <w:r>
        <w:rPr>
          <w:rFonts w:eastAsia="等线" w:cstheme="minorHAnsi" w:hint="eastAsia"/>
        </w:rPr>
        <w:instrText>β</w:instrText>
      </w:r>
      <w:r>
        <w:rPr>
          <w:rFonts w:eastAsia="等线" w:cstheme="minorHAnsi" w:hint="eastAsia"/>
        </w:rPr>
        <w:instrText xml:space="preserve"> </w:instrText>
      </w:r>
      <w:r>
        <w:rPr>
          <w:rFonts w:eastAsia="等线" w:cstheme="minorHAnsi" w:hint="eastAsia"/>
        </w:rPr>
        <w:instrText>→</w:instrText>
      </w:r>
      <w:r>
        <w:rPr>
          <w:rFonts w:eastAsia="等线" w:cstheme="minorHAnsi" w:hint="eastAsia"/>
        </w:rPr>
        <w:instrText xml:space="preserve"> </w:instrText>
      </w:r>
      <w:r>
        <w:rPr>
          <w:rFonts w:eastAsia="等线" w:cstheme="minorHAnsi" w:hint="eastAsia"/>
        </w:rPr>
        <w:instrText>α”</w:instrText>
      </w:r>
      <w:r>
        <w:rPr>
          <w:rFonts w:eastAsia="等线" w:cstheme="minorHAnsi" w:hint="eastAsia"/>
        </w:rPr>
        <w:instrText xml:space="preserve"> martensitic transformation, {332} twinning and dislocation slip, where the former two induce joint TRIP and TWIP effects and </w:instrText>
      </w:r>
      <w:r>
        <w:rPr>
          <w:rFonts w:eastAsia="等线" w:cstheme="minorHAnsi"/>
        </w:rPr>
        <w:instrText>the latter one carries the majority of the plastic strain. In the ω-enriched alloy, the ω particles fully suppress the TWIP and TRIP effects and promote localization of dislocation plasticity into specific ω-devoid channels. Atom probe tomography analysis reveals that the elemental partitioning between β and ω results in only subtle enrichment of solutes in the β matrix, which cannot sufficiently stabilize the matrix to prevent martensitic transformation and twinning. A new mechanism based on the shear modulus difference between β and ω is proposed to explain the suppression of TRIP and TWIP effects by ω particles.","author":[{"dropping-particle":"","family":"Lai","given":"M. J.","non-dropping-particle":"","parse-names":false,"suffix":""},{"dropping-particle":"","family":"Li","given":"T.","non-dropping-particle":"","parse-names":false,"suffix":""},{"dropping-particle":"","family":"Raabe","given":"D.","non-dropping-particle":"","parse-names":false,"suffix":""}],"container-title":"Acta Materialia","id":"ITEM-2","issued":{"date-parts":[["2018"]]},"title":"ω phase acts as a switch between dislocation channeling and joint twinning- and transformation-induced plasticity in a metastable β titanium alloy","type":"article-journal"},"uris":["http://www.mendeley.com/documents/?uuid=6767e1f9-eac2-41e7-b3d8-2cc929975681","http://www.mendeley.com/documents/?uuid=f98d6c34-2c59-40e1-9914-32ecc9a919f3"]},{"id":"ITEM-3","itemData":{"DOI":"10.1063/1.2959183","ISBN":"0003-6951","ISSN":"00036951","abstract":"112 mechanical twinning and stress-induced omega transition were observed by high-resolution transmission electron microscope in a metastable beta titanium alloy with chemical composition of Ti-23Nb-0.7Ta-2Zr-1.2O at. % after deformation. The orientation relationships between the omega phase and beta parent matrix are ((1) over bar 010)(omega) parallel to (211)(beta), 1 (2) over bar 10(omega) parallel to (1) over bar 11(beta), (0001)(omega) parallel to (111)(beta) often observed for the thermal omega transition. Both mechanical twinning and omega transition arise from the shear along 112. A dislocation mechanism for mechanical twinning and stress-induced omega transition was discussed additionally. (C) 2008 American Institute of Physics.","author":[{"dropping-particle":"","family":"Xing","given":"H.","non-dropping-particle":"","parse-names":false,"suffix":""},{"dropping-particle":"","family":"Sun","given":"J.","non-dropping-particle":"","parse-names":false,"suffix":""}],"container-title":"Applied Physics Letters","id":"IT</w:instrText>
      </w:r>
      <w:r>
        <w:rPr>
          <w:rFonts w:eastAsia="等线" w:cstheme="minorHAnsi" w:hint="eastAsia"/>
        </w:rPr>
        <w:instrText xml:space="preserve">EM-3","issued":{"date-parts":[["2008"]]},"title":"Mechanical twinning and omega transition by </w:instrText>
      </w:r>
      <w:r>
        <w:rPr>
          <w:rFonts w:eastAsia="等线" w:cstheme="minorHAnsi" w:hint="eastAsia"/>
        </w:rPr>
        <w:instrText>〈</w:instrText>
      </w:r>
      <w:r>
        <w:rPr>
          <w:rFonts w:eastAsia="等线" w:cstheme="minorHAnsi" w:hint="eastAsia"/>
        </w:rPr>
        <w:instrText>111</w:instrText>
      </w:r>
      <w:r>
        <w:rPr>
          <w:rFonts w:eastAsia="等线" w:cstheme="minorHAnsi" w:hint="eastAsia"/>
        </w:rPr>
        <w:instrText>〉</w:instrText>
      </w:r>
      <w:r>
        <w:rPr>
          <w:rFonts w:eastAsia="等线" w:cstheme="minorHAnsi" w:hint="eastAsia"/>
        </w:rPr>
        <w:instrText xml:space="preserve"> {112} shear in a metastable ß titanium alloy","type":"article-journal"},"uris":["http://www.mendeley.com/documents/?uuid=c0f5d87a-6abe-46f9-b34b-ecf382dfa6</w:instrText>
      </w:r>
      <w:r>
        <w:rPr>
          <w:rFonts w:eastAsia="等线" w:cstheme="minorHAnsi"/>
        </w:rPr>
        <w:instrText>a7","http://www.mendeley.com/documents/?uuid=997d1aa0-c89c-4399-a130-5d1925251433"]}],"mendeley":{"formattedCitation":"[132–134]","plainTextFormattedCitation":"[132–134]","previouslyFormattedCitation":"[132–134]"},"properties":{"noteIndex":0},"schema":"https://github.com/citation-style-language/schema/raw/master/csl-citation.json"}</w:instrText>
      </w:r>
      <w:r w:rsidRPr="00C06CF3">
        <w:rPr>
          <w:rFonts w:eastAsia="等线" w:cstheme="minorHAnsi"/>
        </w:rPr>
        <w:fldChar w:fldCharType="separate"/>
      </w:r>
      <w:r w:rsidRPr="003B39BC">
        <w:rPr>
          <w:rFonts w:eastAsia="等线"/>
          <w:noProof/>
        </w:rPr>
        <w:t>[132–134]</w:t>
      </w:r>
      <w:r w:rsidRPr="00C06CF3">
        <w:fldChar w:fldCharType="end"/>
      </w:r>
      <w:r w:rsidRPr="008D07D9">
        <w:rPr>
          <w:rFonts w:eastAsia="等线"/>
        </w:rPr>
        <w:t>. The various</w:t>
      </w:r>
      <w:r w:rsidRPr="00522EBC">
        <w:rPr>
          <w:rFonts w:eastAsia="等线"/>
        </w:rPr>
        <w:t xml:space="preserve"> TRIP effects </w:t>
      </w:r>
      <w:r w:rsidRPr="00C06CF3">
        <w:rPr>
          <w:rFonts w:eastAsia="等线"/>
        </w:rPr>
        <w:t xml:space="preserve">are mainly tailored through tuning </w:t>
      </w:r>
      <w:r>
        <w:rPr>
          <w:rFonts w:eastAsia="等线"/>
        </w:rPr>
        <w:t xml:space="preserve">of </w:t>
      </w:r>
      <w:r w:rsidRPr="00C06CF3">
        <w:rPr>
          <w:rFonts w:eastAsia="等线"/>
        </w:rPr>
        <w:t>β-phase stability</w:t>
      </w:r>
      <w:r>
        <w:rPr>
          <w:rFonts w:eastAsia="等线"/>
        </w:rPr>
        <w:t>,</w:t>
      </w:r>
      <w:r w:rsidRPr="008D07D9">
        <w:rPr>
          <w:rFonts w:eastAsia="等线"/>
        </w:rPr>
        <w:t xml:space="preserve"> which can be expressed by Molybdenum Equivalency</w:t>
      </w:r>
      <w:r>
        <w:rPr>
          <w:rFonts w:eastAsia="等线"/>
        </w:rPr>
        <w:t xml:space="preserve"> </w:t>
      </w:r>
      <w:r w:rsidRPr="008D07D9">
        <w:rPr>
          <w:rFonts w:eastAsia="等线"/>
        </w:rPr>
        <w:t>(MoE), bond order</w:t>
      </w:r>
      <w:r>
        <w:rPr>
          <w:rFonts w:eastAsia="等线"/>
        </w:rPr>
        <w:t xml:space="preserve"> </w:t>
      </w:r>
      <w:r w:rsidRPr="008D07D9">
        <w:rPr>
          <w:rFonts w:eastAsia="等线"/>
        </w:rPr>
        <w:t>(Bo) and</w:t>
      </w:r>
      <w:r w:rsidRPr="00C06CF3">
        <w:rPr>
          <w:rFonts w:eastAsia="等线"/>
        </w:rPr>
        <w:t xml:space="preserve"> metal d-orbital energy level</w:t>
      </w:r>
      <w:r>
        <w:rPr>
          <w:rFonts w:eastAsia="等线"/>
        </w:rPr>
        <w:t xml:space="preserve"> </w:t>
      </w:r>
      <w:r w:rsidRPr="00C06CF3">
        <w:rPr>
          <w:rFonts w:eastAsia="等线"/>
        </w:rPr>
        <w:t>(Md)</w:t>
      </w:r>
      <w:r>
        <w:rPr>
          <w:rFonts w:eastAsia="等线"/>
        </w:rPr>
        <w:t xml:space="preserve"> </w:t>
      </w:r>
      <w:r w:rsidRPr="00C06CF3">
        <w:fldChar w:fldCharType="begin" w:fldLock="1"/>
      </w:r>
      <w:r>
        <w:rPr>
          <w:rFonts w:eastAsia="等线" w:cstheme="minorHAnsi"/>
        </w:rPr>
        <w:instrText>ADDIN CSL_CITATION {"citationItems":[{"id":"ITEM-1","itemData":{"DOI":"10.1007/BF02747420","ISSN":"02504707","abstract":"A molecular orbital approach to alloy design has recently made great progress. This is applicable not only to structural alloys, but also to functional alloys. In this paper we have focussed on two materials as examples: high Cr ferritic steels and hydrogen storage alloys.","author":[{"dropping-particle":"","family":"Morinaga","given":"Masahiko","non-dropping-particle":"","parse-names":false,"suffix":""},{"dropping-particle":"","family":"Yukawa","given":"Hiroshi","non-dropping-particle":"","parse-names":false,"suffix":""}],"container-title":"Bulletin of Materials Science","id":"ITEM-1","issued":{"date-parts":[["1997"]]},"title":"Alloy design with the aid of molecular orbital method","type":"article-journal"},"uris":["http://www.mendeley.com/documents/?uuid=c3a78462-deab-4348-93f6-986613d682a3","http://www.mendeley.com/documents/?uuid=06a19166-8043-423f-b0af-5a4d529a129a"]}],"mendeley":{"formattedCitation":"[135]","plainTextFormattedCitation":"[135]","previouslyFormattedCitation":"[135]"},"properties":{"noteIndex":0},"schema":"https://github.com/citation-style-language/schema/raw/master/csl-citation.json"}</w:instrText>
      </w:r>
      <w:r w:rsidRPr="00C06CF3">
        <w:rPr>
          <w:rFonts w:eastAsia="等线" w:cstheme="minorHAnsi"/>
        </w:rPr>
        <w:fldChar w:fldCharType="separate"/>
      </w:r>
      <w:r w:rsidRPr="003B39BC">
        <w:rPr>
          <w:rFonts w:eastAsia="等线"/>
          <w:noProof/>
        </w:rPr>
        <w:t>[135]</w:t>
      </w:r>
      <w:r w:rsidRPr="00C06CF3">
        <w:fldChar w:fldCharType="end"/>
      </w:r>
      <w:r w:rsidRPr="008D07D9">
        <w:rPr>
          <w:rFonts w:eastAsia="等线"/>
        </w:rPr>
        <w:t xml:space="preserve">. Generally, with increasing phase stability, the phase transformation </w:t>
      </w:r>
      <w:r>
        <w:rPr>
          <w:rFonts w:eastAsia="等线"/>
        </w:rPr>
        <w:t>follows the</w:t>
      </w:r>
      <w:r w:rsidRPr="008D07D9">
        <w:rPr>
          <w:rFonts w:eastAsia="等线"/>
        </w:rPr>
        <w:t xml:space="preserve"> activation sequence</w:t>
      </w:r>
      <w:r>
        <w:rPr>
          <w:rFonts w:eastAsia="等线"/>
        </w:rPr>
        <w:t xml:space="preserve"> of</w:t>
      </w:r>
      <w:r w:rsidRPr="008D07D9">
        <w:rPr>
          <w:rFonts w:eastAsia="等线"/>
        </w:rPr>
        <w:t xml:space="preserve"> α’</w:t>
      </w:r>
      <w:bookmarkStart w:id="177" w:name="OLE_LINK11"/>
      <w:bookmarkStart w:id="178" w:name="OLE_LINK12"/>
      <w:r w:rsidRPr="008D07D9">
        <w:rPr>
          <w:rFonts w:eastAsia="等线"/>
        </w:rPr>
        <w:t xml:space="preserve"> </w:t>
      </w:r>
      <m:oMath>
        <m:r>
          <m:rPr>
            <m:sty m:val="p"/>
          </m:rPr>
          <w:rPr>
            <w:rFonts w:ascii="Cambria Math" w:eastAsia="等线" w:hAnsi="Cambria Math" w:cstheme="minorHAnsi"/>
          </w:rPr>
          <m:t>→</m:t>
        </m:r>
      </m:oMath>
      <w:bookmarkEnd w:id="177"/>
      <w:bookmarkEnd w:id="178"/>
      <w:r w:rsidRPr="008D07D9">
        <w:rPr>
          <w:rFonts w:eastAsia="等线"/>
        </w:rPr>
        <w:t xml:space="preserve"> α’’ </w:t>
      </w:r>
      <m:oMath>
        <m:r>
          <m:rPr>
            <m:sty m:val="p"/>
          </m:rPr>
          <w:rPr>
            <w:rFonts w:ascii="Cambria Math" w:eastAsia="等线" w:hAnsi="Cambria Math" w:cstheme="minorHAnsi"/>
          </w:rPr>
          <m:t>→</m:t>
        </m:r>
      </m:oMath>
      <w:r w:rsidRPr="008D07D9">
        <w:rPr>
          <w:rFonts w:eastAsia="等线"/>
        </w:rPr>
        <w:t xml:space="preserve"> ω. </w:t>
      </w:r>
      <w:r w:rsidRPr="008D07D9">
        <w:rPr>
          <w:rFonts w:eastAsia="等线"/>
        </w:rPr>
        <w:lastRenderedPageBreak/>
        <w:t>Currently, owing</w:t>
      </w:r>
      <w:r w:rsidRPr="00522EBC">
        <w:rPr>
          <w:rFonts w:eastAsia="等线"/>
        </w:rPr>
        <w:t xml:space="preserve"> to</w:t>
      </w:r>
      <w:r w:rsidRPr="008D07D9">
        <w:rPr>
          <w:rFonts w:eastAsia="等线"/>
        </w:rPr>
        <w:t xml:space="preserve"> their significant influence on alloy strength, ductility and strain hardening, the most </w:t>
      </w:r>
      <w:r>
        <w:rPr>
          <w:rFonts w:eastAsia="等线"/>
        </w:rPr>
        <w:t xml:space="preserve">widely </w:t>
      </w:r>
      <w:r w:rsidRPr="008D07D9">
        <w:rPr>
          <w:rFonts w:eastAsia="等线"/>
        </w:rPr>
        <w:t>investigated stress</w:t>
      </w:r>
      <w:r>
        <w:rPr>
          <w:rFonts w:eastAsia="等线"/>
        </w:rPr>
        <w:t>-</w:t>
      </w:r>
      <w:r w:rsidRPr="008D07D9">
        <w:rPr>
          <w:rFonts w:eastAsia="等线"/>
        </w:rPr>
        <w:t>induced phases in β-Ti alloy</w:t>
      </w:r>
      <w:r>
        <w:rPr>
          <w:rFonts w:eastAsia="等线"/>
        </w:rPr>
        <w:t>s</w:t>
      </w:r>
      <w:r w:rsidRPr="008D07D9">
        <w:rPr>
          <w:rFonts w:eastAsia="等线"/>
        </w:rPr>
        <w:t xml:space="preserve"> are </w:t>
      </w:r>
      <w:r>
        <w:rPr>
          <w:rFonts w:eastAsia="等线"/>
        </w:rPr>
        <w:t xml:space="preserve">the </w:t>
      </w:r>
      <w:r w:rsidRPr="008D07D9">
        <w:rPr>
          <w:rFonts w:eastAsia="等线"/>
        </w:rPr>
        <w:t>orthorhombic α’’ and ω hexagonal phase</w:t>
      </w:r>
      <w:r>
        <w:rPr>
          <w:rFonts w:eastAsia="等线"/>
        </w:rPr>
        <w:t>s</w:t>
      </w:r>
      <w:r w:rsidRPr="008D07D9">
        <w:rPr>
          <w:rFonts w:eastAsia="等线"/>
        </w:rPr>
        <w:t xml:space="preserve"> </w:t>
      </w:r>
      <w:r w:rsidRPr="00C06CF3">
        <w:fldChar w:fldCharType="begin" w:fldLock="1"/>
      </w:r>
      <w:r>
        <w:rPr>
          <w:rFonts w:eastAsia="等线" w:cstheme="minorHAnsi"/>
        </w:rPr>
        <w:instrText>ADDIN CSL_CITATION {"citationItems":[{"id":"ITEM-1","itemData":{"DOI":"10.11896/j.issn.1005-023X.2017.05.012","ISSN":"1005023X","abstract":"© 2017, Materials Review Magazine. All right reserved. The ω phase and its phase transformation in titanium alloys have great influence on the microstructure and properties of the alloys. Therefore, the study of ω phase transformation in titanium alloys becomes one of the hot issues in recent years. In this paper, the related research reports are summarized, including ω phase formation, ω phase decomposition, ω phase morphology and ω -assisted α nucleation. The advantages and disadvantages of the related models are compared, and some scientific problems with academic disputations are expounded.","author":[{"dropping-particle":"","family":"Lin","given":"C.","non-dropping-particle":"","parse-names":false,"suffix":""},{"dropping-particle":"","family":"Yu","given":"J.","non-dropping-particle":"","parse-names":false,"suffix":""},{"dropping-particle":"","family":"Yin","given":"G.","non-dropping-particle":"","parse-names":false,"suffix":""},{"dropping-particle":"","family":"Zhang","given":"A.","non-dropping-particle":"","parse-names":false,"suffix":""},{"dropping-particle":"","family":"Zhao","given":"Z.","non-dropping-particle":"","parse-names":false,"suffix":""},{"dropping-particle":"","family":"Huang","given":"S.","non-dropping-particle":"","parse-names":false,"suffix":""},{"dropping-particle":"","family":"Zhao","given":"Y.","non-dropping-particle":"","parse-names":false,"suffix":""},{"dropping-particle":"","family":"Guo","given":"L.","non-dropping-particle":"","parse-names":false,"suffix":""}],"container-title":"Cailiao Daobao/Materials Review","id":"ITEM-1","issued":{"date-parts":[["2017"]]},"title":"Omega Phase Transformation in Titanium Alloys: A Review","type":"article-journal"},"uris":["http://www.mendeley.com/documents/?uuid=6e5c6d84-2a16-43a7-a245-a4f617680709","http://www.mendeley.com/documents/?uuid=684202be-ca8e-4b46-992f-ff0ed3f35527"]}],"mendeley":{"formattedCitation":"[136]","plainTextFormattedCitation":"[136]","previouslyFormattedCitation":"[136]"},"properties":{"noteIndex":0},"schema":"https://github.com/citation-style-language/schema/raw/master/csl-citation.json"}</w:instrText>
      </w:r>
      <w:r w:rsidRPr="00C06CF3">
        <w:rPr>
          <w:rFonts w:eastAsia="等线" w:cstheme="minorHAnsi"/>
        </w:rPr>
        <w:fldChar w:fldCharType="separate"/>
      </w:r>
      <w:r w:rsidRPr="003B39BC">
        <w:rPr>
          <w:rFonts w:eastAsia="等线"/>
          <w:noProof/>
        </w:rPr>
        <w:t>[136]</w:t>
      </w:r>
      <w:r w:rsidRPr="00C06CF3">
        <w:fldChar w:fldCharType="end"/>
      </w:r>
      <w:r w:rsidRPr="008D07D9">
        <w:rPr>
          <w:rFonts w:eastAsia="等线"/>
        </w:rPr>
        <w:t xml:space="preserve">. </w:t>
      </w:r>
      <w:r>
        <w:rPr>
          <w:rFonts w:eastAsia="等线"/>
        </w:rPr>
        <w:t>Starting with</w:t>
      </w:r>
      <w:r w:rsidR="007D04B9">
        <w:rPr>
          <w:rFonts w:eastAsia="等线"/>
        </w:rPr>
        <w:t xml:space="preserve"> the</w:t>
      </w:r>
      <w:r w:rsidRPr="008D07D9">
        <w:rPr>
          <w:rFonts w:eastAsia="等线"/>
        </w:rPr>
        <w:t xml:space="preserve"> α’’ martensite phase</w:t>
      </w:r>
      <w:r>
        <w:rPr>
          <w:rFonts w:eastAsia="等线"/>
        </w:rPr>
        <w:t>, this</w:t>
      </w:r>
      <w:r w:rsidRPr="008D07D9">
        <w:rPr>
          <w:rFonts w:eastAsia="等线"/>
        </w:rPr>
        <w:t xml:space="preserve"> </w:t>
      </w:r>
      <w:r w:rsidRPr="00C06CF3">
        <w:rPr>
          <w:rFonts w:eastAsia="等线"/>
        </w:rPr>
        <w:t>nucleates within</w:t>
      </w:r>
      <w:r>
        <w:rPr>
          <w:rFonts w:eastAsia="等线"/>
        </w:rPr>
        <w:t xml:space="preserve"> the</w:t>
      </w:r>
      <w:r w:rsidRPr="008D07D9">
        <w:rPr>
          <w:rFonts w:eastAsia="等线"/>
        </w:rPr>
        <w:t xml:space="preserve"> </w:t>
      </w:r>
      <w:r w:rsidRPr="00C06CF3">
        <w:rPr>
          <w:rFonts w:eastAsia="等线"/>
        </w:rPr>
        <w:t>BCC matrix and grow</w:t>
      </w:r>
      <w:r>
        <w:rPr>
          <w:rFonts w:eastAsia="等线"/>
        </w:rPr>
        <w:t>s</w:t>
      </w:r>
      <w:r w:rsidRPr="00C06CF3">
        <w:rPr>
          <w:rFonts w:eastAsia="等线"/>
        </w:rPr>
        <w:t xml:space="preserve"> as thin laths</w:t>
      </w:r>
      <w:r>
        <w:rPr>
          <w:rFonts w:eastAsia="等线"/>
        </w:rPr>
        <w:t xml:space="preserve">. In the same way that </w:t>
      </w:r>
      <w:r w:rsidRPr="00522EBC">
        <w:rPr>
          <w:rFonts w:eastAsia="等线"/>
        </w:rPr>
        <w:t>the phase fraction of Fe</w:t>
      </w:r>
      <w:r w:rsidRPr="00522EBC">
        <w:rPr>
          <w:rFonts w:eastAsia="等线"/>
          <w:vertAlign w:val="subscript"/>
        </w:rPr>
        <w:t>50</w:t>
      </w:r>
      <w:r w:rsidRPr="006B7596">
        <w:rPr>
          <w:rFonts w:eastAsia="等线"/>
        </w:rPr>
        <w:t>Mn</w:t>
      </w:r>
      <w:r w:rsidRPr="009C5F0F">
        <w:rPr>
          <w:rFonts w:eastAsia="等线"/>
          <w:vertAlign w:val="subscript"/>
        </w:rPr>
        <w:t>30</w:t>
      </w:r>
      <w:r w:rsidRPr="009C5F0F">
        <w:rPr>
          <w:rFonts w:eastAsia="等线"/>
        </w:rPr>
        <w:t>Co</w:t>
      </w:r>
      <w:r w:rsidRPr="002F436A">
        <w:rPr>
          <w:rFonts w:eastAsia="等线"/>
          <w:vertAlign w:val="subscript"/>
        </w:rPr>
        <w:t>10</w:t>
      </w:r>
      <w:r w:rsidRPr="002F436A">
        <w:rPr>
          <w:rFonts w:eastAsia="等线"/>
        </w:rPr>
        <w:t>Cr</w:t>
      </w:r>
      <w:r w:rsidRPr="002F436A">
        <w:rPr>
          <w:rFonts w:eastAsia="等线"/>
          <w:vertAlign w:val="subscript"/>
        </w:rPr>
        <w:t>10</w:t>
      </w:r>
      <w:r w:rsidRPr="00467323">
        <w:rPr>
          <w:rFonts w:eastAsia="等线"/>
        </w:rPr>
        <w:t xml:space="preserve"> can be tuned by heat treatment, the α’’ martensite phase fraction can also be tailored</w:t>
      </w:r>
      <w:r>
        <w:rPr>
          <w:rFonts w:eastAsia="等线"/>
        </w:rPr>
        <w:t xml:space="preserve"> before loading</w:t>
      </w:r>
      <w:r w:rsidRPr="00467323">
        <w:rPr>
          <w:rFonts w:eastAsia="等线"/>
        </w:rPr>
        <w:t xml:space="preserve"> by varying heat treatment conditions</w:t>
      </w:r>
      <w:r>
        <w:rPr>
          <w:rFonts w:eastAsia="等线"/>
        </w:rPr>
        <w:t xml:space="preserve"> </w:t>
      </w:r>
      <w:r w:rsidRPr="00C06CF3">
        <w:fldChar w:fldCharType="begin" w:fldLock="1"/>
      </w:r>
      <w:r>
        <w:rPr>
          <w:rFonts w:eastAsia="等线" w:cstheme="minorHAnsi"/>
        </w:rPr>
        <w:instrText>ADDIN CSL_CITATION {"citationItems":[{"id":"ITEM-1","itemData":{"DOI":"10.1080/21663831.2016.1221861","ISBN":"2166-3831","ISSN":"21663831","abstract":"ABSTRACTA new bcc Ti-rich high-entropy alloy (HEA) of composition Ti35Zr27.5Hf27.5Nb5Ta5 was designed using the ‘d-electron alloy design’ approach. The tensile behavior displays a marked transformation-induced plasticity effect resulting in a high normalized work-hardening rate of 0.103 without loss of ductility when compared to the reference composition Ti</w:instrText>
      </w:r>
      <w:r>
        <w:rPr>
          <w:rFonts w:eastAsia="等线" w:cstheme="minorHAnsi" w:hint="eastAsia"/>
        </w:rPr>
        <w:instrText xml:space="preserve">20Zr20Hf20Nb20Ta20. In this paper, a detailed microstructural analysis was performed to understand the deformation process, revealing architectural-type microstructures and a high volume fraction (65%) of internally twinned stress-induced martensite </w:instrText>
      </w:r>
      <w:r>
        <w:rPr>
          <w:rFonts w:eastAsia="等线" w:cstheme="minorHAnsi" w:hint="eastAsia"/>
        </w:rPr>
        <w:instrText>α″</w:instrText>
      </w:r>
      <w:r>
        <w:rPr>
          <w:rFonts w:eastAsia="等线" w:cstheme="minorHAnsi" w:hint="eastAsia"/>
        </w:rPr>
        <w:instrText xml:space="preserve"> af</w:instrText>
      </w:r>
      <w:r>
        <w:rPr>
          <w:rFonts w:eastAsia="等线" w:cstheme="minorHAnsi"/>
        </w:rPr>
        <w:instrText>ter mechanical testing. This study opens the way to mechanical properties optimization and enhancement of titanium-based HEAs by combining multiple alloying designs.IMPACT STATEMENTFor the first time, proof is given that transformation-induced plasticity was triggered in a bcc refractory high-entropy alloy, leading to a twofold increase in the normalized work-hardening rate.","author":[{"dropping-particle":"","family":"Lilensten","given":"Lola","non-dropping-particle":"","parse-names":false,"suffix":""},{"dropping-particle":"","family":"Couzinié","given":"Jean Philippe","non-dropping-particle":"","parse-names":false,"suffix":""},{"dropping-particle":"","family":"Bourgon","given":"Julie","non-dropping-particle":"","parse-names":false,"suffix":""},{"dropping-particle":"","family":"Perrière","given":"Loïc","non-dropping-particle":"","parse-names":false,"suffix":""},{"dropping-particle":"","family":"Dirras","given":"Guy","non-dropping-particle":"","parse-names":false,"suffix":""},{"dropping-particle":"","family":"Prima","given":"Frédéric","non-dropping-particle":"","parse-names":false,"suffix":""},{"dropping-particle":"","family":"Guillot","given":"Ivan","non-dropping-particle":"","parse-names":false,"suffix":""}],"container-title":"Materials Research Letters","id":"ITEM-1","issued":{"date-parts":[["2017"]]},"title":"Design and tensile properties of a bcc Ti-rich high-entropy alloy with transformation-induced plasticity","type":"article-journal"},"uris":["http://www.mendeley.com/documents/?uuid=7d6c410c-4dc8-4910-8a3b-35570bc83067"]},{"id":"ITEM-2","itemData":{"DOI":"10.1002/adma.201701678","ISBN":"1521-4095","ISSN":"15214095","PMID":"28590527","abstract":"High-entropy alloys (HEAs) in which interesting physical, chemical, and structural properties are being continuously revealed have recently attracted extensive attention. Body-centered cubic (bcc) HEAs, particularly those based on refractory elements are promising for high-temperature application but generally fail by early cracking with limited plasticity at room temperature, which limits their malleability and widespread uses. Here, the “metastability-engineering” strategy is exploited in brittle bcc HEAs via tailoring the stability of the constituent phases, and transformation-induced ductility and work-hardening capability are successfully achieved. This not only sheds new insights on the development of HEAs with excellent combination of strength and ductility, but also has great implications on overcoming the long-standing strength–ductility tradeoff of metallic materials in general.","author":[{"dropping-particle":"","family":"Huang","given":"Hailong","non-dropping-particle":"","parse-names":false,"suffix":""},{"dropping-particle":"","family":"Wu","given":"Yuan","non-dropping-particle":"","parse-names":false,"suffix":""},{"dropping-particle":"","family":"He","given":"Junyang","non-dropping-particle":"","parse-names":false,"suffix":""},{"dropping-particle":"","family":"Wang","given":"Hui","non-dropping-particle":"","parse-names":false,"suffix":""},{"dropping-particle":"","family":"Liu","given":"Xiongjun","non-dropping-particle":"","parse-names":false,"suffix":""},{"dropping-particle":"","family":"An","given":"Ke","non-dropping-particle":"","parse-names":false,"suffix":""},{"dropping-particle":"","family":"Wu","given":"Wei","non-dropping-particle":"","parse-names":false,"suffix":""},{"dropping-particle":"","family":"Lu","given":"Zhaoping","non-dropping-particle":"","parse-names":false,"suffix":""}],"container-title":"Advanced Materials","id":"ITEM-2","issued":{"date-parts":[["2017"]]},"title":"Phase-Transformation Ductilization of Brittle High-Entropy Alloys via Metastability Engineering","type":"article-journal"},"uris":["http://www.mendeley.com/documents/?uuid=6a46615c-3283-4a8d-af14-6fe177696ac8"]}],"mendeley":{"formattedCitation":"[120,121]","plainTextFormattedCitation":"[120,121]","previouslyFormattedCitation":"[120,121]"},"properties":{"noteIndex":0},"schema":"https://github.com/citation-style-language/schema/raw/master/csl-citation.json"}</w:instrText>
      </w:r>
      <w:r w:rsidRPr="00C06CF3">
        <w:rPr>
          <w:rFonts w:eastAsia="等线" w:cstheme="minorHAnsi"/>
        </w:rPr>
        <w:fldChar w:fldCharType="separate"/>
      </w:r>
      <w:r w:rsidRPr="003B39BC">
        <w:rPr>
          <w:rFonts w:eastAsia="等线"/>
          <w:noProof/>
        </w:rPr>
        <w:t>[120,121]</w:t>
      </w:r>
      <w:r w:rsidRPr="00C06CF3">
        <w:fldChar w:fldCharType="end"/>
      </w:r>
      <w:r w:rsidRPr="008D07D9">
        <w:rPr>
          <w:rFonts w:eastAsia="等线"/>
        </w:rPr>
        <w:t xml:space="preserve">. The effects of TRIP </w:t>
      </w:r>
      <w:r>
        <w:rPr>
          <w:rFonts w:eastAsia="等线"/>
        </w:rPr>
        <w:t>take</w:t>
      </w:r>
      <w:r w:rsidRPr="008D07D9">
        <w:rPr>
          <w:rFonts w:eastAsia="等线"/>
        </w:rPr>
        <w:t xml:space="preserve"> effect at</w:t>
      </w:r>
      <w:r>
        <w:rPr>
          <w:rFonts w:eastAsia="等线"/>
        </w:rPr>
        <w:t xml:space="preserve"> the</w:t>
      </w:r>
      <w:r w:rsidRPr="008D07D9">
        <w:rPr>
          <w:rFonts w:eastAsia="等线"/>
        </w:rPr>
        <w:t xml:space="preserve"> </w:t>
      </w:r>
      <w:r w:rsidRPr="00C06CF3">
        <w:rPr>
          <w:rFonts w:eastAsia="等线"/>
        </w:rPr>
        <w:t xml:space="preserve">early deformation stage and result in enhancement of strain hardening capability. Once the α’’ martensite phase transformation </w:t>
      </w:r>
      <w:r>
        <w:rPr>
          <w:rFonts w:eastAsia="等线"/>
        </w:rPr>
        <w:t>has saturated,</w:t>
      </w:r>
      <w:r w:rsidRPr="00C06CF3">
        <w:rPr>
          <w:rFonts w:eastAsia="等线"/>
        </w:rPr>
        <w:t xml:space="preserve"> other deformation mechanisms start to take effect</w:t>
      </w:r>
      <w:r>
        <w:rPr>
          <w:rFonts w:eastAsia="等线"/>
        </w:rPr>
        <w:t xml:space="preserve"> including the</w:t>
      </w:r>
      <w:r w:rsidRPr="008D07D9">
        <w:rPr>
          <w:rFonts w:eastAsia="等线"/>
        </w:rPr>
        <w:t xml:space="preserve"> </w:t>
      </w:r>
      <w:r w:rsidRPr="00C06CF3">
        <w:rPr>
          <w:rFonts w:eastAsia="等线"/>
        </w:rPr>
        <w:t>stress-induced ω phase</w:t>
      </w:r>
      <w:r>
        <w:rPr>
          <w:rFonts w:eastAsia="等线"/>
        </w:rPr>
        <w:t xml:space="preserve"> and</w:t>
      </w:r>
      <w:r w:rsidRPr="008D07D9">
        <w:rPr>
          <w:rFonts w:eastAsia="等线"/>
        </w:rPr>
        <w:t xml:space="preserve"> </w:t>
      </w:r>
      <w:r w:rsidRPr="00522EBC">
        <w:rPr>
          <w:rFonts w:eastAsia="等线"/>
        </w:rPr>
        <w:t>mechanical twinning</w:t>
      </w:r>
      <w:r w:rsidRPr="009C5F0F">
        <w:rPr>
          <w:rFonts w:eastAsia="等线"/>
        </w:rPr>
        <w:t xml:space="preserve">.      </w:t>
      </w:r>
    </w:p>
    <w:p w14:paraId="5DBEC2A4" w14:textId="4B6B8043" w:rsidR="00624970" w:rsidRPr="00C06CF3" w:rsidRDefault="00624970" w:rsidP="00624970">
      <w:pPr>
        <w:spacing w:afterLines="60" w:after="144" w:line="360" w:lineRule="auto"/>
        <w:jc w:val="both"/>
        <w:rPr>
          <w:rFonts w:eastAsia="等线"/>
        </w:rPr>
      </w:pPr>
      <w:r>
        <w:t xml:space="preserve">Previous discussion considered BCC to </w:t>
      </w:r>
      <w:r w:rsidRPr="006B2891">
        <w:rPr>
          <w:rFonts w:eastAsia="等线"/>
        </w:rPr>
        <w:t xml:space="preserve">α’’ </w:t>
      </w:r>
      <w:r>
        <w:t xml:space="preserve">phase transformation, however, the stress-induced </w:t>
      </w:r>
      <w:r w:rsidRPr="006B2891">
        <w:rPr>
          <w:rFonts w:eastAsia="等线"/>
        </w:rPr>
        <w:t xml:space="preserve">ω phase transformation </w:t>
      </w:r>
      <w:r>
        <w:rPr>
          <w:rFonts w:eastAsia="等线"/>
        </w:rPr>
        <w:t xml:space="preserve">has recently started </w:t>
      </w:r>
      <w:r w:rsidRPr="006B2891">
        <w:rPr>
          <w:rFonts w:eastAsia="等线"/>
        </w:rPr>
        <w:t xml:space="preserve">to </w:t>
      </w:r>
      <w:r>
        <w:rPr>
          <w:rFonts w:eastAsia="等线"/>
        </w:rPr>
        <w:t xml:space="preserve">interest </w:t>
      </w:r>
      <w:r w:rsidRPr="006B2891">
        <w:rPr>
          <w:rFonts w:eastAsia="等线"/>
        </w:rPr>
        <w:t>researchers</w:t>
      </w:r>
      <w:r>
        <w:rPr>
          <w:rFonts w:eastAsia="等线"/>
        </w:rPr>
        <w:t xml:space="preserve">. This is due to </w:t>
      </w:r>
      <w:r w:rsidRPr="006B2891">
        <w:rPr>
          <w:rFonts w:eastAsia="等线"/>
        </w:rPr>
        <w:t xml:space="preserve">its effectiveness in tailoring strength, ductility and strain hardening </w:t>
      </w:r>
      <w:r>
        <w:rPr>
          <w:rFonts w:eastAsia="等线"/>
        </w:rPr>
        <w:t>capacity</w:t>
      </w:r>
      <w:r w:rsidRPr="006B2891">
        <w:rPr>
          <w:rFonts w:eastAsia="等线"/>
        </w:rPr>
        <w:t xml:space="preserve"> of </w:t>
      </w:r>
      <w:r>
        <w:rPr>
          <w:rFonts w:ascii="Times New Roman" w:eastAsia="等线" w:hAnsi="Times New Roman" w:cs="Times New Roman"/>
        </w:rPr>
        <w:t>β</w:t>
      </w:r>
      <w:r w:rsidRPr="006B2891">
        <w:rPr>
          <w:rFonts w:eastAsia="等线"/>
        </w:rPr>
        <w:t>-Ti alloys and Zr-based alloy</w:t>
      </w:r>
      <w:r>
        <w:rPr>
          <w:rFonts w:eastAsia="等线"/>
        </w:rPr>
        <w:t xml:space="preserve">s </w:t>
      </w:r>
      <w:r w:rsidRPr="00C06CF3">
        <w:fldChar w:fldCharType="begin" w:fldLock="1"/>
      </w:r>
      <w:r>
        <w:rPr>
          <w:rFonts w:eastAsia="等线" w:cstheme="minorHAnsi"/>
        </w:rPr>
        <w:instrText>ADDIN CSL_CITATION {"citationItems":[{"id":"ITEM-1","itemData":{"DOI":"10.1007/BF00550217","ISBN":"0022-2461","ISSN":"00222461","abstract":"The omega phase is a metastable phase which forms in alloys of titanium and zirconium with most transition metals. In this paper the available data from both alloy systems on the occurrence, the structure, the mechanism of formation, and the morphology of the phase are reviewed and compared. The effect of omega phase on the mechanical behaviour and on the superconducting properties is then discussed. It is concluded that uncertainties still exist on the mechanism of the omega transformation during quenching and on the mechanism of the effect of omega on the mechanical properties.","author":[{"dropping-particle":"","family":"Hickman","given":"B. S.","non-dropping-particle":"","parse-names":false,"suffix":""}],"container-title":"Journal of Materials Science","id":"ITEM-1","issued":{"date-parts":[["1969"]]},"title":"The formation of omega phase in titanium and zirconium alloys: A review","type":"article"},"uris":["http://www.mendeley.com/documents/?uuid=268202eb-a53c-420a-a734-e208b0a93d92","http://www.mendeley.com/documents/?uuid=1f7e46be-7372-45f5-bff9-721431196928"]}],"mendeley":{"formattedCitation":"[137]","plainTextFormattedCitation":"[137]","previouslyFormattedCitation":"[137]"},"properties":{"noteIndex":0},"schema":"https://github.com/citation-style-language/schema/raw/master/csl-citation.json"}</w:instrText>
      </w:r>
      <w:r w:rsidRPr="00C06CF3">
        <w:rPr>
          <w:rFonts w:eastAsia="等线" w:cstheme="minorHAnsi"/>
        </w:rPr>
        <w:fldChar w:fldCharType="separate"/>
      </w:r>
      <w:r w:rsidRPr="003B39BC">
        <w:rPr>
          <w:rFonts w:eastAsia="等线"/>
          <w:noProof/>
        </w:rPr>
        <w:t>[137]</w:t>
      </w:r>
      <w:r w:rsidRPr="00C06CF3">
        <w:fldChar w:fldCharType="end"/>
      </w:r>
      <w:r w:rsidRPr="006B2891">
        <w:rPr>
          <w:rFonts w:eastAsia="等线"/>
        </w:rPr>
        <w:t>. Depending on the critical condition</w:t>
      </w:r>
      <w:r>
        <w:rPr>
          <w:rFonts w:eastAsia="等线"/>
        </w:rPr>
        <w:t>s for the</w:t>
      </w:r>
      <w:r w:rsidRPr="006B2891">
        <w:rPr>
          <w:rFonts w:eastAsia="等线"/>
        </w:rPr>
        <w:t xml:space="preserve"> </w:t>
      </w:r>
      <w:r>
        <w:rPr>
          <w:rFonts w:eastAsia="等线"/>
        </w:rPr>
        <w:t xml:space="preserve">formation of </w:t>
      </w:r>
      <w:r w:rsidRPr="006B2891">
        <w:rPr>
          <w:rFonts w:eastAsia="等线"/>
        </w:rPr>
        <w:t xml:space="preserve">ω phase, </w:t>
      </w:r>
      <w:r>
        <w:rPr>
          <w:rFonts w:eastAsia="等线"/>
        </w:rPr>
        <w:t>the phase</w:t>
      </w:r>
      <w:r w:rsidRPr="006B2891">
        <w:rPr>
          <w:rFonts w:eastAsia="等线"/>
        </w:rPr>
        <w:t xml:space="preserve"> can be either </w:t>
      </w:r>
      <w:r>
        <w:rPr>
          <w:rFonts w:eastAsia="等线"/>
        </w:rPr>
        <w:t>transform</w:t>
      </w:r>
      <w:r w:rsidR="007D04B9">
        <w:rPr>
          <w:rFonts w:eastAsia="等线"/>
        </w:rPr>
        <w:t>ed</w:t>
      </w:r>
      <w:r>
        <w:rPr>
          <w:rFonts w:eastAsia="等线"/>
        </w:rPr>
        <w:t xml:space="preserve"> from the</w:t>
      </w:r>
      <w:r w:rsidRPr="006F0AAD">
        <w:rPr>
          <w:rFonts w:ascii="Times New Roman" w:eastAsia="等线" w:hAnsi="Times New Roman" w:cs="Times New Roman"/>
        </w:rPr>
        <w:t xml:space="preserve"> </w:t>
      </w:r>
      <w:r>
        <w:rPr>
          <w:rFonts w:ascii="Times New Roman" w:eastAsia="等线" w:hAnsi="Times New Roman" w:cs="Times New Roman"/>
        </w:rPr>
        <w:t>β</w:t>
      </w:r>
      <w:r w:rsidRPr="006B2891">
        <w:rPr>
          <w:rFonts w:eastAsia="等线"/>
        </w:rPr>
        <w:t xml:space="preserve"> matrix</w:t>
      </w:r>
      <w:r>
        <w:rPr>
          <w:rFonts w:eastAsia="等线"/>
        </w:rPr>
        <w:t xml:space="preserve"> via</w:t>
      </w:r>
      <w:r w:rsidRPr="006B2891">
        <w:rPr>
          <w:rFonts w:eastAsia="等线"/>
        </w:rPr>
        <w:t xml:space="preserve"> athermal or isothermal </w:t>
      </w:r>
      <w:r>
        <w:rPr>
          <w:rFonts w:eastAsia="等线"/>
        </w:rPr>
        <w:t>conditions</w:t>
      </w:r>
      <w:r w:rsidRPr="006B2891">
        <w:rPr>
          <w:rFonts w:eastAsia="等线"/>
        </w:rPr>
        <w:t xml:space="preserve">. </w:t>
      </w:r>
      <w:r>
        <w:rPr>
          <w:rFonts w:eastAsia="等线"/>
        </w:rPr>
        <w:t>Unlike the</w:t>
      </w:r>
      <w:r w:rsidRPr="006B2891">
        <w:rPr>
          <w:rFonts w:eastAsia="等线"/>
        </w:rPr>
        <w:t xml:space="preserve"> isothermal ω</w:t>
      </w:r>
      <w:r w:rsidRPr="006B2891" w:rsidDel="00FD08FF">
        <w:rPr>
          <w:rFonts w:eastAsia="等线"/>
        </w:rPr>
        <w:t xml:space="preserve"> </w:t>
      </w:r>
      <w:r w:rsidRPr="006B2891">
        <w:rPr>
          <w:rFonts w:eastAsia="等线"/>
        </w:rPr>
        <w:t xml:space="preserve">phase </w:t>
      </w:r>
      <w:r>
        <w:rPr>
          <w:rFonts w:eastAsia="等线"/>
        </w:rPr>
        <w:t>which possesses</w:t>
      </w:r>
      <w:r w:rsidRPr="006B2891">
        <w:rPr>
          <w:rFonts w:eastAsia="等线"/>
        </w:rPr>
        <w:t xml:space="preserve"> high hardness</w:t>
      </w:r>
      <w:r>
        <w:rPr>
          <w:rFonts w:eastAsia="等线"/>
        </w:rPr>
        <w:t>,</w:t>
      </w:r>
      <w:r w:rsidRPr="006B2891">
        <w:rPr>
          <w:rFonts w:eastAsia="等线"/>
        </w:rPr>
        <w:t xml:space="preserve"> </w:t>
      </w:r>
      <w:r>
        <w:rPr>
          <w:rFonts w:eastAsia="等线"/>
        </w:rPr>
        <w:t xml:space="preserve">a </w:t>
      </w:r>
      <w:r w:rsidRPr="006B2891">
        <w:rPr>
          <w:rFonts w:eastAsia="等线"/>
        </w:rPr>
        <w:t xml:space="preserve">distinct chemical difference </w:t>
      </w:r>
      <w:r>
        <w:rPr>
          <w:rFonts w:eastAsia="等线"/>
        </w:rPr>
        <w:t>with the</w:t>
      </w:r>
      <w:r w:rsidRPr="006B2891">
        <w:rPr>
          <w:rFonts w:eastAsia="等线"/>
        </w:rPr>
        <w:t xml:space="preserve"> </w:t>
      </w:r>
      <w:r w:rsidRPr="006B2702">
        <w:rPr>
          <w:rFonts w:eastAsia="等线" w:cs="Times New Roman"/>
          <w:noProof/>
        </w:rPr>
        <w:t>β</w:t>
      </w:r>
      <w:r w:rsidRPr="006B2891">
        <w:rPr>
          <w:rFonts w:eastAsia="等线"/>
        </w:rPr>
        <w:t xml:space="preserve"> matrix</w:t>
      </w:r>
      <w:r>
        <w:rPr>
          <w:rFonts w:eastAsia="等线"/>
        </w:rPr>
        <w:t xml:space="preserve"> and </w:t>
      </w:r>
      <w:r w:rsidRPr="006B2891">
        <w:rPr>
          <w:rFonts w:eastAsia="等线"/>
        </w:rPr>
        <w:t>benefit</w:t>
      </w:r>
      <w:r>
        <w:rPr>
          <w:rFonts w:eastAsia="等线"/>
        </w:rPr>
        <w:t>s</w:t>
      </w:r>
      <w:r w:rsidRPr="006B2891">
        <w:rPr>
          <w:rFonts w:eastAsia="等线"/>
        </w:rPr>
        <w:t xml:space="preserve"> from low lattice misfit</w:t>
      </w:r>
      <w:r>
        <w:rPr>
          <w:rFonts w:eastAsia="等线"/>
        </w:rPr>
        <w:t>,</w:t>
      </w:r>
      <w:r w:rsidRPr="006B2891">
        <w:rPr>
          <w:rFonts w:eastAsia="等线"/>
        </w:rPr>
        <w:t xml:space="preserve"> the athermal ω phase was commonly accepted as a more effective </w:t>
      </w:r>
      <w:r>
        <w:rPr>
          <w:rFonts w:eastAsia="等线"/>
        </w:rPr>
        <w:t>phase</w:t>
      </w:r>
      <w:r w:rsidRPr="006B2891">
        <w:rPr>
          <w:rFonts w:eastAsia="等线"/>
        </w:rPr>
        <w:t xml:space="preserve"> to reinforce the </w:t>
      </w:r>
      <w:r w:rsidRPr="006B2702">
        <w:rPr>
          <w:rFonts w:eastAsia="等线" w:cs="Times New Roman"/>
          <w:noProof/>
        </w:rPr>
        <w:t>β</w:t>
      </w:r>
      <w:r w:rsidRPr="006B2891">
        <w:rPr>
          <w:rFonts w:eastAsia="等线"/>
        </w:rPr>
        <w:t xml:space="preserve"> matrix. The stress-induced ω phase has been observed</w:t>
      </w:r>
      <w:r w:rsidRPr="00E561AF">
        <w:rPr>
          <w:rFonts w:eastAsia="等线"/>
        </w:rPr>
        <w:t xml:space="preserve"> in many </w:t>
      </w:r>
      <w:r>
        <w:rPr>
          <w:rFonts w:ascii="Times New Roman" w:eastAsia="等线" w:hAnsi="Times New Roman" w:cs="Times New Roman"/>
        </w:rPr>
        <w:t>β</w:t>
      </w:r>
      <w:r w:rsidRPr="006B2891">
        <w:rPr>
          <w:rFonts w:eastAsia="等线"/>
        </w:rPr>
        <w:t xml:space="preserve">-Ti alloys, most of </w:t>
      </w:r>
      <w:r>
        <w:rPr>
          <w:rFonts w:eastAsia="等线"/>
        </w:rPr>
        <w:t>which</w:t>
      </w:r>
      <w:r w:rsidRPr="006B2891">
        <w:rPr>
          <w:rFonts w:eastAsia="等线"/>
        </w:rPr>
        <w:t xml:space="preserve"> </w:t>
      </w:r>
      <w:r>
        <w:rPr>
          <w:rFonts w:eastAsia="等线"/>
        </w:rPr>
        <w:t>formed</w:t>
      </w:r>
      <w:r w:rsidRPr="006B2891">
        <w:rPr>
          <w:rFonts w:eastAsia="等线"/>
        </w:rPr>
        <w:t xml:space="preserve"> a plate-like structure within the s</w:t>
      </w:r>
      <w:r w:rsidRPr="00E561AF">
        <w:rPr>
          <w:rFonts w:eastAsia="等线"/>
        </w:rPr>
        <w:t>ample and favour</w:t>
      </w:r>
      <w:r>
        <w:rPr>
          <w:rFonts w:eastAsia="等线"/>
        </w:rPr>
        <w:t>ed</w:t>
      </w:r>
      <w:r w:rsidRPr="00E561AF">
        <w:rPr>
          <w:rFonts w:eastAsia="等线"/>
        </w:rPr>
        <w:t xml:space="preserve"> nucleat</w:t>
      </w:r>
      <w:r>
        <w:rPr>
          <w:rFonts w:eastAsia="等线"/>
        </w:rPr>
        <w:t>ing</w:t>
      </w:r>
      <w:r w:rsidRPr="00E561AF">
        <w:rPr>
          <w:rFonts w:eastAsia="等线"/>
        </w:rPr>
        <w:t xml:space="preserve"> next to the interface between</w:t>
      </w:r>
      <w:r>
        <w:rPr>
          <w:rFonts w:eastAsia="等线"/>
        </w:rPr>
        <w:t xml:space="preserve"> the</w:t>
      </w:r>
      <w:r w:rsidRPr="00E561AF">
        <w:rPr>
          <w:rFonts w:eastAsia="等线"/>
        </w:rPr>
        <w:t xml:space="preserve"> </w:t>
      </w:r>
      <w:r w:rsidRPr="008E7E17">
        <w:rPr>
          <w:rFonts w:eastAsia="等线" w:cs="Times New Roman"/>
        </w:rPr>
        <w:t>β and α’’</w:t>
      </w:r>
      <w:r w:rsidRPr="006B2891">
        <w:rPr>
          <w:rFonts w:eastAsia="等线"/>
        </w:rPr>
        <w:t xml:space="preserve"> phase</w:t>
      </w:r>
      <w:r>
        <w:rPr>
          <w:rFonts w:eastAsia="等线"/>
        </w:rPr>
        <w:t xml:space="preserve"> </w:t>
      </w:r>
      <w:r w:rsidRPr="00C06CF3">
        <w:fldChar w:fldCharType="begin" w:fldLock="1"/>
      </w:r>
      <w:r>
        <w:rPr>
          <w:rFonts w:eastAsia="等线" w:cstheme="minorHAnsi"/>
        </w:rPr>
        <w:instrText xml:space="preserve">ADDIN CSL_CITATION {"citationItems":[{"id":"ITEM-1","itemData":{"DOI":"10.1016/j.actamat.2004.07.008","ISBN":"1359-6454","ISSN":"13596454","abstract":"The formation of a plate shaped ω phase in Zr-Nb alloy after shock deformation has been studied with a view to ascertaining the nature of this transformation. The orientation relationship between the β and the ω lattices was {1 1 1} β//(0 0 0 1)ω, and </w:instrText>
      </w:r>
      <w:r>
        <w:rPr>
          <w:rFonts w:eastAsia="等线" w:cstheme="minorHAnsi" w:hint="eastAsia"/>
        </w:rPr>
        <w:instrText>〈</w:instrText>
      </w:r>
      <w:r>
        <w:rPr>
          <w:rFonts w:eastAsia="等线" w:cstheme="minorHAnsi"/>
        </w:rPr>
        <w:instrText>1 1̄ 0</w:instrText>
      </w:r>
      <w:r>
        <w:rPr>
          <w:rFonts w:eastAsia="等线" w:cstheme="minorHAnsi" w:hint="eastAsia"/>
        </w:rPr>
        <w:instrText>〉</w:instrText>
      </w:r>
      <w:r>
        <w:rPr>
          <w:rFonts w:eastAsia="等线" w:cstheme="minorHAnsi"/>
        </w:rPr>
        <w:instrText xml:space="preserve"> β// </w:instrText>
      </w:r>
      <w:r>
        <w:rPr>
          <w:rFonts w:eastAsia="等线" w:cstheme="minorHAnsi" w:hint="eastAsia"/>
        </w:rPr>
        <w:instrText>〈</w:instrText>
      </w:r>
      <w:r>
        <w:rPr>
          <w:rFonts w:eastAsia="等线" w:cstheme="minorHAnsi"/>
        </w:rPr>
        <w:instrText>1 1 2̄ 0</w:instrText>
      </w:r>
      <w:r>
        <w:rPr>
          <w:rFonts w:eastAsia="等线" w:cstheme="minorHAnsi" w:hint="eastAsia"/>
        </w:rPr>
        <w:instrText>〉ω</w:instrText>
      </w:r>
      <w:r>
        <w:rPr>
          <w:rFonts w:eastAsia="等线" w:cstheme="minorHAnsi"/>
        </w:rPr>
        <w:instrText xml:space="preserve"> which is identical to that seen in case of ω phase forming in this alloy on therma</w:instrText>
      </w:r>
      <w:r>
        <w:rPr>
          <w:rFonts w:eastAsia="等线" w:cstheme="minorHAnsi" w:hint="eastAsia"/>
        </w:rPr>
        <w:instrText xml:space="preserve">l treatment. The experimentally determined habit plane of the plate shaped </w:instrText>
      </w:r>
      <w:r>
        <w:rPr>
          <w:rFonts w:eastAsia="等线" w:cstheme="minorHAnsi" w:hint="eastAsia"/>
        </w:rPr>
        <w:instrText>ω</w:instrText>
      </w:r>
      <w:r>
        <w:rPr>
          <w:rFonts w:eastAsia="等线" w:cstheme="minorHAnsi" w:hint="eastAsia"/>
        </w:rPr>
        <w:instrText xml:space="preserve"> phase has been compared with that predicted from the phenomenological theory of martensite formation. A mechanism of transformation involving shear on the </w:instrText>
      </w:r>
      <w:r>
        <w:rPr>
          <w:rFonts w:eastAsia="等线" w:cstheme="minorHAnsi" w:hint="eastAsia"/>
        </w:rPr>
        <w:instrText>〈</w:instrText>
      </w:r>
      <w:r>
        <w:rPr>
          <w:rFonts w:eastAsia="等线" w:cstheme="minorHAnsi" w:hint="eastAsia"/>
        </w:rPr>
        <w:instrText>1 1 2</w:instrText>
      </w:r>
      <w:r>
        <w:rPr>
          <w:rFonts w:eastAsia="等线" w:cstheme="minorHAnsi" w:hint="eastAsia"/>
        </w:rPr>
        <w:instrText>〉</w:instrText>
      </w:r>
      <w:r>
        <w:rPr>
          <w:rFonts w:eastAsia="等线" w:cstheme="minorHAnsi" w:hint="eastAsia"/>
        </w:rPr>
        <w:instrText xml:space="preserve"> planes has been</w:instrText>
      </w:r>
      <w:r>
        <w:rPr>
          <w:rFonts w:eastAsia="等线" w:cstheme="minorHAnsi"/>
        </w:rPr>
        <w:instrText xml:space="preserve"> considered. The importance of mechanical instability of the β phase in bringing about this transformation has been investigated. The mechanism of initiation of ω transformation has been ascertained by high resolution electron microscopy (HREM) of the β lattice and compared with that happening during ω formation in the same alloy by thermal treatment. © 2004 Acta Materialia Inc. Published by Elsevier Ltd. All rights reserved.","author":[{"dropping-particle":"","family":"Dey","given":"G. K.","non-dropping-particle":"","parse-names":false,"suffix":""},{"dropping-particle":"","family":"Tewari","given":"R.","non-dropping-particle":"","parse-names":false,"suffix":""},{"dropping-particle":"","family":"Banerjee","given":"S.","non-dropping-particle":"","parse-names":false,"suffix":""},{"dropping-particle":"","family":"Jyoti","given":"G.","non-dropping-particle":"","parse-names":false,"suffix":""},{"dropping-particle":"","family":"Gupta","given":"S. C.","non-dropping-particle":"","parse-names":false,"suffix":""},{"dropping-particle":"","family":"Joshi","given":"K. D.","non-dropping-particle":"","parse-names":false,"suffix":""},{"dropping-particle":"","family":"Sikka","given":"S. K.","non-dropping-particle":"","parse-names":false,"suffix":""}],"container-title":"Acta Materialia","id":"ITEM-1","issued":{"date-parts":[["2004"]]},"title":"Formation of a shock deformation induced ω phase in Zr 20 Nb alloy","type":"article-journal"},"uris":["http://www.mendeley.com/documents/?uuid=ca5ae256-bc93-4bde-8596-bc34aac3810c","http://www.mendeley.com/documents/?uuid=f78ec1b6-416e-41cf-9137-bd52d5af97b3"]},{"id":"ITEM-2","itemData":{"DOI":"10.1063/1.2959183","ISBN":"0003-6951","ISSN":"00036951","abstract":"112 mechanical twinning and stress-induced omega transition were observed by high-resolution transmission electron microscope in a metastable beta titanium alloy with chemical composition of Ti-23Nb-0.7Ta-2Zr-1.2O at. % after deformation. The orientation relationships between the omega phase and beta parent matrix are ((1) over bar 010)(omega) parallel to (211)(beta), 1 (2) over bar 10(omega) parallel to (1) over bar 11(beta), (0001)(omega) parallel to (111)(beta) often observed for the thermal omega transition. Both mechanical twinning and omega transition arise from the shear along 112. A dislocation mechanism for mechanical twinning and stress-induced omega transition was discussed additionally. (C) 2008 American Institute of Physics.","author":[{"dropping-particle":"","family":"Xing","given":"H.","non-dropping-particle":"","parse-names":false,"suffix":""},{"dropping-particle":"","family":"Sun","given":"J.","non-dropping-particle":"","parse-names":false,"suffix":""}],"container-title":"Applied Physics Letters","id":"ITEM-2","issued":{"date-parts":[["2008"]]},"title":"Mechan</w:instrText>
      </w:r>
      <w:r>
        <w:rPr>
          <w:rFonts w:eastAsia="等线" w:cstheme="minorHAnsi" w:hint="eastAsia"/>
        </w:rPr>
        <w:instrText xml:space="preserve">ical twinning and omega transition by </w:instrText>
      </w:r>
      <w:r>
        <w:rPr>
          <w:rFonts w:eastAsia="等线" w:cstheme="minorHAnsi" w:hint="eastAsia"/>
        </w:rPr>
        <w:instrText>〈</w:instrText>
      </w:r>
      <w:r>
        <w:rPr>
          <w:rFonts w:eastAsia="等线" w:cstheme="minorHAnsi" w:hint="eastAsia"/>
        </w:rPr>
        <w:instrText>111</w:instrText>
      </w:r>
      <w:r>
        <w:rPr>
          <w:rFonts w:eastAsia="等线" w:cstheme="minorHAnsi" w:hint="eastAsia"/>
        </w:rPr>
        <w:instrText>〉</w:instrText>
      </w:r>
      <w:r>
        <w:rPr>
          <w:rFonts w:eastAsia="等线" w:cstheme="minorHAnsi" w:hint="eastAsia"/>
        </w:rPr>
        <w:instrText xml:space="preserve"> {112} shear in a metastable ß titanium alloy","type":"article-journal"},"uris":["http://www.mendeley.com/documents/?uuid=997d1aa0-c89c-4399-a130-5d1925251433","http://www.mendeley.com/documents/?uuid=c0f5d87a-6a</w:instrText>
      </w:r>
      <w:r>
        <w:rPr>
          <w:rFonts w:eastAsia="等线" w:cstheme="minorHAnsi"/>
        </w:rPr>
        <w:instrText>be-46f9-b34b-ecf382dfa6a7"]}],"mendeley":{"formattedCitation":"[134,138]","plainTextFormattedCitation":"[134,138]","previouslyFormattedCitation":"[134,138]"},"properties":{"noteIndex":0},"schema":"https://github.com/citation-style-language/schema/raw/master/csl-citation.json"}</w:instrText>
      </w:r>
      <w:r w:rsidRPr="00C06CF3">
        <w:rPr>
          <w:rFonts w:eastAsia="等线" w:cstheme="minorHAnsi"/>
        </w:rPr>
        <w:fldChar w:fldCharType="separate"/>
      </w:r>
      <w:r w:rsidRPr="003B39BC">
        <w:rPr>
          <w:rFonts w:eastAsia="等线"/>
          <w:noProof/>
        </w:rPr>
        <w:t>[134,138]</w:t>
      </w:r>
      <w:r w:rsidRPr="00C06CF3">
        <w:fldChar w:fldCharType="end"/>
      </w:r>
      <w:r w:rsidRPr="006B2891">
        <w:rPr>
          <w:rFonts w:eastAsia="等线"/>
        </w:rPr>
        <w:t xml:space="preserve">. </w:t>
      </w:r>
      <w:r w:rsidRPr="00C06CF3">
        <w:rPr>
          <w:rFonts w:eastAsia="等线"/>
        </w:rPr>
        <w:t xml:space="preserve">Owing </w:t>
      </w:r>
      <w:r w:rsidRPr="006B2891">
        <w:rPr>
          <w:rFonts w:eastAsia="等线"/>
        </w:rPr>
        <w:t>to the high strength and coherent linkage with</w:t>
      </w:r>
      <w:r>
        <w:rPr>
          <w:rFonts w:eastAsia="等线"/>
        </w:rPr>
        <w:t xml:space="preserve"> the</w:t>
      </w:r>
      <w:r w:rsidRPr="006B2891">
        <w:rPr>
          <w:rFonts w:eastAsia="等线"/>
        </w:rPr>
        <w:t xml:space="preserve"> </w:t>
      </w:r>
      <w:r w:rsidRPr="006B2702">
        <w:rPr>
          <w:rFonts w:eastAsia="等线" w:cs="Times New Roman"/>
          <w:noProof/>
        </w:rPr>
        <w:t>β</w:t>
      </w:r>
      <w:r>
        <w:rPr>
          <w:rFonts w:eastAsia="等线" w:cs="Times New Roman"/>
        </w:rPr>
        <w:t xml:space="preserve"> matrix, several investigations explored the possibility of </w:t>
      </w:r>
      <w:r w:rsidRPr="006B2702">
        <w:rPr>
          <w:rFonts w:eastAsia="等线" w:cs="Times New Roman"/>
          <w:noProof/>
        </w:rPr>
        <w:t>utili</w:t>
      </w:r>
      <w:r>
        <w:rPr>
          <w:rFonts w:eastAsia="等线" w:cs="Times New Roman"/>
          <w:noProof/>
        </w:rPr>
        <w:t>sing the</w:t>
      </w:r>
      <w:r>
        <w:rPr>
          <w:rFonts w:eastAsia="等线" w:cs="Times New Roman"/>
        </w:rPr>
        <w:t xml:space="preserve"> stress-induced</w:t>
      </w:r>
      <w:r w:rsidRPr="006B2891">
        <w:rPr>
          <w:rFonts w:eastAsia="等线"/>
        </w:rPr>
        <w:t xml:space="preserve"> ω phase as</w:t>
      </w:r>
      <w:r>
        <w:rPr>
          <w:rFonts w:eastAsia="等线"/>
        </w:rPr>
        <w:t xml:space="preserve"> a</w:t>
      </w:r>
      <w:r w:rsidRPr="006B2891">
        <w:rPr>
          <w:rFonts w:eastAsia="等线"/>
        </w:rPr>
        <w:t xml:space="preserve"> deformation mechanism</w:t>
      </w:r>
      <w:r>
        <w:rPr>
          <w:rFonts w:eastAsia="等线"/>
        </w:rPr>
        <w:t xml:space="preserve"> </w:t>
      </w:r>
      <w:r w:rsidRPr="00C06CF3">
        <w:fldChar w:fldCharType="begin" w:fldLock="1"/>
      </w:r>
      <w:r>
        <w:rPr>
          <w:rFonts w:eastAsia="等线" w:cstheme="minorHAnsi"/>
        </w:rPr>
        <w:instrText>ADDIN CSL_CITATION {"citationItems":[{"id":"ITEM-1","itemData":{"DOI":"10.1063/1.2959183","ISBN":"0003-6951","ISSN":"00036951","abstract":"112 mechanical twinning and stress-induced omega transition were observed by high-resolution transmission electron microscope in a metastable beta titanium alloy with chemical composition of Ti-23Nb-0.7Ta-2Zr-1.2O at. % after deformation. The orientation relationships between the omega phase and beta parent matrix are ((1) over bar 010)(omega) parallel to (211)(beta), 1 (2) over bar 10(omega) parallel to (1) over bar 11(beta), (0001)(omega) parallel to (111)(beta) often observed for the thermal omega transition. Both mechanical twinning and omega transition arise from the shear along 112. A dislocation mechanism for mechanical twinning and stress-induced omega transition was discussed additionally. (C) 2008 American Institute of Physics.","author":[{"dropping-particle":"","family":"Xing","given":"H.","non-dropping-particle":"","parse-names":false,"suffix":""},{"droppin</w:instrText>
      </w:r>
      <w:r>
        <w:rPr>
          <w:rFonts w:eastAsia="等线" w:cstheme="minorHAnsi" w:hint="eastAsia"/>
        </w:rPr>
        <w:instrText xml:space="preserve">g-particle":"","family":"Sun","given":"J.","non-dropping-particle":"","parse-names":false,"suffix":""}],"container-title":"Applied Physics Letters","id":"ITEM-1","issued":{"date-parts":[["2008"]]},"title":"Mechanical twinning and omega transition by </w:instrText>
      </w:r>
      <w:r>
        <w:rPr>
          <w:rFonts w:eastAsia="等线" w:cstheme="minorHAnsi" w:hint="eastAsia"/>
        </w:rPr>
        <w:instrText>〈</w:instrText>
      </w:r>
      <w:r>
        <w:rPr>
          <w:rFonts w:eastAsia="等线" w:cstheme="minorHAnsi" w:hint="eastAsia"/>
        </w:rPr>
        <w:instrText>111</w:instrText>
      </w:r>
      <w:r>
        <w:rPr>
          <w:rFonts w:eastAsia="等线" w:cstheme="minorHAnsi" w:hint="eastAsia"/>
        </w:rPr>
        <w:instrText>〉</w:instrText>
      </w:r>
      <w:r>
        <w:rPr>
          <w:rFonts w:eastAsia="等线" w:cstheme="minorHAnsi"/>
        </w:rPr>
        <w:instrText xml:space="preserve"> {112} shear in a metastable ß titanium alloy","type":"article-journal"},"uris":["http://www.mendeley.com/documents/?uuid=c0f5d87a-6abe-46f9-b34b-ecf382dfa6a7"]},{"id":"ITEM-2","itemData":{"DOI":"10.1016/j.matchar.2015.06.038","ISBN":"10445803","ISSN":"10445803","abstract":"Tensile properties and deformation microstructures of a series of binary β Ti-16-22V alloys have been investigated. The results show that the plastic deformation mode changes from the plate-like stress-induced ω phase transformation with a special habit plane of {-5052}ω//{3-3-2}βto {332}&lt;113&gt; type deformation twinning with increasing the content of vanadium in the β Ti-16-22 wt.% V alloys. The plate-like stress-induced ω phase has a special orientation relationship with the β phase matrix, i.e., [110]β//[-12-10]ω, (3-3-2)β//(-5052)ωand (-55-4)β//(30-31)ω. The alloys plastically deformed by stress-induced ω phase transformation exhibit relatively higher yield strength than those deformed via {332}&lt;113&gt; type deformation twinning. It can be concluded that the stability of β phase plays a significant role in plastic deformation mode, i.e., stress-induced ω phase transformation or {332}&lt;113&gt; type deformation twinning, which governs the mechanical property of the β Ti-16-22 wt.% V alloys.","author":[{"dropping-particle":"","family":"Wang","given":"X. L.","non-dropping-particle":"","parse-names":false,"suffix":""},{"dropping-particle":"","family":"Li","given":"L.","non-dropping-particle":"","parse-names":false,"suffix":""},{"dropping-particle":"","family":"Mei","given":"W.","non-dropping-particle":"","parse-names":false,"suffix":""},{"dropping-particle":"","family":"Wang","given":"W. L.","non-dropping-particle":"","parse-names":false,"suffix":""},{"dropping-particle":"","family":"Sun","given":"J.","non-dropping-particle":"","parse-names":false,"suffix":""}],"container-title":"Materials Characterization","id":"ITEM-2","issued":{"date-parts":[["2015"]]},"title":"Dependence of stress-induced omega transition and mechanical twinning on phase stability in metastable β Ti-V alloys","type":"article-journal"},"uris":["http://www.mendeley.com/documents/?uuid=858cf2ec-f9a5-4cd4-ae33-920e61cdd518"]},{"id":"ITEM-3","itemData":{"DOI":"10.1016/j.actamat.2018.03.053","ISBN":"1359-6454","ISSN":"13596454","abstract":"We have investigated the twinning-induced plasticity (TWIP) and transformation-induced plasticity (TRIP) as well as the influence of ω phase on these two phenomena in a metastable β-type Ti–25Nb–0.7Ta–2Zr (at.%) alloy. We set off with two starting states: one is ω-free and the other one contains a high number density (3.20 ± 0.78 × 1024 m−3) of nanometer-sized (</w:instrText>
      </w:r>
      <w:r>
        <w:rPr>
          <w:rFonts w:ascii="Cambria Math" w:eastAsia="等线" w:hAnsi="Cambria Math" w:cs="Cambria Math"/>
        </w:rPr>
        <w:instrText>∼</w:instrText>
      </w:r>
      <w:r>
        <w:rPr>
          <w:rFonts w:eastAsia="等线" w:cstheme="minorHAnsi"/>
        </w:rPr>
        <w:instrText xml:space="preserve">1.23 nm) </w:instrText>
      </w:r>
      <w:r>
        <w:rPr>
          <w:rFonts w:ascii="Calibri" w:eastAsia="等线" w:hAnsi="Calibri" w:cs="Calibri"/>
        </w:rPr>
        <w:instrText>ω</w:instrText>
      </w:r>
      <w:r>
        <w:rPr>
          <w:rFonts w:eastAsia="等线" w:cstheme="minorHAnsi"/>
        </w:rPr>
        <w:instrText xml:space="preserve"> particles. Deformation experiments demonstrate that the plastic deformation of the ω-free alloy is mediated by stress-induce</w:instrText>
      </w:r>
      <w:r>
        <w:rPr>
          <w:rFonts w:eastAsia="等线" w:cstheme="minorHAnsi" w:hint="eastAsia"/>
        </w:rPr>
        <w:instrText xml:space="preserve">d </w:instrText>
      </w:r>
      <w:r>
        <w:rPr>
          <w:rFonts w:eastAsia="等线" w:cstheme="minorHAnsi" w:hint="eastAsia"/>
        </w:rPr>
        <w:instrText>β</w:instrText>
      </w:r>
      <w:r>
        <w:rPr>
          <w:rFonts w:eastAsia="等线" w:cstheme="minorHAnsi" w:hint="eastAsia"/>
        </w:rPr>
        <w:instrText xml:space="preserve"> </w:instrText>
      </w:r>
      <w:r>
        <w:rPr>
          <w:rFonts w:eastAsia="等线" w:cstheme="minorHAnsi" w:hint="eastAsia"/>
        </w:rPr>
        <w:instrText>→</w:instrText>
      </w:r>
      <w:r>
        <w:rPr>
          <w:rFonts w:eastAsia="等线" w:cstheme="minorHAnsi" w:hint="eastAsia"/>
        </w:rPr>
        <w:instrText xml:space="preserve"> </w:instrText>
      </w:r>
      <w:r>
        <w:rPr>
          <w:rFonts w:eastAsia="等线" w:cstheme="minorHAnsi" w:hint="eastAsia"/>
        </w:rPr>
        <w:instrText>α”</w:instrText>
      </w:r>
      <w:r>
        <w:rPr>
          <w:rFonts w:eastAsia="等线" w:cstheme="minorHAnsi" w:hint="eastAsia"/>
        </w:rPr>
        <w:instrText xml:space="preserve"> martensitic transformation, {332} twinning and dislocation slip, where the former two induce joint TRIP and TWIP effects and the latter one carries the majority of the plastic strain. In the </w:instrText>
      </w:r>
      <w:r>
        <w:rPr>
          <w:rFonts w:eastAsia="等线" w:cstheme="minorHAnsi" w:hint="eastAsia"/>
        </w:rPr>
        <w:instrText>ω</w:instrText>
      </w:r>
      <w:r>
        <w:rPr>
          <w:rFonts w:eastAsia="等线" w:cstheme="minorHAnsi" w:hint="eastAsia"/>
        </w:rPr>
        <w:instrText xml:space="preserve">-enriched alloy, the </w:instrText>
      </w:r>
      <w:r>
        <w:rPr>
          <w:rFonts w:eastAsia="等线" w:cstheme="minorHAnsi" w:hint="eastAsia"/>
        </w:rPr>
        <w:instrText>ω</w:instrText>
      </w:r>
      <w:r>
        <w:rPr>
          <w:rFonts w:eastAsia="等线" w:cstheme="minorHAnsi" w:hint="eastAsia"/>
        </w:rPr>
        <w:instrText xml:space="preserve"> particles fully suppress the TW</w:instrText>
      </w:r>
      <w:r>
        <w:rPr>
          <w:rFonts w:eastAsia="等线" w:cstheme="minorHAnsi"/>
        </w:rPr>
        <w:instrText>IP and TRIP effects and promote localization of dislocation plasticity into specific ω-devoid channels. Atom probe tomography analysis reveals that the elemental partitioning between β and ω results in only subtle enrichment of solutes in the β matrix, which cannot sufficiently stabilize the matrix to prevent martensitic transformation and twinning. A new mechanism based on the shear modulus difference between β and ω is proposed to explain the suppression of TRIP and TWIP effects by ω particles.","author":[{"dropping-particle":"","family":"Lai","given":"M. J.","non-dropping-particle":"","parse-names":false,"suffix":""},{"dropping-particle":"","family":"Li","given":"T.","non-dropping-particle":"","parse-names":false,"suffix":""},{"dropping-particle":"","family":"Raabe","given":"D.","non-dropping-particle":"","parse-names":false,"suffix":""}],"container-title":"Acta Materialia","id":"ITEM-3","issued":{"date-parts":[["2018"]]},"title":"ω phase acts as a switch between dislocation channeling and joint twinning- and transformation-induced plasticity in a metastable β titanium alloy","type":"article-journal"},"uris":["http://www.mendeley.com/documents/?uuid=6767e1f9-eac2-41e7-b3d8-2cc929975681"]},{"id":"ITEM-4","itemData":{"DOI":"10.1007/s00117-017-0224-0","ISBN":"2041-1723 (Electronic)\\r2041-1723 (Linking)","ISSN":"0033832X","PMID":"28145484","abstract":"The most efficient way to tune microstructures and mechanical properties of metallic alloys lies in designing and using athermal phase transformations. Examples are shape memory alloys and high strength steels, which together stand for 1,500 million tons annual production. In these materials, martensite formation and mechanical twinning are tuned via composition adjustment for realizing complex microstructures and beneficial mechanical properties. Here we report a new phase transformation that has the potential to widen the application window of Ti alloys, the most important structural material in aerospace design, by nanostructuring them via complexion-mediated transformation. This is a reversible martensitic transformation mechanism that leads to a final nanolaminate structure of a 00 (orthorhombic) martensite bounded with planar complexions of athermal o (a–o, hexagonal). Both phases are crystallographically related to the parent b (BCC) matrix. As expected from a planar complexion, the a–o is stable only at the hetero-interface.","author":[{"dropping-particle":"","family":"Zhang","given":"J.","non-dropping-particle":"","parse-names":false,"suffix":""},{"dropping-particle":"","family":"Tasan","given":"C. C.","non-dropping-particle":"","parse-names":false,"suffix":""},{"dropping-particle":"","family":"Lai","given":"M. J.","non-dropping-particle":"","parse-names":false,"suffix":""},{"dropping-particle":"","family":"Dippel","given":"A. C.","non-dropping-particle":"","parse-names":false,"suffix":""},{"dropping-particle":"","family":"Raabe","given":"D.","non-dropping-particle":"","parse-names":false,"suffix":""}],"container-title":"Nature Communications","id":"ITEM-4","issued":{"date-parts":[["2017"]]},"title":"Complexion-mediated martensitic phase transformation in Titanium","type":"article-journal"},"uris":["http://www.mendeley.com/documents/?uuid=c801766a-ea25-47c2-92f9-7ac38f92d331"]}],"mendeley":{"formattedCitation":"[133,134,139,140]","plainTextFormattedCitation":"[133,134,139,140]","previouslyFormattedCitation":"[133,134,139,140]"},"properties":{"noteIndex":0},"schema":"https://github.com/citation-style-language/schema/raw/master/csl-citation.json"}</w:instrText>
      </w:r>
      <w:r w:rsidRPr="00C06CF3">
        <w:rPr>
          <w:rFonts w:eastAsia="等线" w:cstheme="minorHAnsi"/>
        </w:rPr>
        <w:fldChar w:fldCharType="separate"/>
      </w:r>
      <w:r w:rsidRPr="003B39BC">
        <w:rPr>
          <w:rFonts w:eastAsia="等线"/>
          <w:noProof/>
        </w:rPr>
        <w:t>[133,134,139,140]</w:t>
      </w:r>
      <w:r w:rsidRPr="00C06CF3">
        <w:fldChar w:fldCharType="end"/>
      </w:r>
      <w:r w:rsidRPr="006B2891">
        <w:rPr>
          <w:rFonts w:eastAsia="等线"/>
        </w:rPr>
        <w:t xml:space="preserve">. </w:t>
      </w:r>
      <w:r>
        <w:rPr>
          <w:rFonts w:eastAsia="等线"/>
        </w:rPr>
        <w:t>With the aim to activate</w:t>
      </w:r>
      <w:r w:rsidRPr="006B2891">
        <w:rPr>
          <w:rFonts w:eastAsia="等线"/>
        </w:rPr>
        <w:t xml:space="preserve"> the athermal ω phase transformation, the relationship of stress-induced ω phase and </w:t>
      </w:r>
      <w:r w:rsidRPr="001B3B95">
        <w:rPr>
          <w:rFonts w:eastAsia="等线" w:cs="Times New Roman"/>
        </w:rPr>
        <w:t>β</w:t>
      </w:r>
      <w:r w:rsidRPr="006B2891">
        <w:rPr>
          <w:rFonts w:eastAsia="等线"/>
        </w:rPr>
        <w:t xml:space="preserve"> phase stability was explored </w:t>
      </w:r>
      <w:r>
        <w:rPr>
          <w:rFonts w:eastAsia="等线"/>
        </w:rPr>
        <w:t>by</w:t>
      </w:r>
      <w:r w:rsidRPr="006B2891">
        <w:rPr>
          <w:rFonts w:eastAsia="等线"/>
        </w:rPr>
        <w:t xml:space="preserve"> varying the </w:t>
      </w:r>
      <w:r w:rsidRPr="001B3B95">
        <w:rPr>
          <w:rFonts w:eastAsia="等线" w:cs="Times New Roman"/>
        </w:rPr>
        <w:t xml:space="preserve">β </w:t>
      </w:r>
      <w:r w:rsidRPr="006B2702">
        <w:rPr>
          <w:rFonts w:eastAsia="等线" w:cs="Times New Roman"/>
          <w:noProof/>
        </w:rPr>
        <w:t>stabili</w:t>
      </w:r>
      <w:r>
        <w:rPr>
          <w:rFonts w:eastAsia="等线" w:cs="Times New Roman"/>
          <w:noProof/>
        </w:rPr>
        <w:t>s</w:t>
      </w:r>
      <w:r w:rsidRPr="006B2702">
        <w:rPr>
          <w:rFonts w:eastAsia="等线" w:cs="Times New Roman"/>
          <w:noProof/>
        </w:rPr>
        <w:t>er</w:t>
      </w:r>
      <w:r w:rsidRPr="001B3B95">
        <w:rPr>
          <w:rFonts w:eastAsia="等线" w:cs="Times New Roman"/>
        </w:rPr>
        <w:t xml:space="preserve"> content in Ti-V binary alloys </w:t>
      </w:r>
      <w:r w:rsidRPr="00C06CF3">
        <w:fldChar w:fldCharType="begin" w:fldLock="1"/>
      </w:r>
      <w:r>
        <w:rPr>
          <w:rFonts w:eastAsia="等线" w:cs="Times New Roman"/>
        </w:rPr>
        <w:instrText>ADDIN CSL_CITATION {"citationItems":[{"id":"ITEM-1","itemData":{"DOI":"10.1016/j.matchar.2015.06.038","ISBN":"10445803","ISSN":"10445803","abstract":"Tensile properties and deformation microstructures of a series of binary β Ti-16-22V alloys have been investigated. The results show that the plastic deformation mode changes from the plate-like stress-induced ω phase transformation with a special habit plane of {-5052}ω//{3-3-2}βto {332}&lt;113&gt; type deformation twinning with increasing the content of vanadium in the β Ti-16-22 wt.% V alloys. The plate-like stress-induced ω phase has a special orientation relationship with the β phase matrix, i.e., [110]β//[-12-10]ω, (3-3-2)β//(-5052)ωand (-55-4)β//(30-31)ω. The alloys plastically deformed by stress-induced ω phase transformation exhibit relatively higher yield strength than those deformed via {332}&lt;113&gt; type deformation twinning. It can be concluded that the stability of β phase plays a significant role in plastic deformation mode, i.e., stress-induced ω phase transformation or {332}&lt;113&gt; type deformation twinning, which governs the mechanical property of the β Ti-16-22 wt.% V alloys.","author":[{"dropping-particle":"","family":"Wang","given":"X. L.","non-dropping-particle":"","parse-names":false,"suffix":""},{"dropping-particle":"","family":"Li","given":"L.","non-dropping-particle":"","parse-names":false,"suffix":""},{"dropping-particle":"","family":"Mei","given":"W.","non-dropping-particle":"","parse-names":false,"suffix":""},{"dropping-particle":"","family":"Wang","given":"W. L.","non-dropping-particle":"","parse-names":false,"suffix":""},{"dropping-particle":"","family":"Sun","given":"J.","non-dropping-particle":"","parse-names":false,"suffix":""}],"container-title":"Materials Characterization","id":"ITEM-1","issued":{"date-parts":[["2015"]]},"title":"Dependence of stress-induced omega transition and mechanical twinning on phase stability in metastable β Ti-V alloys","type":"article-journal"},"uris":["http://www.mendeley.com/documents/?uuid=858cf2ec-f9a5-4cd4-ae33-920e61cdd518","http://www.mendeley.com/documents/?uuid=bd277a6c-148e-4b84-8352-391e8d5ad4f5"]}],"mendeley":{"formattedCitation":"[139]","plainTextFormattedCitation":"[139]","previouslyFormattedCitation":"[139]"},"properties":{"noteIndex":0},"schema":"https://github.com/citation-style-language/schema/raw/master/csl-citation.json"}</w:instrText>
      </w:r>
      <w:r w:rsidRPr="00C06CF3">
        <w:rPr>
          <w:rFonts w:eastAsia="等线" w:cs="Times New Roman"/>
        </w:rPr>
        <w:fldChar w:fldCharType="separate"/>
      </w:r>
      <w:r w:rsidRPr="003B39BC">
        <w:rPr>
          <w:rFonts w:eastAsia="等线" w:cs="Times New Roman"/>
          <w:noProof/>
        </w:rPr>
        <w:t>[139]</w:t>
      </w:r>
      <w:r w:rsidRPr="00C06CF3">
        <w:fldChar w:fldCharType="end"/>
      </w:r>
      <w:r w:rsidRPr="00316922">
        <w:rPr>
          <w:rFonts w:eastAsia="等线" w:cs="Times New Roman"/>
        </w:rPr>
        <w:t xml:space="preserve">. </w:t>
      </w:r>
      <w:r>
        <w:rPr>
          <w:rFonts w:eastAsia="等线" w:cs="Times New Roman"/>
        </w:rPr>
        <w:t xml:space="preserve">It was found that with the </w:t>
      </w:r>
      <w:r w:rsidRPr="006B2702">
        <w:rPr>
          <w:rFonts w:eastAsia="等线" w:cs="Times New Roman"/>
          <w:noProof/>
        </w:rPr>
        <w:t>increase</w:t>
      </w:r>
      <w:r>
        <w:rPr>
          <w:rFonts w:eastAsia="等线" w:cs="Times New Roman"/>
        </w:rPr>
        <w:t xml:space="preserve"> in V </w:t>
      </w:r>
      <w:r w:rsidRPr="006B2702">
        <w:rPr>
          <w:rFonts w:eastAsia="等线" w:cs="Times New Roman"/>
          <w:noProof/>
        </w:rPr>
        <w:t>addition</w:t>
      </w:r>
      <w:r>
        <w:rPr>
          <w:rFonts w:eastAsia="等线" w:cs="Times New Roman"/>
          <w:noProof/>
        </w:rPr>
        <w:t xml:space="preserve"> for high V content Ti-alloy,</w:t>
      </w:r>
      <w:r>
        <w:rPr>
          <w:rFonts w:eastAsia="等线" w:cs="Times New Roman"/>
        </w:rPr>
        <w:t xml:space="preserve"> the deformation mechanism activation was determined as </w:t>
      </w:r>
      <w:r w:rsidRPr="006B2702">
        <w:rPr>
          <w:rFonts w:eastAsia="等线" w:cs="Times New Roman"/>
          <w:noProof/>
        </w:rPr>
        <w:t>stress</w:t>
      </w:r>
      <w:r>
        <w:rPr>
          <w:rFonts w:eastAsia="等线" w:cs="Times New Roman"/>
          <w:noProof/>
        </w:rPr>
        <w:t>-</w:t>
      </w:r>
      <w:r w:rsidRPr="006B2702">
        <w:rPr>
          <w:rFonts w:eastAsia="等线" w:cs="Times New Roman"/>
          <w:noProof/>
        </w:rPr>
        <w:t>induced</w:t>
      </w:r>
      <w:r>
        <w:rPr>
          <w:rFonts w:eastAsia="等线" w:cs="Times New Roman"/>
        </w:rPr>
        <w:t xml:space="preserve"> </w:t>
      </w:r>
      <w:r>
        <w:rPr>
          <w:rFonts w:ascii="Times New Roman" w:eastAsia="等线" w:hAnsi="Times New Roman" w:cs="Times New Roman"/>
        </w:rPr>
        <w:t>α</w:t>
      </w:r>
      <w:r>
        <w:rPr>
          <w:rFonts w:eastAsia="等线" w:cs="Times New Roman"/>
        </w:rPr>
        <w:t xml:space="preserve">’’ phase transformation, mechanical twinning, then to </w:t>
      </w:r>
      <w:r w:rsidRPr="006B2702">
        <w:rPr>
          <w:rFonts w:eastAsia="等线" w:cs="Times New Roman"/>
          <w:noProof/>
        </w:rPr>
        <w:t>stress</w:t>
      </w:r>
      <w:r>
        <w:rPr>
          <w:rFonts w:eastAsia="等线" w:cs="Times New Roman"/>
          <w:noProof/>
        </w:rPr>
        <w:t>-</w:t>
      </w:r>
      <w:r w:rsidRPr="006B2702">
        <w:rPr>
          <w:rFonts w:eastAsia="等线" w:cs="Times New Roman"/>
          <w:noProof/>
        </w:rPr>
        <w:t>induced</w:t>
      </w:r>
      <w:r>
        <w:rPr>
          <w:rFonts w:eastAsia="等线" w:cs="Times New Roman"/>
        </w:rPr>
        <w:t xml:space="preserve"> </w:t>
      </w:r>
      <w:r w:rsidRPr="006B2891">
        <w:rPr>
          <w:rFonts w:eastAsia="等线"/>
        </w:rPr>
        <w:t>ω phase</w:t>
      </w:r>
      <w:r>
        <w:rPr>
          <w:rFonts w:eastAsia="等线"/>
        </w:rPr>
        <w:t xml:space="preserve"> formation</w:t>
      </w:r>
      <w:r w:rsidRPr="006B2891">
        <w:rPr>
          <w:rFonts w:eastAsia="等线"/>
        </w:rPr>
        <w:t xml:space="preserve">. </w:t>
      </w:r>
      <w:r>
        <w:rPr>
          <w:rFonts w:eastAsia="等线"/>
        </w:rPr>
        <w:t xml:space="preserve">This resulted in the significant enhancement of </w:t>
      </w:r>
      <w:r w:rsidRPr="006B2891">
        <w:rPr>
          <w:rFonts w:eastAsia="等线"/>
        </w:rPr>
        <w:t>yield strength</w:t>
      </w:r>
      <w:r>
        <w:rPr>
          <w:rFonts w:eastAsia="等线"/>
        </w:rPr>
        <w:t xml:space="preserve">, which was directly </w:t>
      </w:r>
      <w:r w:rsidRPr="006B2891">
        <w:rPr>
          <w:rFonts w:eastAsia="等线"/>
        </w:rPr>
        <w:t>attribute</w:t>
      </w:r>
      <w:r>
        <w:rPr>
          <w:rFonts w:eastAsia="等线"/>
        </w:rPr>
        <w:t>d</w:t>
      </w:r>
      <w:r w:rsidRPr="006B2891">
        <w:rPr>
          <w:rFonts w:eastAsia="等线"/>
        </w:rPr>
        <w:t xml:space="preserve"> to the activation of the stress-induced ω phase transformation. </w:t>
      </w:r>
      <w:r>
        <w:rPr>
          <w:rFonts w:eastAsia="等线"/>
        </w:rPr>
        <w:t>As the</w:t>
      </w:r>
      <w:r w:rsidRPr="006B2891">
        <w:rPr>
          <w:rFonts w:eastAsia="等线"/>
        </w:rPr>
        <w:t xml:space="preserve"> stress</w:t>
      </w:r>
      <w:r>
        <w:rPr>
          <w:rFonts w:eastAsia="等线"/>
        </w:rPr>
        <w:t>-</w:t>
      </w:r>
      <w:r w:rsidRPr="006B2891">
        <w:rPr>
          <w:rFonts w:eastAsia="等线"/>
        </w:rPr>
        <w:t xml:space="preserve">induced ω phase </w:t>
      </w:r>
      <w:r>
        <w:rPr>
          <w:rFonts w:eastAsia="等线"/>
        </w:rPr>
        <w:t>was found to</w:t>
      </w:r>
      <w:r w:rsidRPr="006B2891">
        <w:rPr>
          <w:rFonts w:eastAsia="等线"/>
        </w:rPr>
        <w:t xml:space="preserve"> nucleate within twinning</w:t>
      </w:r>
      <w:r w:rsidRPr="00E561AF">
        <w:rPr>
          <w:rFonts w:eastAsia="等线"/>
        </w:rPr>
        <w:t xml:space="preserve"> boundar</w:t>
      </w:r>
      <w:r>
        <w:rPr>
          <w:rFonts w:eastAsia="等线"/>
        </w:rPr>
        <w:t>ies</w:t>
      </w:r>
      <w:r w:rsidRPr="00E561AF">
        <w:rPr>
          <w:rFonts w:eastAsia="等线"/>
        </w:rPr>
        <w:t xml:space="preserve"> and interfaces between </w:t>
      </w:r>
      <w:r>
        <w:rPr>
          <w:rFonts w:eastAsia="等线"/>
        </w:rPr>
        <w:t xml:space="preserve">the </w:t>
      </w:r>
      <w:r>
        <w:rPr>
          <w:rFonts w:ascii="Times New Roman" w:eastAsia="等线" w:hAnsi="Times New Roman" w:cs="Times New Roman"/>
        </w:rPr>
        <w:t>α</w:t>
      </w:r>
      <w:r>
        <w:rPr>
          <w:rFonts w:eastAsia="等线" w:cs="Times New Roman"/>
        </w:rPr>
        <w:t xml:space="preserve">’’ </w:t>
      </w:r>
      <w:r w:rsidRPr="006B2891">
        <w:rPr>
          <w:rFonts w:eastAsia="等线"/>
        </w:rPr>
        <w:t xml:space="preserve">phase and </w:t>
      </w:r>
      <w:r>
        <w:rPr>
          <w:rFonts w:ascii="Times New Roman" w:eastAsia="等线" w:hAnsi="Times New Roman" w:cs="Times New Roman"/>
        </w:rPr>
        <w:t>β</w:t>
      </w:r>
      <w:r w:rsidRPr="006B2891">
        <w:rPr>
          <w:rFonts w:eastAsia="等线"/>
        </w:rPr>
        <w:t xml:space="preserve"> matrix</w:t>
      </w:r>
      <w:r>
        <w:rPr>
          <w:rFonts w:eastAsia="等线"/>
        </w:rPr>
        <w:t>,</w:t>
      </w:r>
      <w:r w:rsidRPr="006B2891">
        <w:rPr>
          <w:rFonts w:eastAsia="等线"/>
        </w:rPr>
        <w:t xml:space="preserve"> </w:t>
      </w:r>
      <w:r>
        <w:rPr>
          <w:rFonts w:eastAsia="等线"/>
        </w:rPr>
        <w:t>there is</w:t>
      </w:r>
      <w:r w:rsidRPr="006B2891">
        <w:rPr>
          <w:rFonts w:eastAsia="等线"/>
        </w:rPr>
        <w:t xml:space="preserve"> potential to use</w:t>
      </w:r>
      <w:r>
        <w:rPr>
          <w:rFonts w:eastAsia="等线"/>
        </w:rPr>
        <w:t xml:space="preserve"> the</w:t>
      </w:r>
      <w:r w:rsidRPr="006B2891">
        <w:rPr>
          <w:rFonts w:eastAsia="等线"/>
        </w:rPr>
        <w:t xml:space="preserve"> ω phase</w:t>
      </w:r>
      <w:r>
        <w:rPr>
          <w:rFonts w:eastAsia="等线"/>
        </w:rPr>
        <w:t xml:space="preserve"> formation</w:t>
      </w:r>
      <w:r w:rsidRPr="006B2891">
        <w:rPr>
          <w:rFonts w:eastAsia="等线"/>
        </w:rPr>
        <w:t xml:space="preserve"> </w:t>
      </w:r>
      <w:r>
        <w:rPr>
          <w:rFonts w:eastAsia="等线"/>
        </w:rPr>
        <w:t xml:space="preserve">as a strengthening mechanism </w:t>
      </w:r>
      <w:r w:rsidRPr="006B2891">
        <w:rPr>
          <w:rFonts w:eastAsia="等线"/>
        </w:rPr>
        <w:t>to prevent dislocation</w:t>
      </w:r>
      <w:r>
        <w:rPr>
          <w:rFonts w:eastAsia="等线"/>
        </w:rPr>
        <w:t xml:space="preserve"> motion</w:t>
      </w:r>
      <w:r w:rsidRPr="006B2891">
        <w:rPr>
          <w:rFonts w:eastAsia="等线"/>
        </w:rPr>
        <w:t xml:space="preserve">. </w:t>
      </w:r>
      <w:r>
        <w:rPr>
          <w:rFonts w:eastAsia="等线"/>
        </w:rPr>
        <w:t xml:space="preserve">In the work of Zhang </w:t>
      </w:r>
      <w:r w:rsidRPr="00C06CF3">
        <w:fldChar w:fldCharType="begin" w:fldLock="1"/>
      </w:r>
      <w:r>
        <w:rPr>
          <w:rFonts w:eastAsia="等线" w:cstheme="minorHAnsi"/>
        </w:rPr>
        <w:instrText>ADDIN CSL_CITATION {"citationItems":[{"id":"ITEM-1","itemData":{"DOI":"10.1007/s00117-017-0224-0","ISBN":"2041-1723 (Electronic)\\r2041-1723 (Linking)","ISSN":"0033832X","PMID":"28145484","abstract":"The most efficient way to tune microstructures and mechanical properties of metallic alloys lies in designing and using athermal phase transformations. Examples are shape memory alloys and high strength steels, which together stand for 1,500 million tons annual production. In these materials, martensite formation and mechanical twinning are tuned via composition adjustment for realizing complex microstructures and beneficial mechanical properties. Here we report a new phase transformation that has the potential to widen the application window of Ti alloys, the most important structural material in aerospace design, by nanostructuring them via complexion-mediated transformation. This is a reversible martensitic transformation mechanism that leads to a final nanolaminate structure of a 00 (orthorhombic) martensite bounded with planar complexions of athermal o (a–o, hexagonal). Both phases are crystallographically related to the parent b (BCC) matrix. As expected from a planar complexion, the a–o is stable only at the hetero-interface.","author":[{"dropping-particle":"","family":"Zhang","given":"J.","non-dropping-particle":"","parse-names":false,"suffix":""},{"dropping-particle":"","family":"Tasan","given":"C. C.","non-dropping-particle":"","parse-names":false,"suffix":""},{"dropping-particle":"","family":"Lai","given":"M. J.","non-dropping-particle":"","parse-names":false,"suffix":""},{"dropping-particle":"","family":"Dippel","given":"A. C.","non-dropping-particle":"","parse-names":false,"suffix":""},{"dropping-particle":"","family":"Raabe","given":"D.","non-dropping-particle":"","parse-names":false,"suffix":""}],"container-title":"Nature Communications","id":"ITEM-1","issued":{"date-parts":[["2017"]]},"title":"Complexion-mediated martensitic phase transformation in Titanium","type":"article-journal"},"uris":["http://www.mendeley.com/documents/?uuid=2955910d-42fb-4ed0-bf87-a07a80bbb7cb","http://www.mendeley.com/documents/?uuid=c801766a-ea25-47c2-92f9-7ac38f92d331"]}],"mendeley":{"formattedCitation":"[140]","plainTextFormattedCitation":"[140]","previouslyFormattedCitation":"[140]"},"properties":{"noteIndex":0},"schema":"https://github.com/citation-style-language/schema/raw/master/csl-citation.json"}</w:instrText>
      </w:r>
      <w:r w:rsidRPr="00C06CF3">
        <w:rPr>
          <w:rFonts w:eastAsia="等线" w:cstheme="minorHAnsi"/>
        </w:rPr>
        <w:fldChar w:fldCharType="separate"/>
      </w:r>
      <w:r w:rsidRPr="003B39BC">
        <w:rPr>
          <w:rFonts w:eastAsia="等线"/>
          <w:noProof/>
        </w:rPr>
        <w:t>[140]</w:t>
      </w:r>
      <w:r w:rsidRPr="00C06CF3">
        <w:fldChar w:fldCharType="end"/>
      </w:r>
      <w:r w:rsidRPr="006B2891">
        <w:rPr>
          <w:rFonts w:eastAsia="等线"/>
        </w:rPr>
        <w:t xml:space="preserve">, </w:t>
      </w:r>
      <w:r>
        <w:rPr>
          <w:rFonts w:eastAsia="等线"/>
        </w:rPr>
        <w:t>stress-induced cooperating deformation mechanism including</w:t>
      </w:r>
      <w:r w:rsidRPr="006B2891">
        <w:rPr>
          <w:rFonts w:eastAsia="等线"/>
        </w:rPr>
        <w:t xml:space="preserve"> {-211}&lt;111&gt;</w:t>
      </w:r>
      <w:r w:rsidRPr="00843AC9">
        <w:rPr>
          <w:rFonts w:eastAsia="等线" w:cs="Times New Roman"/>
          <w:vertAlign w:val="subscript"/>
        </w:rPr>
        <w:t>β</w:t>
      </w:r>
      <w:r w:rsidRPr="006B2891">
        <w:rPr>
          <w:rFonts w:eastAsia="等线"/>
        </w:rPr>
        <w:t xml:space="preserve"> twinning</w:t>
      </w:r>
      <w:r>
        <w:rPr>
          <w:rFonts w:eastAsia="等线"/>
        </w:rPr>
        <w:t xml:space="preserve"> and</w:t>
      </w:r>
      <w:r w:rsidRPr="006B2891">
        <w:rPr>
          <w:rFonts w:eastAsia="等线"/>
        </w:rPr>
        <w:t xml:space="preserve"> reversible martensite transformation </w:t>
      </w:r>
      <w:r>
        <w:rPr>
          <w:rFonts w:eastAsia="等线"/>
        </w:rPr>
        <w:t>was</w:t>
      </w:r>
      <w:r w:rsidRPr="006B2891">
        <w:rPr>
          <w:rFonts w:eastAsia="等线"/>
        </w:rPr>
        <w:t xml:space="preserve"> observed. </w:t>
      </w:r>
      <w:r>
        <w:rPr>
          <w:rFonts w:eastAsia="等线"/>
        </w:rPr>
        <w:t xml:space="preserve">It is shown in Fig. 2-24 that a </w:t>
      </w:r>
      <w:r w:rsidRPr="006B2891">
        <w:rPr>
          <w:rFonts w:eastAsia="等线"/>
        </w:rPr>
        <w:t>well-refined</w:t>
      </w:r>
      <w:r w:rsidRPr="008D07D9">
        <w:rPr>
          <w:rFonts w:eastAsia="等线"/>
        </w:rPr>
        <w:t xml:space="preserve"> laths structure </w:t>
      </w:r>
      <w:r>
        <w:rPr>
          <w:rFonts w:eastAsia="等线"/>
        </w:rPr>
        <w:t>formed, due to</w:t>
      </w:r>
      <w:r w:rsidRPr="008D07D9">
        <w:rPr>
          <w:rFonts w:eastAsia="等线"/>
        </w:rPr>
        <w:t xml:space="preserve"> shear load</w:t>
      </w:r>
      <w:r>
        <w:rPr>
          <w:rFonts w:eastAsia="等线"/>
        </w:rPr>
        <w:t>ing</w:t>
      </w:r>
      <w:r w:rsidRPr="008D07D9">
        <w:rPr>
          <w:rFonts w:eastAsia="等线"/>
        </w:rPr>
        <w:t xml:space="preserve"> along {-211}&lt;111&gt;</w:t>
      </w:r>
      <w:r>
        <w:rPr>
          <w:rFonts w:ascii="Times New Roman" w:eastAsia="等线" w:hAnsi="Times New Roman" w:cs="Times New Roman"/>
          <w:vertAlign w:val="subscript"/>
        </w:rPr>
        <w:t>β</w:t>
      </w:r>
      <w:r w:rsidRPr="006B2891">
        <w:rPr>
          <w:rFonts w:eastAsia="等线"/>
        </w:rPr>
        <w:t xml:space="preserve"> during </w:t>
      </w:r>
      <w:r>
        <w:rPr>
          <w:rFonts w:ascii="Times New Roman" w:eastAsia="等线" w:hAnsi="Times New Roman" w:cs="Times New Roman"/>
        </w:rPr>
        <w:t>α</w:t>
      </w:r>
      <w:r>
        <w:rPr>
          <w:rFonts w:eastAsia="等线" w:cs="Times New Roman"/>
        </w:rPr>
        <w:t>’’</w:t>
      </w:r>
      <w:r w:rsidRPr="006B2891">
        <w:rPr>
          <w:rFonts w:eastAsia="等线"/>
        </w:rPr>
        <w:t xml:space="preserve"> phase transformation. The interfacial stress</w:t>
      </w:r>
      <w:r>
        <w:rPr>
          <w:rFonts w:eastAsia="等线"/>
        </w:rPr>
        <w:t>-</w:t>
      </w:r>
      <w:r w:rsidRPr="006B2891">
        <w:rPr>
          <w:rFonts w:eastAsia="等线"/>
        </w:rPr>
        <w:t xml:space="preserve">induced ω </w:t>
      </w:r>
      <w:r w:rsidRPr="006B2891">
        <w:rPr>
          <w:rFonts w:eastAsia="等线"/>
        </w:rPr>
        <w:lastRenderedPageBreak/>
        <w:t xml:space="preserve">phase </w:t>
      </w:r>
      <w:r>
        <w:rPr>
          <w:rFonts w:eastAsia="等线"/>
        </w:rPr>
        <w:t>possessed</w:t>
      </w:r>
      <w:r w:rsidRPr="006B2891">
        <w:rPr>
          <w:rFonts w:eastAsia="等线"/>
        </w:rPr>
        <w:t xml:space="preserve"> perfect lattice correspondence with</w:t>
      </w:r>
      <w:r>
        <w:rPr>
          <w:rFonts w:eastAsia="等线"/>
        </w:rPr>
        <w:t xml:space="preserve"> the</w:t>
      </w:r>
      <w:r w:rsidRPr="006B2891">
        <w:rPr>
          <w:rFonts w:eastAsia="等线"/>
        </w:rPr>
        <w:t xml:space="preserve"> β matrix and primary </w:t>
      </w:r>
      <w:r>
        <w:rPr>
          <w:rFonts w:eastAsia="等线"/>
        </w:rPr>
        <w:t>and</w:t>
      </w:r>
      <w:r w:rsidRPr="006B2891">
        <w:rPr>
          <w:rFonts w:eastAsia="等线"/>
        </w:rPr>
        <w:t xml:space="preserve"> secondary </w:t>
      </w:r>
      <w:r>
        <w:rPr>
          <w:rFonts w:ascii="Times New Roman" w:eastAsia="等线" w:hAnsi="Times New Roman" w:cs="Times New Roman"/>
        </w:rPr>
        <w:t>α</w:t>
      </w:r>
      <w:r>
        <w:rPr>
          <w:rFonts w:eastAsia="等线" w:cs="Times New Roman"/>
        </w:rPr>
        <w:t xml:space="preserve">’’, </w:t>
      </w:r>
      <w:r w:rsidRPr="006B2891">
        <w:rPr>
          <w:rFonts w:eastAsia="等线"/>
        </w:rPr>
        <w:t>which result</w:t>
      </w:r>
      <w:r>
        <w:rPr>
          <w:rFonts w:eastAsia="等线"/>
        </w:rPr>
        <w:t>ed</w:t>
      </w:r>
      <w:r w:rsidRPr="006B2891">
        <w:rPr>
          <w:rFonts w:eastAsia="等线"/>
        </w:rPr>
        <w:t xml:space="preserve"> in a low misfit</w:t>
      </w:r>
      <w:r>
        <w:rPr>
          <w:rFonts w:eastAsia="等线"/>
        </w:rPr>
        <w:t xml:space="preserve"> planar complexion</w:t>
      </w:r>
      <w:r w:rsidRPr="006B2891">
        <w:rPr>
          <w:rFonts w:eastAsia="等线"/>
        </w:rPr>
        <w:t xml:space="preserve"> between β-</w:t>
      </w:r>
      <w:r w:rsidRPr="00C71F0F">
        <w:rPr>
          <w:rFonts w:ascii="Times New Roman" w:eastAsia="等线" w:hAnsi="Times New Roman" w:cs="Times New Roman"/>
        </w:rPr>
        <w:t xml:space="preserve"> </w:t>
      </w:r>
      <w:r>
        <w:rPr>
          <w:rFonts w:ascii="Times New Roman" w:eastAsia="等线" w:hAnsi="Times New Roman" w:cs="Times New Roman"/>
        </w:rPr>
        <w:t>α</w:t>
      </w:r>
      <w:r>
        <w:rPr>
          <w:rFonts w:eastAsia="等线" w:cs="Times New Roman"/>
        </w:rPr>
        <w:t>’’</w:t>
      </w:r>
      <w:r w:rsidRPr="006B2891">
        <w:rPr>
          <w:rFonts w:eastAsia="等线"/>
        </w:rPr>
        <w:t xml:space="preserve"> interface. </w:t>
      </w:r>
    </w:p>
    <w:p w14:paraId="7A3DF341" w14:textId="77777777" w:rsidR="00624970" w:rsidRDefault="00624970" w:rsidP="00624970">
      <w:pPr>
        <w:keepNext/>
        <w:spacing w:afterLines="60" w:after="144" w:line="360" w:lineRule="auto"/>
      </w:pPr>
      <w:r w:rsidRPr="00316922">
        <w:rPr>
          <w:rFonts w:eastAsia="等线" w:cstheme="minorHAnsi"/>
          <w:noProof/>
          <w:lang w:val="en-US" w:eastAsia="en-US"/>
        </w:rPr>
        <w:drawing>
          <wp:inline distT="0" distB="0" distL="0" distR="0" wp14:anchorId="363B7419" wp14:editId="21E1C218">
            <wp:extent cx="5943600" cy="3915410"/>
            <wp:effectExtent l="0" t="0" r="0" b="8890"/>
            <wp:docPr id="1026" name="Picture 2" descr="Figure 2">
              <a:extLst xmlns:a="http://schemas.openxmlformats.org/drawingml/2006/main">
                <a:ext uri="{FF2B5EF4-FFF2-40B4-BE49-F238E27FC236}">
                  <a16:creationId xmlns:a16="http://schemas.microsoft.com/office/drawing/2014/main" id="{2AC291A8-086F-42C7-A3C7-4335DF6064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igure 2">
                      <a:extLst>
                        <a:ext uri="{FF2B5EF4-FFF2-40B4-BE49-F238E27FC236}">
                          <a16:creationId xmlns:a16="http://schemas.microsoft.com/office/drawing/2014/main" id="{2AC291A8-086F-42C7-A3C7-4335DF60641C}"/>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915410"/>
                    </a:xfrm>
                    <a:prstGeom prst="rect">
                      <a:avLst/>
                    </a:prstGeom>
                    <a:noFill/>
                  </pic:spPr>
                </pic:pic>
              </a:graphicData>
            </a:graphic>
          </wp:inline>
        </w:drawing>
      </w:r>
    </w:p>
    <w:p w14:paraId="35A9F11C" w14:textId="77777777" w:rsidR="00624970" w:rsidRPr="00A12A08" w:rsidRDefault="00624970" w:rsidP="00624970">
      <w:pPr>
        <w:spacing w:afterLines="60" w:after="144" w:line="360" w:lineRule="auto"/>
        <w:jc w:val="both"/>
        <w:rPr>
          <w:sz w:val="20"/>
        </w:rPr>
      </w:pPr>
      <w:bookmarkStart w:id="179" w:name="_Toc39312693"/>
      <w:bookmarkStart w:id="180" w:name="_Toc7364579"/>
      <w:bookmarkStart w:id="181" w:name="_Toc5617646"/>
      <w:r>
        <w:rPr>
          <w:b/>
          <w:sz w:val="20"/>
        </w:rPr>
        <w:t>Figure 2-</w:t>
      </w:r>
      <w:r w:rsidRPr="0044096C">
        <w:rPr>
          <w:b/>
          <w:sz w:val="20"/>
        </w:rPr>
        <w:fldChar w:fldCharType="begin"/>
      </w:r>
      <w:r w:rsidRPr="0044096C">
        <w:rPr>
          <w:b/>
          <w:sz w:val="20"/>
        </w:rPr>
        <w:instrText xml:space="preserve"> SEQ Figure \* ARABIC </w:instrText>
      </w:r>
      <w:r w:rsidRPr="0044096C">
        <w:rPr>
          <w:b/>
          <w:sz w:val="20"/>
        </w:rPr>
        <w:fldChar w:fldCharType="separate"/>
      </w:r>
      <w:r>
        <w:rPr>
          <w:b/>
          <w:noProof/>
          <w:sz w:val="20"/>
        </w:rPr>
        <w:t>24</w:t>
      </w:r>
      <w:r w:rsidRPr="0044096C">
        <w:rPr>
          <w:b/>
          <w:sz w:val="20"/>
        </w:rPr>
        <w:fldChar w:fldCharType="end"/>
      </w:r>
      <w:r>
        <w:rPr>
          <w:b/>
          <w:sz w:val="20"/>
        </w:rPr>
        <w:t xml:space="preserve"> Microstructure evolution of metastable Ti-</w:t>
      </w:r>
      <w:r w:rsidRPr="003B4141">
        <w:rPr>
          <w:rFonts w:cstheme="minorHAnsi"/>
          <w:b/>
          <w:sz w:val="20"/>
        </w:rPr>
        <w:t>Nb β</w:t>
      </w:r>
      <w:r>
        <w:rPr>
          <w:b/>
          <w:sz w:val="20"/>
        </w:rPr>
        <w:t xml:space="preserve"> alloy </w:t>
      </w:r>
      <w:r w:rsidRPr="001F5994">
        <w:rPr>
          <w:sz w:val="20"/>
        </w:rPr>
        <w:t>(</w:t>
      </w:r>
      <w:r w:rsidRPr="001F5994">
        <w:rPr>
          <w:b/>
          <w:sz w:val="20"/>
        </w:rPr>
        <w:t>a</w:t>
      </w:r>
      <w:r w:rsidRPr="001F5994">
        <w:rPr>
          <w:sz w:val="20"/>
        </w:rPr>
        <w:t>)</w:t>
      </w:r>
      <w:r>
        <w:rPr>
          <w:sz w:val="20"/>
        </w:rPr>
        <w:t xml:space="preserve"> XRD phase analysis of the material at room temperature. (</w:t>
      </w:r>
      <w:r>
        <w:rPr>
          <w:b/>
          <w:sz w:val="20"/>
        </w:rPr>
        <w:t>b</w:t>
      </w:r>
      <w:r>
        <w:rPr>
          <w:sz w:val="20"/>
        </w:rPr>
        <w:t>) an ECCI image of deformation products. (</w:t>
      </w:r>
      <w:r w:rsidRPr="00151A4C">
        <w:rPr>
          <w:b/>
          <w:sz w:val="20"/>
        </w:rPr>
        <w:t>c</w:t>
      </w:r>
      <w:r>
        <w:rPr>
          <w:sz w:val="20"/>
        </w:rPr>
        <w:t>) a TEM bright field image of {112}</w:t>
      </w:r>
      <w:r w:rsidRPr="00050C7E">
        <w:rPr>
          <w:rFonts w:cstheme="minorHAnsi"/>
          <w:sz w:val="20"/>
          <w:vertAlign w:val="subscript"/>
        </w:rPr>
        <w:t>β</w:t>
      </w:r>
      <w:r>
        <w:rPr>
          <w:rFonts w:cstheme="minorHAnsi"/>
          <w:sz w:val="20"/>
        </w:rPr>
        <w:t xml:space="preserve"> mechanical twinning laths</w:t>
      </w:r>
      <w:r>
        <w:rPr>
          <w:sz w:val="20"/>
        </w:rPr>
        <w:t>. (</w:t>
      </w:r>
      <w:r>
        <w:rPr>
          <w:b/>
          <w:sz w:val="20"/>
        </w:rPr>
        <w:t>d</w:t>
      </w:r>
      <w:r>
        <w:rPr>
          <w:sz w:val="20"/>
        </w:rPr>
        <w:t>)</w:t>
      </w:r>
      <w:r w:rsidRPr="003F421B">
        <w:rPr>
          <w:sz w:val="20"/>
        </w:rPr>
        <w:t xml:space="preserve"> </w:t>
      </w:r>
      <w:r>
        <w:rPr>
          <w:sz w:val="20"/>
        </w:rPr>
        <w:t xml:space="preserve">phase analysis by SADP. A special orientation relationship between martensite twinning and matrix were </w:t>
      </w:r>
      <w:r w:rsidRPr="006B2702">
        <w:rPr>
          <w:noProof/>
          <w:sz w:val="20"/>
        </w:rPr>
        <w:t>colo</w:t>
      </w:r>
      <w:r>
        <w:rPr>
          <w:noProof/>
          <w:sz w:val="20"/>
        </w:rPr>
        <w:t>u</w:t>
      </w:r>
      <w:r w:rsidRPr="006B2702">
        <w:rPr>
          <w:noProof/>
          <w:sz w:val="20"/>
        </w:rPr>
        <w:t>red</w:t>
      </w:r>
      <w:r>
        <w:rPr>
          <w:sz w:val="20"/>
        </w:rPr>
        <w:t xml:space="preserve"> with cyan and red, respectively. (</w:t>
      </w:r>
      <w:r>
        <w:rPr>
          <w:b/>
          <w:sz w:val="20"/>
        </w:rPr>
        <w:t>e-f</w:t>
      </w:r>
      <w:r>
        <w:rPr>
          <w:sz w:val="20"/>
        </w:rPr>
        <w:t xml:space="preserve">) dark field images of </w:t>
      </w:r>
      <w:r>
        <w:rPr>
          <w:rFonts w:ascii="Times New Roman" w:eastAsia="等线" w:hAnsi="Times New Roman" w:cs="Times New Roman"/>
        </w:rPr>
        <w:t>α</w:t>
      </w:r>
      <w:r>
        <w:rPr>
          <w:rFonts w:eastAsia="等线" w:cs="Times New Roman"/>
        </w:rPr>
        <w:t>’’</w:t>
      </w:r>
      <w:r>
        <w:rPr>
          <w:sz w:val="20"/>
        </w:rPr>
        <w:t xml:space="preserve"> twinning variant and embedded ω phase laths. </w:t>
      </w:r>
      <w:r>
        <w:rPr>
          <w:sz w:val="20"/>
        </w:rPr>
        <w:fldChar w:fldCharType="begin" w:fldLock="1"/>
      </w:r>
      <w:r>
        <w:rPr>
          <w:sz w:val="20"/>
        </w:rPr>
        <w:instrText>ADDIN CSL_CITATION {"citationItems":[{"id":"ITEM-1","itemData":{"DOI":"10.1007/s00117-017-0224-0","ISBN":"2041-1723 (Electronic)\\r2041-1723 (Linking)","ISSN":"0033832X","PMID":"28145484","abstract":"The most efficient way to tune microstructures and mechanical properties of metallic alloys lies in designing and using athermal phase transformations. Examples are shape memory alloys and high strength steels, which together stand for 1,500 million tons annual production. In these materials, martensite formation and mechanical twinning are tuned via composition adjustment for realizing complex microstructures and beneficial mechanical properties. Here we report a new phase transformation that has the potential to widen the application window of Ti alloys, the most important structural material in aerospace design, by nanostructuring them via complexion-mediated transformation. This is a reversible martensitic transformation mechanism that leads to a final nanolaminate structure of a 00 (orthorhombic) martensite bounded with planar complexions of athermal o (a–o, hexagonal). Both phases are crystallographically related to the parent b (BCC) matrix. As expected from a planar complexion, the a–o is stable only at the hetero-interface.","author":[{"dropping-particle":"","family":"Zhang","given":"J.","non-dropping-particle":"","parse-names":false,"suffix":""},{"dropping-particle":"","family":"Tasan","given":"C. C.","non-dropping-particle":"","parse-names":false,"suffix":""},{"dropping-particle":"","family":"Lai","given":"M. J.","non-dropping-particle":"","parse-names":false,"suffix":""},{"dropping-particle":"","family":"Dippel","given":"A. C.","non-dropping-particle":"","parse-names":false,"suffix":""},{"dropping-particle":"","family":"Raabe","given":"D.","non-dropping-particle":"","parse-names":false,"suffix":""}],"container-title":"Nature Communications","id":"ITEM-1","issued":{"date-parts":[["2017"]]},"title":"Complexion-mediated martensitic phase transformation in Titanium","type":"article-journal"},"uris":["http://www.mendeley.com/documents/?uuid=c801766a-ea25-47c2-92f9-7ac38f92d331","http://www.mendeley.com/documents/?uuid=2955910d-42fb-4ed0-bf87-a07a80bbb7cb"]}],"mendeley":{"formattedCitation":"[140]","plainTextFormattedCitation":"[140]","previouslyFormattedCitation":"[140]"},"properties":{"noteIndex":0},"schema":"https://github.com/citation-style-language/schema/raw/master/csl-citation.json"}</w:instrText>
      </w:r>
      <w:r>
        <w:rPr>
          <w:sz w:val="20"/>
        </w:rPr>
        <w:fldChar w:fldCharType="separate"/>
      </w:r>
      <w:bookmarkEnd w:id="180"/>
      <w:bookmarkEnd w:id="181"/>
      <w:r w:rsidRPr="003B39BC">
        <w:rPr>
          <w:noProof/>
          <w:sz w:val="20"/>
        </w:rPr>
        <w:t>[140]</w:t>
      </w:r>
      <w:bookmarkEnd w:id="179"/>
      <w:r>
        <w:rPr>
          <w:sz w:val="20"/>
        </w:rPr>
        <w:fldChar w:fldCharType="end"/>
      </w:r>
      <w:r w:rsidRPr="00CB3411">
        <w:rPr>
          <w:sz w:val="20"/>
        </w:rPr>
        <w:t xml:space="preserve"> </w:t>
      </w:r>
    </w:p>
    <w:p w14:paraId="5393999C" w14:textId="77777777" w:rsidR="00624970" w:rsidRPr="001E3029" w:rsidRDefault="00624970" w:rsidP="00624970">
      <w:pPr>
        <w:pStyle w:val="3"/>
        <w:spacing w:before="0" w:afterLines="60" w:after="144" w:line="360" w:lineRule="auto"/>
        <w:rPr>
          <w:rFonts w:asciiTheme="minorHAnsi" w:hAnsiTheme="minorHAnsi"/>
          <w:b/>
          <w:noProof/>
          <w:color w:val="000000" w:themeColor="text1"/>
          <w:sz w:val="32"/>
        </w:rPr>
      </w:pPr>
      <w:bookmarkStart w:id="182" w:name="_Toc5618290"/>
      <w:bookmarkStart w:id="183" w:name="_Toc22052516"/>
      <w:r w:rsidRPr="001E3029">
        <w:rPr>
          <w:rFonts w:asciiTheme="minorHAnsi" w:hAnsiTheme="minorHAnsi"/>
          <w:b/>
          <w:noProof/>
          <w:color w:val="000000" w:themeColor="text1"/>
          <w:sz w:val="32"/>
        </w:rPr>
        <w:t>2.6.2 Self-accommodation structure and TWIP</w:t>
      </w:r>
      <w:bookmarkEnd w:id="182"/>
      <w:bookmarkEnd w:id="183"/>
    </w:p>
    <w:p w14:paraId="6078D8BA" w14:textId="6738E4A2" w:rsidR="00624970" w:rsidRPr="00297C3B" w:rsidRDefault="00624970" w:rsidP="00624970">
      <w:pPr>
        <w:spacing w:afterLines="60" w:after="144" w:line="360" w:lineRule="auto"/>
        <w:jc w:val="both"/>
        <w:rPr>
          <w:rFonts w:cs="Times New Roman"/>
        </w:rPr>
      </w:pPr>
      <w:r>
        <w:rPr>
          <w:noProof/>
        </w:rPr>
        <w:t>S</w:t>
      </w:r>
      <w:r w:rsidRPr="006B2702">
        <w:rPr>
          <w:noProof/>
        </w:rPr>
        <w:t>lip</w:t>
      </w:r>
      <w:r>
        <w:t xml:space="preserve"> is the most common mechanism </w:t>
      </w:r>
      <w:r>
        <w:rPr>
          <w:noProof/>
        </w:rPr>
        <w:t>to</w:t>
      </w:r>
      <w:r w:rsidRPr="006B2702">
        <w:rPr>
          <w:noProof/>
        </w:rPr>
        <w:t xml:space="preserve"> accommodate deformation </w:t>
      </w:r>
      <w:r>
        <w:rPr>
          <w:noProof/>
        </w:rPr>
        <w:t>in</w:t>
      </w:r>
      <w:r w:rsidRPr="006B2702">
        <w:rPr>
          <w:noProof/>
        </w:rPr>
        <w:t xml:space="preserve"> a crystal</w:t>
      </w:r>
      <w:r>
        <w:t>. According to the theoretical work first reported by V</w:t>
      </w:r>
      <w:r w:rsidRPr="004D09AD">
        <w:t>on Mises</w:t>
      </w:r>
      <w:r>
        <w:t xml:space="preserve"> </w:t>
      </w:r>
      <w:r>
        <w:fldChar w:fldCharType="begin" w:fldLock="1"/>
      </w:r>
      <w:r>
        <w:instrText>ADDIN CSL_CITATION {"citationItems":[{"id":"ITEM-1","itemData":{"DOI":"10.1002/zamm.19280080302","ISBN":"1521-4001","ISSN":"15214001","PMID":"9920015","abstract":"In this study, 2 updated brain-imaging modalities, technetium-99m hexamethylpropylene amine oxime-single-photon-emission computed tomography (HMPAO-SPECT) and fluorine-18 2-fluoro-2-deoxy-D-glucose-positron emission tomography (FDG-PET), were used to simultaneously detect regional cerebral blood flow (rCBF) and glucose metabolism of the brain in</w:instrText>
      </w:r>
      <w:r>
        <w:rPr>
          <w:rFonts w:hint="eastAsia"/>
        </w:rPr>
        <w:instrText xml:space="preserve"> patients with systemic lupus erythematosus (SLE).","author":[{"dropping-particle":"V.","family":"Mises","given":"R.","non-dropping-particle":"","parse-names":false,"suffix":""}],"container-title":"ZAMM </w:instrText>
      </w:r>
      <w:r>
        <w:rPr>
          <w:rFonts w:hint="eastAsia"/>
        </w:rPr>
        <w:instrText>‐</w:instrText>
      </w:r>
      <w:r>
        <w:rPr>
          <w:rFonts w:hint="eastAsia"/>
        </w:rPr>
        <w:instrText xml:space="preserve"> Journal of Applied Mathematics and Mechanics / Zei</w:instrText>
      </w:r>
      <w:r>
        <w:instrText>tschrift für Angewandte Mathematik und Mechanik","id":"ITEM-1","issued":{"date-parts":[["1928"]]},"title":"Mechanik der plastischen Formänderung von Kristallen","type":"article-journal"},"uris":["http://www.mendeley.com/documents/?uuid=f9cc788f-d299-40e1-94fe-563477381a81","http://www.mendeley.com/documents/?uuid=3db030a5-2423-4319-b188-b7f78cc599d6"]}],"mendeley":{"formattedCitation":"[141]","plainTextFormattedCitation":"[141]","previouslyFormattedCitation":"[141]"},"properties":{"noteIndex":0},"schema":"https://github.com/citation-style-language/schema/raw/master/csl-citation.json"}</w:instrText>
      </w:r>
      <w:r>
        <w:fldChar w:fldCharType="separate"/>
      </w:r>
      <w:r w:rsidRPr="003B39BC">
        <w:rPr>
          <w:noProof/>
        </w:rPr>
        <w:t>[141]</w:t>
      </w:r>
      <w:r>
        <w:fldChar w:fldCharType="end"/>
      </w:r>
      <w:r>
        <w:t xml:space="preserve">, to activate crystallographic slip in </w:t>
      </w:r>
      <w:r w:rsidRPr="006B2702">
        <w:rPr>
          <w:noProof/>
        </w:rPr>
        <w:t>certain</w:t>
      </w:r>
      <w:r>
        <w:rPr>
          <w:noProof/>
        </w:rPr>
        <w:t xml:space="preserve"> crystal</w:t>
      </w:r>
      <w:r>
        <w:t xml:space="preserve"> lattices, five available independent slip systems </w:t>
      </w:r>
      <w:r>
        <w:rPr>
          <w:noProof/>
        </w:rPr>
        <w:t>are</w:t>
      </w:r>
      <w:r>
        <w:t xml:space="preserve"> essential. FCC structures have 12 slip systems and </w:t>
      </w:r>
      <w:r>
        <w:rPr>
          <w:noProof/>
        </w:rPr>
        <w:t>BCC</w:t>
      </w:r>
      <w:r>
        <w:t xml:space="preserve"> structures possess 48 slip systems</w:t>
      </w:r>
      <w:r w:rsidR="007D04B9">
        <w:t xml:space="preserve"> while</w:t>
      </w:r>
      <w:r>
        <w:t xml:space="preserve"> the close-packed HCP structures have only 3-6 slip systems, which </w:t>
      </w:r>
      <w:r w:rsidRPr="006B2702">
        <w:rPr>
          <w:noProof/>
        </w:rPr>
        <w:t>limit</w:t>
      </w:r>
      <w:r>
        <w:rPr>
          <w:noProof/>
        </w:rPr>
        <w:t>s</w:t>
      </w:r>
      <w:r>
        <w:t xml:space="preserve"> the ductility of HCP-structured alloys (</w:t>
      </w:r>
      <w:r w:rsidRPr="00AF3569">
        <w:rPr>
          <w:rFonts w:cstheme="minorHAnsi"/>
        </w:rPr>
        <w:t>Mg and Ti alloy</w:t>
      </w:r>
      <w:r w:rsidR="007D04B9">
        <w:rPr>
          <w:rFonts w:cstheme="minorHAnsi"/>
        </w:rPr>
        <w:t>s</w:t>
      </w:r>
      <w:r>
        <w:rPr>
          <w:rFonts w:cstheme="minorHAnsi"/>
        </w:rPr>
        <w:t xml:space="preserve">). </w:t>
      </w:r>
      <w:r>
        <w:rPr>
          <w:rFonts w:cstheme="minorHAnsi"/>
          <w:noProof/>
        </w:rPr>
        <w:t>A</w:t>
      </w:r>
      <w:r w:rsidRPr="006B2702">
        <w:rPr>
          <w:rFonts w:cstheme="minorHAnsi"/>
          <w:noProof/>
        </w:rPr>
        <w:t>n alternative</w:t>
      </w:r>
      <w:r>
        <w:rPr>
          <w:rFonts w:cstheme="minorHAnsi"/>
        </w:rPr>
        <w:t xml:space="preserve"> deformation mechanism to slip is mechanical twinning, which results in the enhancement of ductility for these materials. In current RHEA systems, unlike the stable</w:t>
      </w:r>
      <w:r>
        <w:rPr>
          <w:rStyle w:val="ab"/>
        </w:rPr>
        <w:t xml:space="preserve"> </w:t>
      </w:r>
      <w:r w:rsidRPr="00660F6C">
        <w:rPr>
          <w:rFonts w:cs="Times New Roman"/>
        </w:rPr>
        <w:t>β</w:t>
      </w:r>
      <w:r>
        <w:rPr>
          <w:rFonts w:cs="Times New Roman"/>
        </w:rPr>
        <w:t xml:space="preserve"> phase, the stress-induced martensite phases which include </w:t>
      </w:r>
      <w:r w:rsidRPr="00660F6C">
        <w:rPr>
          <w:rFonts w:cs="Times New Roman"/>
        </w:rPr>
        <w:t>α</w:t>
      </w:r>
      <w:r>
        <w:rPr>
          <w:rFonts w:cs="Times New Roman"/>
        </w:rPr>
        <w:t xml:space="preserve"> (HCP)</w:t>
      </w:r>
      <w:r w:rsidRPr="00660F6C">
        <w:rPr>
          <w:rFonts w:cs="Times New Roman"/>
        </w:rPr>
        <w:t>,</w:t>
      </w:r>
      <w:r>
        <w:rPr>
          <w:rFonts w:cs="Times New Roman"/>
        </w:rPr>
        <w:t xml:space="preserve"> </w:t>
      </w:r>
      <w:r w:rsidRPr="00660F6C">
        <w:rPr>
          <w:rFonts w:cs="Times New Roman"/>
        </w:rPr>
        <w:t>α’</w:t>
      </w:r>
      <w:r>
        <w:rPr>
          <w:rFonts w:cs="Times New Roman"/>
        </w:rPr>
        <w:t xml:space="preserve"> </w:t>
      </w:r>
      <w:r>
        <w:rPr>
          <w:rFonts w:cs="Times New Roman"/>
        </w:rPr>
        <w:lastRenderedPageBreak/>
        <w:t xml:space="preserve">(near HCP) or </w:t>
      </w:r>
      <w:r w:rsidRPr="00660F6C">
        <w:rPr>
          <w:rFonts w:cs="Times New Roman"/>
        </w:rPr>
        <w:t>α’’</w:t>
      </w:r>
      <w:r>
        <w:rPr>
          <w:rFonts w:cs="Times New Roman"/>
        </w:rPr>
        <w:t xml:space="preserve"> lack slip systems. Therefore, mechanical twinning would potentially have an important role in enhancing their mechanical performance. When considering these points, it is evident that involving mechanical twinning in RHEA materials possessing both BCC and martensite phases, could significantly increas</w:t>
      </w:r>
      <w:r w:rsidR="007D04B9">
        <w:rPr>
          <w:rFonts w:cs="Times New Roman"/>
        </w:rPr>
        <w:t>e</w:t>
      </w:r>
      <w:r>
        <w:rPr>
          <w:rFonts w:cs="Times New Roman"/>
        </w:rPr>
        <w:t xml:space="preserve"> </w:t>
      </w:r>
      <w:r w:rsidR="007D04B9">
        <w:rPr>
          <w:rFonts w:cs="Times New Roman"/>
        </w:rPr>
        <w:t xml:space="preserve">their </w:t>
      </w:r>
      <w:r>
        <w:rPr>
          <w:rFonts w:cs="Times New Roman"/>
        </w:rPr>
        <w:t>strain hardening and strength.</w:t>
      </w:r>
    </w:p>
    <w:p w14:paraId="171F365C" w14:textId="77777777" w:rsidR="00624970" w:rsidRDefault="00624970" w:rsidP="00624970">
      <w:pPr>
        <w:spacing w:afterLines="60" w:after="144" w:line="360" w:lineRule="auto"/>
        <w:jc w:val="both"/>
        <w:rPr>
          <w:rFonts w:cstheme="minorHAnsi"/>
        </w:rPr>
      </w:pPr>
      <w:r w:rsidRPr="008D07D9">
        <w:t xml:space="preserve">With highest crystal symmetry, </w:t>
      </w:r>
      <w:r>
        <w:t>d</w:t>
      </w:r>
      <w:r w:rsidRPr="008D07D9">
        <w:t>eformati</w:t>
      </w:r>
      <w:r w:rsidRPr="001D7AE9">
        <w:rPr>
          <w:rFonts w:cstheme="minorHAnsi"/>
        </w:rPr>
        <w:t xml:space="preserve">on </w:t>
      </w:r>
      <w:r w:rsidRPr="00C06CF3">
        <w:rPr>
          <w:rFonts w:cstheme="minorHAnsi"/>
        </w:rPr>
        <w:t>is generally accommodated</w:t>
      </w:r>
      <w:r w:rsidRPr="001D7AE9">
        <w:rPr>
          <w:rFonts w:cstheme="minorHAnsi"/>
        </w:rPr>
        <w:t xml:space="preserve"> by</w:t>
      </w:r>
      <w:r w:rsidRPr="00BA50B5">
        <w:rPr>
          <w:rFonts w:cstheme="minorHAnsi"/>
        </w:rPr>
        <w:t xml:space="preserve"> dislocation slip in the</w:t>
      </w:r>
      <w:r w:rsidRPr="0090786E">
        <w:rPr>
          <w:rFonts w:cstheme="minorHAnsi"/>
        </w:rPr>
        <w:t xml:space="preserve"> β phase. </w:t>
      </w:r>
      <w:r w:rsidRPr="00FD3B1A">
        <w:rPr>
          <w:rFonts w:cstheme="minorHAnsi"/>
        </w:rPr>
        <w:t>Moreover, deformation twinning has proved effective in improving</w:t>
      </w:r>
      <w:r>
        <w:rPr>
          <w:rFonts w:cstheme="minorHAnsi"/>
        </w:rPr>
        <w:t xml:space="preserve"> the </w:t>
      </w:r>
      <w:r w:rsidRPr="00FD3B1A">
        <w:rPr>
          <w:rFonts w:cstheme="minorHAnsi"/>
        </w:rPr>
        <w:t>strength and ductility of FCC metallic materials</w:t>
      </w:r>
      <w:r>
        <w:rPr>
          <w:rFonts w:cstheme="minorHAnsi"/>
        </w:rPr>
        <w:t>, moreover, it</w:t>
      </w:r>
      <w:r w:rsidRPr="00FD3B1A">
        <w:rPr>
          <w:rFonts w:cstheme="minorHAnsi"/>
        </w:rPr>
        <w:t xml:space="preserve"> </w:t>
      </w:r>
      <w:r w:rsidRPr="00C06CF3">
        <w:rPr>
          <w:rFonts w:cstheme="minorHAnsi"/>
        </w:rPr>
        <w:t>is considered</w:t>
      </w:r>
      <w:r w:rsidRPr="001D7AE9">
        <w:rPr>
          <w:rFonts w:cstheme="minorHAnsi"/>
        </w:rPr>
        <w:t xml:space="preserve"> as a very important deformation mechanism to improve </w:t>
      </w:r>
      <w:r>
        <w:rPr>
          <w:rFonts w:cstheme="minorHAnsi"/>
        </w:rPr>
        <w:t xml:space="preserve">the </w:t>
      </w:r>
      <w:r w:rsidRPr="001D7AE9">
        <w:rPr>
          <w:rFonts w:cstheme="minorHAnsi"/>
        </w:rPr>
        <w:t>mechanical properties of β-phase alloy</w:t>
      </w:r>
      <w:r w:rsidRPr="00BA50B5">
        <w:rPr>
          <w:rFonts w:cstheme="minorHAnsi"/>
        </w:rPr>
        <w:t xml:space="preserve">s. The most </w:t>
      </w:r>
      <w:r>
        <w:rPr>
          <w:rFonts w:cstheme="minorHAnsi"/>
        </w:rPr>
        <w:t xml:space="preserve">widely </w:t>
      </w:r>
      <w:r w:rsidRPr="00BA50B5">
        <w:rPr>
          <w:rFonts w:cstheme="minorHAnsi"/>
        </w:rPr>
        <w:t>reported deformation twinning system in BCC structure</w:t>
      </w:r>
      <w:r>
        <w:rPr>
          <w:rFonts w:cstheme="minorHAnsi"/>
        </w:rPr>
        <w:t>d</w:t>
      </w:r>
      <w:r w:rsidRPr="00BA50B5">
        <w:rPr>
          <w:rFonts w:cstheme="minorHAnsi"/>
        </w:rPr>
        <w:t xml:space="preserve"> </w:t>
      </w:r>
      <w:r>
        <w:rPr>
          <w:rFonts w:cstheme="minorHAnsi"/>
        </w:rPr>
        <w:t>metals</w:t>
      </w:r>
      <w:r w:rsidRPr="001D7AE9">
        <w:rPr>
          <w:rFonts w:cstheme="minorHAnsi"/>
        </w:rPr>
        <w:t xml:space="preserve"> (</w:t>
      </w:r>
      <w:r w:rsidRPr="00C06CF3">
        <w:rPr>
          <w:rFonts w:cstheme="minorHAnsi"/>
        </w:rPr>
        <w:t>α</w:t>
      </w:r>
      <w:r w:rsidRPr="001D7AE9">
        <w:rPr>
          <w:rFonts w:cstheme="minorHAnsi"/>
        </w:rPr>
        <w:t xml:space="preserve">-Fe, </w:t>
      </w:r>
      <w:r w:rsidRPr="00C06CF3">
        <w:rPr>
          <w:rFonts w:cstheme="minorHAnsi"/>
        </w:rPr>
        <w:t>β</w:t>
      </w:r>
      <w:r w:rsidRPr="001D7AE9">
        <w:rPr>
          <w:rFonts w:cstheme="minorHAnsi"/>
        </w:rPr>
        <w:t>-Ti and other V, VI group alloy</w:t>
      </w:r>
      <w:r>
        <w:rPr>
          <w:rFonts w:cstheme="minorHAnsi"/>
        </w:rPr>
        <w:t>s</w:t>
      </w:r>
      <w:r w:rsidRPr="001D7AE9">
        <w:rPr>
          <w:rFonts w:cstheme="minorHAnsi"/>
        </w:rPr>
        <w:t>) is</w:t>
      </w:r>
      <w:r w:rsidRPr="00BA50B5">
        <w:rPr>
          <w:rFonts w:cstheme="minorHAnsi"/>
        </w:rPr>
        <w:t xml:space="preserve"> {112}&lt;111&gt;</w:t>
      </w:r>
      <w:r w:rsidRPr="00BA50B5">
        <w:rPr>
          <w:rFonts w:cstheme="minorHAnsi"/>
          <w:vertAlign w:val="subscript"/>
        </w:rPr>
        <w:t>β</w:t>
      </w:r>
      <w:r w:rsidRPr="00BA50B5">
        <w:rPr>
          <w:rFonts w:cstheme="minorHAnsi"/>
        </w:rPr>
        <w:t xml:space="preserve"> twinning. </w:t>
      </w:r>
      <w:r>
        <w:rPr>
          <w:rFonts w:cstheme="minorHAnsi"/>
        </w:rPr>
        <w:t xml:space="preserve">This may need to be taken into consideration for the activation of the TWIP effect in RHEAs. </w:t>
      </w:r>
      <w:r w:rsidRPr="00BA50B5">
        <w:rPr>
          <w:rFonts w:cstheme="minorHAnsi"/>
        </w:rPr>
        <w:t>The origin of this twinning system is considered quite similar to the {111}&lt;</w:t>
      </w:r>
      <w:r w:rsidRPr="0090786E">
        <w:rPr>
          <w:rFonts w:cstheme="minorHAnsi"/>
        </w:rPr>
        <w:t>112&gt;</w:t>
      </w:r>
      <w:r w:rsidRPr="0090786E">
        <w:rPr>
          <w:rFonts w:cstheme="minorHAnsi"/>
          <w:vertAlign w:val="subscript"/>
        </w:rPr>
        <w:t>γ</w:t>
      </w:r>
      <w:r w:rsidRPr="00FD3B1A">
        <w:rPr>
          <w:rFonts w:cstheme="minorHAnsi"/>
        </w:rPr>
        <w:t xml:space="preserve"> mechanical twinning in FCC alloys, which</w:t>
      </w:r>
      <w:r w:rsidRPr="00C06CF3">
        <w:rPr>
          <w:rFonts w:cstheme="minorHAnsi"/>
          <w:color w:val="FF0000"/>
          <w:sz w:val="36"/>
          <w:szCs w:val="36"/>
        </w:rPr>
        <w:t xml:space="preserve"> </w:t>
      </w:r>
      <w:r w:rsidRPr="001D7AE9">
        <w:rPr>
          <w:rFonts w:cstheme="minorHAnsi"/>
        </w:rPr>
        <w:t xml:space="preserve">is </w:t>
      </w:r>
      <w:r>
        <w:rPr>
          <w:rFonts w:cstheme="minorHAnsi"/>
        </w:rPr>
        <w:t>activated</w:t>
      </w:r>
      <w:r w:rsidRPr="001D7AE9">
        <w:rPr>
          <w:rFonts w:cstheme="minorHAnsi"/>
        </w:rPr>
        <w:t xml:space="preserve"> by collective slide Shockley dislocations with the same burger vector on the </w:t>
      </w:r>
      <w:r w:rsidRPr="00C06CF3">
        <w:rPr>
          <w:rFonts w:cstheme="minorHAnsi"/>
        </w:rPr>
        <w:t>continuous</w:t>
      </w:r>
      <w:r w:rsidRPr="001D7AE9">
        <w:rPr>
          <w:rFonts w:cstheme="minorHAnsi"/>
        </w:rPr>
        <w:t xml:space="preserve"> twinning plane</w:t>
      </w:r>
      <w:r>
        <w:rPr>
          <w:rFonts w:cstheme="minorHAnsi"/>
        </w:rPr>
        <w:t xml:space="preserve"> </w:t>
      </w:r>
      <w:r w:rsidRPr="001D7AE9">
        <w:rPr>
          <w:rFonts w:cstheme="minorHAnsi"/>
        </w:rPr>
        <w:fldChar w:fldCharType="begin" w:fldLock="1"/>
      </w:r>
      <w:r>
        <w:rPr>
          <w:rFonts w:cstheme="minorHAnsi"/>
        </w:rPr>
        <w:instrText>ADDIN CSL_CITATION {"citationItems":[{"id":"ITEM-1","itemData":{"DOI":"10.1016/j.actamat.2018.05.061","ISBN":"1359-6454","ISSN":"13596454","abstract":"In body-centered cubic (BCC) metals, plastic deformation usually takes place by deformation twinning under high strain rate. Although numerous efforts have been conducted on deformation twinning, the twinning mechanism is still shrouded in mystery. Here, we report a direct observation of deformation twinning in BCC tantalum and niobium by the use of in situ and aberration-corrected electron microscopy. Twin lamellae grow up from coherent twin boundaries by repeatedly extruding and subsequently expanding of bulges on the twin boundaries. A substantial stress gradient is detected around twin lamellae along the twinning direction. The twin growth can be described by a self-thickening mechanism through dislocation reactions at steps on coherent twin boundaries thus absent continuous supply of dislocations. The dislocation reactions can be activated and deactivated by the transition between normal step dislocations and complementary zonal dislocations. These results provide insights to deformation twinning in bulk BCC metals.","author":[{"dropping-particle":"","family":"Jiang","given":"Binbin","non-dropping-particle":"","parse-names":false,"suffix":""},{"dropping-particle":"","family":"Tu","given":"Aidong","non-dropping-particle":"","parse-names":false,"suffix":""},{"dropping-particle":"","family":"Wang","given":"Hao","non-dropping-particle":"","parse-names":false,"suffix":""},{"dropping-particle":"","family":"Duan","given":"Huichao","non-dropping-particle":"","parse-names":false,"suffix":""},{"dropping-particle":"","family":"He","given":"Suyun","non-dropping-particle":"","parse-names":false,"suffix":""},{"dropping-particle":"","family":"Ye","given":"Hengqiang","non-dropping-particle":"","parse-names":false,"suffix":""},{"dropping-particle":"","family":"Du","given":"Kui","non-dropping-particle":"","parse-names":false,"suffix":""}],"container-title":"Acta Materialia","id":"ITEM-1","issued":{"date-parts":[["2018"]]},"title":"Direct observation of deformation twinning under stress gradient in body-centered cubic metals","type":"article-journal"},"uris":["http://www.mendeley.com/documents/?uuid=06f265fd-9f71-4d0d-936f-ca96250d8779","http://www.mendeley.com/documents/?uuid=93a08603-fea7-4d3f-8e85-c1d3050cd8be"]}],"mendeley":{"formattedCitation":"[142]","plainTextFormattedCitation":"[142]","previouslyFormattedCitation":"[142]"},"properties":{"noteIndex":0},"schema":"https://github.com/citation-style-language/schema/raw/master/csl-citation.json"}</w:instrText>
      </w:r>
      <w:r w:rsidRPr="001D7AE9">
        <w:rPr>
          <w:rFonts w:cstheme="minorHAnsi"/>
        </w:rPr>
        <w:fldChar w:fldCharType="separate"/>
      </w:r>
      <w:r w:rsidRPr="003B39BC">
        <w:rPr>
          <w:rFonts w:cstheme="minorHAnsi"/>
          <w:noProof/>
        </w:rPr>
        <w:t>[142]</w:t>
      </w:r>
      <w:r w:rsidRPr="001D7AE9">
        <w:rPr>
          <w:rFonts w:cstheme="minorHAnsi"/>
        </w:rPr>
        <w:fldChar w:fldCharType="end"/>
      </w:r>
      <w:r w:rsidRPr="001D7AE9">
        <w:rPr>
          <w:rFonts w:cstheme="minorHAnsi"/>
        </w:rPr>
        <w:t>. A detailed illustration of the formation of {112}&lt;111&gt;</w:t>
      </w:r>
      <w:r w:rsidRPr="001D7AE9">
        <w:rPr>
          <w:rFonts w:cstheme="minorHAnsi"/>
          <w:vertAlign w:val="subscript"/>
        </w:rPr>
        <w:t>β</w:t>
      </w:r>
      <w:r w:rsidRPr="001D7AE9">
        <w:rPr>
          <w:rFonts w:cstheme="minorHAnsi"/>
        </w:rPr>
        <w:t xml:space="preserve"> twinning </w:t>
      </w:r>
      <w:r w:rsidRPr="00C06CF3">
        <w:rPr>
          <w:rFonts w:cstheme="minorHAnsi"/>
        </w:rPr>
        <w:t>is shown</w:t>
      </w:r>
      <w:r w:rsidRPr="001D7AE9">
        <w:rPr>
          <w:rFonts w:cstheme="minorHAnsi"/>
        </w:rPr>
        <w:t xml:space="preserve"> in </w:t>
      </w:r>
      <w:r>
        <w:rPr>
          <w:rFonts w:cstheme="minorHAnsi"/>
        </w:rPr>
        <w:br/>
      </w:r>
      <w:r w:rsidRPr="001D7AE9">
        <w:rPr>
          <w:rFonts w:cstheme="minorHAnsi"/>
        </w:rPr>
        <w:t xml:space="preserve">Fig. 2-25. </w:t>
      </w:r>
    </w:p>
    <w:p w14:paraId="23751248" w14:textId="77777777" w:rsidR="00624970" w:rsidRDefault="00624970" w:rsidP="00624970">
      <w:pPr>
        <w:keepNext/>
        <w:spacing w:afterLines="60" w:after="144" w:line="360" w:lineRule="auto"/>
        <w:jc w:val="center"/>
      </w:pPr>
      <w:r>
        <w:rPr>
          <w:noProof/>
          <w:lang w:val="en-US" w:eastAsia="en-US"/>
        </w:rPr>
        <w:drawing>
          <wp:inline distT="0" distB="0" distL="0" distR="0" wp14:anchorId="6CDFD27B" wp14:editId="619AA8A0">
            <wp:extent cx="4062730" cy="3449685"/>
            <wp:effectExtent l="0" t="0" r="0" b="0"/>
            <wp:docPr id="21" name="图片 21" descr="Fi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88200" cy="3471311"/>
                    </a:xfrm>
                    <a:prstGeom prst="rect">
                      <a:avLst/>
                    </a:prstGeom>
                    <a:noFill/>
                    <a:ln>
                      <a:noFill/>
                    </a:ln>
                  </pic:spPr>
                </pic:pic>
              </a:graphicData>
            </a:graphic>
          </wp:inline>
        </w:drawing>
      </w:r>
    </w:p>
    <w:p w14:paraId="5D4B2A19" w14:textId="1A78754A" w:rsidR="00624970" w:rsidRPr="009225C4" w:rsidRDefault="00624970" w:rsidP="00624970">
      <w:pPr>
        <w:spacing w:afterLines="60" w:after="144" w:line="360" w:lineRule="auto"/>
        <w:jc w:val="both"/>
        <w:rPr>
          <w:sz w:val="20"/>
        </w:rPr>
      </w:pPr>
      <w:bookmarkStart w:id="184" w:name="_Toc7364580"/>
      <w:bookmarkStart w:id="185" w:name="_Toc5617647"/>
      <w:bookmarkStart w:id="186" w:name="_Toc39312694"/>
      <w:r w:rsidRPr="001F5994">
        <w:rPr>
          <w:rFonts w:hint="eastAsia"/>
          <w:b/>
          <w:sz w:val="20"/>
        </w:rPr>
        <w:t>F</w:t>
      </w:r>
      <w:r w:rsidRPr="001F5994">
        <w:rPr>
          <w:b/>
          <w:sz w:val="20"/>
        </w:rPr>
        <w:t>ig</w:t>
      </w:r>
      <w:r>
        <w:rPr>
          <w:b/>
          <w:sz w:val="20"/>
        </w:rPr>
        <w:t>ure 2-</w:t>
      </w:r>
      <w:r w:rsidRPr="0044096C">
        <w:rPr>
          <w:b/>
          <w:sz w:val="20"/>
        </w:rPr>
        <w:fldChar w:fldCharType="begin"/>
      </w:r>
      <w:r w:rsidRPr="0044096C">
        <w:rPr>
          <w:b/>
          <w:sz w:val="20"/>
        </w:rPr>
        <w:instrText xml:space="preserve"> SEQ Figure \* ARABIC </w:instrText>
      </w:r>
      <w:r w:rsidRPr="0044096C">
        <w:rPr>
          <w:b/>
          <w:sz w:val="20"/>
        </w:rPr>
        <w:fldChar w:fldCharType="separate"/>
      </w:r>
      <w:r>
        <w:rPr>
          <w:b/>
          <w:noProof/>
          <w:sz w:val="20"/>
        </w:rPr>
        <w:t>25</w:t>
      </w:r>
      <w:r w:rsidRPr="0044096C">
        <w:rPr>
          <w:b/>
          <w:sz w:val="20"/>
        </w:rPr>
        <w:fldChar w:fldCharType="end"/>
      </w:r>
      <w:r>
        <w:rPr>
          <w:b/>
          <w:sz w:val="20"/>
        </w:rPr>
        <w:t xml:space="preserve"> Illustration of {112}</w:t>
      </w:r>
      <w:r w:rsidRPr="00050C7E">
        <w:rPr>
          <w:b/>
          <w:sz w:val="20"/>
          <w:vertAlign w:val="subscript"/>
        </w:rPr>
        <w:t>β</w:t>
      </w:r>
      <w:r>
        <w:rPr>
          <w:b/>
          <w:sz w:val="20"/>
        </w:rPr>
        <w:t xml:space="preserve"> twinning growth in BCC metallic materials </w:t>
      </w:r>
      <w:r w:rsidRPr="001F5994">
        <w:rPr>
          <w:sz w:val="20"/>
        </w:rPr>
        <w:t>(</w:t>
      </w:r>
      <w:r w:rsidRPr="001F5994">
        <w:rPr>
          <w:b/>
          <w:sz w:val="20"/>
        </w:rPr>
        <w:t>a</w:t>
      </w:r>
      <w:r>
        <w:rPr>
          <w:b/>
          <w:sz w:val="20"/>
        </w:rPr>
        <w:t>-b</w:t>
      </w:r>
      <w:r w:rsidRPr="001F5994">
        <w:rPr>
          <w:sz w:val="20"/>
        </w:rPr>
        <w:t>)</w:t>
      </w:r>
      <w:r>
        <w:rPr>
          <w:sz w:val="20"/>
        </w:rPr>
        <w:t xml:space="preserve"> the activation of 1/6&lt;111&gt; partial dislocation </w:t>
      </w:r>
      <w:r w:rsidRPr="006B2702">
        <w:rPr>
          <w:noProof/>
          <w:sz w:val="20"/>
        </w:rPr>
        <w:t>th</w:t>
      </w:r>
      <w:r>
        <w:rPr>
          <w:noProof/>
          <w:sz w:val="20"/>
        </w:rPr>
        <w:t>r</w:t>
      </w:r>
      <w:r w:rsidRPr="006B2702">
        <w:rPr>
          <w:noProof/>
          <w:sz w:val="20"/>
        </w:rPr>
        <w:t>ough</w:t>
      </w:r>
      <w:r>
        <w:rPr>
          <w:sz w:val="20"/>
        </w:rPr>
        <w:t xml:space="preserve"> merging 1/2&lt;111&gt; dislocation into 1/3&lt;111&gt; zonal dislocation; (</w:t>
      </w:r>
      <w:r w:rsidRPr="00151A4C">
        <w:rPr>
          <w:b/>
          <w:sz w:val="20"/>
        </w:rPr>
        <w:t>c</w:t>
      </w:r>
      <w:r>
        <w:rPr>
          <w:b/>
          <w:sz w:val="20"/>
        </w:rPr>
        <w:t>-f</w:t>
      </w:r>
      <w:r>
        <w:rPr>
          <w:sz w:val="20"/>
        </w:rPr>
        <w:t xml:space="preserve">) repetition of the process </w:t>
      </w:r>
      <w:r>
        <w:rPr>
          <w:sz w:val="20"/>
        </w:rPr>
        <w:lastRenderedPageBreak/>
        <w:t xml:space="preserve">shown in (a-b) </w:t>
      </w:r>
      <w:r w:rsidRPr="006B2702">
        <w:rPr>
          <w:noProof/>
          <w:sz w:val="20"/>
        </w:rPr>
        <w:t>enable</w:t>
      </w:r>
      <w:r>
        <w:rPr>
          <w:noProof/>
          <w:sz w:val="20"/>
        </w:rPr>
        <w:t>d</w:t>
      </w:r>
      <w:r>
        <w:rPr>
          <w:sz w:val="20"/>
        </w:rPr>
        <w:t xml:space="preserve"> thickening of the twinning boundary; and (</w:t>
      </w:r>
      <w:r>
        <w:rPr>
          <w:b/>
          <w:sz w:val="20"/>
        </w:rPr>
        <w:t>g-h</w:t>
      </w:r>
      <w:r>
        <w:rPr>
          <w:sz w:val="20"/>
        </w:rPr>
        <w:t xml:space="preserve">) </w:t>
      </w:r>
      <w:r w:rsidRPr="006B2702">
        <w:rPr>
          <w:noProof/>
          <w:sz w:val="20"/>
        </w:rPr>
        <w:t>remnant</w:t>
      </w:r>
      <w:r>
        <w:rPr>
          <w:noProof/>
          <w:sz w:val="20"/>
        </w:rPr>
        <w:t>s</w:t>
      </w:r>
      <w:r>
        <w:rPr>
          <w:sz w:val="20"/>
        </w:rPr>
        <w:t xml:space="preserve"> of 1/6&lt;111&gt; partial dislocation accumulated at a twinning boundary </w:t>
      </w:r>
      <w:r>
        <w:rPr>
          <w:sz w:val="20"/>
        </w:rPr>
        <w:fldChar w:fldCharType="begin" w:fldLock="1"/>
      </w:r>
      <w:r>
        <w:rPr>
          <w:sz w:val="20"/>
        </w:rPr>
        <w:instrText>ADDIN CSL_CITATION {"citationItems":[{"id":"ITEM-1","itemData":{"DOI":"10.1016/j.actamat.2018.05.061","ISBN":"1359-6454","ISSN":"13596454","abstract":"In body-centered cubic (BCC) metals, plastic deformation usually takes place by deformation twinning under high strain rate. Although numerous efforts have been conducted on deformation twinning, the twinning mechanism is still shrouded in mystery. Here, we report a direct observation of deformation twinning in BCC tantalum and niobium by the use of in situ and aberration-corrected electron microscopy. Twin lamellae grow up from coherent twin boundaries by repeatedly extruding and subsequently expanding of bulges on the twin boundaries. A substantial stress gradient is detected around twin lamellae along the twinning direction. The twin growth can be described by a self-thickening mechanism through dislocation reactions at steps on coherent twin boundaries thus absent continuous supply of dislocations. The dislocation reactions can be activated and deactivated by the transition between normal step dislocations and complementary zonal dislocations. These results provide insights to deformation twinning in bulk BCC metals.","author":[{"dropping-particle":"","family":"Jiang","given":"Binbin","non-dropping-particle":"","parse-names":false,"suffix":""},{"dropping-particle":"","family":"Tu","given":"Aidong","non-dropping-particle":"","parse-names":false,"suffix":""},{"dropping-particle":"","family":"Wang","given":"Hao","non-dropping-particle":"","parse-names":false,"suffix":""},{"dropping-particle":"","family":"Duan","given":"Huichao","non-dropping-particle":"","parse-names":false,"suffix":""},{"dropping-particle":"","family":"He","given":"Suyun","non-dropping-particle":"","parse-names":false,"suffix":""},{"dropping-particle":"","family":"Ye","given":"Hengqiang","non-dropping-particle":"","parse-names":false,"suffix":""},{"dropping-particle":"","family":"Du","given":"Kui","non-dropping-particle":"","parse-names":false,"suffix":""}],"container-title":"Acta Materialia","id":"ITEM-1","issued":{"date-parts":[["2018"]]},"title":"Direct observation of deformation twinning under stress gradient in body-centered cubic metals","type":"article-journal"},"uris":["http://www.mendeley.com/documents/?uuid=93a08603-fea7-4d3f-8e85-c1d3050cd8be","http://www.mendeley.com/documents/?uuid=06f265fd-9f71-4d0d-936f-ca96250d8779"]}],"mendeley":{"formattedCitation":"[142]","plainTextFormattedCitation":"[142]","previouslyFormattedCitation":"[142]"},"properties":{"noteIndex":0},"schema":"https://github.com/citation-style-language/schema/raw/master/csl-citation.json"}</w:instrText>
      </w:r>
      <w:r>
        <w:rPr>
          <w:sz w:val="20"/>
        </w:rPr>
        <w:fldChar w:fldCharType="separate"/>
      </w:r>
      <w:bookmarkEnd w:id="184"/>
      <w:bookmarkEnd w:id="185"/>
      <w:r w:rsidRPr="003B39BC">
        <w:rPr>
          <w:noProof/>
          <w:sz w:val="20"/>
        </w:rPr>
        <w:t>[142]</w:t>
      </w:r>
      <w:r>
        <w:rPr>
          <w:sz w:val="20"/>
        </w:rPr>
        <w:fldChar w:fldCharType="end"/>
      </w:r>
      <w:r>
        <w:rPr>
          <w:sz w:val="20"/>
        </w:rPr>
        <w:t>.</w:t>
      </w:r>
      <w:bookmarkEnd w:id="186"/>
    </w:p>
    <w:p w14:paraId="279AE809" w14:textId="1438B65E" w:rsidR="00624970" w:rsidRDefault="00624970" w:rsidP="00624970">
      <w:pPr>
        <w:spacing w:afterLines="60" w:after="144" w:line="360" w:lineRule="auto"/>
        <w:jc w:val="both"/>
        <w:rPr>
          <w:rFonts w:cstheme="minorHAnsi"/>
        </w:rPr>
      </w:pPr>
      <w:r>
        <w:rPr>
          <w:rFonts w:cstheme="minorHAnsi"/>
        </w:rPr>
        <w:t>In comparison with</w:t>
      </w:r>
      <w:r w:rsidRPr="001D7AE9">
        <w:rPr>
          <w:rFonts w:cstheme="minorHAnsi"/>
        </w:rPr>
        <w:t xml:space="preserve"> {112}&lt;111&gt;</w:t>
      </w:r>
      <w:r w:rsidRPr="001D7AE9">
        <w:rPr>
          <w:rFonts w:cstheme="minorHAnsi"/>
          <w:vertAlign w:val="subscript"/>
        </w:rPr>
        <w:t>β</w:t>
      </w:r>
      <w:r w:rsidRPr="001D7AE9">
        <w:rPr>
          <w:rFonts w:cstheme="minorHAnsi"/>
        </w:rPr>
        <w:t xml:space="preserve"> twinning systems in BCC, </w:t>
      </w:r>
      <w:r>
        <w:rPr>
          <w:rFonts w:cstheme="minorHAnsi"/>
        </w:rPr>
        <w:t xml:space="preserve">the </w:t>
      </w:r>
      <w:r w:rsidRPr="001D7AE9">
        <w:rPr>
          <w:rFonts w:cstheme="minorHAnsi"/>
        </w:rPr>
        <w:t>{332}&lt;113&gt;</w:t>
      </w:r>
      <w:r w:rsidRPr="001D7AE9">
        <w:rPr>
          <w:rFonts w:cstheme="minorHAnsi"/>
          <w:vertAlign w:val="subscript"/>
        </w:rPr>
        <w:t>β</w:t>
      </w:r>
      <w:r w:rsidRPr="001D7AE9">
        <w:rPr>
          <w:rFonts w:cstheme="minorHAnsi"/>
        </w:rPr>
        <w:t xml:space="preserve"> twinning system </w:t>
      </w:r>
      <w:r>
        <w:rPr>
          <w:rFonts w:cstheme="minorHAnsi"/>
        </w:rPr>
        <w:t xml:space="preserve">found </w:t>
      </w:r>
      <w:r w:rsidRPr="001D7AE9">
        <w:rPr>
          <w:rFonts w:cstheme="minorHAnsi"/>
        </w:rPr>
        <w:t xml:space="preserve">in metastable </w:t>
      </w:r>
      <w:r w:rsidRPr="00C06CF3">
        <w:rPr>
          <w:rFonts w:cstheme="minorHAnsi"/>
        </w:rPr>
        <w:t>β</w:t>
      </w:r>
      <w:r w:rsidRPr="001D7AE9">
        <w:rPr>
          <w:rFonts w:cstheme="minorHAnsi"/>
        </w:rPr>
        <w:t xml:space="preserve">-Ti alloy has </w:t>
      </w:r>
      <w:r w:rsidRPr="001D7AE9">
        <w:rPr>
          <w:rFonts w:cstheme="minorHAnsi"/>
          <w:noProof/>
        </w:rPr>
        <w:t>attracted</w:t>
      </w:r>
      <w:r w:rsidRPr="001D7AE9">
        <w:rPr>
          <w:rFonts w:cstheme="minorHAnsi"/>
        </w:rPr>
        <w:t xml:space="preserve"> great interest from researchers</w:t>
      </w:r>
      <w:r>
        <w:rPr>
          <w:rFonts w:cstheme="minorHAnsi"/>
        </w:rPr>
        <w:t xml:space="preserve"> due to</w:t>
      </w:r>
      <w:r w:rsidRPr="001D7AE9">
        <w:rPr>
          <w:rFonts w:cstheme="minorHAnsi"/>
        </w:rPr>
        <w:t xml:space="preserve"> its effectiveness in solving </w:t>
      </w:r>
      <w:r>
        <w:rPr>
          <w:rFonts w:cstheme="minorHAnsi"/>
        </w:rPr>
        <w:t xml:space="preserve">the </w:t>
      </w:r>
      <w:r w:rsidRPr="001D7AE9">
        <w:rPr>
          <w:rFonts w:cstheme="minorHAnsi"/>
        </w:rPr>
        <w:t>strength-ductility trade-off</w:t>
      </w:r>
      <w:r>
        <w:rPr>
          <w:rFonts w:cstheme="minorHAnsi"/>
        </w:rPr>
        <w:t xml:space="preserve"> </w:t>
      </w:r>
      <w:r w:rsidRPr="001D7AE9">
        <w:rPr>
          <w:rFonts w:cstheme="minorHAnsi"/>
        </w:rPr>
        <w:fldChar w:fldCharType="begin" w:fldLock="1"/>
      </w:r>
      <w:r>
        <w:rPr>
          <w:rFonts w:cstheme="minorHAnsi"/>
        </w:rPr>
        <w:instrText>ADDIN CSL_CITATION {"citationItems":[{"id":"ITEM-1","itemData":{"DOI":"10.1007/BF02825707","ISBN":"0360-2133","ISSN":"0360-2133","abstract":"The effect of plastic deformation mode on tensile properties of quenched commercial/3-phase titanium alloys has been investigated at approximately constant grain size and oxygen content. In addition, stability of/3-phase has been estimated from w-reflections or diffuse streaking in electron diffraction patterns in a manner similar to the previous works on binary/3-phase titanium alloys. Dominant mode of plastic deformation is {332} (113) twinning in the alloys with large instability of/3-phase, such as Ti-11.5Mo-6Zr-4.5Sn and Ti-15Mo-5Zr, and is crystallographic slip in the alloys with small instability of/3-phase, such as Ti-15Mo-5Zr-3A1, Ti-3A1-8V-6Cr-4Mo-4Zr, Ti-15V-3Cr-3A1-3Sn, Ti-8Mo-8V-2Fe-3A1, and Ti-13V-11Cr-3A1, Twinning leads to low yield strength and large elongation, while slip results in high yield strength and small elongation in agreement with binary and ternary/3-phase titanium alloys.","author":[{"dropping-particle":"","family":"Hanada","given":"S.","non-dropping-particle":"","parse-names":false,"suffix":""},{"dropping-particle":"","family":"Izumi","given":"O.","non-dropping-particle":"","parse-names":false,"suffix":""}],"container-title":"Metallurgical Transactions A","id":"ITEM-1","issued":{"date-parts":[["1987"]]},"title":"Correlation of tensile properties, deformation modes, and phase stability in commercial β-phase titanium alloys","type":"article-journal"},"uris":["http://www.mendeley.com/documents/?uuid=a20cf19b-b0bd-49dd-a582-da820f834e68","http://www.mendeley.com/documents/?uuid=59c04530-cc42-4c18-b5d8-f19307985e8c"]}],"mendeley":{"formattedCitation":"[143]","plainTextFormattedCitation":"[143]","previouslyFormattedCitation":"[143]"},"properties":{"noteIndex":0},"schema":"https://github.com/citation-style-language/schema/raw/master/csl-citation.json"}</w:instrText>
      </w:r>
      <w:r w:rsidRPr="001D7AE9">
        <w:rPr>
          <w:rFonts w:cstheme="minorHAnsi"/>
        </w:rPr>
        <w:fldChar w:fldCharType="separate"/>
      </w:r>
      <w:r w:rsidRPr="003B39BC">
        <w:rPr>
          <w:rFonts w:cstheme="minorHAnsi"/>
          <w:noProof/>
        </w:rPr>
        <w:t>[143]</w:t>
      </w:r>
      <w:r w:rsidRPr="001D7AE9">
        <w:rPr>
          <w:rFonts w:cstheme="minorHAnsi"/>
        </w:rPr>
        <w:fldChar w:fldCharType="end"/>
      </w:r>
      <w:r w:rsidRPr="001D7AE9">
        <w:rPr>
          <w:rFonts w:cstheme="minorHAnsi"/>
        </w:rPr>
        <w:t xml:space="preserve">. Crocker </w:t>
      </w:r>
      <w:r>
        <w:rPr>
          <w:rFonts w:cstheme="minorHAnsi"/>
        </w:rPr>
        <w:t>[</w:t>
      </w:r>
      <w:r w:rsidRPr="001D7AE9">
        <w:rPr>
          <w:rFonts w:cstheme="minorHAnsi"/>
          <w:noProof/>
        </w:rPr>
        <w:t>152]</w:t>
      </w:r>
      <w:r>
        <w:rPr>
          <w:rFonts w:cstheme="minorHAnsi"/>
          <w:noProof/>
        </w:rPr>
        <w:t xml:space="preserve"> </w:t>
      </w:r>
      <w:r>
        <w:rPr>
          <w:rFonts w:cstheme="minorHAnsi"/>
        </w:rPr>
        <w:t>i</w:t>
      </w:r>
      <w:r w:rsidRPr="001D7AE9">
        <w:rPr>
          <w:rFonts w:cstheme="minorHAnsi"/>
        </w:rPr>
        <w:t xml:space="preserve">nvestigated the possible deformation twinning systems in </w:t>
      </w:r>
      <w:r w:rsidRPr="00C06CF3">
        <w:rPr>
          <w:rFonts w:cstheme="minorHAnsi"/>
        </w:rPr>
        <w:t>α</w:t>
      </w:r>
      <w:r w:rsidRPr="001D7AE9">
        <w:rPr>
          <w:rFonts w:cstheme="minorHAnsi"/>
        </w:rPr>
        <w:t>-Fe (BCC) by using the theory of the crystallography of deformation twinning, where {332}&lt;113&gt;</w:t>
      </w:r>
      <w:r w:rsidRPr="001D7AE9">
        <w:rPr>
          <w:rFonts w:cstheme="minorHAnsi"/>
          <w:vertAlign w:val="subscript"/>
        </w:rPr>
        <w:t>β</w:t>
      </w:r>
      <w:r w:rsidRPr="001D7AE9">
        <w:rPr>
          <w:rFonts w:cstheme="minorHAnsi"/>
        </w:rPr>
        <w:t xml:space="preserve"> twinning </w:t>
      </w:r>
      <w:r>
        <w:rPr>
          <w:rFonts w:cstheme="minorHAnsi"/>
        </w:rPr>
        <w:t>was</w:t>
      </w:r>
      <w:r w:rsidRPr="001D7AE9">
        <w:rPr>
          <w:rFonts w:cstheme="minorHAnsi"/>
        </w:rPr>
        <w:t xml:space="preserve"> not listed as a shear </w:t>
      </w:r>
      <w:r w:rsidRPr="001D7AE9">
        <w:rPr>
          <w:rFonts w:cstheme="minorHAnsi"/>
          <w:noProof/>
        </w:rPr>
        <w:t>favourable</w:t>
      </w:r>
      <w:r w:rsidRPr="001D7AE9">
        <w:rPr>
          <w:rFonts w:cstheme="minorHAnsi"/>
        </w:rPr>
        <w:t xml:space="preserve"> deformation twinning system in the BCC structure</w:t>
      </w:r>
      <w:r>
        <w:rPr>
          <w:rFonts w:cstheme="minorHAnsi"/>
        </w:rPr>
        <w:t xml:space="preserve"> </w:t>
      </w:r>
      <w:r w:rsidRPr="001D7AE9">
        <w:rPr>
          <w:rFonts w:cstheme="minorHAnsi"/>
        </w:rPr>
        <w:fldChar w:fldCharType="begin" w:fldLock="1"/>
      </w:r>
      <w:r>
        <w:rPr>
          <w:rFonts w:cstheme="minorHAnsi"/>
        </w:rPr>
        <w:instrText>ADDIN CSL_CITATION {"citationItems":[{"id":"ITEM-1","itemData":{"DOI":"10.1016/0001-6160(62)90056-1","ISBN":"00016160","ISSN":"00016160","abstract":"In view of the recent thin film work which has shown that at least some plates of martensite are twinned on a fine scale, the possible twinning modes of the martensite structure are examined in detail. These reduce to fourteen different shear modes, which are used as initial data for a current theory of martensite crystallography. It is shown that only six of these modes can in fact result in twinned martensite plates and a comparison of the corresponding predictions and the observed crystallographic features indicates that only one type of twinned martensite is likely to occur in practice. This type has been observed in several steels. Further developments of the theory which appear to be necessary in order to explain all the observed features are also discussed. © 1962.","author":[{"dropping-particle":"","family":"Crocker","given":"A. G.","non-dropping-particle":"","parse-names":false,"suffix":""}],"container-title":"Acta Metallurgica","id":"ITEM-1","issued":{"date-parts":[["1962"]]},"title":"Twinned martensite","type":"article-journal"},"uris":["http://www.mendeley.com/documents/?uuid=a9472a4c-54ba-4e8f-9fe1-08937f7684d1","http://www.mendeley.com/documents/?uuid=0ffb3d5e-035b-4429-b686-f4d760a9e356"]}],"mendeley":{"formattedCitation":"[144]","plainTextFormattedCitation":"[144]","previouslyFormattedCitation":"[144]"},"properties":{"noteIndex":0},"schema":"https://github.com/citation-style-language/schema/raw/master/csl-citation.json"}</w:instrText>
      </w:r>
      <w:r w:rsidRPr="001D7AE9">
        <w:rPr>
          <w:rFonts w:cstheme="minorHAnsi"/>
        </w:rPr>
        <w:fldChar w:fldCharType="separate"/>
      </w:r>
      <w:r w:rsidRPr="003B39BC">
        <w:rPr>
          <w:rFonts w:cstheme="minorHAnsi"/>
          <w:noProof/>
        </w:rPr>
        <w:t>[144]</w:t>
      </w:r>
      <w:r w:rsidRPr="001D7AE9">
        <w:rPr>
          <w:rFonts w:cstheme="minorHAnsi"/>
        </w:rPr>
        <w:fldChar w:fldCharType="end"/>
      </w:r>
      <w:r w:rsidRPr="001D7AE9">
        <w:rPr>
          <w:rFonts w:cstheme="minorHAnsi"/>
        </w:rPr>
        <w:t>. Unlike {112}&lt;111&gt;</w:t>
      </w:r>
      <w:r w:rsidRPr="001D7AE9">
        <w:rPr>
          <w:rFonts w:cstheme="minorHAnsi"/>
          <w:vertAlign w:val="subscript"/>
        </w:rPr>
        <w:t>β</w:t>
      </w:r>
      <w:r w:rsidRPr="001D7AE9">
        <w:rPr>
          <w:rFonts w:cstheme="minorHAnsi"/>
        </w:rPr>
        <w:t xml:space="preserve"> twinning, which can be achieved crystallographically by simple shear on continuous twinning planes </w:t>
      </w:r>
      <w:r>
        <w:rPr>
          <w:rFonts w:cstheme="minorHAnsi"/>
        </w:rPr>
        <w:t>possessing</w:t>
      </w:r>
      <w:r w:rsidRPr="001D7AE9">
        <w:rPr>
          <w:rFonts w:cstheme="minorHAnsi"/>
        </w:rPr>
        <w:t xml:space="preserve"> certain displacements, simple shear along </w:t>
      </w:r>
      <w:r w:rsidRPr="001D7AE9">
        <w:rPr>
          <w:rFonts w:cstheme="minorHAnsi"/>
          <w:noProof/>
        </w:rPr>
        <w:t>twinning</w:t>
      </w:r>
      <w:r w:rsidRPr="001D7AE9">
        <w:rPr>
          <w:rFonts w:cstheme="minorHAnsi"/>
        </w:rPr>
        <w:t xml:space="preserve"> direction</w:t>
      </w:r>
      <w:r>
        <w:rPr>
          <w:rFonts w:cstheme="minorHAnsi"/>
        </w:rPr>
        <w:t>s</w:t>
      </w:r>
      <w:r w:rsidRPr="001D7AE9">
        <w:rPr>
          <w:rFonts w:cstheme="minorHAnsi"/>
        </w:rPr>
        <w:t xml:space="preserve"> on </w:t>
      </w:r>
      <w:r w:rsidRPr="001D7AE9">
        <w:rPr>
          <w:rFonts w:cstheme="minorHAnsi"/>
          <w:noProof/>
        </w:rPr>
        <w:t>invariant planes</w:t>
      </w:r>
      <w:r w:rsidRPr="001D7AE9">
        <w:rPr>
          <w:rFonts w:cstheme="minorHAnsi"/>
        </w:rPr>
        <w:t xml:space="preserve"> will only move one-and-a-half of the matrix lattice to their correct</w:t>
      </w:r>
      <w:r>
        <w:rPr>
          <w:rFonts w:cstheme="minorHAnsi"/>
        </w:rPr>
        <w:t>ly</w:t>
      </w:r>
      <w:r w:rsidRPr="001D7AE9">
        <w:rPr>
          <w:rFonts w:cstheme="minorHAnsi"/>
        </w:rPr>
        <w:t xml:space="preserve"> twin</w:t>
      </w:r>
      <w:r>
        <w:rPr>
          <w:rFonts w:cstheme="minorHAnsi"/>
        </w:rPr>
        <w:t>n</w:t>
      </w:r>
      <w:r w:rsidRPr="001D7AE9">
        <w:rPr>
          <w:rFonts w:cstheme="minorHAnsi"/>
        </w:rPr>
        <w:t>ed lattice sites under the {332}&lt;113&gt;</w:t>
      </w:r>
      <w:r w:rsidRPr="001D7AE9">
        <w:rPr>
          <w:rFonts w:cstheme="minorHAnsi"/>
          <w:vertAlign w:val="subscript"/>
        </w:rPr>
        <w:t>β</w:t>
      </w:r>
      <w:r w:rsidRPr="001D7AE9">
        <w:rPr>
          <w:rFonts w:cstheme="minorHAnsi"/>
        </w:rPr>
        <w:t xml:space="preserve"> mechanical twinning mode</w:t>
      </w:r>
      <w:r>
        <w:rPr>
          <w:rFonts w:cstheme="minorHAnsi"/>
        </w:rPr>
        <w:t>. This</w:t>
      </w:r>
      <w:r w:rsidRPr="001D7AE9">
        <w:rPr>
          <w:rFonts w:cstheme="minorHAnsi"/>
        </w:rPr>
        <w:t xml:space="preserve"> indicates the requirement of additional atomic shuffle for the formation of</w:t>
      </w:r>
      <w:r w:rsidR="007D04B9">
        <w:rPr>
          <w:rFonts w:cstheme="minorHAnsi"/>
        </w:rPr>
        <w:t xml:space="preserve"> the</w:t>
      </w:r>
      <w:r w:rsidRPr="001D7AE9">
        <w:rPr>
          <w:rFonts w:cstheme="minorHAnsi"/>
        </w:rPr>
        <w:t xml:space="preserve"> {332}&lt;113&gt;</w:t>
      </w:r>
      <w:r w:rsidRPr="001D7AE9">
        <w:rPr>
          <w:rFonts w:cstheme="minorHAnsi"/>
          <w:vertAlign w:val="subscript"/>
        </w:rPr>
        <w:t>β</w:t>
      </w:r>
      <w:r w:rsidRPr="001D7AE9">
        <w:rPr>
          <w:rFonts w:cstheme="minorHAnsi"/>
        </w:rPr>
        <w:t xml:space="preserve"> twin structure. Accordingly, {332}&lt;113&gt;</w:t>
      </w:r>
      <w:r w:rsidRPr="001D7AE9">
        <w:rPr>
          <w:rFonts w:cstheme="minorHAnsi"/>
          <w:vertAlign w:val="subscript"/>
        </w:rPr>
        <w:t>β</w:t>
      </w:r>
      <w:r w:rsidRPr="001D7AE9">
        <w:rPr>
          <w:rFonts w:cstheme="minorHAnsi"/>
        </w:rPr>
        <w:t xml:space="preserve"> twinning is not energetically </w:t>
      </w:r>
      <w:r w:rsidRPr="00F943C5">
        <w:rPr>
          <w:rFonts w:cstheme="minorHAnsi"/>
          <w:noProof/>
        </w:rPr>
        <w:t>favoured</w:t>
      </w:r>
      <w:r w:rsidRPr="00BA50B5">
        <w:rPr>
          <w:rFonts w:cstheme="minorHAnsi"/>
        </w:rPr>
        <w:t xml:space="preserve"> in comparison to {112}&lt;111&gt;</w:t>
      </w:r>
      <w:r w:rsidRPr="0090786E">
        <w:rPr>
          <w:rFonts w:cstheme="minorHAnsi"/>
          <w:vertAlign w:val="subscript"/>
        </w:rPr>
        <w:t>β</w:t>
      </w:r>
      <w:r w:rsidRPr="0090786E">
        <w:rPr>
          <w:rFonts w:cstheme="minorHAnsi"/>
        </w:rPr>
        <w:t xml:space="preserve"> twinning. </w:t>
      </w:r>
      <w:r w:rsidRPr="00FD3B1A">
        <w:rPr>
          <w:rStyle w:val="af2"/>
          <w:rFonts w:cstheme="minorHAnsi"/>
          <w:color w:val="000000" w:themeColor="text1"/>
          <w:shd w:val="clear" w:color="auto" w:fill="FFFFFF"/>
        </w:rPr>
        <w:t>Nonetheless</w:t>
      </w:r>
      <w:r w:rsidRPr="00FD3B1A">
        <w:rPr>
          <w:rFonts w:cstheme="minorHAnsi"/>
        </w:rPr>
        <w:t xml:space="preserve">, in most reported work </w:t>
      </w:r>
      <w:r>
        <w:rPr>
          <w:rFonts w:cstheme="minorHAnsi"/>
        </w:rPr>
        <w:t>investigating</w:t>
      </w:r>
      <w:r w:rsidRPr="00FD3B1A">
        <w:rPr>
          <w:rFonts w:cstheme="minorHAnsi"/>
        </w:rPr>
        <w:t xml:space="preserve"> TWIP </w:t>
      </w:r>
      <w:r w:rsidRPr="00C06CF3">
        <w:rPr>
          <w:rFonts w:cstheme="minorHAnsi"/>
        </w:rPr>
        <w:t>β</w:t>
      </w:r>
      <w:r w:rsidRPr="001D7AE9">
        <w:rPr>
          <w:rFonts w:cstheme="minorHAnsi"/>
        </w:rPr>
        <w:t>-Ti alloys, the observation</w:t>
      </w:r>
      <w:r>
        <w:rPr>
          <w:rFonts w:cstheme="minorHAnsi"/>
        </w:rPr>
        <w:t>s</w:t>
      </w:r>
      <w:r w:rsidRPr="001D7AE9">
        <w:rPr>
          <w:rFonts w:cstheme="minorHAnsi"/>
        </w:rPr>
        <w:t xml:space="preserve"> of {332}&lt;113&gt;</w:t>
      </w:r>
      <w:r w:rsidRPr="001D7AE9">
        <w:rPr>
          <w:rFonts w:cstheme="minorHAnsi"/>
          <w:vertAlign w:val="subscript"/>
        </w:rPr>
        <w:t>β</w:t>
      </w:r>
      <w:r w:rsidRPr="001D7AE9">
        <w:rPr>
          <w:rFonts w:cstheme="minorHAnsi"/>
        </w:rPr>
        <w:t xml:space="preserve"> mechanical twinning </w:t>
      </w:r>
      <w:r>
        <w:rPr>
          <w:rFonts w:cstheme="minorHAnsi"/>
        </w:rPr>
        <w:t>was most widely detailed, rather than</w:t>
      </w:r>
      <w:r w:rsidRPr="001D7AE9">
        <w:rPr>
          <w:rFonts w:cstheme="minorHAnsi"/>
        </w:rPr>
        <w:t xml:space="preserve"> {112}&lt;111&gt;</w:t>
      </w:r>
      <w:r w:rsidRPr="001D7AE9">
        <w:rPr>
          <w:rFonts w:cstheme="minorHAnsi"/>
          <w:vertAlign w:val="subscript"/>
        </w:rPr>
        <w:t>β</w:t>
      </w:r>
      <w:r w:rsidRPr="001D7AE9">
        <w:rPr>
          <w:rFonts w:cstheme="minorHAnsi"/>
        </w:rPr>
        <w:t xml:space="preserve"> mechanical twinning</w:t>
      </w:r>
      <w:r>
        <w:rPr>
          <w:rFonts w:cstheme="minorHAnsi"/>
        </w:rPr>
        <w:t xml:space="preserve">. </w:t>
      </w:r>
      <w:r w:rsidRPr="001D7AE9">
        <w:rPr>
          <w:rFonts w:cstheme="minorHAnsi"/>
        </w:rPr>
        <w:t xml:space="preserve"> {332}&lt;113&gt;</w:t>
      </w:r>
      <w:r w:rsidRPr="001D7AE9">
        <w:rPr>
          <w:rFonts w:cstheme="minorHAnsi"/>
          <w:vertAlign w:val="subscript"/>
        </w:rPr>
        <w:t>β</w:t>
      </w:r>
      <w:r w:rsidRPr="001D7AE9">
        <w:rPr>
          <w:rFonts w:cstheme="minorHAnsi"/>
        </w:rPr>
        <w:t xml:space="preserve"> mechanical twinning </w:t>
      </w:r>
      <w:r>
        <w:rPr>
          <w:rFonts w:cstheme="minorHAnsi"/>
        </w:rPr>
        <w:t>was determined to be</w:t>
      </w:r>
      <w:r w:rsidRPr="001D7AE9">
        <w:rPr>
          <w:rFonts w:cstheme="minorHAnsi"/>
        </w:rPr>
        <w:t xml:space="preserve"> the main contribut</w:t>
      </w:r>
      <w:r>
        <w:rPr>
          <w:rFonts w:cstheme="minorHAnsi"/>
        </w:rPr>
        <w:t>or</w:t>
      </w:r>
      <w:r w:rsidRPr="001D7AE9">
        <w:rPr>
          <w:rFonts w:cstheme="minorHAnsi"/>
        </w:rPr>
        <w:t xml:space="preserve"> to the enhance</w:t>
      </w:r>
      <w:r>
        <w:rPr>
          <w:rFonts w:cstheme="minorHAnsi"/>
        </w:rPr>
        <w:t>ment of</w:t>
      </w:r>
      <w:r w:rsidRPr="001D7AE9">
        <w:rPr>
          <w:rFonts w:cstheme="minorHAnsi"/>
        </w:rPr>
        <w:t xml:space="preserve"> mechanical performance. </w:t>
      </w:r>
      <w:r>
        <w:rPr>
          <w:rFonts w:cstheme="minorHAnsi"/>
        </w:rPr>
        <w:t xml:space="preserve">However, </w:t>
      </w:r>
      <w:r w:rsidRPr="00C06CF3">
        <w:rPr>
          <w:rFonts w:cstheme="minorHAnsi"/>
        </w:rPr>
        <w:t xml:space="preserve">by lowering </w:t>
      </w:r>
      <w:r w:rsidRPr="00F943C5">
        <w:rPr>
          <w:rFonts w:cstheme="minorHAnsi"/>
        </w:rPr>
        <w:t>β phase stability to a critical value, {</w:t>
      </w:r>
      <w:r w:rsidRPr="00C06CF3">
        <w:rPr>
          <w:rFonts w:cstheme="minorHAnsi"/>
        </w:rPr>
        <w:t>332}</w:t>
      </w:r>
      <w:r w:rsidRPr="00C06CF3">
        <w:rPr>
          <w:rFonts w:cstheme="minorHAnsi"/>
          <w:vertAlign w:val="subscript"/>
        </w:rPr>
        <w:t>β</w:t>
      </w:r>
      <w:r w:rsidRPr="00C06CF3">
        <w:rPr>
          <w:rFonts w:cstheme="minorHAnsi"/>
        </w:rPr>
        <w:t xml:space="preserve"> twinning and {112}</w:t>
      </w:r>
      <w:r w:rsidRPr="00C06CF3">
        <w:rPr>
          <w:rFonts w:cstheme="minorHAnsi"/>
          <w:vertAlign w:val="subscript"/>
        </w:rPr>
        <w:t>β</w:t>
      </w:r>
      <w:r w:rsidRPr="00F943C5">
        <w:rPr>
          <w:rFonts w:cstheme="minorHAnsi"/>
          <w:noProof/>
        </w:rPr>
        <w:t xml:space="preserve"> twinning can be activated simultaneously to optimise </w:t>
      </w:r>
      <w:r w:rsidRPr="00C06CF3">
        <w:rPr>
          <w:rFonts w:cstheme="minorHAnsi"/>
          <w:noProof/>
        </w:rPr>
        <w:t>strength and ducti</w:t>
      </w:r>
      <w:r w:rsidRPr="00C06CF3">
        <w:rPr>
          <w:rFonts w:cstheme="minorHAnsi"/>
        </w:rPr>
        <w:t xml:space="preserve">lity of </w:t>
      </w:r>
      <w:r w:rsidRPr="00F943C5">
        <w:rPr>
          <w:rFonts w:cstheme="minorHAnsi"/>
        </w:rPr>
        <w:t xml:space="preserve">β-Ti. This strategy can </w:t>
      </w:r>
      <w:r>
        <w:rPr>
          <w:rFonts w:cstheme="minorHAnsi"/>
        </w:rPr>
        <w:t xml:space="preserve">therefore </w:t>
      </w:r>
      <w:r w:rsidRPr="00F943C5">
        <w:rPr>
          <w:rFonts w:cstheme="minorHAnsi"/>
        </w:rPr>
        <w:t>be adopted to introduce and maximi</w:t>
      </w:r>
      <w:r>
        <w:rPr>
          <w:rFonts w:cstheme="minorHAnsi"/>
        </w:rPr>
        <w:t>s</w:t>
      </w:r>
      <w:r w:rsidRPr="00F943C5">
        <w:rPr>
          <w:rFonts w:cstheme="minorHAnsi"/>
        </w:rPr>
        <w:t>e the effect of TWIP in RHEAs.</w:t>
      </w:r>
    </w:p>
    <w:p w14:paraId="7CC46AC5" w14:textId="77777777" w:rsidR="00624970" w:rsidRPr="001D7AE9" w:rsidRDefault="00624970" w:rsidP="00624970">
      <w:pPr>
        <w:spacing w:afterLines="60" w:after="144" w:line="360" w:lineRule="auto"/>
        <w:jc w:val="both"/>
        <w:rPr>
          <w:rFonts w:cstheme="minorHAnsi"/>
        </w:rPr>
      </w:pPr>
      <w:r w:rsidRPr="001D7AE9">
        <w:rPr>
          <w:rFonts w:cstheme="minorHAnsi"/>
          <w:noProof/>
        </w:rPr>
        <w:t>To clarify the origin of this specific twinning system</w:t>
      </w:r>
      <w:r w:rsidRPr="001D7AE9">
        <w:rPr>
          <w:rFonts w:cstheme="minorHAnsi"/>
        </w:rPr>
        <w:t xml:space="preserve">, substantial works have </w:t>
      </w:r>
      <w:r w:rsidRPr="001D7AE9">
        <w:rPr>
          <w:rFonts w:cstheme="minorHAnsi"/>
          <w:noProof/>
        </w:rPr>
        <w:t>been conducted</w:t>
      </w:r>
      <w:r w:rsidRPr="001D7AE9">
        <w:rPr>
          <w:rFonts w:cstheme="minorHAnsi"/>
        </w:rPr>
        <w:t>. Taking the origin of {112}&lt;111&gt;</w:t>
      </w:r>
      <w:r w:rsidRPr="00C06CF3">
        <w:rPr>
          <w:rFonts w:cstheme="minorHAnsi"/>
          <w:vertAlign w:val="subscript"/>
        </w:rPr>
        <w:t>β</w:t>
      </w:r>
      <w:r w:rsidRPr="001D7AE9">
        <w:rPr>
          <w:rFonts w:cstheme="minorHAnsi"/>
        </w:rPr>
        <w:t xml:space="preserve"> twinning and {111}&lt;112&gt;</w:t>
      </w:r>
      <w:r w:rsidRPr="001D7AE9">
        <w:rPr>
          <w:rFonts w:cstheme="minorHAnsi"/>
          <w:vertAlign w:val="subscript"/>
        </w:rPr>
        <w:t>γ</w:t>
      </w:r>
      <w:r w:rsidRPr="001D7AE9">
        <w:rPr>
          <w:rFonts w:cstheme="minorHAnsi"/>
        </w:rPr>
        <w:t xml:space="preserve"> twinning as </w:t>
      </w:r>
      <w:r w:rsidRPr="001D7AE9">
        <w:rPr>
          <w:rFonts w:cstheme="minorHAnsi"/>
          <w:noProof/>
        </w:rPr>
        <w:t>references</w:t>
      </w:r>
      <w:r w:rsidRPr="001D7AE9">
        <w:rPr>
          <w:rFonts w:cstheme="minorHAnsi"/>
        </w:rPr>
        <w:t xml:space="preserve">, early </w:t>
      </w:r>
      <w:r>
        <w:rPr>
          <w:rFonts w:cstheme="minorHAnsi"/>
        </w:rPr>
        <w:t xml:space="preserve">works </w:t>
      </w:r>
      <w:r w:rsidRPr="001D7AE9">
        <w:rPr>
          <w:rFonts w:cstheme="minorHAnsi"/>
        </w:rPr>
        <w:fldChar w:fldCharType="begin" w:fldLock="1"/>
      </w:r>
      <w:r>
        <w:rPr>
          <w:rFonts w:cstheme="minorHAnsi"/>
        </w:rPr>
        <w:instrText>ADDIN CSL_CITATION {"citationItems":[{"id":"ITEM-1","itemData":{"ISSN":"0031-918X","abstract":"The paper reports the results of a crystal-geometric analysis of {332}(113) twinning in bcc crystals. Consideration is given to the mechanisms whereby a deformation twin nucleates and grows. The structure of deformed β-phase titanium-molybdenum and titanium-molybdenum-vanadium alloys as examined by electron microscopy is discussed.","author":[{"dropping-particle":"","family":"Litvinov","given":"V. S.","non-dropping-particle":"","parse-names":false,"suffix":""},{"dropping-particle":"","family":"Popov","given":"A. A.","non-dropping-particle":"","parse-names":false,"suffix":""},{"dropping-particle":"","family":"Elkina","given":"O. A.","non-dropping-particle":"","parse-names":false,"suffix":""},{"dropping-particle":"V.","family":"Litvinov","given":"A.","non-dropping-particle":"","parse-names":false,"suffix":""}],"container-title":"Physics of Metals and Metallography","id":"ITEM-1","issued":{"date-parts":[["1997"]]},</w:instrText>
      </w:r>
      <w:r>
        <w:rPr>
          <w:rFonts w:cstheme="minorHAnsi" w:hint="eastAsia"/>
        </w:rPr>
        <w:instrText>"title":"Deformation twins of the {332}</w:instrText>
      </w:r>
      <w:r>
        <w:rPr>
          <w:rFonts w:cstheme="minorHAnsi" w:hint="eastAsia"/>
        </w:rPr>
        <w:instrText>〈</w:instrText>
      </w:r>
      <w:r>
        <w:rPr>
          <w:rFonts w:cstheme="minorHAnsi" w:hint="eastAsia"/>
        </w:rPr>
        <w:instrText>113</w:instrText>
      </w:r>
      <w:r>
        <w:rPr>
          <w:rFonts w:cstheme="minorHAnsi" w:hint="eastAsia"/>
        </w:rPr>
        <w:instrText>〉</w:instrText>
      </w:r>
      <w:r>
        <w:rPr>
          <w:rFonts w:cstheme="minorHAnsi" w:hint="eastAsia"/>
        </w:rPr>
        <w:instrText xml:space="preserve"> type in </w:instrText>
      </w:r>
      <w:r>
        <w:rPr>
          <w:rFonts w:cstheme="minorHAnsi" w:hint="eastAsia"/>
        </w:rPr>
        <w:instrText>β</w:instrText>
      </w:r>
      <w:r>
        <w:rPr>
          <w:rFonts w:cstheme="minorHAnsi" w:hint="eastAsia"/>
        </w:rPr>
        <w:instrText>-phase titanium alloys","type":"article-journal"},"uris":["http://www.mendeley.com/documents/?uuid=b7bbe9dd-e9d1-4410-9412-8e1b4eb0dd54","http://www.mendeley.com/documents/?uuid=444ea6c2-fc86-4c9c-969d</w:instrText>
      </w:r>
      <w:r>
        <w:rPr>
          <w:rFonts w:cstheme="minorHAnsi"/>
        </w:rPr>
        <w:instrText>-9b9f94d370b0"]},{"id":"ITEM-2","itemData":{"DOI":"10.1016/S1359-6454(97)00475-8","ISBN":"1359-6454","ISSN":"13596454","abstract":"Mechanical properties of b.c.c. TiNbTa alloy single crystals, which have excellent superconducting properties, were studied by compression tests at cryogenic temperatures. A {332} twin occurred at 4.2 K in the as-annealed specimens of alloy 1 (Ti-40.3Nb-13.3Ta in wt%) at χ = -15° and alloy 2 (Ti-26.4Nb-34.2Ta in wt%) at χ = 0° in which slip deformation also occurred. The specimens with other orientations in alloys 1 and 2 at 4.2K and whole orientations at 77 and 290 K deformed by {112} slip. (1̄01) slip was not observed. Curves of the yield or twinning stress vs χ at 4.2 and 77 K were different from those of typical b.c.c. metals and alloys. A new dislocation model for the {332} twinning mechanism is proposed whereby that after a pair of stacked twinning dislocations move, shuffling of an atomic group consisting of three atoms occurs, forming one elementary twinned layer of four {332} planes. This model could well explain the shape of the twin. The analysis of the twin interface coincides with observations of dense dislocation structures within the twin and on the twin interfaces. © 1998 Acta Metallurgica Inc.","author":[{"dropping-particle":"","family":"Kawabata","given":"Takeshi","non-dropping-particle":"","parse-names":false,"suffix":""},{"dropping-particle":"","family":"Kawasaki","given":"Satoshi","non-dropping-particle":"","parse-names":false,"suffix":""},{"dropping-particle":"","family":"Izumi","given":"Osamu","non-dropping-particle":"","parse-names":false,"suffix":""}],"container-title":"Acta Materialia","id":"ITEM-2","issued":{"date-parts":[["1998"]]},"title":"Mechanical properties of TiNbTa single crystals at cryogenic temperatures","type":"article-journal"},"uris":["http://www.mendeley.com/documents/?uuid=76a46a49-c411-4b92-90db-6bcfb89f3f4e","http://www.mendeley.com/documents/?uuid=7dd3a3dd-d644-443e-9f4c-88cb9495ca5c"]},{"id":"ITEM-3","itemData":{"ISSN":"0031918X","abstract":"Deformation twinning on the {332}&lt;113&gt; system in β titanium alloys in a pretransition state was studied experimentally and theoretically. The mechanisms of the β-phase lattice rearrangement to the twin orientation are proposed.","author":[{"dropping-particle":"","family":"Litvinov","given":"V. S.","non-dropping-particle":"","parse-names":false,"suffix":""},{"dropping-particle":"","family":"Rusakov","given":"G. M.","non-dropping-particle":"","parse-names":false,"suffix":""}],"container-title":"The Physics of Metals and Metallography","id":"ITEM-3","issued":{"date-parts":[["2000"]]},"title":"Twinning on the {332}&lt;113&gt; system in unstable β titanium alloys","type":"article"},"uris":["http://www.mendeley.com/documents/?uuid=bcd50418-5f75-4307-84b9-21e142fc6070","http://www.mendeley.com/documents/?uuid=5530f410-176e-45eb-9ec0-a6376941481d"]}],"mendeley":{"formattedCitation":"[145–147]","plainTextFormattedCitation":"[145–147]","previouslyFormattedCitation":"[145–147]"},"properties":{"noteIndex":0},"schema":"https://github.com/citation-style-language/schema/raw/master/csl-citation.json"}</w:instrText>
      </w:r>
      <w:r w:rsidRPr="001D7AE9">
        <w:rPr>
          <w:rFonts w:cstheme="minorHAnsi"/>
        </w:rPr>
        <w:fldChar w:fldCharType="separate"/>
      </w:r>
      <w:r w:rsidRPr="003B39BC">
        <w:rPr>
          <w:rFonts w:cstheme="minorHAnsi"/>
          <w:noProof/>
        </w:rPr>
        <w:t>[145–147]</w:t>
      </w:r>
      <w:r w:rsidRPr="001D7AE9">
        <w:rPr>
          <w:rFonts w:cstheme="minorHAnsi"/>
        </w:rPr>
        <w:fldChar w:fldCharType="end"/>
      </w:r>
      <w:r>
        <w:rPr>
          <w:rFonts w:cstheme="minorHAnsi"/>
        </w:rPr>
        <w:t xml:space="preserve"> described the</w:t>
      </w:r>
      <w:r w:rsidRPr="001D7AE9">
        <w:rPr>
          <w:rFonts w:cstheme="minorHAnsi"/>
        </w:rPr>
        <w:t xml:space="preserve"> origin of {332}&lt;113&gt;</w:t>
      </w:r>
      <w:r w:rsidRPr="001D7AE9">
        <w:rPr>
          <w:rFonts w:cstheme="minorHAnsi"/>
          <w:vertAlign w:val="subscript"/>
        </w:rPr>
        <w:t>β</w:t>
      </w:r>
      <w:r w:rsidRPr="001D7AE9">
        <w:rPr>
          <w:rFonts w:cstheme="minorHAnsi"/>
        </w:rPr>
        <w:t xml:space="preserve"> twinning by utilising dislocation dissociation and association. Partial dislocation mechanisms </w:t>
      </w:r>
      <w:r w:rsidRPr="001D7AE9">
        <w:rPr>
          <w:rFonts w:cstheme="minorHAnsi"/>
          <w:noProof/>
        </w:rPr>
        <w:t>were taken</w:t>
      </w:r>
      <w:r w:rsidRPr="001D7AE9">
        <w:rPr>
          <w:rFonts w:cstheme="minorHAnsi"/>
        </w:rPr>
        <w:t xml:space="preserve"> into consideration in many reports, </w:t>
      </w:r>
      <w:r>
        <w:rPr>
          <w:rFonts w:cstheme="minorHAnsi"/>
        </w:rPr>
        <w:t xml:space="preserve">with </w:t>
      </w:r>
      <w:r w:rsidRPr="001D7AE9">
        <w:rPr>
          <w:rFonts w:cstheme="minorHAnsi"/>
        </w:rPr>
        <w:t>continuous partial dislocation movements along</w:t>
      </w:r>
      <w:r>
        <w:rPr>
          <w:rFonts w:cstheme="minorHAnsi"/>
        </w:rPr>
        <w:t xml:space="preserve"> the </w:t>
      </w:r>
      <w:r w:rsidRPr="001D7AE9">
        <w:rPr>
          <w:rFonts w:cstheme="minorHAnsi"/>
        </w:rPr>
        <w:t>&lt;113&gt;</w:t>
      </w:r>
      <w:r w:rsidRPr="001D7AE9">
        <w:rPr>
          <w:rFonts w:cstheme="minorHAnsi"/>
          <w:vertAlign w:val="subscript"/>
        </w:rPr>
        <w:t>β</w:t>
      </w:r>
      <w:r w:rsidRPr="001D7AE9">
        <w:rPr>
          <w:rFonts w:cstheme="minorHAnsi"/>
        </w:rPr>
        <w:t xml:space="preserve"> direction on successive {332}</w:t>
      </w:r>
      <w:r w:rsidRPr="001D7AE9">
        <w:rPr>
          <w:rFonts w:cstheme="minorHAnsi"/>
          <w:vertAlign w:val="subscript"/>
        </w:rPr>
        <w:t>β</w:t>
      </w:r>
      <w:r w:rsidRPr="001D7AE9">
        <w:rPr>
          <w:rFonts w:cstheme="minorHAnsi"/>
        </w:rPr>
        <w:t xml:space="preserve"> twinning planes </w:t>
      </w:r>
      <w:r>
        <w:rPr>
          <w:rFonts w:cstheme="minorHAnsi"/>
        </w:rPr>
        <w:t>leading</w:t>
      </w:r>
      <w:r w:rsidRPr="001D7AE9">
        <w:rPr>
          <w:rFonts w:cstheme="minorHAnsi"/>
        </w:rPr>
        <w:t xml:space="preserve"> to the formation of {332}&lt;113&gt;</w:t>
      </w:r>
      <w:r w:rsidRPr="001D7AE9">
        <w:rPr>
          <w:rFonts w:cstheme="minorHAnsi"/>
          <w:vertAlign w:val="subscript"/>
        </w:rPr>
        <w:t>β</w:t>
      </w:r>
      <w:r w:rsidRPr="001D7AE9">
        <w:rPr>
          <w:rFonts w:cstheme="minorHAnsi"/>
        </w:rPr>
        <w:t xml:space="preserve"> twinning structures. </w:t>
      </w:r>
      <w:r>
        <w:rPr>
          <w:rFonts w:cstheme="minorHAnsi"/>
        </w:rPr>
        <w:t>To date</w:t>
      </w:r>
      <w:r w:rsidRPr="001D7AE9">
        <w:rPr>
          <w:rFonts w:cstheme="minorHAnsi"/>
        </w:rPr>
        <w:t xml:space="preserve"> </w:t>
      </w:r>
      <w:r>
        <w:rPr>
          <w:rFonts w:cstheme="minorHAnsi"/>
        </w:rPr>
        <w:t>no</w:t>
      </w:r>
      <w:r w:rsidRPr="001D7AE9">
        <w:rPr>
          <w:rFonts w:cstheme="minorHAnsi"/>
        </w:rPr>
        <w:t xml:space="preserve"> {332}</w:t>
      </w:r>
      <w:r w:rsidRPr="001D7AE9">
        <w:rPr>
          <w:rFonts w:cstheme="minorHAnsi"/>
          <w:vertAlign w:val="subscript"/>
        </w:rPr>
        <w:t>β</w:t>
      </w:r>
      <w:r w:rsidRPr="001D7AE9">
        <w:rPr>
          <w:rFonts w:cstheme="minorHAnsi"/>
        </w:rPr>
        <w:t xml:space="preserve"> planes and &lt;113&gt;</w:t>
      </w:r>
      <w:r w:rsidRPr="001D7AE9">
        <w:rPr>
          <w:rFonts w:cstheme="minorHAnsi"/>
          <w:vertAlign w:val="subscript"/>
        </w:rPr>
        <w:t>β</w:t>
      </w:r>
      <w:r w:rsidRPr="001D7AE9">
        <w:rPr>
          <w:rFonts w:cstheme="minorHAnsi"/>
        </w:rPr>
        <w:t xml:space="preserve"> directions ha</w:t>
      </w:r>
      <w:r w:rsidRPr="00F943C5">
        <w:rPr>
          <w:rFonts w:cstheme="minorHAnsi"/>
        </w:rPr>
        <w:t>ve been detected,</w:t>
      </w:r>
      <w:r>
        <w:rPr>
          <w:rFonts w:cstheme="minorHAnsi"/>
        </w:rPr>
        <w:t xml:space="preserve"> as</w:t>
      </w:r>
      <w:r w:rsidRPr="00F943C5">
        <w:rPr>
          <w:rFonts w:cstheme="minorHAnsi"/>
        </w:rPr>
        <w:t xml:space="preserve"> arranged in a </w:t>
      </w:r>
      <w:r w:rsidRPr="00F943C5">
        <w:rPr>
          <w:rFonts w:cstheme="minorHAnsi"/>
          <w:noProof/>
        </w:rPr>
        <w:t>close-packed</w:t>
      </w:r>
      <w:r w:rsidRPr="00F943C5">
        <w:rPr>
          <w:rFonts w:cstheme="minorHAnsi"/>
        </w:rPr>
        <w:t xml:space="preserve"> lattice form</w:t>
      </w:r>
      <w:r>
        <w:rPr>
          <w:rFonts w:cstheme="minorHAnsi"/>
        </w:rPr>
        <w:t xml:space="preserve"> </w:t>
      </w:r>
      <w:r w:rsidRPr="001D7AE9">
        <w:rPr>
          <w:rFonts w:cstheme="minorHAnsi"/>
        </w:rPr>
        <w:fldChar w:fldCharType="begin" w:fldLock="1"/>
      </w:r>
      <w:r>
        <w:rPr>
          <w:rFonts w:cstheme="minorHAnsi"/>
        </w:rPr>
        <w:instrText>ADDIN CSL_CITATION {"citationItems":[{"id":"ITEM-1","itemData":{"ISSN":"0031918X","abstract":"Deformation twinning on the {332}&lt;113&gt; system in β titanium alloys in a pretransition state was studied experimentally and theoretically. The mechanisms of the β-phase lattice rearrangement to the twin orientation are proposed.","author":[{"dropping-particle":"","family":"Litvinov","given":"V. S.","non-dropping-particle":"","parse-names":false,"suffix":""},{"dropping-particle":"","family":"Rusakov","given":"G. M.","non-dropping-particle":"","parse-names":false,"suffix":""}],"container-title":"The Physics of Metals and Metallography","id":"ITEM-1","issued":{"date-parts":[["2000"]]},"title":"Twinning on the {332}&lt;113&gt; system in unstable β titanium alloys","type":"article"},"uris":["http://www.mendeley.com/documents/?uuid=5530f410-176e-45eb-9ec0-a6376941481d"]}],"mendeley":{"formattedCitation":"[147]","plainTextFormattedCitation":"[147]","previouslyFormattedCitation":"[147]"},"properties":{"noteIndex":0},"schema":"https://github.com/citation-style-language/schema/raw/master/csl-citation.json"}</w:instrText>
      </w:r>
      <w:r w:rsidRPr="001D7AE9">
        <w:rPr>
          <w:rFonts w:cstheme="minorHAnsi"/>
        </w:rPr>
        <w:fldChar w:fldCharType="separate"/>
      </w:r>
      <w:r w:rsidRPr="003B39BC">
        <w:rPr>
          <w:rFonts w:cstheme="minorHAnsi"/>
          <w:noProof/>
        </w:rPr>
        <w:t>[147]</w:t>
      </w:r>
      <w:r w:rsidRPr="001D7AE9">
        <w:rPr>
          <w:rFonts w:cstheme="minorHAnsi"/>
        </w:rPr>
        <w:fldChar w:fldCharType="end"/>
      </w:r>
      <w:r w:rsidRPr="001D7AE9">
        <w:rPr>
          <w:rFonts w:cstheme="minorHAnsi"/>
        </w:rPr>
        <w:t>. Therefore, {332}&lt;113&gt;</w:t>
      </w:r>
      <w:r w:rsidRPr="001D7AE9">
        <w:rPr>
          <w:rFonts w:cstheme="minorHAnsi"/>
          <w:vertAlign w:val="subscript"/>
        </w:rPr>
        <w:t>β</w:t>
      </w:r>
      <w:r w:rsidRPr="001D7AE9">
        <w:rPr>
          <w:rFonts w:cstheme="minorHAnsi"/>
        </w:rPr>
        <w:t xml:space="preserve"> twin activation remains energetically unfavour</w:t>
      </w:r>
      <w:r>
        <w:rPr>
          <w:rFonts w:cstheme="minorHAnsi"/>
        </w:rPr>
        <w:t>able</w:t>
      </w:r>
      <w:r w:rsidRPr="001D7AE9">
        <w:rPr>
          <w:rFonts w:cstheme="minorHAnsi"/>
        </w:rPr>
        <w:t xml:space="preserve">. </w:t>
      </w:r>
    </w:p>
    <w:p w14:paraId="16410F0A" w14:textId="0CA817B0" w:rsidR="00624970" w:rsidRDefault="00624970" w:rsidP="00624970">
      <w:pPr>
        <w:spacing w:afterLines="60" w:after="144" w:line="360" w:lineRule="auto"/>
        <w:jc w:val="both"/>
        <w:rPr>
          <w:rFonts w:cstheme="minorHAnsi"/>
        </w:rPr>
      </w:pPr>
      <w:r w:rsidRPr="00F20738">
        <w:rPr>
          <w:rStyle w:val="ab"/>
          <w:sz w:val="20"/>
          <w:szCs w:val="20"/>
        </w:rPr>
        <w:t>T</w:t>
      </w:r>
      <w:r>
        <w:t xml:space="preserve">he reports </w:t>
      </w:r>
      <w:r w:rsidRPr="001D2933">
        <w:t>of {332}&lt;113&gt;</w:t>
      </w:r>
      <w:r w:rsidRPr="00616803">
        <w:rPr>
          <w:rFonts w:ascii="Times New Roman" w:hAnsi="Times New Roman" w:cs="Times New Roman"/>
          <w:vertAlign w:val="subscript"/>
        </w:rPr>
        <w:t>β</w:t>
      </w:r>
      <w:r w:rsidRPr="001D2933">
        <w:t xml:space="preserve"> twinning </w:t>
      </w:r>
      <w:r>
        <w:rPr>
          <w:noProof/>
        </w:rPr>
        <w:t>are</w:t>
      </w:r>
      <w:r w:rsidRPr="009A4117">
        <w:rPr>
          <w:noProof/>
        </w:rPr>
        <w:t xml:space="preserve"> </w:t>
      </w:r>
      <w:r>
        <w:rPr>
          <w:noProof/>
        </w:rPr>
        <w:t>detailed for</w:t>
      </w:r>
      <w:r>
        <w:t xml:space="preserve"> the</w:t>
      </w:r>
      <w:r w:rsidRPr="001D2933">
        <w:t xml:space="preserve"> metastable </w:t>
      </w:r>
      <w:r w:rsidRPr="001D2933">
        <w:rPr>
          <w:rFonts w:cs="Times New Roman"/>
        </w:rPr>
        <w:t>β</w:t>
      </w:r>
      <w:r w:rsidRPr="7386843E">
        <w:t>-</w:t>
      </w:r>
      <w:r w:rsidRPr="001D2933">
        <w:t>Ti alloy</w:t>
      </w:r>
      <w:r>
        <w:t>s</w:t>
      </w:r>
      <w:r w:rsidRPr="001D2933">
        <w:t xml:space="preserve"> and </w:t>
      </w:r>
      <w:r>
        <w:t xml:space="preserve">more </w:t>
      </w:r>
      <w:r w:rsidRPr="001D2933">
        <w:t xml:space="preserve">recently </w:t>
      </w:r>
      <w:r>
        <w:t>extended</w:t>
      </w:r>
      <w:r w:rsidRPr="7386843E">
        <w:t xml:space="preserve"> </w:t>
      </w:r>
      <w:r>
        <w:t xml:space="preserve">to </w:t>
      </w:r>
      <w:r w:rsidRPr="009A4117">
        <w:rPr>
          <w:noProof/>
        </w:rPr>
        <w:t>shock</w:t>
      </w:r>
      <w:r>
        <w:rPr>
          <w:noProof/>
        </w:rPr>
        <w:t>-</w:t>
      </w:r>
      <w:r w:rsidRPr="009A4117">
        <w:rPr>
          <w:noProof/>
        </w:rPr>
        <w:t>loaded</w:t>
      </w:r>
      <w:r w:rsidRPr="7386843E">
        <w:t xml:space="preserve"> </w:t>
      </w:r>
      <w:r w:rsidRPr="001D2933">
        <w:rPr>
          <w:rFonts w:cs="Times New Roman"/>
        </w:rPr>
        <w:t>α Fe alloy</w:t>
      </w:r>
      <w:r>
        <w:rPr>
          <w:rFonts w:cs="Times New Roman"/>
        </w:rPr>
        <w:t>s</w:t>
      </w:r>
      <w:r w:rsidRPr="006B2891">
        <w:fldChar w:fldCharType="begin" w:fldLock="1"/>
      </w:r>
      <w:r>
        <w:rPr>
          <w:rFonts w:cs="Times New Roman"/>
        </w:rPr>
        <w:instrText xml:space="preserve">ADDIN CSL_CITATION {"citationItems":[{"id":"ITEM-1","itemData":{"DOI":"10.1016/j.scriptamat.2009.01.014","ISSN":"13596462","abstract":"At approximately 13 GPa, body-centered cubic alpha-iron undergoes a fully reversible, pressure-induced phase transition </w:instrText>
      </w:r>
      <w:r>
        <w:rPr>
          <w:rFonts w:cs="Times New Roman" w:hint="eastAsia"/>
        </w:rPr>
        <w:instrText>into hexagonal close-packed epsilon-iron. Microstructural evidence of this phase transition has been identified in the fully reverted alpha-iron as a large number of {3 3 2}</w:instrText>
      </w:r>
      <w:r>
        <w:rPr>
          <w:rFonts w:cs="Times New Roman" w:hint="eastAsia"/>
        </w:rPr>
        <w:instrText>〈</w:instrText>
      </w:r>
      <w:r>
        <w:rPr>
          <w:rFonts w:cs="Times New Roman" w:hint="eastAsia"/>
        </w:rPr>
        <w:instrText xml:space="preserve"> 1 1 3 </w:instrText>
      </w:r>
      <w:r>
        <w:rPr>
          <w:rFonts w:cs="Times New Roman" w:hint="eastAsia"/>
        </w:rPr>
        <w:instrText>〉</w:instrText>
      </w:r>
      <w:r>
        <w:rPr>
          <w:rFonts w:cs="Times New Roman" w:hint="eastAsia"/>
        </w:rPr>
        <w:instrText xml:space="preserve"> twins found primarily as secondary twins within {1 1 2}</w:instrText>
      </w:r>
      <w:r>
        <w:rPr>
          <w:rFonts w:cs="Times New Roman" w:hint="eastAsia"/>
        </w:rPr>
        <w:instrText>〈</w:instrText>
      </w:r>
      <w:r>
        <w:rPr>
          <w:rFonts w:cs="Times New Roman" w:hint="eastAsia"/>
        </w:rPr>
        <w:instrText xml:space="preserve"> 1 1 1 </w:instrText>
      </w:r>
      <w:r>
        <w:rPr>
          <w:rFonts w:cs="Times New Roman" w:hint="eastAsia"/>
        </w:rPr>
        <w:instrText>〉</w:instrText>
      </w:r>
      <w:r>
        <w:rPr>
          <w:rFonts w:cs="Times New Roman" w:hint="eastAsia"/>
        </w:rPr>
        <w:instrText xml:space="preserve"> primary twins. The {3 3 2}</w:instrText>
      </w:r>
      <w:r>
        <w:rPr>
          <w:rFonts w:cs="Times New Roman" w:hint="eastAsia"/>
        </w:rPr>
        <w:instrText>〈</w:instrText>
      </w:r>
      <w:r>
        <w:rPr>
          <w:rFonts w:cs="Times New Roman" w:hint="eastAsia"/>
        </w:rPr>
        <w:instrText xml:space="preserve"> 1 1 3 </w:instrText>
      </w:r>
      <w:r>
        <w:rPr>
          <w:rFonts w:cs="Times New Roman" w:hint="eastAsia"/>
        </w:rPr>
        <w:instrText>〉</w:instrText>
      </w:r>
      <w:r>
        <w:rPr>
          <w:rFonts w:cs="Times New Roman" w:hint="eastAsia"/>
        </w:rPr>
        <w:instrText xml:space="preserve"> twins were produced during high-pressure shock-loading of 1018 steel at a peak pressure above the alpha-epsilon phase transition pressure. The twins were identified using electron backscattered diffraction and transmission ele</w:instrText>
      </w:r>
      <w:r>
        <w:rPr>
          <w:rFonts w:cs="Times New Roman"/>
        </w:rPr>
        <w:instrText>ctron microscopy.","author":[{"dropping-particle":"","family":"Dougherty","given":"L. M.","non-dropping-particle":"","parse-names":false,"suffix":""},{"dropping-particle":"","family":"Gray","given":"G. T.","non-dropping-particle":"","parse-names":false,"suffix":""},{"dropping-particle":"","family":"Cerreta","given":"E. K.","non-dropping-particle":"","parse-names":false,"suffix":""},{"dropping-particle":"","family":"McCabe","given":"R. J.","non-dropping-particle":"","parse-names":false,"suffix":""},{"dropping-particle":"","family":"Field","given":"R. D.","non-dropping-particle":"","parse-names":false,"suffix":""},{"dropping-particle":"","family":"Bingert","given":"J. F.","non-dropping-particle":"","parse-names":false,"suffix":""}],"container-title":"Scripta Materialia","id":"ITEM-1","issued":{"date-parts":[["2009"]]},"title":"Rare twin linked to high-pressure phase transition in iron","type":"article-journal"},"uris":["http://www.mendeley.com/documents/?uuid=6e352653-d3ac-4465-81c8-eaac3b38d300","http://www.mendeley.com/documents/?uuid=0b5e7cc2-e893-4d8b-a60d-5c6c20a7f8c8"]},{"id":"ITEM-2","itemData":{"DOI":"10.1038/srep01086","ISBN":"2045-2322","ISSN":"20452322","PMID":"23336068","abstract":"The complex structural transformation in crystals under static pressure or shock loading has been a subject of long-standing interest to materials scientists and physicists. The polymorphic transformation is of particular importance for iron (Fe), due to its technological and sociological significance in the developme</w:instrText>
      </w:r>
      <w:r>
        <w:rPr>
          <w:rFonts w:cs="Times New Roman" w:hint="eastAsia"/>
        </w:rPr>
        <w:instrText xml:space="preserve">nt of human civilization, as well as its prominent presence in the earth's core. The martensitic transformation </w:instrText>
      </w:r>
      <w:r>
        <w:rPr>
          <w:rFonts w:cs="Times New Roman" w:hint="eastAsia"/>
        </w:rPr>
        <w:instrText>α→ε</w:instrText>
      </w:r>
      <w:r>
        <w:rPr>
          <w:rFonts w:cs="Times New Roman" w:hint="eastAsia"/>
        </w:rPr>
        <w:instrText xml:space="preserve"> (bcc</w:instrText>
      </w:r>
      <w:r>
        <w:rPr>
          <w:rFonts w:cs="Times New Roman" w:hint="eastAsia"/>
        </w:rPr>
        <w:instrText>→</w:instrText>
      </w:r>
      <w:r>
        <w:rPr>
          <w:rFonts w:cs="Times New Roman" w:hint="eastAsia"/>
        </w:rPr>
        <w:instrText xml:space="preserve">hcp) in iron under shock-loading, due to its reversible and transient nature, requires non-trivial detective work to uncover its occurrence. Here we reveal refined microstructural fingerprints, needle-like colonies and three sets of {112}&lt;111&gt; twins with a threefold symmetry, with tell-tale features that are indicative of two sequential martensitic transformations in the reversible </w:instrText>
      </w:r>
      <w:r>
        <w:rPr>
          <w:rFonts w:cs="Times New Roman" w:hint="eastAsia"/>
        </w:rPr>
        <w:instrText>α→ε</w:instrText>
      </w:r>
      <w:r>
        <w:rPr>
          <w:rFonts w:cs="Times New Roman" w:hint="eastAsia"/>
        </w:rPr>
        <w:instrText xml:space="preserve"> </w:instrText>
      </w:r>
      <w:r>
        <w:rPr>
          <w:rFonts w:cs="Times New Roman"/>
        </w:rPr>
        <w:instrText>phase transition, even though no ε is retained in the post-shock samples. The signature orientation relationships are consistent with previously-proposed transformation mechanisms, and the unique microstructural fingerprints enable a quantitative assessment of the volume fraction transformed.","author":[{"dropping-particle":"","family":"Wang","given":"S. J.","non-dropping-particle":"","parse-names":false,"suffix":""},{"dropping-particle":"","family":"Sui","given":"M. L.","non-dropping-particle":"","parse-names":false,"suffix":""},{"dropping-particle":"","family":"Chen","given":"Y. T.","non-dropping-particle":"","parse-names":false,"suffix":""},{"dropping-particle":"","family":"Lu","given":"Q. H.","non-dropping-particle":"","parse-names":false,"suffix":""},{"dropping-particle":"","family":"Ma","given":"E.","non-dropping-particle":"","parse-names":false,"suffix":""},{"dropping-particle":"","family":"Pei","given":"X. Y.","non-dropping-particle":"","parse-names":false,"suffix":""},{"dropping-particle":"","family":"Li","given":"Q. Z.","non-dropping-particle":"","parse-names":false,"suffix":""},{"dropping-particle":"","family":"Hu","given":"H. B.","non-dropping-particle":"","parse-names":false,"suffix":""}],"container-title":"Scientific Reports","id":"ITEM-2","issued":{"date-parts":[["2013"]]},"title":"Microstructural fingerprints of phase transitions in shock-loaded iron","type":"article-journal"},"uris":["http://www.mendeley.com/documents/?uuid=86fc70a1-e213-4f66-86d7-702252ca534c","http://www.mendeley.com/documents/?uuid=0c6fca11-59ef-4cf5-9119-903afa56ec23"]}],"mendeley":{"formattedCitation":"[148,149]","plainTextFormattedCitation":"[148,149]","previouslyFormattedCitation":"[148,149]"},"properties":{"noteIndex":0},"schema":"https://github.com/citation-style-language/schema/raw/master/csl-citation.json"}</w:instrText>
      </w:r>
      <w:r w:rsidRPr="006B2891">
        <w:rPr>
          <w:rFonts w:cs="Times New Roman"/>
        </w:rPr>
        <w:fldChar w:fldCharType="separate"/>
      </w:r>
      <w:r w:rsidRPr="003B39BC">
        <w:rPr>
          <w:rFonts w:cs="Times New Roman"/>
          <w:noProof/>
        </w:rPr>
        <w:t>[148,149]</w:t>
      </w:r>
      <w:r w:rsidRPr="006B2891">
        <w:fldChar w:fldCharType="end"/>
      </w:r>
      <w:r>
        <w:rPr>
          <w:rFonts w:cs="Times New Roman"/>
        </w:rPr>
        <w:t xml:space="preserve">. Similarities exist between all BCC phases of </w:t>
      </w:r>
      <w:r>
        <w:rPr>
          <w:rFonts w:cs="Times New Roman"/>
          <w:noProof/>
        </w:rPr>
        <w:t>these</w:t>
      </w:r>
      <w:r>
        <w:rPr>
          <w:rFonts w:cs="Times New Roman"/>
        </w:rPr>
        <w:t xml:space="preserve"> alloys, for which the BBC matrix is relatively unstable, hence allowing further </w:t>
      </w:r>
      <w:r w:rsidRPr="009A4117">
        <w:rPr>
          <w:rFonts w:cs="Times New Roman"/>
          <w:noProof/>
        </w:rPr>
        <w:t>transform</w:t>
      </w:r>
      <w:r>
        <w:rPr>
          <w:rFonts w:cs="Times New Roman"/>
          <w:noProof/>
        </w:rPr>
        <w:t>ation</w:t>
      </w:r>
      <w:r>
        <w:rPr>
          <w:rFonts w:cs="Times New Roman"/>
        </w:rPr>
        <w:t xml:space="preserve"> to HCP or orthorhombic martensite phase under </w:t>
      </w:r>
      <w:r w:rsidRPr="009A4117">
        <w:rPr>
          <w:rFonts w:cs="Times New Roman"/>
          <w:noProof/>
        </w:rPr>
        <w:t>certain</w:t>
      </w:r>
      <w:r>
        <w:rPr>
          <w:rFonts w:cs="Times New Roman"/>
        </w:rPr>
        <w:t xml:space="preserve"> conditions such as </w:t>
      </w:r>
      <w:r w:rsidRPr="009A4117">
        <w:rPr>
          <w:rFonts w:cs="Times New Roman"/>
          <w:noProof/>
        </w:rPr>
        <w:t>heat</w:t>
      </w:r>
      <w:r>
        <w:rPr>
          <w:rFonts w:cs="Times New Roman"/>
        </w:rPr>
        <w:t xml:space="preserve"> treatments or upon loading. With </w:t>
      </w:r>
      <w:r>
        <w:rPr>
          <w:rFonts w:cs="Times New Roman"/>
        </w:rPr>
        <w:lastRenderedPageBreak/>
        <w:t xml:space="preserve">regard to this, attempts have </w:t>
      </w:r>
      <w:r w:rsidRPr="009A4117">
        <w:rPr>
          <w:rFonts w:cs="Times New Roman"/>
          <w:noProof/>
        </w:rPr>
        <w:t xml:space="preserve">been </w:t>
      </w:r>
      <w:r>
        <w:rPr>
          <w:rFonts w:cs="Times New Roman"/>
          <w:noProof/>
        </w:rPr>
        <w:t>undertaken</w:t>
      </w:r>
      <w:r>
        <w:rPr>
          <w:rFonts w:cs="Times New Roman"/>
        </w:rPr>
        <w:t xml:space="preserve"> </w:t>
      </w:r>
      <w:r w:rsidRPr="009A4117">
        <w:rPr>
          <w:rFonts w:cs="Times New Roman"/>
          <w:noProof/>
        </w:rPr>
        <w:t>to</w:t>
      </w:r>
      <w:r>
        <w:rPr>
          <w:rFonts w:cs="Times New Roman"/>
        </w:rPr>
        <w:t xml:space="preserve"> explain the origin of {332}&lt;113&gt;</w:t>
      </w:r>
      <w:r w:rsidRPr="004B13B9">
        <w:rPr>
          <w:rFonts w:cs="Times New Roman"/>
          <w:vertAlign w:val="subscript"/>
        </w:rPr>
        <w:t>β</w:t>
      </w:r>
      <w:r>
        <w:rPr>
          <w:rFonts w:cs="Times New Roman"/>
        </w:rPr>
        <w:t xml:space="preserve"> twinning in view of BCC phase lattice instability. The most reasonable explanation has been</w:t>
      </w:r>
      <w:r w:rsidRPr="008D07D9">
        <w:rPr>
          <w:rFonts w:cs="Times New Roman"/>
        </w:rPr>
        <w:t xml:space="preserve"> proposed by </w:t>
      </w:r>
      <w:r>
        <w:rPr>
          <w:rFonts w:cs="Times New Roman"/>
        </w:rPr>
        <w:t xml:space="preserve">Tobe </w:t>
      </w:r>
      <w:r w:rsidRPr="006B2891">
        <w:fldChar w:fldCharType="begin" w:fldLock="1"/>
      </w:r>
      <w:r>
        <w:rPr>
          <w:rFonts w:cs="Times New Roman"/>
        </w:rPr>
        <w:instrText>ADDIN CSL_CITATION {"citationItems":[{"id":"ITEM-1","itemData":{"DOI":"10.1016/j.actamat.2013.10.048","ISBN":"13596454 (ISSN)","ISSN":"13596454","abstract":"In this paper, the origin of {332}</w:instrText>
      </w:r>
      <w:r>
        <w:rPr>
          <w:rFonts w:cs="Times New Roman" w:hint="eastAsia"/>
        </w:rPr>
        <w:instrText>〈</w:instrText>
      </w:r>
      <w:r>
        <w:rPr>
          <w:rFonts w:cs="Times New Roman"/>
        </w:rPr>
        <w:instrText>113̄</w:instrText>
      </w:r>
      <w:r>
        <w:rPr>
          <w:rFonts w:cs="Times New Roman" w:hint="eastAsia"/>
        </w:rPr>
        <w:instrText>〉</w:instrText>
      </w:r>
      <w:r>
        <w:rPr>
          <w:rFonts w:cs="Times New Roman"/>
        </w:rPr>
        <w:instrText xml:space="preserve"> twinning, which is a unique twinning mode in metastable β-Ti alloys, was investigated. The possible twinning modes in metastable β-Ti alloys are derived by considering lattice instability in addition to the theory of the crystallography of deformation twinning. In order to consider lattice instability in the body-centered-cubic (bcc) structure, a modulated structure was proposed. We then clarify how the modulated structure facilitates {332}</w:instrText>
      </w:r>
      <w:r>
        <w:rPr>
          <w:rFonts w:cs="Times New Roman" w:hint="eastAsia"/>
        </w:rPr>
        <w:instrText>〈</w:instrText>
      </w:r>
      <w:r>
        <w:rPr>
          <w:rFonts w:cs="Times New Roman"/>
        </w:rPr>
        <w:instrText>113̄</w:instrText>
      </w:r>
      <w:r>
        <w:rPr>
          <w:rFonts w:cs="Times New Roman" w:hint="eastAsia"/>
        </w:rPr>
        <w:instrText>〉</w:instrText>
      </w:r>
      <w:r>
        <w:rPr>
          <w:rFonts w:cs="Times New Roman"/>
        </w:rPr>
        <w:instrText xml:space="preserve"> twinning preferentially compared to other possible twinning modes by evaluating the magnitude of twinning shear and the complexity of shuffle. It was found that the lattice instability makes {112}</w:instrText>
      </w:r>
      <w:r>
        <w:rPr>
          <w:rFonts w:cs="Times New Roman" w:hint="eastAsia"/>
        </w:rPr>
        <w:instrText>〈</w:instrText>
      </w:r>
      <w:r>
        <w:rPr>
          <w:rFonts w:cs="Times New Roman"/>
        </w:rPr>
        <w:instrText>1̄1̄1</w:instrText>
      </w:r>
      <w:r>
        <w:rPr>
          <w:rFonts w:cs="Times New Roman" w:hint="eastAsia"/>
        </w:rPr>
        <w:instrText>〉</w:instrText>
      </w:r>
      <w:r>
        <w:rPr>
          <w:rFonts w:cs="Times New Roman"/>
        </w:rPr>
        <w:instrText xml:space="preserve"> twinning, which is a major twinning mode observed in alloys with stable bcc structure, unlikely to occur because the lattice modulation causes additional shuffling to form the {112}</w:instrText>
      </w:r>
      <w:r>
        <w:rPr>
          <w:rFonts w:cs="Times New Roman" w:hint="eastAsia"/>
        </w:rPr>
        <w:instrText>〈</w:instrText>
      </w:r>
      <w:r>
        <w:rPr>
          <w:rFonts w:cs="Times New Roman"/>
        </w:rPr>
        <w:instrText>1̄1̄1</w:instrText>
      </w:r>
      <w:r>
        <w:rPr>
          <w:rFonts w:cs="Times New Roman" w:hint="eastAsia"/>
        </w:rPr>
        <w:instrText>〉</w:instrText>
      </w:r>
      <w:r>
        <w:rPr>
          <w:rFonts w:cs="Times New Roman"/>
        </w:rPr>
        <w:instrText xml:space="preserve"> twin. It was also found that {332}</w:instrText>
      </w:r>
      <w:r>
        <w:rPr>
          <w:rFonts w:cs="Times New Roman" w:hint="eastAsia"/>
        </w:rPr>
        <w:instrText>〈</w:instrText>
      </w:r>
      <w:r>
        <w:rPr>
          <w:rFonts w:cs="Times New Roman"/>
        </w:rPr>
        <w:instrText>113̄</w:instrText>
      </w:r>
      <w:r>
        <w:rPr>
          <w:rFonts w:cs="Times New Roman" w:hint="eastAsia"/>
        </w:rPr>
        <w:instrText>〉</w:instrText>
      </w:r>
      <w:r>
        <w:rPr>
          <w:rFonts w:cs="Times New Roman"/>
        </w:rPr>
        <w:instrText xml:space="preserve"> twinning is the most possible twinning mode in the modulated structure in terms of the magnitude of twinning shear and the complexity of shuffle. The new formation model of the {332}</w:instrText>
      </w:r>
      <w:r>
        <w:rPr>
          <w:rFonts w:cs="Times New Roman" w:hint="eastAsia"/>
        </w:rPr>
        <w:instrText>〈</w:instrText>
      </w:r>
      <w:r>
        <w:rPr>
          <w:rFonts w:cs="Times New Roman"/>
        </w:rPr>
        <w:instrText>113̄</w:instrText>
      </w:r>
      <w:r>
        <w:rPr>
          <w:rFonts w:cs="Times New Roman" w:hint="eastAsia"/>
        </w:rPr>
        <w:instrText>〉</w:instrText>
      </w:r>
      <w:r>
        <w:rPr>
          <w:rFonts w:cs="Times New Roman"/>
        </w:rPr>
        <w:instrText xml:space="preserve"> twin presented in this study can explain how the lattice instability preferentially activates the {332}</w:instrText>
      </w:r>
      <w:r>
        <w:rPr>
          <w:rFonts w:cs="Times New Roman" w:hint="eastAsia"/>
        </w:rPr>
        <w:instrText>〈</w:instrText>
      </w:r>
      <w:r>
        <w:rPr>
          <w:rFonts w:cs="Times New Roman"/>
        </w:rPr>
        <w:instrText>113̄</w:instrText>
      </w:r>
      <w:r>
        <w:rPr>
          <w:rFonts w:cs="Times New Roman" w:hint="eastAsia"/>
        </w:rPr>
        <w:instrText>〉</w:instrText>
      </w:r>
      <w:r>
        <w:rPr>
          <w:rFonts w:cs="Times New Roman"/>
        </w:rPr>
        <w:instrText xml:space="preserve"> twinning in metastable β-Ti alloys. © 2013 Acta Materialia Inc. Published by Elsevier Ltd. All rights reserved.","author":[{"dropping-particle":"","family":"Tobe","given":"Hirobumi","non-dropping-particle":"","parse-names":false,"suffix":""},{"dropping-particle":"","family":"Kim","given":"Hee Young","non-dropping-particle":"","parse-names":false,"suffix":""},{"dropping-particle":"","family":"Inamura","given":"Tomonari","non-dropping-particle":"","parse-names":false,"suffix":""},{"dropping-particle":"","family":"Hosoda","given":"Hideki","non-dropping-particle":"","parse-names":false,"suffix":""},{"dropping-particle":"","family":"Miyazaki","given":"Shuichi","non-dropping-particle":"","parse-names":false,"suffix":""}],"container-title":"Acta Materialia","id":"ITEM-1","issued":{"date-parts":[["2014"]]},"title":"Origin of {3 3 2} twinning in metastable β-Ti alloys","type":"article"},"uris":["http://www.mendeley.com/documents/?uuid=071f1bf4-cdc8-45b3-8675-32071ee1f466","http://www.mendeley.com/documents/?uuid=31b05719-f129-4d26-9b4e-0fcdda57e8af"]}],"mendeley":{"formattedCitation":"[150]","plainTextFormattedCitation":"[150]","previouslyFormattedCitation":"[150]"},"properties":{"noteIndex":0},"schema":"https://github.com/citation-style-language/schema/raw/master/csl-citation.json"}</w:instrText>
      </w:r>
      <w:r w:rsidRPr="006B2891">
        <w:rPr>
          <w:rFonts w:cs="Times New Roman"/>
        </w:rPr>
        <w:fldChar w:fldCharType="separate"/>
      </w:r>
      <w:r w:rsidRPr="003B39BC">
        <w:rPr>
          <w:rFonts w:cs="Times New Roman"/>
          <w:noProof/>
        </w:rPr>
        <w:t>[150]</w:t>
      </w:r>
      <w:r w:rsidRPr="006B2891">
        <w:fldChar w:fldCharType="end"/>
      </w:r>
      <w:r>
        <w:rPr>
          <w:rFonts w:cs="Times New Roman"/>
        </w:rPr>
        <w:t xml:space="preserve"> when considering BCC lattice instability at </w:t>
      </w:r>
      <w:r w:rsidRPr="00C06CF3">
        <w:rPr>
          <w:rFonts w:cs="Times New Roman"/>
          <w:sz w:val="21"/>
          <w:szCs w:val="21"/>
        </w:rPr>
        <w:t>&lt;011&gt;</w:t>
      </w:r>
      <w:r w:rsidRPr="00C06CF3">
        <w:rPr>
          <w:rFonts w:cs="Times New Roman"/>
          <w:sz w:val="21"/>
          <w:szCs w:val="21"/>
          <w:vertAlign w:val="subscript"/>
        </w:rPr>
        <w:t>β</w:t>
      </w:r>
      <w:r w:rsidRPr="006B2891">
        <w:rPr>
          <w:rFonts w:cs="Times New Roman"/>
          <w:sz w:val="20"/>
          <w:szCs w:val="20"/>
        </w:rPr>
        <w:t xml:space="preserve"> </w:t>
      </w:r>
      <w:r>
        <w:rPr>
          <w:rFonts w:cs="Times New Roman"/>
        </w:rPr>
        <w:t xml:space="preserve">as shown in Fig. 2-26. Through a </w:t>
      </w:r>
      <w:r w:rsidRPr="009A4117">
        <w:rPr>
          <w:rFonts w:cs="Times New Roman"/>
          <w:noProof/>
        </w:rPr>
        <w:t>double</w:t>
      </w:r>
      <w:r>
        <w:rPr>
          <w:rFonts w:cs="Times New Roman"/>
        </w:rPr>
        <w:t xml:space="preserve"> lattice </w:t>
      </w:r>
      <w:r w:rsidRPr="004B13B9">
        <w:rPr>
          <w:rFonts w:cs="Times New Roman"/>
        </w:rPr>
        <w:t>structure</w:t>
      </w:r>
      <w:r>
        <w:rPr>
          <w:rFonts w:cs="Times New Roman"/>
        </w:rPr>
        <w:t xml:space="preserve"> model</w:t>
      </w:r>
      <w:r w:rsidRPr="004B13B9">
        <w:rPr>
          <w:rFonts w:cs="Times New Roman"/>
        </w:rPr>
        <w:t xml:space="preserve">, the BCC structure </w:t>
      </w:r>
      <w:r>
        <w:rPr>
          <w:rFonts w:cs="Times New Roman"/>
          <w:noProof/>
        </w:rPr>
        <w:t>was</w:t>
      </w:r>
      <w:r w:rsidRPr="004B13B9">
        <w:rPr>
          <w:rFonts w:cs="Times New Roman"/>
          <w:noProof/>
        </w:rPr>
        <w:t xml:space="preserve"> understood to be </w:t>
      </w:r>
      <w:r w:rsidRPr="004B13B9">
        <w:rPr>
          <w:rFonts w:cs="Times New Roman"/>
        </w:rPr>
        <w:t xml:space="preserve">a </w:t>
      </w:r>
      <w:r w:rsidRPr="004B13B9">
        <w:rPr>
          <w:rFonts w:cs="Times New Roman"/>
          <w:noProof/>
        </w:rPr>
        <w:t>modulated</w:t>
      </w:r>
      <w:r w:rsidRPr="004B13B9">
        <w:rPr>
          <w:rFonts w:cs="Times New Roman"/>
        </w:rPr>
        <w:t xml:space="preserve"> structure of </w:t>
      </w:r>
      <w:r w:rsidR="007D04B9">
        <w:rPr>
          <w:rFonts w:cs="Times New Roman"/>
        </w:rPr>
        <w:t xml:space="preserve">the </w:t>
      </w:r>
      <w:r>
        <w:rPr>
          <w:rFonts w:cs="Times New Roman"/>
        </w:rPr>
        <w:t>BCT</w:t>
      </w:r>
      <w:r w:rsidRPr="0029106F">
        <w:rPr>
          <w:rFonts w:cs="Times New Roman"/>
        </w:rPr>
        <w:t xml:space="preserve"> structure involving lattice instability. </w:t>
      </w:r>
      <w:r>
        <w:rPr>
          <w:rFonts w:cs="Times New Roman"/>
        </w:rPr>
        <w:t xml:space="preserve">This was </w:t>
      </w:r>
      <w:r w:rsidRPr="0029106F">
        <w:rPr>
          <w:rFonts w:cs="Times New Roman"/>
        </w:rPr>
        <w:t>attributed</w:t>
      </w:r>
      <w:r w:rsidRPr="00C06CF3">
        <w:rPr>
          <w:color w:val="FF0000"/>
          <w:sz w:val="36"/>
          <w:szCs w:val="36"/>
        </w:rPr>
        <w:t xml:space="preserve"> </w:t>
      </w:r>
      <w:r w:rsidRPr="008D07D9">
        <w:t>to</w:t>
      </w:r>
      <w:r w:rsidRPr="0029106F">
        <w:rPr>
          <w:rFonts w:cs="Times New Roman"/>
        </w:rPr>
        <w:t xml:space="preserve"> </w:t>
      </w:r>
      <w:r>
        <w:rPr>
          <w:rFonts w:cs="Times New Roman"/>
        </w:rPr>
        <w:t xml:space="preserve">the </w:t>
      </w:r>
      <w:r w:rsidRPr="0001665A">
        <w:rPr>
          <w:rFonts w:cs="Times New Roman"/>
        </w:rPr>
        <w:t>displacement along</w:t>
      </w:r>
      <w:r w:rsidRPr="006B2891">
        <w:rPr>
          <w:rFonts w:cs="Times New Roman"/>
          <w:sz w:val="20"/>
          <w:szCs w:val="20"/>
        </w:rPr>
        <w:t xml:space="preserve"> </w:t>
      </w:r>
      <w:r w:rsidRPr="00C06CF3">
        <w:rPr>
          <w:rFonts w:cs="Times New Roman"/>
          <w:sz w:val="21"/>
          <w:szCs w:val="21"/>
        </w:rPr>
        <w:t>&lt;011&gt;</w:t>
      </w:r>
      <w:r w:rsidRPr="00C06CF3">
        <w:rPr>
          <w:rFonts w:cs="Times New Roman"/>
          <w:sz w:val="21"/>
          <w:szCs w:val="21"/>
          <w:vertAlign w:val="subscript"/>
        </w:rPr>
        <w:t>β</w:t>
      </w:r>
      <w:r w:rsidRPr="0029106F">
        <w:rPr>
          <w:rFonts w:cs="Times New Roman"/>
        </w:rPr>
        <w:t>. In th</w:t>
      </w:r>
      <w:r w:rsidRPr="004B13B9">
        <w:rPr>
          <w:rFonts w:cs="Times New Roman"/>
        </w:rPr>
        <w:t xml:space="preserve">is </w:t>
      </w:r>
      <w:r w:rsidRPr="004B13B9">
        <w:rPr>
          <w:rFonts w:cs="Times New Roman"/>
          <w:noProof/>
        </w:rPr>
        <w:t>model,</w:t>
      </w:r>
      <w:r w:rsidRPr="004B13B9">
        <w:rPr>
          <w:rFonts w:cs="Times New Roman"/>
        </w:rPr>
        <w:t xml:space="preserve"> {332}&lt;113&gt;</w:t>
      </w:r>
      <w:r w:rsidRPr="004B13B9">
        <w:rPr>
          <w:rFonts w:cs="Times New Roman"/>
          <w:vertAlign w:val="subscript"/>
        </w:rPr>
        <w:t>β</w:t>
      </w:r>
      <w:r w:rsidRPr="004B13B9">
        <w:rPr>
          <w:rFonts w:cs="Times New Roman"/>
        </w:rPr>
        <w:t xml:space="preserve"> twinning originate</w:t>
      </w:r>
      <w:r>
        <w:rPr>
          <w:rFonts w:cs="Times New Roman"/>
        </w:rPr>
        <w:t>d from</w:t>
      </w:r>
      <w:r w:rsidRPr="004B13B9">
        <w:rPr>
          <w:rFonts w:cs="Times New Roman"/>
        </w:rPr>
        <w:t xml:space="preserve"> a lattice</w:t>
      </w:r>
      <w:r>
        <w:rPr>
          <w:rFonts w:cs="Times New Roman"/>
        </w:rPr>
        <w:t xml:space="preserve"> and</w:t>
      </w:r>
      <w:r w:rsidRPr="004B13B9">
        <w:rPr>
          <w:rFonts w:cs="Times New Roman"/>
        </w:rPr>
        <w:t xml:space="preserve"> correspond</w:t>
      </w:r>
      <w:r>
        <w:rPr>
          <w:rFonts w:cs="Times New Roman"/>
        </w:rPr>
        <w:t xml:space="preserve">ed to </w:t>
      </w:r>
      <w:r w:rsidRPr="004B13B9">
        <w:rPr>
          <w:rFonts w:cs="Times New Roman"/>
        </w:rPr>
        <w:t>{130}&lt;310&gt;</w:t>
      </w:r>
      <w:r w:rsidRPr="004B13B9">
        <w:rPr>
          <w:rFonts w:cs="Times New Roman"/>
          <w:vertAlign w:val="subscript"/>
        </w:rPr>
        <w:t>α’’</w:t>
      </w:r>
      <w:r w:rsidRPr="004B13B9">
        <w:rPr>
          <w:rFonts w:cs="Times New Roman"/>
        </w:rPr>
        <w:t xml:space="preserve"> deformation twinning with </w:t>
      </w:r>
      <w:r>
        <w:rPr>
          <w:rFonts w:cs="Times New Roman"/>
        </w:rPr>
        <w:t xml:space="preserve">a </w:t>
      </w:r>
      <w:r w:rsidRPr="004B13B9">
        <w:rPr>
          <w:rFonts w:cs="Times New Roman"/>
        </w:rPr>
        <w:t>small magnitude atomic shuffle movement</w:t>
      </w:r>
      <w:r>
        <w:rPr>
          <w:rFonts w:cs="Times New Roman"/>
        </w:rPr>
        <w:t xml:space="preserve"> (Fig. 2-26(b))</w:t>
      </w:r>
      <w:r w:rsidRPr="004B13B9">
        <w:rPr>
          <w:rFonts w:cs="Times New Roman"/>
        </w:rPr>
        <w:t xml:space="preserve">. </w:t>
      </w:r>
      <w:r>
        <w:rPr>
          <w:rFonts w:cs="Times New Roman"/>
          <w:i/>
        </w:rPr>
        <w:t>I</w:t>
      </w:r>
      <w:r w:rsidRPr="009225C4">
        <w:rPr>
          <w:rFonts w:cs="Times New Roman"/>
          <w:i/>
        </w:rPr>
        <w:t>n situ</w:t>
      </w:r>
      <w:r>
        <w:rPr>
          <w:rFonts w:cs="Times New Roman"/>
        </w:rPr>
        <w:t xml:space="preserve"> </w:t>
      </w:r>
      <w:r w:rsidRPr="008D07D9">
        <w:rPr>
          <w:rFonts w:cs="Times New Roman"/>
        </w:rPr>
        <w:t>experimental result</w:t>
      </w:r>
      <w:r>
        <w:rPr>
          <w:rFonts w:cs="Times New Roman"/>
        </w:rPr>
        <w:t>s</w:t>
      </w:r>
      <w:r w:rsidRPr="008D07D9">
        <w:rPr>
          <w:rFonts w:cs="Times New Roman"/>
        </w:rPr>
        <w:t xml:space="preserve"> </w:t>
      </w:r>
      <w:r>
        <w:rPr>
          <w:rFonts w:cs="Times New Roman"/>
        </w:rPr>
        <w:t>reported for</w:t>
      </w:r>
      <w:r w:rsidRPr="008D07D9">
        <w:rPr>
          <w:rFonts w:cs="Times New Roman"/>
        </w:rPr>
        <w:t xml:space="preserve"> {</w:t>
      </w:r>
      <w:r w:rsidRPr="004B13B9">
        <w:rPr>
          <w:rFonts w:cs="Times New Roman"/>
        </w:rPr>
        <w:t>332}&lt;113&gt;</w:t>
      </w:r>
      <w:r w:rsidRPr="004B13B9">
        <w:rPr>
          <w:rFonts w:cs="Times New Roman"/>
          <w:vertAlign w:val="subscript"/>
        </w:rPr>
        <w:t>β</w:t>
      </w:r>
      <w:r w:rsidRPr="004B13B9">
        <w:rPr>
          <w:rFonts w:cs="Times New Roman"/>
        </w:rPr>
        <w:t xml:space="preserve"> twinning </w:t>
      </w:r>
      <w:r w:rsidRPr="00F943C5">
        <w:rPr>
          <w:rFonts w:cstheme="minorHAnsi"/>
        </w:rPr>
        <w:fldChar w:fldCharType="begin" w:fldLock="1"/>
      </w:r>
      <w:r>
        <w:rPr>
          <w:rFonts w:cstheme="minorHAnsi"/>
        </w:rPr>
        <w:instrText>ADDIN CSL_CITATION {"citationItems":[{"id":"ITEM-1","itemData":{"DOI":"10.1016/j.actamat.2016.03.040","ISBN":"13596454","ISSN":"13596454","abstract":"{332} twinning, an unusual twinning mode in other body-centered cubic (bcc) metals and alloys, has been demonstrated to be a fundamental deformation mode in bcc metastable β titanium alloys. Recent studies suggest that this twinning mode plays an important role in enhancing the work hardening and thus improving the mechanical properties. Here, we studied the mechanism of this twinning mode in a metastable β Ti-36Nb-2Ta-3Zr (wt.%) alloy. Tensile tests were performed to induce the formation of {332} twins. By using electron backscatter diffraction, transmission electron microscopy and in situ scanning electron</w:instrText>
      </w:r>
      <w:r>
        <w:rPr>
          <w:rFonts w:cstheme="minorHAnsi" w:hint="eastAsia"/>
        </w:rPr>
        <w:instrText xml:space="preserve"> microscopy, the surface-to-bulk microstructures and the initiation and propagation of {332} twins were investigated. In addition to the previously reported high densities of straight dislocations within the twin, we have observed that an </w:instrText>
      </w:r>
      <w:r>
        <w:rPr>
          <w:rFonts w:cstheme="minorHAnsi" w:hint="eastAsia"/>
        </w:rPr>
        <w:instrText>α″</w:instrText>
      </w:r>
      <w:r>
        <w:rPr>
          <w:rFonts w:cstheme="minorHAnsi" w:hint="eastAsia"/>
        </w:rPr>
        <w:instrText xml:space="preserve"> martensite band is present near the surface adjacent to the twin. During annealing at 900</w:instrText>
      </w:r>
      <w:r>
        <w:rPr>
          <w:rFonts w:cstheme="minorHAnsi" w:hint="eastAsia"/>
        </w:rPr>
        <w:instrText>°</w:instrText>
      </w:r>
      <w:r>
        <w:rPr>
          <w:rFonts w:cstheme="minorHAnsi" w:hint="eastAsia"/>
        </w:rPr>
        <w:instrText xml:space="preserve">C, the </w:instrText>
      </w:r>
      <w:r>
        <w:rPr>
          <w:rFonts w:cstheme="minorHAnsi" w:hint="eastAsia"/>
        </w:rPr>
        <w:instrText>α″</w:instrText>
      </w:r>
      <w:r>
        <w:rPr>
          <w:rFonts w:cstheme="minorHAnsi" w:hint="eastAsia"/>
        </w:rPr>
        <w:instrText xml:space="preserve"> martensite band transforms into the adjacent twin rather than into the matrix, indicating that {332} twin nucleates within </w:instrText>
      </w:r>
      <w:r>
        <w:rPr>
          <w:rFonts w:cstheme="minorHAnsi" w:hint="eastAsia"/>
        </w:rPr>
        <w:instrText>α″</w:instrText>
      </w:r>
      <w:r>
        <w:rPr>
          <w:rFonts w:cstheme="minorHAnsi" w:hint="eastAsia"/>
        </w:rPr>
        <w:instrText xml:space="preserve"> martensite. Further evidence for this is the constitution of the twin in the initial stage of its formation, where the first portion formed consists of </w:instrText>
      </w:r>
      <w:r>
        <w:rPr>
          <w:rFonts w:cstheme="minorHAnsi" w:hint="eastAsia"/>
        </w:rPr>
        <w:instrText>α″</w:instrText>
      </w:r>
      <w:r>
        <w:rPr>
          <w:rFonts w:cstheme="minorHAnsi" w:hint="eastAsia"/>
        </w:rPr>
        <w:instrText xml:space="preserve"> martensite. During propagation, the twins propagating to the opposite directions can merge together when their lateral boundaries impinge on each other. Based on the experimental observations, an </w:instrText>
      </w:r>
      <w:r>
        <w:rPr>
          <w:rFonts w:cstheme="minorHAnsi" w:hint="eastAsia"/>
        </w:rPr>
        <w:instrText>α″</w:instrText>
      </w:r>
      <w:r>
        <w:rPr>
          <w:rFonts w:cstheme="minorHAnsi" w:hint="eastAsia"/>
        </w:rPr>
        <w:instrText>-assisted twinning mechanism is proposed and the origin of the dislocations within {332} twin is discussed accordingly.","author":[{"dropping-particle":"","family":"Lai","given":"M. J.","non-dropping</w:instrText>
      </w:r>
      <w:r>
        <w:rPr>
          <w:rFonts w:cstheme="minorHAnsi"/>
        </w:rPr>
        <w:instrText>-particle":"","parse-names":false,"suffix":""},{"dropping-particle":"","family":"Tasan","given":"C. C.","non-dropping-particle":"","parse-names":false,"suffix":""},{"dropping-particle":"","family":"Raabe","given":"D.","non-dropping-particle":"","parse-names":false,"suffix":""}],"container-title":"Acta Materialia","id":"ITEM-1","issued":{"date-parts":[["2016"]]},"title":"On the mechanism of {332} twinning in metastable β titanium alloys","type":"article-journal"},"uris":["http://www.mendeley.com/documents/?uuid=eaadc855-c7f9-40f7-b46f-94b49e458d47","http://www.mendeley.com/documents/?uuid=6b9cdc24-7719-4876-bc9a-cd2475f9c32b"]},{"id":"ITEM-2","itemData":{"DOI":"10.1103/PhysRevLett.117.245501","ISBN":"0031-9007, 1079-7114","ISSN":"10797114","abstract":"Author(s): P. Castany, Y. Yang, E. Bertrand, and T. GloriantIn bcc metastable β titanium alloys, and particularly in superelastic alloys, a unique {332}</w:instrText>
      </w:r>
      <w:r>
        <w:rPr>
          <w:rFonts w:ascii="Cambria Math" w:hAnsi="Cambria Math" w:cs="Cambria Math"/>
        </w:rPr>
        <w:instrText>⟨</w:instrText>
      </w:r>
      <w:r>
        <w:rPr>
          <w:rFonts w:cstheme="minorHAnsi"/>
        </w:rPr>
        <w:instrText>113</w:instrText>
      </w:r>
      <w:r>
        <w:rPr>
          <w:rFonts w:ascii="Cambria Math" w:hAnsi="Cambria Math" w:cs="Cambria Math"/>
        </w:rPr>
        <w:instrText>⟩</w:instrText>
      </w:r>
      <w:r>
        <w:rPr>
          <w:rFonts w:cstheme="minorHAnsi"/>
        </w:rPr>
        <w:instrText xml:space="preserve"> twinning system occurs during plastic deformation. However, in situ synchrotron x-ray diffraction dur</w:instrText>
      </w:r>
      <w:r>
        <w:rPr>
          <w:rFonts w:cstheme="minorHAnsi" w:hint="eastAsia"/>
        </w:rPr>
        <w:instrText xml:space="preserve">ing a tensile test shows that the </w:instrText>
      </w:r>
      <w:r>
        <w:rPr>
          <w:rFonts w:cstheme="minorHAnsi" w:hint="eastAsia"/>
        </w:rPr>
        <w:instrText>β</w:instrText>
      </w:r>
      <w:r>
        <w:rPr>
          <w:rFonts w:cstheme="minorHAnsi" w:hint="eastAsia"/>
        </w:rPr>
        <w:instrText xml:space="preserve"> phase totally transforms into </w:instrText>
      </w:r>
      <w:r>
        <w:rPr>
          <w:rFonts w:cstheme="minorHAnsi" w:hint="eastAsia"/>
        </w:rPr>
        <w:instrText>α</w:instrText>
      </w:r>
      <w:r>
        <w:rPr>
          <w:rFonts w:cstheme="minorHAnsi" w:hint="eastAsia"/>
        </w:rPr>
        <w:instrText>^{</w:instrText>
      </w:r>
      <w:r>
        <w:rPr>
          <w:rFonts w:cstheme="minorHAnsi" w:hint="eastAsia"/>
        </w:rPr>
        <w:instrText>′′</w:instrText>
      </w:r>
      <w:r>
        <w:rPr>
          <w:rFonts w:cstheme="minorHAnsi" w:hint="eastAsia"/>
        </w:rPr>
        <w:instrText>} martensite under stress in a</w:instrText>
      </w:r>
      <w:r>
        <w:rPr>
          <w:rFonts w:cstheme="minorHAnsi" w:hint="eastAsia"/>
        </w:rPr>
        <w:instrText>…</w:instrText>
      </w:r>
      <w:r>
        <w:rPr>
          <w:rFonts w:cstheme="minorHAnsi" w:hint="eastAsia"/>
        </w:rPr>
        <w:instrText>[Phys. Rev. Lett. 117, 245501] Published Tue Dec 06, 2016","author":[{"dropping-particle":"","family":"Castany","given":"P.","non-dropping-particle":"","</w:instrText>
      </w:r>
      <w:r>
        <w:rPr>
          <w:rFonts w:cstheme="minorHAnsi"/>
        </w:rPr>
        <w:instrText>parse-names":false,"suffix":""},{"dropping-particle":"","family":"Yang","given":"Y.","non-dropping-particle":"","parse-names":false,"suffix":""},{"dropping-particle":"","family":"Bertrand","given":"E.","non-dropping-particle":"","parse-names":false,"suffi</w:instrText>
      </w:r>
      <w:r>
        <w:rPr>
          <w:rFonts w:cstheme="minorHAnsi" w:hint="eastAsia"/>
        </w:rPr>
        <w:instrText xml:space="preserve">x":""},{"dropping-particle":"","family":"Gloriant","given":"T.","non-dropping-particle":"","parse-names":false,"suffix":""}],"container-title":"Physical Review Letters","id":"ITEM-2","issued":{"date-parts":[["2016"]]},"title":"Reversion of a Parent 310 </w:instrText>
      </w:r>
      <w:r>
        <w:rPr>
          <w:rFonts w:cstheme="minorHAnsi" w:hint="eastAsia"/>
        </w:rPr>
        <w:instrText>α′′</w:instrText>
      </w:r>
      <w:r>
        <w:rPr>
          <w:rFonts w:cstheme="minorHAnsi" w:hint="eastAsia"/>
        </w:rPr>
        <w:instrText xml:space="preserve"> Martensitic Twinning System at the Origin of {332 } 113 ©</w:instrText>
      </w:r>
      <w:r>
        <w:rPr>
          <w:rFonts w:cstheme="minorHAnsi" w:hint="eastAsia"/>
        </w:rPr>
        <w:instrText>β</w:instrText>
      </w:r>
      <w:r>
        <w:rPr>
          <w:rFonts w:cstheme="minorHAnsi" w:hint="eastAsia"/>
        </w:rPr>
        <w:instrText xml:space="preserve"> Twins Observed in Metastable </w:instrText>
      </w:r>
      <w:r>
        <w:rPr>
          <w:rFonts w:cstheme="minorHAnsi" w:hint="eastAsia"/>
        </w:rPr>
        <w:instrText>β</w:instrText>
      </w:r>
      <w:r>
        <w:rPr>
          <w:rFonts w:cstheme="minorHAnsi" w:hint="eastAsia"/>
        </w:rPr>
        <w:instrText xml:space="preserve"> Titanium Alloys","type":"article-journal"},"uris":["http://www.mendeley.com/documents/?uuid=92ec7c77-a9ec-4d3a-888d-f132f4727923","http://www.mendeley.com/document</w:instrText>
      </w:r>
      <w:r>
        <w:rPr>
          <w:rFonts w:cstheme="minorHAnsi"/>
        </w:rPr>
        <w:instrText>s/?uuid=4b0f2fdd-a920-43e9-a0a4-2e86e9e4159f"]}],"mendeley":{"formattedCitation":"[151,152]","plainTextFormattedCitation":"[151,152]","previouslyFormattedCitation":"[151,152]"},"properties":{"noteIndex":0},"schema":"https://github.com/citation-style-language/schema/raw/master/csl-citation.json"}</w:instrText>
      </w:r>
      <w:r w:rsidRPr="00F943C5">
        <w:rPr>
          <w:rFonts w:cstheme="minorHAnsi"/>
        </w:rPr>
        <w:fldChar w:fldCharType="separate"/>
      </w:r>
      <w:r w:rsidRPr="003B39BC">
        <w:rPr>
          <w:rFonts w:cstheme="minorHAnsi"/>
          <w:noProof/>
        </w:rPr>
        <w:t>[151,152]</w:t>
      </w:r>
      <w:r w:rsidRPr="00F943C5">
        <w:rPr>
          <w:rFonts w:cstheme="minorHAnsi"/>
        </w:rPr>
        <w:fldChar w:fldCharType="end"/>
      </w:r>
      <w:r>
        <w:rPr>
          <w:rFonts w:cstheme="minorHAnsi"/>
        </w:rPr>
        <w:t xml:space="preserve"> </w:t>
      </w:r>
      <w:r w:rsidRPr="004B13B9">
        <w:rPr>
          <w:rFonts w:cs="Times New Roman"/>
        </w:rPr>
        <w:t>also p</w:t>
      </w:r>
      <w:r w:rsidRPr="00F943C5">
        <w:rPr>
          <w:rFonts w:cstheme="minorHAnsi"/>
        </w:rPr>
        <w:t xml:space="preserve">rovide solid </w:t>
      </w:r>
      <w:r>
        <w:rPr>
          <w:rFonts w:cstheme="minorHAnsi"/>
        </w:rPr>
        <w:t>evidence</w:t>
      </w:r>
      <w:r w:rsidRPr="00F943C5">
        <w:rPr>
          <w:rFonts w:cstheme="minorHAnsi"/>
        </w:rPr>
        <w:t xml:space="preserve"> of the relationship between the </w:t>
      </w:r>
      <w:r w:rsidRPr="00F943C5">
        <w:rPr>
          <w:rFonts w:cstheme="minorHAnsi"/>
          <w:noProof/>
        </w:rPr>
        <w:t>stress-induced</w:t>
      </w:r>
      <w:r w:rsidRPr="00F943C5">
        <w:rPr>
          <w:rFonts w:cstheme="minorHAnsi"/>
        </w:rPr>
        <w:t xml:space="preserve"> α’’ martensite phase and {332}&lt;113&gt;</w:t>
      </w:r>
      <w:r w:rsidRPr="00F943C5">
        <w:rPr>
          <w:rFonts w:cstheme="minorHAnsi"/>
          <w:vertAlign w:val="subscript"/>
        </w:rPr>
        <w:t>β</w:t>
      </w:r>
      <w:r w:rsidRPr="00F943C5">
        <w:rPr>
          <w:rFonts w:cstheme="minorHAnsi"/>
        </w:rPr>
        <w:t xml:space="preserve"> twinning</w:t>
      </w:r>
      <w:r>
        <w:rPr>
          <w:rFonts w:cstheme="minorHAnsi"/>
        </w:rPr>
        <w:t>.</w:t>
      </w:r>
      <w:r w:rsidRPr="00F943C5">
        <w:rPr>
          <w:rFonts w:cstheme="minorHAnsi"/>
        </w:rPr>
        <w:t xml:space="preserve"> M</w:t>
      </w:r>
      <w:r w:rsidRPr="00C06CF3">
        <w:rPr>
          <w:rFonts w:cstheme="minorHAnsi"/>
          <w:noProof/>
        </w:rPr>
        <w:t>any reports</w:t>
      </w:r>
      <w:r>
        <w:rPr>
          <w:rFonts w:cstheme="minorHAnsi"/>
          <w:noProof/>
        </w:rPr>
        <w:t xml:space="preserve"> have attempted</w:t>
      </w:r>
      <w:r w:rsidRPr="00C06CF3">
        <w:rPr>
          <w:rFonts w:cstheme="minorHAnsi"/>
        </w:rPr>
        <w:t xml:space="preserve"> </w:t>
      </w:r>
      <w:r w:rsidRPr="00F943C5">
        <w:rPr>
          <w:rFonts w:cstheme="minorHAnsi"/>
        </w:rPr>
        <w:t>to use EBSD results to identify its existence</w:t>
      </w:r>
      <w:r>
        <w:rPr>
          <w:rFonts w:cstheme="minorHAnsi"/>
        </w:rPr>
        <w:t>, w</w:t>
      </w:r>
      <w:r w:rsidRPr="00F943C5">
        <w:rPr>
          <w:rFonts w:cstheme="minorHAnsi"/>
        </w:rPr>
        <w:t>hilst the K</w:t>
      </w:r>
      <w:r>
        <w:rPr>
          <w:rFonts w:cstheme="minorHAnsi"/>
        </w:rPr>
        <w:t>i</w:t>
      </w:r>
      <w:r w:rsidRPr="00F943C5">
        <w:rPr>
          <w:rFonts w:cstheme="minorHAnsi"/>
        </w:rPr>
        <w:t xml:space="preserve">kuchi lattice patterns in </w:t>
      </w:r>
      <w:r>
        <w:rPr>
          <w:rFonts w:cstheme="minorHAnsi"/>
        </w:rPr>
        <w:t>the z</w:t>
      </w:r>
      <w:r w:rsidRPr="00F943C5">
        <w:rPr>
          <w:rFonts w:cstheme="minorHAnsi"/>
        </w:rPr>
        <w:t xml:space="preserve">one axis of </w:t>
      </w:r>
      <w:r w:rsidRPr="00C06CF3">
        <w:rPr>
          <w:rFonts w:eastAsia="Calibri" w:cstheme="minorHAnsi"/>
        </w:rPr>
        <w:t>β and α’’</w:t>
      </w:r>
      <w:r w:rsidRPr="00C06CF3">
        <w:rPr>
          <w:rFonts w:cstheme="minorHAnsi"/>
        </w:rPr>
        <w:t xml:space="preserve"> do share great similaritie</w:t>
      </w:r>
      <w:r>
        <w:rPr>
          <w:rFonts w:cstheme="minorHAnsi"/>
        </w:rPr>
        <w:t xml:space="preserve">s which may </w:t>
      </w:r>
      <w:r w:rsidR="007D04B9">
        <w:rPr>
          <w:rFonts w:cstheme="minorHAnsi"/>
        </w:rPr>
        <w:t xml:space="preserve">have </w:t>
      </w:r>
      <w:r>
        <w:rPr>
          <w:rFonts w:cstheme="minorHAnsi"/>
        </w:rPr>
        <w:t xml:space="preserve">confused the observation of </w:t>
      </w:r>
      <w:r w:rsidRPr="00F943C5">
        <w:rPr>
          <w:rFonts w:cstheme="minorHAnsi"/>
        </w:rPr>
        <w:t>{332}&lt;113&gt;</w:t>
      </w:r>
      <w:r w:rsidRPr="00F943C5">
        <w:rPr>
          <w:rFonts w:cstheme="minorHAnsi"/>
          <w:vertAlign w:val="subscript"/>
        </w:rPr>
        <w:t>β</w:t>
      </w:r>
      <w:r w:rsidRPr="00F943C5">
        <w:rPr>
          <w:rFonts w:cstheme="minorHAnsi"/>
        </w:rPr>
        <w:t xml:space="preserve"> twinning</w:t>
      </w:r>
      <w:r>
        <w:rPr>
          <w:rFonts w:cstheme="minorHAnsi"/>
        </w:rPr>
        <w:t xml:space="preserve"> and </w:t>
      </w:r>
      <w:r w:rsidRPr="00F943C5">
        <w:rPr>
          <w:rFonts w:cstheme="minorHAnsi"/>
        </w:rPr>
        <w:t>{130}&lt;310&gt;</w:t>
      </w:r>
      <w:r w:rsidRPr="00C06CF3">
        <w:rPr>
          <w:rFonts w:cstheme="minorHAnsi"/>
          <w:vertAlign w:val="subscript"/>
        </w:rPr>
        <w:t>α’’</w:t>
      </w:r>
      <w:r>
        <w:rPr>
          <w:rFonts w:cstheme="minorHAnsi"/>
        </w:rPr>
        <w:t xml:space="preserve"> twinning. A direct proof is, to date</w:t>
      </w:r>
      <w:r w:rsidR="007D04B9">
        <w:rPr>
          <w:rFonts w:cstheme="minorHAnsi"/>
        </w:rPr>
        <w:t xml:space="preserve"> lacking of</w:t>
      </w:r>
      <w:r w:rsidRPr="00F943C5">
        <w:rPr>
          <w:rFonts w:cstheme="minorHAnsi"/>
        </w:rPr>
        <w:t xml:space="preserve"> direct </w:t>
      </w:r>
      <w:r>
        <w:rPr>
          <w:rFonts w:cstheme="minorHAnsi"/>
        </w:rPr>
        <w:t>evidence</w:t>
      </w:r>
      <w:r w:rsidRPr="00F943C5">
        <w:rPr>
          <w:rFonts w:cstheme="minorHAnsi"/>
        </w:rPr>
        <w:t xml:space="preserve"> for the existence of {130}&lt;310&gt;</w:t>
      </w:r>
      <w:r w:rsidRPr="00C06CF3">
        <w:rPr>
          <w:rFonts w:cstheme="minorHAnsi"/>
          <w:vertAlign w:val="subscript"/>
        </w:rPr>
        <w:t>α’’</w:t>
      </w:r>
      <w:r w:rsidRPr="00F943C5">
        <w:rPr>
          <w:rFonts w:cstheme="minorHAnsi"/>
        </w:rPr>
        <w:t xml:space="preserve"> deformation martensite twinning has been obtained </w:t>
      </w:r>
      <w:r>
        <w:rPr>
          <w:rFonts w:cstheme="minorHAnsi"/>
        </w:rPr>
        <w:t>from the</w:t>
      </w:r>
      <w:r w:rsidRPr="00F943C5">
        <w:rPr>
          <w:rFonts w:cstheme="minorHAnsi"/>
        </w:rPr>
        <w:t xml:space="preserve"> diffraction pattern</w:t>
      </w:r>
      <w:r>
        <w:rPr>
          <w:rFonts w:cstheme="minorHAnsi"/>
        </w:rPr>
        <w:t xml:space="preserve"> obtained by TEM</w:t>
      </w:r>
      <w:r w:rsidRPr="00F943C5">
        <w:rPr>
          <w:rFonts w:cstheme="minorHAnsi"/>
        </w:rPr>
        <w:t xml:space="preserve">. </w:t>
      </w:r>
    </w:p>
    <w:p w14:paraId="58EAB5B1" w14:textId="77777777" w:rsidR="00624970" w:rsidRDefault="00624970" w:rsidP="00624970">
      <w:pPr>
        <w:keepNext/>
        <w:spacing w:afterLines="60" w:after="144" w:line="360" w:lineRule="auto"/>
        <w:jc w:val="center"/>
      </w:pPr>
      <w:r w:rsidRPr="00B9043D">
        <w:rPr>
          <w:noProof/>
          <w:lang w:val="en-US" w:eastAsia="en-US"/>
        </w:rPr>
        <w:drawing>
          <wp:inline distT="0" distB="0" distL="0" distR="0" wp14:anchorId="0543EA5B" wp14:editId="19824B93">
            <wp:extent cx="4708478" cy="2474466"/>
            <wp:effectExtent l="0" t="0" r="0" b="2540"/>
            <wp:docPr id="14" name="图片 16" descr="图片包含 文字, 地图&#10;&#10;自动生成的说明">
              <a:extLst xmlns:a="http://schemas.openxmlformats.org/drawingml/2006/main">
                <a:ext uri="{FF2B5EF4-FFF2-40B4-BE49-F238E27FC236}">
                  <a16:creationId xmlns:a16="http://schemas.microsoft.com/office/drawing/2014/main" id="{FD0AE872-7519-4D53-8714-22769CA6EE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descr="图片包含 文字, 地图&#10;&#10;自动生成的说明">
                      <a:extLst>
                        <a:ext uri="{FF2B5EF4-FFF2-40B4-BE49-F238E27FC236}">
                          <a16:creationId xmlns:a16="http://schemas.microsoft.com/office/drawing/2014/main" id="{FD0AE872-7519-4D53-8714-22769CA6EE06}"/>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4725017" cy="2483158"/>
                    </a:xfrm>
                    <a:prstGeom prst="rect">
                      <a:avLst/>
                    </a:prstGeom>
                  </pic:spPr>
                </pic:pic>
              </a:graphicData>
            </a:graphic>
          </wp:inline>
        </w:drawing>
      </w:r>
    </w:p>
    <w:p w14:paraId="3F4936F2" w14:textId="328DD297" w:rsidR="00624970" w:rsidRPr="009A580F" w:rsidRDefault="00624970" w:rsidP="00624970">
      <w:pPr>
        <w:spacing w:afterLines="60" w:after="144" w:line="360" w:lineRule="auto"/>
        <w:jc w:val="both"/>
        <w:rPr>
          <w:sz w:val="20"/>
          <w:szCs w:val="20"/>
        </w:rPr>
      </w:pPr>
      <w:bookmarkStart w:id="187" w:name="_Toc7364581"/>
      <w:bookmarkStart w:id="188" w:name="_Toc5617648"/>
      <w:bookmarkStart w:id="189" w:name="_Toc39312695"/>
      <w:r w:rsidRPr="009A580F">
        <w:rPr>
          <w:rFonts w:hint="eastAsia"/>
          <w:b/>
          <w:sz w:val="20"/>
          <w:szCs w:val="20"/>
        </w:rPr>
        <w:t>F</w:t>
      </w:r>
      <w:r w:rsidRPr="009A580F">
        <w:rPr>
          <w:b/>
          <w:sz w:val="20"/>
          <w:szCs w:val="20"/>
        </w:rPr>
        <w:t>ig 2-</w:t>
      </w:r>
      <w:r w:rsidRPr="0044096C">
        <w:rPr>
          <w:b/>
          <w:sz w:val="20"/>
        </w:rPr>
        <w:fldChar w:fldCharType="begin"/>
      </w:r>
      <w:r w:rsidRPr="0044096C">
        <w:rPr>
          <w:b/>
          <w:sz w:val="20"/>
        </w:rPr>
        <w:instrText xml:space="preserve"> SEQ Figure \* ARABIC </w:instrText>
      </w:r>
      <w:r w:rsidRPr="0044096C">
        <w:rPr>
          <w:b/>
          <w:sz w:val="20"/>
        </w:rPr>
        <w:fldChar w:fldCharType="separate"/>
      </w:r>
      <w:r>
        <w:rPr>
          <w:b/>
          <w:noProof/>
          <w:sz w:val="20"/>
        </w:rPr>
        <w:t>26</w:t>
      </w:r>
      <w:r w:rsidRPr="0044096C">
        <w:rPr>
          <w:b/>
          <w:sz w:val="20"/>
        </w:rPr>
        <w:fldChar w:fldCharType="end"/>
      </w:r>
      <w:r w:rsidRPr="009A580F">
        <w:rPr>
          <w:b/>
          <w:sz w:val="20"/>
          <w:szCs w:val="20"/>
        </w:rPr>
        <w:t xml:space="preserve"> </w:t>
      </w:r>
      <w:r>
        <w:rPr>
          <w:b/>
          <w:sz w:val="20"/>
          <w:szCs w:val="20"/>
        </w:rPr>
        <w:t>A s</w:t>
      </w:r>
      <w:r w:rsidRPr="009A580F">
        <w:rPr>
          <w:b/>
          <w:sz w:val="20"/>
          <w:szCs w:val="20"/>
        </w:rPr>
        <w:t>chematic of {332}&lt;11-3&gt;</w:t>
      </w:r>
      <w:r w:rsidRPr="009A580F">
        <w:rPr>
          <w:rFonts w:cs="Times New Roman"/>
          <w:b/>
          <w:sz w:val="20"/>
          <w:szCs w:val="20"/>
          <w:vertAlign w:val="subscript"/>
        </w:rPr>
        <w:t>β</w:t>
      </w:r>
      <w:r w:rsidRPr="009A580F">
        <w:rPr>
          <w:b/>
          <w:sz w:val="20"/>
          <w:szCs w:val="20"/>
        </w:rPr>
        <w:t xml:space="preserve"> and {130}&lt;-310&gt;</w:t>
      </w:r>
      <w:r w:rsidRPr="009A580F">
        <w:rPr>
          <w:b/>
          <w:sz w:val="20"/>
          <w:szCs w:val="20"/>
          <w:vertAlign w:val="subscript"/>
        </w:rPr>
        <w:t>α’’</w:t>
      </w:r>
      <w:r w:rsidRPr="009A580F">
        <w:rPr>
          <w:b/>
          <w:sz w:val="20"/>
          <w:szCs w:val="20"/>
        </w:rPr>
        <w:t xml:space="preserve"> mechanical twinning under single and double lattice structure</w:t>
      </w:r>
      <w:r>
        <w:rPr>
          <w:b/>
          <w:sz w:val="20"/>
          <w:szCs w:val="20"/>
        </w:rPr>
        <w:t>s</w:t>
      </w:r>
      <w:r w:rsidRPr="009A580F">
        <w:rPr>
          <w:b/>
          <w:sz w:val="20"/>
          <w:szCs w:val="20"/>
        </w:rPr>
        <w:t xml:space="preserve">. </w:t>
      </w:r>
      <w:r w:rsidRPr="009A580F">
        <w:rPr>
          <w:sz w:val="20"/>
          <w:szCs w:val="20"/>
        </w:rPr>
        <w:t>(</w:t>
      </w:r>
      <w:r w:rsidRPr="009A580F">
        <w:rPr>
          <w:b/>
          <w:sz w:val="20"/>
          <w:szCs w:val="20"/>
        </w:rPr>
        <w:t>a</w:t>
      </w:r>
      <w:r w:rsidRPr="009A580F">
        <w:rPr>
          <w:sz w:val="20"/>
          <w:szCs w:val="20"/>
        </w:rPr>
        <w:t>) (1-10)</w:t>
      </w:r>
      <w:r w:rsidRPr="009A580F">
        <w:rPr>
          <w:rFonts w:cs="Times New Roman"/>
          <w:sz w:val="20"/>
          <w:szCs w:val="20"/>
          <w:vertAlign w:val="subscript"/>
        </w:rPr>
        <w:t>β</w:t>
      </w:r>
      <w:r w:rsidRPr="009A580F">
        <w:rPr>
          <w:sz w:val="20"/>
          <w:szCs w:val="20"/>
        </w:rPr>
        <w:t xml:space="preserve"> </w:t>
      </w:r>
      <w:r>
        <w:rPr>
          <w:sz w:val="20"/>
          <w:szCs w:val="20"/>
        </w:rPr>
        <w:t>p</w:t>
      </w:r>
      <w:r w:rsidRPr="009A580F">
        <w:rPr>
          <w:sz w:val="20"/>
          <w:szCs w:val="20"/>
        </w:rPr>
        <w:t>rojection of {332}&lt;11-3&gt;</w:t>
      </w:r>
      <w:r w:rsidRPr="009A580F">
        <w:rPr>
          <w:rFonts w:cs="Times New Roman"/>
          <w:sz w:val="20"/>
          <w:szCs w:val="20"/>
          <w:vertAlign w:val="subscript"/>
        </w:rPr>
        <w:t>β</w:t>
      </w:r>
      <w:r w:rsidRPr="009A580F">
        <w:rPr>
          <w:rFonts w:cs="Times New Roman"/>
          <w:sz w:val="20"/>
          <w:szCs w:val="20"/>
        </w:rPr>
        <w:t xml:space="preserve"> mechanical twinning under single lattice BCC structure</w:t>
      </w:r>
      <w:r w:rsidRPr="009A580F">
        <w:rPr>
          <w:sz w:val="20"/>
          <w:szCs w:val="20"/>
        </w:rPr>
        <w:t>. Closed and open circles represent atoms below and upon 0.707</w:t>
      </w:r>
      <m:oMath>
        <m:r>
          <w:rPr>
            <w:rFonts w:ascii="Cambria Math" w:hAnsi="Cambria Math"/>
            <w:sz w:val="20"/>
            <w:szCs w:val="20"/>
          </w:rPr>
          <m:t>a</m:t>
        </m:r>
      </m:oMath>
      <w:r w:rsidRPr="009A580F">
        <w:rPr>
          <w:sz w:val="20"/>
          <w:szCs w:val="20"/>
        </w:rPr>
        <w:t xml:space="preserve"> (</w:t>
      </w:r>
      <m:oMath>
        <m:r>
          <w:rPr>
            <w:rFonts w:ascii="Cambria Math" w:hAnsi="Cambria Math"/>
            <w:sz w:val="20"/>
            <w:szCs w:val="20"/>
          </w:rPr>
          <m:t>a</m:t>
        </m:r>
      </m:oMath>
      <w:r w:rsidRPr="009A580F">
        <w:rPr>
          <w:sz w:val="20"/>
          <w:szCs w:val="20"/>
        </w:rPr>
        <w:t xml:space="preserve"> is lattice parameter of the BCC cell) of the projection plane. Red and green arrows indicate the shear and shuffle </w:t>
      </w:r>
      <w:r>
        <w:rPr>
          <w:sz w:val="20"/>
          <w:szCs w:val="20"/>
        </w:rPr>
        <w:t>needed</w:t>
      </w:r>
      <w:r w:rsidRPr="009A580F">
        <w:rPr>
          <w:sz w:val="20"/>
          <w:szCs w:val="20"/>
        </w:rPr>
        <w:t xml:space="preserve"> to move </w:t>
      </w:r>
      <w:r>
        <w:rPr>
          <w:sz w:val="20"/>
          <w:szCs w:val="20"/>
        </w:rPr>
        <w:t xml:space="preserve">the </w:t>
      </w:r>
      <w:r w:rsidRPr="009A580F">
        <w:rPr>
          <w:sz w:val="20"/>
          <w:szCs w:val="20"/>
        </w:rPr>
        <w:t xml:space="preserve">lattice into </w:t>
      </w:r>
      <w:r w:rsidR="001101FC">
        <w:rPr>
          <w:sz w:val="20"/>
          <w:szCs w:val="20"/>
        </w:rPr>
        <w:t xml:space="preserve">the </w:t>
      </w:r>
      <w:r w:rsidRPr="009A580F">
        <w:rPr>
          <w:sz w:val="20"/>
          <w:szCs w:val="20"/>
        </w:rPr>
        <w:t>correct position, respectively</w:t>
      </w:r>
      <w:r>
        <w:rPr>
          <w:sz w:val="20"/>
          <w:szCs w:val="20"/>
        </w:rPr>
        <w:t>;</w:t>
      </w:r>
      <w:r w:rsidRPr="009A580F">
        <w:rPr>
          <w:sz w:val="20"/>
          <w:szCs w:val="20"/>
        </w:rPr>
        <w:t xml:space="preserve"> </w:t>
      </w:r>
      <w:r>
        <w:rPr>
          <w:sz w:val="20"/>
          <w:szCs w:val="20"/>
        </w:rPr>
        <w:t xml:space="preserve">and </w:t>
      </w:r>
      <w:r w:rsidRPr="009A580F">
        <w:rPr>
          <w:sz w:val="20"/>
          <w:szCs w:val="20"/>
        </w:rPr>
        <w:t>(</w:t>
      </w:r>
      <w:r w:rsidRPr="009A580F">
        <w:rPr>
          <w:b/>
          <w:sz w:val="20"/>
          <w:szCs w:val="20"/>
        </w:rPr>
        <w:t>b</w:t>
      </w:r>
      <w:r w:rsidRPr="009A580F">
        <w:rPr>
          <w:sz w:val="20"/>
          <w:szCs w:val="20"/>
        </w:rPr>
        <w:t>) (001)</w:t>
      </w:r>
      <w:r w:rsidRPr="009A580F">
        <w:rPr>
          <w:sz w:val="20"/>
          <w:szCs w:val="20"/>
          <w:vertAlign w:val="subscript"/>
        </w:rPr>
        <w:t>α’’</w:t>
      </w:r>
      <w:r w:rsidRPr="009A580F">
        <w:rPr>
          <w:sz w:val="20"/>
          <w:szCs w:val="20"/>
        </w:rPr>
        <w:t xml:space="preserve"> </w:t>
      </w:r>
      <w:r>
        <w:rPr>
          <w:sz w:val="20"/>
          <w:szCs w:val="20"/>
        </w:rPr>
        <w:t>p</w:t>
      </w:r>
      <w:r w:rsidRPr="009A580F">
        <w:rPr>
          <w:sz w:val="20"/>
          <w:szCs w:val="20"/>
        </w:rPr>
        <w:t>rojection of {130}&lt;-310&gt;</w:t>
      </w:r>
      <w:r w:rsidRPr="009A580F">
        <w:rPr>
          <w:sz w:val="20"/>
          <w:szCs w:val="20"/>
          <w:vertAlign w:val="subscript"/>
        </w:rPr>
        <w:t>α’’</w:t>
      </w:r>
      <w:r w:rsidRPr="009A580F">
        <w:rPr>
          <w:rFonts w:cs="Times New Roman"/>
          <w:sz w:val="20"/>
          <w:szCs w:val="20"/>
        </w:rPr>
        <w:t xml:space="preserve"> mechanical twinning under double lattice </w:t>
      </w:r>
      <w:r>
        <w:rPr>
          <w:rFonts w:cs="Times New Roman"/>
          <w:sz w:val="20"/>
          <w:szCs w:val="20"/>
        </w:rPr>
        <w:t xml:space="preserve">BCT </w:t>
      </w:r>
      <w:r w:rsidRPr="009A580F">
        <w:rPr>
          <w:rFonts w:cs="Times New Roman"/>
          <w:sz w:val="20"/>
          <w:szCs w:val="20"/>
        </w:rPr>
        <w:t xml:space="preserve">structure (with </w:t>
      </w:r>
      <w:r w:rsidRPr="00F20738">
        <w:rPr>
          <w:rFonts w:cs="Times New Roman"/>
          <w:sz w:val="20"/>
          <w:szCs w:val="20"/>
        </w:rPr>
        <w:t xml:space="preserve">displacement </w:t>
      </w:r>
      <w:r>
        <w:rPr>
          <w:rFonts w:cs="Times New Roman"/>
          <w:sz w:val="20"/>
          <w:szCs w:val="20"/>
        </w:rPr>
        <w:t>along</w:t>
      </w:r>
      <w:r w:rsidRPr="009A580F">
        <w:rPr>
          <w:rFonts w:cs="Times New Roman"/>
          <w:sz w:val="20"/>
          <w:szCs w:val="20"/>
        </w:rPr>
        <w:t>&lt;011&gt;</w:t>
      </w:r>
      <w:r w:rsidRPr="009A580F">
        <w:rPr>
          <w:rFonts w:cs="Times New Roman"/>
          <w:sz w:val="20"/>
          <w:szCs w:val="20"/>
          <w:vertAlign w:val="subscript"/>
        </w:rPr>
        <w:t>β</w:t>
      </w:r>
      <w:r w:rsidRPr="009A580F">
        <w:rPr>
          <w:rFonts w:cs="Times New Roman"/>
          <w:sz w:val="20"/>
          <w:szCs w:val="20"/>
        </w:rPr>
        <w:t xml:space="preserve"> =</w:t>
      </w:r>
      <m:oMath>
        <m:r>
          <w:rPr>
            <w:rFonts w:ascii="Cambria Math" w:hAnsi="Cambria Math"/>
            <w:sz w:val="20"/>
            <w:szCs w:val="20"/>
          </w:rPr>
          <m:t xml:space="preserve"> a</m:t>
        </m:r>
      </m:oMath>
      <w:r w:rsidRPr="009A580F">
        <w:rPr>
          <w:rFonts w:cs="Times New Roman"/>
          <w:sz w:val="20"/>
          <w:szCs w:val="20"/>
        </w:rPr>
        <w:t>/</w:t>
      </w:r>
      <m:oMath>
        <m:r>
          <m:rPr>
            <m:sty m:val="p"/>
          </m:rPr>
          <w:rPr>
            <w:rFonts w:ascii="Cambria Math" w:hAnsi="Cambria Math" w:cs="Times New Roman"/>
            <w:sz w:val="20"/>
            <w:szCs w:val="20"/>
          </w:rPr>
          <m:t>12√2</m:t>
        </m:r>
      </m:oMath>
      <w:r w:rsidRPr="009A580F">
        <w:rPr>
          <w:rFonts w:cs="Times New Roman"/>
          <w:sz w:val="20"/>
          <w:szCs w:val="20"/>
        </w:rPr>
        <w:t>)</w:t>
      </w:r>
      <w:r w:rsidRPr="009A580F">
        <w:rPr>
          <w:sz w:val="20"/>
          <w:szCs w:val="20"/>
        </w:rPr>
        <w:t>. Closed and open circles represent atoms below and upon 0.707</w:t>
      </w:r>
      <m:oMath>
        <m:r>
          <w:rPr>
            <w:rFonts w:ascii="Cambria Math" w:hAnsi="Cambria Math"/>
            <w:sz w:val="20"/>
            <w:szCs w:val="20"/>
          </w:rPr>
          <m:t>a</m:t>
        </m:r>
      </m:oMath>
      <w:r w:rsidRPr="009A580F">
        <w:rPr>
          <w:sz w:val="20"/>
          <w:szCs w:val="20"/>
        </w:rPr>
        <w:t xml:space="preserve"> (</w:t>
      </w:r>
      <m:oMath>
        <m:r>
          <w:rPr>
            <w:rFonts w:ascii="Cambria Math" w:hAnsi="Cambria Math"/>
            <w:sz w:val="20"/>
            <w:szCs w:val="20"/>
          </w:rPr>
          <m:t>a</m:t>
        </m:r>
      </m:oMath>
      <w:r w:rsidRPr="009A580F">
        <w:rPr>
          <w:sz w:val="20"/>
          <w:szCs w:val="20"/>
        </w:rPr>
        <w:t xml:space="preserve"> is lattice parameter of the BCC cell) of the projection plane. Red and green arrows indicate the shear and shuffle </w:t>
      </w:r>
      <w:r>
        <w:rPr>
          <w:sz w:val="20"/>
          <w:szCs w:val="20"/>
        </w:rPr>
        <w:t>required</w:t>
      </w:r>
      <w:r w:rsidRPr="009A580F">
        <w:rPr>
          <w:sz w:val="20"/>
          <w:szCs w:val="20"/>
        </w:rPr>
        <w:t xml:space="preserve"> to move </w:t>
      </w:r>
      <w:r>
        <w:rPr>
          <w:sz w:val="20"/>
          <w:szCs w:val="20"/>
        </w:rPr>
        <w:t xml:space="preserve">the </w:t>
      </w:r>
      <w:r w:rsidRPr="009A580F">
        <w:rPr>
          <w:sz w:val="20"/>
          <w:szCs w:val="20"/>
        </w:rPr>
        <w:t xml:space="preserve">lattice into </w:t>
      </w:r>
      <w:r>
        <w:rPr>
          <w:sz w:val="20"/>
          <w:szCs w:val="20"/>
        </w:rPr>
        <w:t xml:space="preserve">the </w:t>
      </w:r>
      <w:r w:rsidRPr="009A580F">
        <w:rPr>
          <w:sz w:val="20"/>
          <w:szCs w:val="20"/>
        </w:rPr>
        <w:t xml:space="preserve">correct position, respectively. Blue lines and arrows represent motif units and shear </w:t>
      </w:r>
      <w:r>
        <w:rPr>
          <w:sz w:val="20"/>
          <w:szCs w:val="20"/>
        </w:rPr>
        <w:t>needed</w:t>
      </w:r>
      <w:r w:rsidRPr="009A580F">
        <w:rPr>
          <w:sz w:val="20"/>
          <w:szCs w:val="20"/>
        </w:rPr>
        <w:t xml:space="preserve"> to accommodate </w:t>
      </w:r>
      <w:r w:rsidR="001101FC">
        <w:rPr>
          <w:sz w:val="20"/>
          <w:szCs w:val="20"/>
        </w:rPr>
        <w:t xml:space="preserve">the </w:t>
      </w:r>
      <w:r w:rsidRPr="009A580F">
        <w:rPr>
          <w:sz w:val="20"/>
          <w:szCs w:val="20"/>
        </w:rPr>
        <w:t xml:space="preserve">motif units into </w:t>
      </w:r>
      <w:r>
        <w:rPr>
          <w:sz w:val="20"/>
          <w:szCs w:val="20"/>
        </w:rPr>
        <w:t>the correct</w:t>
      </w:r>
      <w:r w:rsidRPr="009A580F">
        <w:rPr>
          <w:sz w:val="20"/>
          <w:szCs w:val="20"/>
        </w:rPr>
        <w:t xml:space="preserve"> position</w:t>
      </w:r>
      <w:r>
        <w:rPr>
          <w:sz w:val="20"/>
          <w:szCs w:val="20"/>
        </w:rPr>
        <w:t xml:space="preserve"> </w:t>
      </w:r>
      <w:r w:rsidRPr="009A580F">
        <w:rPr>
          <w:sz w:val="20"/>
          <w:szCs w:val="20"/>
        </w:rPr>
        <w:fldChar w:fldCharType="begin" w:fldLock="1"/>
      </w:r>
      <w:r>
        <w:rPr>
          <w:sz w:val="20"/>
          <w:szCs w:val="20"/>
        </w:rPr>
        <w:instrText>ADDIN CSL_CITATION {"citationItems":[{"id":"ITEM-1","itemData":{"DOI":"10.1016/j.actamat.2013.10.048","ISBN":"13596454 (ISSN)","ISSN":"13596454","abstract":"In this paper, the origin of {332}</w:instrText>
      </w:r>
      <w:r>
        <w:rPr>
          <w:rFonts w:hint="eastAsia"/>
          <w:sz w:val="20"/>
          <w:szCs w:val="20"/>
        </w:rPr>
        <w:instrText>〈</w:instrText>
      </w:r>
      <w:r>
        <w:rPr>
          <w:sz w:val="20"/>
          <w:szCs w:val="20"/>
        </w:rPr>
        <w:instrText>113̄</w:instrText>
      </w:r>
      <w:r>
        <w:rPr>
          <w:rFonts w:hint="eastAsia"/>
          <w:sz w:val="20"/>
          <w:szCs w:val="20"/>
        </w:rPr>
        <w:instrText>〉</w:instrText>
      </w:r>
      <w:r>
        <w:rPr>
          <w:sz w:val="20"/>
          <w:szCs w:val="20"/>
        </w:rPr>
        <w:instrText xml:space="preserve"> twinning, which is a unique twinning mode in metastable β-Ti alloys, was investigated. The possible twinning modes in metastable β-Ti alloys are derived by considering lattice instability in addition to the theory of the crystallography of deformation twinning. In order to consider lattice instability in the body-centered-cubic (bcc) structure, a modulated structure was proposed. We then clarify how the modulated structure facilitates {332}</w:instrText>
      </w:r>
      <w:r>
        <w:rPr>
          <w:rFonts w:hint="eastAsia"/>
          <w:sz w:val="20"/>
          <w:szCs w:val="20"/>
        </w:rPr>
        <w:instrText>〈</w:instrText>
      </w:r>
      <w:r>
        <w:rPr>
          <w:sz w:val="20"/>
          <w:szCs w:val="20"/>
        </w:rPr>
        <w:instrText>113̄</w:instrText>
      </w:r>
      <w:r>
        <w:rPr>
          <w:rFonts w:hint="eastAsia"/>
          <w:sz w:val="20"/>
          <w:szCs w:val="20"/>
        </w:rPr>
        <w:instrText>〉</w:instrText>
      </w:r>
      <w:r>
        <w:rPr>
          <w:sz w:val="20"/>
          <w:szCs w:val="20"/>
        </w:rPr>
        <w:instrText xml:space="preserve"> twinning preferentially compared to other possible twinning modes by evaluating the magnitude of twinning shear and the complexity of shuffle. It was found that the lattice instability makes {112}</w:instrText>
      </w:r>
      <w:r>
        <w:rPr>
          <w:rFonts w:hint="eastAsia"/>
          <w:sz w:val="20"/>
          <w:szCs w:val="20"/>
        </w:rPr>
        <w:instrText>〈</w:instrText>
      </w:r>
      <w:r>
        <w:rPr>
          <w:sz w:val="20"/>
          <w:szCs w:val="20"/>
        </w:rPr>
        <w:instrText>1̄1̄1</w:instrText>
      </w:r>
      <w:r>
        <w:rPr>
          <w:rFonts w:hint="eastAsia"/>
          <w:sz w:val="20"/>
          <w:szCs w:val="20"/>
        </w:rPr>
        <w:instrText>〉</w:instrText>
      </w:r>
      <w:r>
        <w:rPr>
          <w:sz w:val="20"/>
          <w:szCs w:val="20"/>
        </w:rPr>
        <w:instrText xml:space="preserve"> twinning, which is a major twinning mode observed in alloys with stable bcc structure, unlikely to occur because the lattice modulation causes additional shuffling to form the {112}</w:instrText>
      </w:r>
      <w:r>
        <w:rPr>
          <w:rFonts w:hint="eastAsia"/>
          <w:sz w:val="20"/>
          <w:szCs w:val="20"/>
        </w:rPr>
        <w:instrText>〈</w:instrText>
      </w:r>
      <w:r>
        <w:rPr>
          <w:sz w:val="20"/>
          <w:szCs w:val="20"/>
        </w:rPr>
        <w:instrText>1̄1̄1</w:instrText>
      </w:r>
      <w:r>
        <w:rPr>
          <w:rFonts w:hint="eastAsia"/>
          <w:sz w:val="20"/>
          <w:szCs w:val="20"/>
        </w:rPr>
        <w:instrText>〉</w:instrText>
      </w:r>
      <w:r>
        <w:rPr>
          <w:sz w:val="20"/>
          <w:szCs w:val="20"/>
        </w:rPr>
        <w:instrText xml:space="preserve"> twin. It was also found that {332}</w:instrText>
      </w:r>
      <w:r>
        <w:rPr>
          <w:rFonts w:hint="eastAsia"/>
          <w:sz w:val="20"/>
          <w:szCs w:val="20"/>
        </w:rPr>
        <w:instrText>〈</w:instrText>
      </w:r>
      <w:r>
        <w:rPr>
          <w:sz w:val="20"/>
          <w:szCs w:val="20"/>
        </w:rPr>
        <w:instrText>113̄</w:instrText>
      </w:r>
      <w:r>
        <w:rPr>
          <w:rFonts w:hint="eastAsia"/>
          <w:sz w:val="20"/>
          <w:szCs w:val="20"/>
        </w:rPr>
        <w:instrText>〉</w:instrText>
      </w:r>
      <w:r>
        <w:rPr>
          <w:sz w:val="20"/>
          <w:szCs w:val="20"/>
        </w:rPr>
        <w:instrText xml:space="preserve"> twinning is the most possible twinning mode in the modulated structure in terms of the magnitude of twinning shear and the complexity of shuffle. The new formation model of the {332}</w:instrText>
      </w:r>
      <w:r>
        <w:rPr>
          <w:rFonts w:hint="eastAsia"/>
          <w:sz w:val="20"/>
          <w:szCs w:val="20"/>
        </w:rPr>
        <w:instrText>〈</w:instrText>
      </w:r>
      <w:r>
        <w:rPr>
          <w:sz w:val="20"/>
          <w:szCs w:val="20"/>
        </w:rPr>
        <w:instrText>113̄</w:instrText>
      </w:r>
      <w:r>
        <w:rPr>
          <w:rFonts w:hint="eastAsia"/>
          <w:sz w:val="20"/>
          <w:szCs w:val="20"/>
        </w:rPr>
        <w:instrText>〉</w:instrText>
      </w:r>
      <w:r>
        <w:rPr>
          <w:sz w:val="20"/>
          <w:szCs w:val="20"/>
        </w:rPr>
        <w:instrText xml:space="preserve"> twin presented in this study can explain how the lattice instability preferentially activates the {332}</w:instrText>
      </w:r>
      <w:r>
        <w:rPr>
          <w:rFonts w:hint="eastAsia"/>
          <w:sz w:val="20"/>
          <w:szCs w:val="20"/>
        </w:rPr>
        <w:instrText>〈</w:instrText>
      </w:r>
      <w:r>
        <w:rPr>
          <w:sz w:val="20"/>
          <w:szCs w:val="20"/>
        </w:rPr>
        <w:instrText>113̄</w:instrText>
      </w:r>
      <w:r>
        <w:rPr>
          <w:rFonts w:hint="eastAsia"/>
          <w:sz w:val="20"/>
          <w:szCs w:val="20"/>
        </w:rPr>
        <w:instrText>〉</w:instrText>
      </w:r>
      <w:r>
        <w:rPr>
          <w:sz w:val="20"/>
          <w:szCs w:val="20"/>
        </w:rPr>
        <w:instrText xml:space="preserve"> twinning in metastable β-Ti alloys. © 2013 Acta Materialia Inc. Published by Elsevier Ltd. All rights reserved.","author":[{"dropping-particle":"","family":"Tobe","given":"Hirobumi","non-dropping-particle":"","parse-names":false,"suffix":""},{"dropping-particle":"","family":"Kim","given":"Hee Young","non-dropping-particle":"","parse-names":false,"suffix":""},{"dropping-particle":"","family":"Inamura","given":"Tomonari","non-dropping-particle":"","parse-names":false,"suffix":""},{"dropping-particle":"","family":"Hosoda","given":"Hideki","non-dropping-particle":"","parse-names":false,"suffix":""},{"dropping-particle":"","family":"Miyazaki","given":"Shuichi","non-dropping-particle":"","parse-names":false,"suffix":""}],"container-title":"Acta Materialia","id":"ITEM-1","issued":{"date-parts":[["2014"]]},"title":"Origin of {3 3 2} twinning in metastable β-Ti alloys","type":"article"},"uris":["http://www.mendeley.com/documents/?uuid=31b05719-f129-4d26-9b4e-0fcdda57e8af"]}],"mendeley":{"formattedCitation":"[150]","plainTextFormattedCitation":"[150]","previouslyFormattedCitation":"[150]"},"properties":{"noteIndex":0},"schema":"https://github.com/citation-style-language/schema/raw/master/csl-citation.json"}</w:instrText>
      </w:r>
      <w:r w:rsidRPr="009A580F">
        <w:rPr>
          <w:sz w:val="20"/>
          <w:szCs w:val="20"/>
        </w:rPr>
        <w:fldChar w:fldCharType="separate"/>
      </w:r>
      <w:bookmarkEnd w:id="187"/>
      <w:bookmarkEnd w:id="188"/>
      <w:r w:rsidRPr="003B39BC">
        <w:rPr>
          <w:noProof/>
          <w:sz w:val="20"/>
          <w:szCs w:val="20"/>
        </w:rPr>
        <w:t>[150]</w:t>
      </w:r>
      <w:r w:rsidRPr="009A580F">
        <w:rPr>
          <w:sz w:val="20"/>
          <w:szCs w:val="20"/>
        </w:rPr>
        <w:fldChar w:fldCharType="end"/>
      </w:r>
      <w:r>
        <w:rPr>
          <w:sz w:val="20"/>
          <w:szCs w:val="20"/>
        </w:rPr>
        <w:t>.</w:t>
      </w:r>
      <w:bookmarkEnd w:id="189"/>
    </w:p>
    <w:p w14:paraId="76CDAE1D" w14:textId="77777777" w:rsidR="00624970" w:rsidRPr="008D07D9" w:rsidRDefault="00624970" w:rsidP="00624970">
      <w:pPr>
        <w:spacing w:afterLines="60" w:after="144" w:line="360" w:lineRule="auto"/>
        <w:jc w:val="both"/>
        <w:rPr>
          <w:rFonts w:cs="Times New Roman"/>
        </w:rPr>
      </w:pPr>
    </w:p>
    <w:p w14:paraId="4B9D8452" w14:textId="77777777" w:rsidR="00624970" w:rsidRDefault="00624970" w:rsidP="00624970">
      <w:pPr>
        <w:spacing w:afterLines="60" w:after="144" w:line="360" w:lineRule="auto"/>
        <w:jc w:val="both"/>
        <w:rPr>
          <w:rFonts w:cs="Times New Roman"/>
        </w:rPr>
      </w:pPr>
      <w:r>
        <w:rPr>
          <w:rFonts w:cs="Times New Roman"/>
        </w:rPr>
        <w:t xml:space="preserve">The </w:t>
      </w:r>
      <w:r>
        <w:rPr>
          <w:rFonts w:ascii="Times New Roman" w:hAnsi="Times New Roman" w:cs="Times New Roman"/>
        </w:rPr>
        <w:t>α</w:t>
      </w:r>
      <w:r>
        <w:rPr>
          <w:rFonts w:cs="Times New Roman"/>
        </w:rPr>
        <w:t xml:space="preserve">’’ phase is known as the metastable intermediate phase between BCC-HCP phase transformation. The lattice structure can either </w:t>
      </w:r>
      <w:r w:rsidRPr="009A4117">
        <w:rPr>
          <w:rFonts w:cs="Times New Roman"/>
          <w:noProof/>
        </w:rPr>
        <w:t>be arranged</w:t>
      </w:r>
      <w:r>
        <w:rPr>
          <w:rFonts w:cs="Times New Roman"/>
        </w:rPr>
        <w:t xml:space="preserve"> as a distorted BCT lattice or near hexagonal stru</w:t>
      </w:r>
      <w:r w:rsidRPr="009A4117">
        <w:rPr>
          <w:rFonts w:cs="Times New Roman"/>
          <w:noProof/>
        </w:rPr>
        <w:t>cture (also kno</w:t>
      </w:r>
      <w:r>
        <w:rPr>
          <w:rFonts w:cs="Times New Roman"/>
        </w:rPr>
        <w:t xml:space="preserve">wn as </w:t>
      </w:r>
      <w:r>
        <w:rPr>
          <w:rFonts w:ascii="Times New Roman" w:hAnsi="Times New Roman" w:cs="Times New Roman"/>
        </w:rPr>
        <w:t>α</w:t>
      </w:r>
      <w:r>
        <w:rPr>
          <w:rFonts w:cs="Times New Roman"/>
        </w:rPr>
        <w:t>’)</w:t>
      </w:r>
      <w:r w:rsidRPr="008D07D9">
        <w:rPr>
          <w:rFonts w:cs="Times New Roman"/>
        </w:rPr>
        <w:t>. S</w:t>
      </w:r>
      <w:r>
        <w:rPr>
          <w:rFonts w:cs="Times New Roman"/>
        </w:rPr>
        <w:t xml:space="preserve">pecific physical </w:t>
      </w:r>
      <w:r w:rsidRPr="009A4117">
        <w:rPr>
          <w:rFonts w:cs="Times New Roman"/>
          <w:noProof/>
        </w:rPr>
        <w:t>propert</w:t>
      </w:r>
      <w:r>
        <w:rPr>
          <w:rFonts w:cs="Times New Roman"/>
          <w:noProof/>
        </w:rPr>
        <w:t>ies</w:t>
      </w:r>
      <w:r w:rsidRPr="009A4117">
        <w:rPr>
          <w:rFonts w:cs="Times New Roman"/>
          <w:noProof/>
        </w:rPr>
        <w:t xml:space="preserve"> of </w:t>
      </w:r>
      <w:r>
        <w:rPr>
          <w:rFonts w:cs="Times New Roman"/>
          <w:noProof/>
        </w:rPr>
        <w:t xml:space="preserve">athermal </w:t>
      </w:r>
      <w:r w:rsidRPr="009A4117">
        <w:rPr>
          <w:rFonts w:ascii="Times New Roman" w:hAnsi="Times New Roman" w:cs="Times New Roman"/>
          <w:noProof/>
        </w:rPr>
        <w:t>α</w:t>
      </w:r>
      <w:r w:rsidRPr="009A4117">
        <w:rPr>
          <w:rFonts w:cs="Times New Roman"/>
          <w:noProof/>
        </w:rPr>
        <w:t>’’ ph</w:t>
      </w:r>
      <w:r>
        <w:rPr>
          <w:rFonts w:cs="Times New Roman"/>
        </w:rPr>
        <w:t>ase, shape memory effect and p</w:t>
      </w:r>
      <w:r w:rsidRPr="00D35548">
        <w:rPr>
          <w:rFonts w:cs="Times New Roman"/>
        </w:rPr>
        <w:t>seudoplasticit</w:t>
      </w:r>
      <w:r w:rsidRPr="0C3282E5">
        <w:rPr>
          <w:rFonts w:cs="Times New Roman"/>
        </w:rPr>
        <w:t xml:space="preserve">y, </w:t>
      </w:r>
      <w:r w:rsidRPr="4A708D1F">
        <w:rPr>
          <w:rFonts w:cs="Times New Roman"/>
          <w:noProof/>
        </w:rPr>
        <w:t>are</w:t>
      </w:r>
      <w:r w:rsidRPr="00C06CF3">
        <w:rPr>
          <w:rFonts w:cs="Times New Roman"/>
          <w:b/>
          <w:bCs/>
          <w:noProof/>
        </w:rPr>
        <w:t xml:space="preserve"> </w:t>
      </w:r>
      <w:r w:rsidRPr="009A4117">
        <w:rPr>
          <w:rFonts w:cs="Times New Roman"/>
          <w:noProof/>
        </w:rPr>
        <w:t xml:space="preserve">enabled in </w:t>
      </w:r>
      <w:r>
        <w:rPr>
          <w:rFonts w:cs="Times New Roman"/>
          <w:noProof/>
        </w:rPr>
        <w:t>various</w:t>
      </w:r>
      <w:r>
        <w:rPr>
          <w:rFonts w:cs="Times New Roman"/>
        </w:rPr>
        <w:t xml:space="preserve"> metastable Ti-X alloy systems (X=Fe</w:t>
      </w:r>
      <w:r w:rsidRPr="009A4117">
        <w:rPr>
          <w:rFonts w:cs="Times New Roman"/>
          <w:noProof/>
        </w:rPr>
        <w:t>,</w:t>
      </w:r>
      <w:r>
        <w:rPr>
          <w:rFonts w:cs="Times New Roman"/>
          <w:noProof/>
        </w:rPr>
        <w:t xml:space="preserve"> </w:t>
      </w:r>
      <w:r w:rsidRPr="009A4117">
        <w:rPr>
          <w:rFonts w:cs="Times New Roman"/>
          <w:noProof/>
        </w:rPr>
        <w:t>V,</w:t>
      </w:r>
      <w:r>
        <w:rPr>
          <w:rFonts w:cs="Times New Roman"/>
          <w:noProof/>
        </w:rPr>
        <w:t xml:space="preserve"> </w:t>
      </w:r>
      <w:r w:rsidRPr="009A4117">
        <w:rPr>
          <w:rFonts w:cs="Times New Roman"/>
          <w:noProof/>
        </w:rPr>
        <w:t>Cr,</w:t>
      </w:r>
      <w:r>
        <w:rPr>
          <w:rFonts w:cs="Times New Roman"/>
          <w:noProof/>
        </w:rPr>
        <w:t xml:space="preserve"> </w:t>
      </w:r>
      <w:r w:rsidRPr="009A4117">
        <w:rPr>
          <w:rFonts w:cs="Times New Roman"/>
          <w:noProof/>
        </w:rPr>
        <w:t>Mo,</w:t>
      </w:r>
      <w:r>
        <w:rPr>
          <w:rFonts w:cs="Times New Roman"/>
          <w:noProof/>
        </w:rPr>
        <w:t xml:space="preserve"> </w:t>
      </w:r>
      <w:r w:rsidRPr="009A4117">
        <w:rPr>
          <w:rFonts w:cs="Times New Roman"/>
          <w:noProof/>
        </w:rPr>
        <w:t>Nb</w:t>
      </w:r>
      <w:r>
        <w:rPr>
          <w:rFonts w:cs="Times New Roman"/>
        </w:rPr>
        <w:t xml:space="preserve">, Ta) </w:t>
      </w:r>
      <w:r w:rsidRPr="006B2891">
        <w:fldChar w:fldCharType="begin" w:fldLock="1"/>
      </w:r>
      <w:r>
        <w:rPr>
          <w:rFonts w:cs="Times New Roman"/>
        </w:rPr>
        <w:instrText>ADDIN CSL_CITATION {"citationItems":[{"id":"ITEM-1","itemData":{"DOI":"10.1016/j.actbio.2012.01.018","ISBN":"17427061","ISSN":"17427061","PMID":"22326786","abstract":"Shape memory alloys (SMAs) are materials that exhibit a distinct thermomechanical coupling, one that gives rise to a wide variety of applications across a broad range of fields. One of the most successful roles is in the construction of novel medical implants. Unfortunately, concerns have been raised about the biocompatibility of the most popular SMA, nitinol (NiTi), due to the known toxic, allergenic and carcinogenic properties of nickel. Given the unique capabilities of SMAs, it is apparent that there is a need for a new class of alloys - alloys that exhibit the full range of shape memory abilities yet are also free of any undesirable side effects. This article reviews the literature surrounding SMAs and identifies the metals Ti, Au, Sn, Ta, Nb, Ru and Zr as candidates for the production of thoroughly biocompatible SMAs. Hf and Re are also promising, though more research is necessary before a definitive statement can be made. Further, the Ti-(Ta,Nb)-(Zr,Hf) alloy system is particularly suited for orthopaedic implants due to a reduced Young's modulus. However, concerns over this system's shape memory properties exist, and should be taken into consideration. Alternate alloy systems that demonstrate higher bulk moduli may still be considered, however, if they are formed into a porous structure. Due to the nature of the alloying components, blended elemental powder metallurgy is recommended for the manufacture of these alloys, particularly due to the ease with which it may be adapted to the formation of porous alloys. © 2012 Acta Materialia Inc. Published by Elsevier Ltd. All rights reserved.","author":[{"dropping-particle":"","family":"Biesiekierski","given":"Arne","non-dropping-particle":"","parse-names":false,"suffix":""},{"dropping-particle":"","family":"Wang","given":"James","non-dropping-particle":"","parse-names":false,"suffix":""},{"dropping-particle":"","family":"Abdel-Hady Gepreel","given":"Mohamed","non-dropping-particle":"","parse-names":false,"suffix":""},{"dropping-particle":"","family":"Wen","given":"Cuie","non-dropping-particle":"","parse-names":false,"suffix":""}],"container-title":"Acta Biomaterialia","id":"ITEM-1","issued":{"date-parts":[["2012"]]},"title":"A new look at biomedical Ti-based shape memory alloys","type":"article"},"uris":["http://www.mendeley.com/documents/?uuid=b9bef154-7050-4a45-84c0-2d1cfbb98d01","http://www.mendeley.com/documents/?uuid=ecb1f873-4257-4991-9fb5-7387ebf3151a"]}],"mendeley":{"formattedCitation":"[153]","plainTextFormattedCitation":"[153]","previouslyFormattedCitation":"[153]"},"properties":{"noteIndex":0},"schema":"https://github.com/citation-style-language/schema/raw/master/csl-citation.json"}</w:instrText>
      </w:r>
      <w:r w:rsidRPr="006B2891">
        <w:rPr>
          <w:rFonts w:cs="Times New Roman"/>
        </w:rPr>
        <w:fldChar w:fldCharType="separate"/>
      </w:r>
      <w:r w:rsidRPr="003B39BC">
        <w:rPr>
          <w:rFonts w:cs="Times New Roman"/>
          <w:noProof/>
        </w:rPr>
        <w:t>[153]</w:t>
      </w:r>
      <w:r w:rsidRPr="006B2891">
        <w:fldChar w:fldCharType="end"/>
      </w:r>
      <w:r>
        <w:rPr>
          <w:rFonts w:cs="Times New Roman"/>
        </w:rPr>
        <w:t>. As an extension of α’’ martensite phase transformation, self-accommodation twinning plays</w:t>
      </w:r>
      <w:r w:rsidRPr="008D07D9">
        <w:rPr>
          <w:rFonts w:cs="Times New Roman"/>
        </w:rPr>
        <w:t xml:space="preserve"> an important role </w:t>
      </w:r>
      <w:r w:rsidRPr="009A4117">
        <w:rPr>
          <w:rFonts w:cs="Times New Roman"/>
          <w:noProof/>
        </w:rPr>
        <w:t xml:space="preserve">in </w:t>
      </w:r>
      <w:r>
        <w:rPr>
          <w:rFonts w:cs="Times New Roman"/>
          <w:noProof/>
        </w:rPr>
        <w:t>accommodating</w:t>
      </w:r>
      <w:r w:rsidRPr="009A4117">
        <w:rPr>
          <w:rFonts w:cs="Times New Roman"/>
          <w:noProof/>
        </w:rPr>
        <w:t xml:space="preserve"> </w:t>
      </w:r>
      <w:r>
        <w:rPr>
          <w:rFonts w:cs="Times New Roman"/>
          <w:noProof/>
        </w:rPr>
        <w:t xml:space="preserve">the </w:t>
      </w:r>
      <w:r w:rsidRPr="009A4117">
        <w:rPr>
          <w:rFonts w:cs="Times New Roman"/>
          <w:noProof/>
        </w:rPr>
        <w:t xml:space="preserve">overall volume change during phase transformation. This role </w:t>
      </w:r>
      <w:r>
        <w:rPr>
          <w:rFonts w:cs="Times New Roman"/>
          <w:noProof/>
        </w:rPr>
        <w:t>is due</w:t>
      </w:r>
      <w:r>
        <w:rPr>
          <w:rFonts w:cs="Times New Roman"/>
        </w:rPr>
        <w:t xml:space="preserve"> to the importance of </w:t>
      </w:r>
      <w:r w:rsidRPr="009A4117">
        <w:rPr>
          <w:rFonts w:cs="Times New Roman"/>
          <w:noProof/>
        </w:rPr>
        <w:t>stress</w:t>
      </w:r>
      <w:r>
        <w:rPr>
          <w:rFonts w:cs="Times New Roman"/>
          <w:noProof/>
        </w:rPr>
        <w:t>-</w:t>
      </w:r>
      <w:r w:rsidRPr="009A4117">
        <w:rPr>
          <w:rFonts w:cs="Times New Roman"/>
          <w:noProof/>
        </w:rPr>
        <w:t>induced</w:t>
      </w:r>
      <w:r>
        <w:rPr>
          <w:rFonts w:cs="Times New Roman"/>
        </w:rPr>
        <w:t xml:space="preserve"> </w:t>
      </w:r>
      <w:r>
        <w:rPr>
          <w:rFonts w:cs="Times New Roman"/>
          <w:noProof/>
        </w:rPr>
        <w:t>α’’</w:t>
      </w:r>
      <w:r>
        <w:rPr>
          <w:rFonts w:cs="Times New Roman"/>
        </w:rPr>
        <w:t xml:space="preserve"> phase transformation, in tailoring </w:t>
      </w:r>
      <w:r w:rsidRPr="009A4117">
        <w:rPr>
          <w:rFonts w:cs="Times New Roman"/>
          <w:noProof/>
        </w:rPr>
        <w:t>mechanical</w:t>
      </w:r>
      <w:r>
        <w:rPr>
          <w:rFonts w:cs="Times New Roman"/>
        </w:rPr>
        <w:t xml:space="preserve"> performance of metastable Ti-alloys. As a deformation product, self-accommodation twinning should be promoted</w:t>
      </w:r>
      <w:r>
        <w:rPr>
          <w:rFonts w:cs="Times New Roman"/>
          <w:noProof/>
        </w:rPr>
        <w:t>, in order</w:t>
      </w:r>
      <w:r>
        <w:rPr>
          <w:rFonts w:cs="Times New Roman"/>
        </w:rPr>
        <w:t xml:space="preserve"> to refine the microstructure</w:t>
      </w:r>
      <w:r w:rsidRPr="009A4117">
        <w:rPr>
          <w:rFonts w:cs="Times New Roman"/>
          <w:noProof/>
        </w:rPr>
        <w:t xml:space="preserve"> </w:t>
      </w:r>
      <w:r>
        <w:rPr>
          <w:rFonts w:cs="Times New Roman"/>
          <w:noProof/>
        </w:rPr>
        <w:t>when</w:t>
      </w:r>
      <w:r w:rsidRPr="009A4117">
        <w:rPr>
          <w:rFonts w:cs="Times New Roman"/>
          <w:noProof/>
        </w:rPr>
        <w:t xml:space="preserve"> designing high</w:t>
      </w:r>
      <w:r>
        <w:rPr>
          <w:rFonts w:cs="Times New Roman"/>
          <w:noProof/>
        </w:rPr>
        <w:t>-</w:t>
      </w:r>
      <w:r w:rsidRPr="009A4117">
        <w:rPr>
          <w:rFonts w:cs="Times New Roman"/>
          <w:noProof/>
        </w:rPr>
        <w:t>performance</w:t>
      </w:r>
      <w:r>
        <w:rPr>
          <w:rFonts w:cs="Times New Roman"/>
        </w:rPr>
        <w:t xml:space="preserve"> RHEAs. </w:t>
      </w:r>
    </w:p>
    <w:p w14:paraId="74EA2C4E" w14:textId="77777777" w:rsidR="00624970" w:rsidRDefault="00624970" w:rsidP="00624970">
      <w:pPr>
        <w:keepNext/>
        <w:spacing w:afterLines="60" w:after="144" w:line="360" w:lineRule="auto"/>
        <w:jc w:val="center"/>
      </w:pPr>
      <w:r w:rsidRPr="00016487">
        <w:rPr>
          <w:rFonts w:cstheme="minorHAnsi"/>
          <w:noProof/>
          <w:lang w:val="en-US" w:eastAsia="en-US"/>
        </w:rPr>
        <w:drawing>
          <wp:inline distT="0" distB="0" distL="0" distR="0" wp14:anchorId="369A07D1" wp14:editId="4E2AA65B">
            <wp:extent cx="5099390" cy="3637129"/>
            <wp:effectExtent l="0" t="0" r="6350" b="1905"/>
            <wp:docPr id="18" name="图片 10">
              <a:extLst xmlns:a="http://schemas.openxmlformats.org/drawingml/2006/main">
                <a:ext uri="{FF2B5EF4-FFF2-40B4-BE49-F238E27FC236}">
                  <a16:creationId xmlns:a16="http://schemas.microsoft.com/office/drawing/2014/main" id="{EAE9F770-D77E-4CF3-8E7F-BBCE36E871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EAE9F770-D77E-4CF3-8E7F-BBCE36E871F4}"/>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108596" cy="3643695"/>
                    </a:xfrm>
                    <a:prstGeom prst="rect">
                      <a:avLst/>
                    </a:prstGeom>
                  </pic:spPr>
                </pic:pic>
              </a:graphicData>
            </a:graphic>
          </wp:inline>
        </w:drawing>
      </w:r>
    </w:p>
    <w:p w14:paraId="56B2A977" w14:textId="7B8EF2AC" w:rsidR="00624970" w:rsidRPr="00EC3AB1" w:rsidRDefault="00624970" w:rsidP="00624970">
      <w:pPr>
        <w:spacing w:afterLines="60" w:after="144" w:line="360" w:lineRule="auto"/>
        <w:jc w:val="both"/>
        <w:rPr>
          <w:sz w:val="20"/>
        </w:rPr>
      </w:pPr>
      <w:bookmarkStart w:id="190" w:name="_Toc7364582"/>
      <w:bookmarkStart w:id="191" w:name="_Toc5617649"/>
      <w:bookmarkStart w:id="192" w:name="_Toc39312696"/>
      <w:r w:rsidRPr="001F5994">
        <w:rPr>
          <w:rFonts w:hint="eastAsia"/>
          <w:b/>
          <w:sz w:val="20"/>
        </w:rPr>
        <w:t>F</w:t>
      </w:r>
      <w:r w:rsidRPr="001F5994">
        <w:rPr>
          <w:b/>
          <w:sz w:val="20"/>
        </w:rPr>
        <w:t>ig</w:t>
      </w:r>
      <w:r>
        <w:rPr>
          <w:b/>
          <w:sz w:val="20"/>
        </w:rPr>
        <w:t>ure 2-</w:t>
      </w:r>
      <w:r w:rsidRPr="0044096C">
        <w:rPr>
          <w:b/>
          <w:sz w:val="20"/>
        </w:rPr>
        <w:fldChar w:fldCharType="begin"/>
      </w:r>
      <w:r w:rsidRPr="0044096C">
        <w:rPr>
          <w:b/>
          <w:sz w:val="20"/>
        </w:rPr>
        <w:instrText xml:space="preserve"> SEQ Figure \* ARABIC </w:instrText>
      </w:r>
      <w:r w:rsidRPr="0044096C">
        <w:rPr>
          <w:b/>
          <w:sz w:val="20"/>
        </w:rPr>
        <w:fldChar w:fldCharType="separate"/>
      </w:r>
      <w:r>
        <w:rPr>
          <w:b/>
          <w:noProof/>
          <w:sz w:val="20"/>
        </w:rPr>
        <w:t>27</w:t>
      </w:r>
      <w:r w:rsidRPr="0044096C">
        <w:rPr>
          <w:b/>
          <w:sz w:val="20"/>
        </w:rPr>
        <w:fldChar w:fldCharType="end"/>
      </w:r>
      <w:r>
        <w:rPr>
          <w:b/>
          <w:sz w:val="20"/>
        </w:rPr>
        <w:t xml:space="preserve"> Illustration of self-accommodation twinning modes involved in metastable </w:t>
      </w:r>
      <w:r w:rsidRPr="00A9652C">
        <w:rPr>
          <w:b/>
          <w:sz w:val="20"/>
        </w:rPr>
        <w:t>β</w:t>
      </w:r>
      <w:r>
        <w:rPr>
          <w:b/>
          <w:sz w:val="20"/>
        </w:rPr>
        <w:t>-Ti (</w:t>
      </w:r>
      <w:r w:rsidRPr="001F5994">
        <w:rPr>
          <w:b/>
          <w:sz w:val="20"/>
        </w:rPr>
        <w:t>a</w:t>
      </w:r>
      <w:r>
        <w:rPr>
          <w:b/>
          <w:sz w:val="20"/>
        </w:rPr>
        <w:t>-d</w:t>
      </w:r>
      <w:r w:rsidRPr="001F5994">
        <w:rPr>
          <w:sz w:val="20"/>
        </w:rPr>
        <w:t>)</w:t>
      </w:r>
      <w:r>
        <w:rPr>
          <w:sz w:val="20"/>
        </w:rPr>
        <w:t xml:space="preserve"> bright field images and correspond SADP of type I {111}</w:t>
      </w:r>
      <w:r w:rsidRPr="00050C7E">
        <w:rPr>
          <w:rFonts w:ascii="Times New Roman" w:hAnsi="Times New Roman" w:cs="Times New Roman"/>
          <w:sz w:val="20"/>
          <w:vertAlign w:val="subscript"/>
        </w:rPr>
        <w:t>α</w:t>
      </w:r>
      <w:r w:rsidRPr="00050C7E">
        <w:rPr>
          <w:sz w:val="20"/>
          <w:vertAlign w:val="subscript"/>
        </w:rPr>
        <w:t>’’</w:t>
      </w:r>
      <w:r>
        <w:rPr>
          <w:sz w:val="20"/>
        </w:rPr>
        <w:t xml:space="preserve"> twinning; (</w:t>
      </w:r>
      <w:r>
        <w:rPr>
          <w:b/>
          <w:sz w:val="20"/>
        </w:rPr>
        <w:t>e-f</w:t>
      </w:r>
      <w:r>
        <w:rPr>
          <w:sz w:val="20"/>
        </w:rPr>
        <w:t>) bright field images and correspond</w:t>
      </w:r>
      <w:r w:rsidR="001101FC">
        <w:rPr>
          <w:sz w:val="20"/>
        </w:rPr>
        <w:t>ing</w:t>
      </w:r>
      <w:r>
        <w:rPr>
          <w:sz w:val="20"/>
        </w:rPr>
        <w:t xml:space="preserve"> SADP of compound {011}</w:t>
      </w:r>
      <w:r w:rsidRPr="00050C7E">
        <w:rPr>
          <w:rFonts w:ascii="Times New Roman" w:hAnsi="Times New Roman" w:cs="Times New Roman"/>
          <w:sz w:val="20"/>
          <w:vertAlign w:val="subscript"/>
        </w:rPr>
        <w:t>α</w:t>
      </w:r>
      <w:r w:rsidRPr="00050C7E">
        <w:rPr>
          <w:sz w:val="20"/>
          <w:vertAlign w:val="subscript"/>
        </w:rPr>
        <w:t>’’</w:t>
      </w:r>
      <w:r>
        <w:rPr>
          <w:sz w:val="20"/>
        </w:rPr>
        <w:t xml:space="preserve"> twinning; (</w:t>
      </w:r>
      <w:r>
        <w:rPr>
          <w:b/>
          <w:sz w:val="20"/>
        </w:rPr>
        <w:t>g</w:t>
      </w:r>
      <w:r>
        <w:rPr>
          <w:sz w:val="20"/>
        </w:rPr>
        <w:t>) SA twinning relationship among di</w:t>
      </w:r>
      <w:r w:rsidRPr="009A4117">
        <w:rPr>
          <w:noProof/>
          <w:sz w:val="20"/>
        </w:rPr>
        <w:t>fferent m</w:t>
      </w:r>
      <w:r>
        <w:rPr>
          <w:sz w:val="20"/>
        </w:rPr>
        <w:t>artensite variants; and (</w:t>
      </w:r>
      <w:r w:rsidRPr="00A9652C">
        <w:rPr>
          <w:b/>
          <w:sz w:val="20"/>
        </w:rPr>
        <w:t>h-i</w:t>
      </w:r>
      <w:r>
        <w:rPr>
          <w:sz w:val="20"/>
        </w:rPr>
        <w:t>) SA morphology forming a triangle structure with three martensite variants related by type I twinning</w:t>
      </w:r>
      <w:r>
        <w:rPr>
          <w:rFonts w:cstheme="minorHAnsi"/>
        </w:rPr>
        <w:t xml:space="preserve"> </w:t>
      </w:r>
      <w:r>
        <w:rPr>
          <w:rFonts w:cstheme="minorHAnsi"/>
        </w:rPr>
        <w:fldChar w:fldCharType="begin" w:fldLock="1"/>
      </w:r>
      <w:r>
        <w:rPr>
          <w:rFonts w:cstheme="minorHAnsi"/>
        </w:rPr>
        <w:instrText>ADDIN CSL_CITATION {"citationItems":[{"id":"ITEM-1","itemData":{"DOI":"10.1002/crat.201800067","ISBN":"0780395824","ISSN":"15214079","author":[{"dropping-particle":"","family":"Sun","given":"Bin","non-dropping-particle":"","parse-names":false,"suffix":""},{"dropping-particle":"","family":"Meng","given":"Xianglong","non-dropping-particle":"","parse-names":false,"suffix":""},{"dropping-particle":"","family":"Gao","given":"Zhiyong","non-dropping-particle":"","parse-names":false,"suffix":""},{"dropping-particle":"","family":"Cai","given":"Wei","non-dropping-particle":"","parse-names":false,"suffix":""}],"container-title":"Crystal Research and Technology","id":"ITEM-1","issued":{"date-parts":[["2018"]]},"title":"Crystallography Study on the Internal Twinning of Ti–Nb-Based Shape Memory Alloys","type":"article-journal"},"uris":["http://www.mendeley.com/documents/?uuid=ac35da2c-44ec-4cd3-aa1a-8859c9acc26a","http://www.mendeley.com/documents/?uuid=4f7139c4-12bc-4247-bbc2-1c07900be394"]},{"id":"ITEM-2","itemData":</w:instrText>
      </w:r>
      <w:r>
        <w:rPr>
          <w:rFonts w:cstheme="minorHAnsi" w:hint="eastAsia"/>
        </w:rPr>
        <w:instrText xml:space="preserve">{"DOI":"10.1016/j.actamat.2009.04.051","ISBN":"0000000000","ISSN":"13596454","PMID":"30089621","abstract":"Self-accommodation morphology of the </w:instrText>
      </w:r>
      <w:r>
        <w:rPr>
          <w:rFonts w:cstheme="minorHAnsi" w:hint="eastAsia"/>
        </w:rPr>
        <w:instrText>α″</w:instrText>
      </w:r>
      <w:r>
        <w:rPr>
          <w:rFonts w:cstheme="minorHAnsi" w:hint="eastAsia"/>
        </w:rPr>
        <w:instrText xml:space="preserve">martensites in Ti-Nb shape memory alloys with Nb content ranging from 20 to 24 at.% was investigated. Hollow </w:instrText>
      </w:r>
      <w:r>
        <w:rPr>
          <w:rFonts w:cstheme="minorHAnsi"/>
        </w:rPr>
        <w:instrText>and solid triangular morphologies consisting of three α</w:instrText>
      </w:r>
      <w:r>
        <w:rPr>
          <w:rFonts w:cstheme="minorHAnsi" w:hint="eastAsia"/>
        </w:rPr>
        <w:instrText>″</w:instrText>
      </w:r>
      <w:r>
        <w:rPr>
          <w:rFonts w:cstheme="minorHAnsi"/>
        </w:rPr>
        <w:instrText>variants were found to be the α</w:instrText>
      </w:r>
      <w:r>
        <w:rPr>
          <w:rFonts w:cstheme="minorHAnsi" w:hint="eastAsia"/>
        </w:rPr>
        <w:instrText>″</w:instrText>
      </w:r>
      <w:r>
        <w:rPr>
          <w:rFonts w:cstheme="minorHAnsi"/>
        </w:rPr>
        <w:instrText>self-accommodation morphologies. The α</w:instrText>
      </w:r>
      <w:r>
        <w:rPr>
          <w:rFonts w:cstheme="minorHAnsi" w:hint="eastAsia"/>
        </w:rPr>
        <w:instrText>″</w:instrText>
      </w:r>
      <w:r>
        <w:rPr>
          <w:rFonts w:cstheme="minorHAnsi"/>
        </w:rPr>
        <w:instrText>variants are related to each other by twinning on {1 over(1, ̄) 1}α</w:instrText>
      </w:r>
      <w:r>
        <w:rPr>
          <w:rFonts w:cstheme="minorHAnsi" w:hint="eastAsia"/>
        </w:rPr>
        <w:instrText>″</w:instrText>
      </w:r>
      <w:r>
        <w:rPr>
          <w:rFonts w:cstheme="minorHAnsi"/>
        </w:rPr>
        <w:instrText>. A V-shaped morphology consisting of two α</w:instrText>
      </w:r>
      <w:r>
        <w:rPr>
          <w:rFonts w:cstheme="minorHAnsi" w:hint="eastAsia"/>
        </w:rPr>
        <w:instrText>″</w:instrText>
      </w:r>
      <w:r>
        <w:rPr>
          <w:rFonts w:cstheme="minorHAnsi"/>
        </w:rPr>
        <w:instrText>variants coupled</w:instrText>
      </w:r>
      <w:r>
        <w:rPr>
          <w:rFonts w:cstheme="minorHAnsi" w:hint="eastAsia"/>
        </w:rPr>
        <w:instrText xml:space="preserve"> with a solid triangular morphology consisting of three </w:instrText>
      </w:r>
      <w:r>
        <w:rPr>
          <w:rFonts w:cstheme="minorHAnsi" w:hint="eastAsia"/>
        </w:rPr>
        <w:instrText>α″</w:instrText>
      </w:r>
      <w:r>
        <w:rPr>
          <w:rFonts w:cstheme="minorHAnsi" w:hint="eastAsia"/>
        </w:rPr>
        <w:instrText xml:space="preserve">variants was found to be another type of self-accommodation morphology. The </w:instrText>
      </w:r>
      <w:r>
        <w:rPr>
          <w:rFonts w:cstheme="minorHAnsi" w:hint="eastAsia"/>
        </w:rPr>
        <w:instrText>α″</w:instrText>
      </w:r>
      <w:r>
        <w:rPr>
          <w:rFonts w:cstheme="minorHAnsi" w:hint="eastAsia"/>
        </w:rPr>
        <w:instrText>variants from the V-shaped morphology are related by twinning on {1 1 1}</w:instrText>
      </w:r>
      <w:r>
        <w:rPr>
          <w:rFonts w:cstheme="minorHAnsi" w:hint="eastAsia"/>
        </w:rPr>
        <w:instrText>α″</w:instrText>
      </w:r>
      <w:r>
        <w:rPr>
          <w:rFonts w:cstheme="minorHAnsi" w:hint="eastAsia"/>
        </w:rPr>
        <w:instrText xml:space="preserve">, whereas the </w:instrText>
      </w:r>
      <w:r>
        <w:rPr>
          <w:rFonts w:cstheme="minorHAnsi" w:hint="eastAsia"/>
        </w:rPr>
        <w:instrText>α″</w:instrText>
      </w:r>
      <w:r>
        <w:rPr>
          <w:rFonts w:cstheme="minorHAnsi" w:hint="eastAsia"/>
        </w:rPr>
        <w:instrText>variants from the solid trian</w:instrText>
      </w:r>
      <w:r>
        <w:rPr>
          <w:rFonts w:cstheme="minorHAnsi"/>
        </w:rPr>
        <w:instrText>gular morphology are related to each other by twinning on {1 over(1, ̄) 1}α</w:instrText>
      </w:r>
      <w:r>
        <w:rPr>
          <w:rFonts w:cstheme="minorHAnsi" w:hint="eastAsia"/>
        </w:rPr>
        <w:instrText>″</w:instrText>
      </w:r>
      <w:r>
        <w:rPr>
          <w:rFonts w:cstheme="minorHAnsi"/>
        </w:rPr>
        <w:instrText>. Pairs of crystallographically equivalent {1 over(1, ̄) 1}α</w:instrText>
      </w:r>
      <w:r>
        <w:rPr>
          <w:rFonts w:cstheme="minorHAnsi" w:hint="eastAsia"/>
        </w:rPr>
        <w:instrText>″</w:instrText>
      </w:r>
      <w:r>
        <w:rPr>
          <w:rFonts w:cstheme="minorHAnsi"/>
        </w:rPr>
        <w:instrText>twinning dislocations with steps of opposite signs were found to cause the overall orientation of the twinning terraces and steps to be parallel to the {1 over(1, ̄) 1}α</w:instrText>
      </w:r>
      <w:r>
        <w:rPr>
          <w:rFonts w:cstheme="minorHAnsi" w:hint="eastAsia"/>
        </w:rPr>
        <w:instrText>″</w:instrText>
      </w:r>
      <w:r>
        <w:rPr>
          <w:rFonts w:cstheme="minorHAnsi"/>
        </w:rPr>
        <w:instrText>twinning interface. © 2009 Acta Materialia Inc.","author":[{"dropping-particle":"","family":"Chai","given":"Y. W.","non-dropping-particle":"","parse-names":false,"suffix":""},{"dropping-particle":"","family":"Kim","given":"H. Y.","non-dropping-particle":"","parse-names":false,"suffix":""},{"dropping-particle":"","family":"Hosoda","given":"H.","non-dropping-particle":"","parse-names":false,"suffix":""},{"dropping-particle":"","family":"Miyazaki","given":"S.","non-dropping-particle":"","parse-names":false,"suffix":""}],"container-title":"Acta Materialia","id":"ITEM-2","issued":{"date-parts":[["2009"]]},"title":"Self-accommodation in Ti-Nb shape memory alloys","type":"article-journal"},"uris":["http://www.mendeley.com/documents/?uuid=d9dd42fc-c439-4e3a-95e5-e7ad7b328b69","http://www.mendeley.com/documents/?uuid=95bc14ff-590f-4858-bc92-38df50f2c3ab"]},{"id":"ITEM-3","itemData":{"DOI":"10.1016/j.actamat.2016.03.040","ISBN":"13596454","ISSN":"13596454","abstract":"{332} twinning, an unusual twinning mode in other body-centered cubic (bcc) metals and alloys, has been demonstrated to be a fundamental deformation mode in bcc metastable β titanium alloys. Recent studies suggest that this twinning mode plays an important role in enhancing the work hardening and thus improving the mechanical properties. Here, we studied the mechanism of this twinning mode in a metastable β Ti-36Nb-2Ta-3Zr (wt.%) alloy. Tensile tests were performed to induce the formation of {332} twins. By using electron backscatter diffraction, transmission electron microscopy and in situ scanning electron microscopy, the surface-to-bulk microstructures and the initiation and propagation of {332} twins were investigated. In addition to the previous</w:instrText>
      </w:r>
      <w:r>
        <w:rPr>
          <w:rFonts w:cstheme="minorHAnsi" w:hint="eastAsia"/>
        </w:rPr>
        <w:instrText xml:space="preserve">ly reported high densities of straight dislocations within the twin, we have observed that an </w:instrText>
      </w:r>
      <w:r>
        <w:rPr>
          <w:rFonts w:cstheme="minorHAnsi" w:hint="eastAsia"/>
        </w:rPr>
        <w:instrText>α″</w:instrText>
      </w:r>
      <w:r>
        <w:rPr>
          <w:rFonts w:cstheme="minorHAnsi" w:hint="eastAsia"/>
        </w:rPr>
        <w:instrText xml:space="preserve"> martensite band is present near the surface adjacent to the twin. During annealing at 900</w:instrText>
      </w:r>
      <w:r>
        <w:rPr>
          <w:rFonts w:cstheme="minorHAnsi" w:hint="eastAsia"/>
        </w:rPr>
        <w:instrText>°</w:instrText>
      </w:r>
      <w:r>
        <w:rPr>
          <w:rFonts w:cstheme="minorHAnsi" w:hint="eastAsia"/>
        </w:rPr>
        <w:instrText xml:space="preserve">C, the </w:instrText>
      </w:r>
      <w:r>
        <w:rPr>
          <w:rFonts w:cstheme="minorHAnsi" w:hint="eastAsia"/>
        </w:rPr>
        <w:instrText>α″</w:instrText>
      </w:r>
      <w:r>
        <w:rPr>
          <w:rFonts w:cstheme="minorHAnsi" w:hint="eastAsia"/>
        </w:rPr>
        <w:instrText xml:space="preserve"> martensite band transforms into the adjacent twin rather than into the matrix, indicating that {332} twin nucleates within </w:instrText>
      </w:r>
      <w:r>
        <w:rPr>
          <w:rFonts w:cstheme="minorHAnsi" w:hint="eastAsia"/>
        </w:rPr>
        <w:instrText>α″</w:instrText>
      </w:r>
      <w:r>
        <w:rPr>
          <w:rFonts w:cstheme="minorHAnsi" w:hint="eastAsia"/>
        </w:rPr>
        <w:instrText xml:space="preserve"> martensite. Further evidence for this is the constitution of the twin in the initial stage of its formation, where the first portion formed consists of </w:instrText>
      </w:r>
      <w:r>
        <w:rPr>
          <w:rFonts w:cstheme="minorHAnsi" w:hint="eastAsia"/>
        </w:rPr>
        <w:instrText>α″</w:instrText>
      </w:r>
      <w:r>
        <w:rPr>
          <w:rFonts w:cstheme="minorHAnsi" w:hint="eastAsia"/>
        </w:rPr>
        <w:instrText xml:space="preserve"> martensite. During propagation, the twins propagating to the opposite directions can merge together when their lateral boundaries impinge on each other. Based on the experimental observations, an </w:instrText>
      </w:r>
      <w:r>
        <w:rPr>
          <w:rFonts w:cstheme="minorHAnsi" w:hint="eastAsia"/>
        </w:rPr>
        <w:instrText>α″</w:instrText>
      </w:r>
      <w:r>
        <w:rPr>
          <w:rFonts w:cstheme="minorHAnsi" w:hint="eastAsia"/>
        </w:rPr>
        <w:instrText xml:space="preserve">-assisted twinning mechanism is proposed and the origin of the dislocations within {332} </w:instrText>
      </w:r>
      <w:r>
        <w:rPr>
          <w:rFonts w:cstheme="minorHAnsi"/>
        </w:rPr>
        <w:instrText>twin is discussed accordingly.","author":[{"dropping-particle":"","family":"Lai","given":"M. J.","non-dropping-particle":"","parse-names":false,"suffix":""},{"dropping-particle":"","family":"Tasan","given":"C. C.","non-dropping-particle":"","parse-names":false,"suffix":""},{"dropping-particle":"","family":"Raabe","given":"D.","non-dropping-particle":"","parse-names":false,"suffix":""}],"container-title":"Acta Materialia","id":"ITEM-3","issued":{"date-parts":[["2016"]]},"title":"On the mechanism of {332} twinning in metastable β titanium alloys","type":"article-journal"},"uris":["http://www.mendeley.com/documents/?uuid=6b9cdc24-7719-4876-bc9a-cd2475f9c32b","http://www.mendeley.com/documents/?uuid=eaadc855-c7f9-40f7-b46f-94b49e458d47"]}],"mendeley":{"formattedCitation":"[151,154,155]","plainTextFormattedCitation":"[151,154,155]","previouslyFormattedCitation":"[151,154,155]"},"properties":{"noteIndex":0},"schema":"https://github.com/citation-style-language/schema/raw/master/csl-citation.json"}</w:instrText>
      </w:r>
      <w:r>
        <w:rPr>
          <w:rFonts w:cstheme="minorHAnsi"/>
        </w:rPr>
        <w:fldChar w:fldCharType="separate"/>
      </w:r>
      <w:bookmarkEnd w:id="190"/>
      <w:bookmarkEnd w:id="191"/>
      <w:r w:rsidRPr="003B39BC">
        <w:rPr>
          <w:rFonts w:cstheme="minorHAnsi"/>
          <w:noProof/>
        </w:rPr>
        <w:t>[151,154,155]</w:t>
      </w:r>
      <w:r>
        <w:rPr>
          <w:rFonts w:cstheme="minorHAnsi"/>
        </w:rPr>
        <w:fldChar w:fldCharType="end"/>
      </w:r>
      <w:r>
        <w:rPr>
          <w:rFonts w:cstheme="minorHAnsi"/>
        </w:rPr>
        <w:t>.</w:t>
      </w:r>
      <w:bookmarkEnd w:id="192"/>
    </w:p>
    <w:p w14:paraId="1F1C2142" w14:textId="33049D90" w:rsidR="00624970" w:rsidRDefault="00624970" w:rsidP="00624970">
      <w:pPr>
        <w:spacing w:afterLines="60" w:after="144" w:line="360" w:lineRule="auto"/>
        <w:jc w:val="both"/>
        <w:rPr>
          <w:rFonts w:ascii="Calibri" w:hAnsi="Calibri" w:cs="Calibri"/>
          <w:color w:val="333333"/>
        </w:rPr>
      </w:pPr>
      <w:r>
        <w:rPr>
          <w:rFonts w:cs="Times New Roman"/>
        </w:rPr>
        <w:t xml:space="preserve"> Inamura </w:t>
      </w:r>
      <w:r w:rsidRPr="00C06CF3">
        <w:fldChar w:fldCharType="begin" w:fldLock="1"/>
      </w:r>
      <w:r>
        <w:rPr>
          <w:rFonts w:cstheme="minorHAnsi"/>
          <w:color w:val="000000" w:themeColor="text1"/>
        </w:rPr>
        <w:instrText>ADDIN CSL_CITATION {"citationItems":[{"id":"ITEM-1","itemData":{"DOI":"10.1080/14786430601003874","ISBN":"1478-6435","ISSN":"14786435","abstract":"11q","author":[{"dropping-particle":"","family":"Inamura","given":"T.","non-dropping-particle":"","parse-names":false,"suffix":""},{"dropping-particle":"","family":"Kim","given":"J. I.","non-dropping-particle":"","parse-names":false,"suffix":""},{"dropping-particle":"","family":"Kim","given":"H. Y.","non-dropping-particle":"","parse-names":false,"suffix":""},{"dropping-particle":"","family":"Hosoda","given":"H.","non-dropping-particle":"","parse-names":false,"suffix":""},{"dropping-particle":"","family":"Wakashima","given":"K.","non-dropping-particle":"","parse-names":false,"suffix":""},{"dropping-particle":"",</w:instrText>
      </w:r>
      <w:r>
        <w:rPr>
          <w:rFonts w:cstheme="minorHAnsi" w:hint="eastAsia"/>
          <w:color w:val="000000" w:themeColor="text1"/>
        </w:rPr>
        <w:instrText xml:space="preserve">"family":"Miyazaki","given":"S.","non-dropping-particle":"","parse-names":false,"suffix":""}],"container-title":"Philosophical Magazine","id":"ITEM-1","issued":{"date-parts":[["2007"]]},"title":"Composition dependent crystallography of </w:instrText>
      </w:r>
      <w:r>
        <w:rPr>
          <w:rFonts w:cstheme="minorHAnsi" w:hint="eastAsia"/>
          <w:color w:val="000000" w:themeColor="text1"/>
        </w:rPr>
        <w:instrText>α″</w:instrText>
      </w:r>
      <w:r>
        <w:rPr>
          <w:rFonts w:cstheme="minorHAnsi" w:hint="eastAsia"/>
          <w:color w:val="000000" w:themeColor="text1"/>
        </w:rPr>
        <w:instrText>-martensite in Ti</w:instrText>
      </w:r>
      <w:r>
        <w:rPr>
          <w:rFonts w:cstheme="minorHAnsi"/>
          <w:color w:val="000000" w:themeColor="text1"/>
        </w:rPr>
        <w:instrText>-Nb-based β-titanium alloy","type":"article-journal"},"uris":["http://www.mendeley.com/documents/?uuid=26904a4b-d6c6-4c17-b6da-29a902ada479","http://www.mendeley.com/documents/?uuid=4ea84c35-d3ea-4315-8bc5-461397befc0b"]}],"mendeley":{"formattedCitation":"[156]","plainTextFormattedCitation":"[156]","previouslyFormattedCitation":"[156]"},"properties":{"noteIndex":0},"schema":"https://github.com/citation-style-language/schema/raw/master/csl-citation.json"}</w:instrText>
      </w:r>
      <w:r w:rsidRPr="00C06CF3">
        <w:rPr>
          <w:rFonts w:cstheme="minorHAnsi"/>
          <w:color w:val="000000" w:themeColor="text1"/>
        </w:rPr>
        <w:fldChar w:fldCharType="separate"/>
      </w:r>
      <w:r w:rsidRPr="003B39BC">
        <w:rPr>
          <w:noProof/>
          <w:color w:val="000000" w:themeColor="text1"/>
        </w:rPr>
        <w:t>[156]</w:t>
      </w:r>
      <w:r w:rsidRPr="00C06CF3">
        <w:fldChar w:fldCharType="end"/>
      </w:r>
      <w:r>
        <w:rPr>
          <w:rFonts w:cs="Times New Roman"/>
        </w:rPr>
        <w:t xml:space="preserve"> applied the phenomenological theory of martensite crystallography (PTMC) to calculate possible self-</w:t>
      </w:r>
      <w:r w:rsidRPr="009A4117">
        <w:rPr>
          <w:rFonts w:cs="Times New Roman"/>
          <w:noProof/>
        </w:rPr>
        <w:t>accom</w:t>
      </w:r>
      <w:r>
        <w:rPr>
          <w:rFonts w:cs="Times New Roman"/>
          <w:noProof/>
        </w:rPr>
        <w:t>m</w:t>
      </w:r>
      <w:r w:rsidRPr="006B2891">
        <w:t>odation twinning systems</w:t>
      </w:r>
      <w:r w:rsidRPr="2B919A8C">
        <w:t xml:space="preserve">. </w:t>
      </w:r>
      <w:r>
        <w:t>These</w:t>
      </w:r>
      <w:r w:rsidRPr="2B919A8C">
        <w:t xml:space="preserve"> </w:t>
      </w:r>
      <w:r w:rsidRPr="00E561AF">
        <w:t>are</w:t>
      </w:r>
      <w:r w:rsidRPr="2B919A8C">
        <w:t xml:space="preserve"> </w:t>
      </w:r>
      <w:r w:rsidRPr="00E561AF">
        <w:t xml:space="preserve">capable of serving </w:t>
      </w:r>
      <w:r>
        <w:t xml:space="preserve">as a </w:t>
      </w:r>
      <w:r w:rsidRPr="00522EBC">
        <w:t>lattice invariant shear</w:t>
      </w:r>
      <w:r>
        <w:t xml:space="preserve"> </w:t>
      </w:r>
      <w:r w:rsidRPr="00522EBC">
        <w:lastRenderedPageBreak/>
        <w:t xml:space="preserve">(LIS) for the </w:t>
      </w:r>
      <w:r w:rsidRPr="00522EBC">
        <w:rPr>
          <w:rFonts w:eastAsia="等线"/>
        </w:rPr>
        <w:t>β</w:t>
      </w:r>
      <w:r w:rsidRPr="006B7596">
        <w:t xml:space="preserve"> to </w:t>
      </w:r>
      <w:r w:rsidRPr="009C5F0F">
        <w:rPr>
          <w:rFonts w:eastAsia="等线"/>
        </w:rPr>
        <w:t>α</w:t>
      </w:r>
      <w:r w:rsidRPr="009C5F0F">
        <w:t>’</w:t>
      </w:r>
      <w:r w:rsidRPr="002F436A">
        <w:t>’ phase transformation in a T</w:t>
      </w:r>
      <w:r w:rsidRPr="00467323">
        <w:rPr>
          <w:color w:val="000000" w:themeColor="text1"/>
        </w:rPr>
        <w:t>i-Nb</w:t>
      </w:r>
      <w:r w:rsidRPr="008D07D9">
        <w:rPr>
          <w:color w:val="000000" w:themeColor="text1"/>
        </w:rPr>
        <w:t xml:space="preserve"> binary system</w:t>
      </w:r>
      <w:r w:rsidRPr="006B2891">
        <w:rPr>
          <w:color w:val="000000" w:themeColor="text1"/>
        </w:rPr>
        <w:t>. The SA twinning selection is</w:t>
      </w:r>
      <w:r w:rsidRPr="00E561AF">
        <w:rPr>
          <w:color w:val="000000" w:themeColor="text1"/>
        </w:rPr>
        <w:t xml:space="preserve"> shown</w:t>
      </w:r>
      <w:r w:rsidRPr="00C06CF3">
        <w:rPr>
          <w:color w:val="000000" w:themeColor="text1"/>
        </w:rPr>
        <w:t xml:space="preserve"> to be</w:t>
      </w:r>
      <w:r w:rsidRPr="00C06CF3">
        <w:rPr>
          <w:color w:val="FF0000"/>
          <w:sz w:val="40"/>
          <w:szCs w:val="40"/>
        </w:rPr>
        <w:t xml:space="preserve"> </w:t>
      </w:r>
      <w:r w:rsidRPr="0C26A900">
        <w:rPr>
          <w:color w:val="000000" w:themeColor="text1"/>
        </w:rPr>
        <w:t xml:space="preserve">highly </w:t>
      </w:r>
      <w:r w:rsidRPr="00E561AF">
        <w:rPr>
          <w:color w:val="000000" w:themeColor="text1"/>
        </w:rPr>
        <w:t>dependent on the co</w:t>
      </w:r>
      <w:r w:rsidRPr="008D07D9">
        <w:rPr>
          <w:color w:val="000000" w:themeColor="text1"/>
        </w:rPr>
        <w:t>ntent of Nb</w:t>
      </w:r>
      <w:r w:rsidRPr="00522EBC">
        <w:rPr>
          <w:color w:val="000000" w:themeColor="text1"/>
        </w:rPr>
        <w:t>. This dependence</w:t>
      </w:r>
      <w:r w:rsidRPr="00C06CF3">
        <w:rPr>
          <w:color w:val="000000" w:themeColor="text1"/>
        </w:rPr>
        <w:t xml:space="preserve"> directly reflects the sign of a certain lattice deformation strain η</w:t>
      </w:r>
      <w:r w:rsidRPr="008D07D9">
        <w:rPr>
          <w:color w:val="000000" w:themeColor="text1"/>
          <w:vertAlign w:val="subscript"/>
        </w:rPr>
        <w:t xml:space="preserve">3 </w:t>
      </w:r>
      <w:r w:rsidRPr="008D07D9">
        <w:rPr>
          <w:color w:val="000000" w:themeColor="text1"/>
        </w:rPr>
        <w:t>(η</w:t>
      </w:r>
      <w:r w:rsidRPr="00522EBC">
        <w:rPr>
          <w:color w:val="000000" w:themeColor="text1"/>
          <w:vertAlign w:val="subscript"/>
        </w:rPr>
        <w:t>3</w:t>
      </w:r>
      <w:r w:rsidRPr="00522EBC">
        <w:rPr>
          <w:color w:val="000000" w:themeColor="text1"/>
        </w:rPr>
        <w:t>=</w:t>
      </w:r>
      <m:oMath>
        <m:r>
          <m:rPr>
            <m:sty m:val="p"/>
          </m:rP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a</m:t>
            </m:r>
          </m:e>
          <m:sub>
            <m:r>
              <w:rPr>
                <w:rFonts w:ascii="Cambria Math" w:hAnsi="Cambria Math" w:cstheme="minorHAnsi"/>
                <w:color w:val="000000" w:themeColor="text1"/>
              </w:rPr>
              <m:t>α’’</m:t>
            </m:r>
          </m:sub>
        </m:sSub>
        <m:r>
          <m:rPr>
            <m:sty m:val="p"/>
          </m:rPr>
          <w:rPr>
            <w:rFonts w:ascii="Cambria Math" w:hAnsi="Cambria Math" w:cstheme="minorHAnsi"/>
            <w:color w:val="000000" w:themeColor="text1"/>
          </w:rPr>
          <m:t>-</m:t>
        </m:r>
        <m:rad>
          <m:radPr>
            <m:degHide m:val="1"/>
            <m:ctrlPr>
              <w:rPr>
                <w:rFonts w:ascii="Cambria Math" w:hAnsi="Cambria Math" w:cstheme="minorHAnsi"/>
                <w:color w:val="000000" w:themeColor="text1"/>
              </w:rPr>
            </m:ctrlPr>
          </m:radPr>
          <m:deg/>
          <m:e>
            <m:r>
              <m:rPr>
                <m:sty m:val="p"/>
              </m:rPr>
              <w:rPr>
                <w:rFonts w:ascii="Cambria Math" w:hAnsi="Cambria Math" w:cstheme="minorHAnsi"/>
                <w:color w:val="000000" w:themeColor="text1"/>
              </w:rPr>
              <m:t>2</m:t>
            </m:r>
          </m:e>
        </m:rad>
        <m:r>
          <w:rPr>
            <w:rFonts w:ascii="Cambria Math" w:hAnsi="Cambria Math" w:cstheme="minorHAnsi"/>
            <w:color w:val="000000" w:themeColor="text1"/>
          </w:rPr>
          <m:t>a)/</m:t>
        </m:r>
        <m:rad>
          <m:radPr>
            <m:degHide m:val="1"/>
            <m:ctrlPr>
              <w:rPr>
                <w:rFonts w:ascii="Cambria Math" w:hAnsi="Cambria Math" w:cstheme="minorHAnsi"/>
                <w:color w:val="000000" w:themeColor="text1"/>
              </w:rPr>
            </m:ctrlPr>
          </m:radPr>
          <m:deg/>
          <m:e>
            <m:r>
              <m:rPr>
                <m:sty m:val="p"/>
              </m:rPr>
              <w:rPr>
                <w:rFonts w:ascii="Cambria Math" w:hAnsi="Cambria Math" w:cstheme="minorHAnsi"/>
                <w:color w:val="000000" w:themeColor="text1"/>
              </w:rPr>
              <m:t>2</m:t>
            </m:r>
          </m:e>
        </m:rad>
        <m:r>
          <w:rPr>
            <w:rFonts w:ascii="Cambria Math" w:hAnsi="Cambria Math" w:cstheme="minorHAnsi"/>
            <w:color w:val="000000" w:themeColor="text1"/>
          </w:rPr>
          <m:t>a</m:t>
        </m:r>
      </m:oMath>
      <w:r w:rsidRPr="006B2891">
        <w:rPr>
          <w:color w:val="000000" w:themeColor="text1"/>
        </w:rPr>
        <w:t>). Positive η</w:t>
      </w:r>
      <w:r w:rsidRPr="006B2891">
        <w:rPr>
          <w:color w:val="000000" w:themeColor="text1"/>
          <w:vertAlign w:val="subscript"/>
        </w:rPr>
        <w:t>3</w:t>
      </w:r>
      <w:r w:rsidRPr="00E561AF">
        <w:rPr>
          <w:color w:val="000000" w:themeColor="text1"/>
        </w:rPr>
        <w:t>, type I {111}</w:t>
      </w:r>
      <w:r w:rsidRPr="008D07D9">
        <w:rPr>
          <w:color w:val="000000" w:themeColor="text1"/>
          <w:vertAlign w:val="subscript"/>
        </w:rPr>
        <w:t>α’’</w:t>
      </w:r>
      <w:r w:rsidRPr="008D07D9">
        <w:rPr>
          <w:color w:val="000000" w:themeColor="text1"/>
        </w:rPr>
        <w:t xml:space="preserve"> and type II &lt;-211&gt;</w:t>
      </w:r>
      <w:r w:rsidRPr="00522EBC">
        <w:rPr>
          <w:color w:val="000000" w:themeColor="text1"/>
          <w:vertAlign w:val="subscript"/>
        </w:rPr>
        <w:t>α’’</w:t>
      </w:r>
      <w:r w:rsidRPr="00522EBC">
        <w:rPr>
          <w:color w:val="000000" w:themeColor="text1"/>
        </w:rPr>
        <w:t xml:space="preserve"> twin</w:t>
      </w:r>
      <w:r w:rsidR="001101FC">
        <w:rPr>
          <w:color w:val="000000" w:themeColor="text1"/>
        </w:rPr>
        <w:t>ning</w:t>
      </w:r>
      <w:r w:rsidRPr="00522EBC">
        <w:rPr>
          <w:color w:val="000000" w:themeColor="text1"/>
        </w:rPr>
        <w:t xml:space="preserve"> serves</w:t>
      </w:r>
      <w:r w:rsidRPr="006B7596">
        <w:rPr>
          <w:color w:val="000000" w:themeColor="text1"/>
        </w:rPr>
        <w:t xml:space="preserve"> </w:t>
      </w:r>
      <w:r w:rsidRPr="009C5F0F">
        <w:rPr>
          <w:color w:val="000000" w:themeColor="text1"/>
        </w:rPr>
        <w:t>better</w:t>
      </w:r>
      <w:r w:rsidRPr="002F436A">
        <w:rPr>
          <w:color w:val="000000" w:themeColor="text1"/>
        </w:rPr>
        <w:t xml:space="preserve"> as LIS</w:t>
      </w:r>
      <w:r w:rsidRPr="00C06CF3">
        <w:rPr>
          <w:color w:val="000000" w:themeColor="text1"/>
        </w:rPr>
        <w:t>,</w:t>
      </w:r>
      <w:r w:rsidRPr="008D07D9">
        <w:rPr>
          <w:color w:val="000000" w:themeColor="text1"/>
        </w:rPr>
        <w:t xml:space="preserve"> while compound {011}</w:t>
      </w:r>
      <w:r w:rsidRPr="008D07D9">
        <w:rPr>
          <w:color w:val="000000" w:themeColor="text1"/>
          <w:vertAlign w:val="subscript"/>
        </w:rPr>
        <w:t>α’’</w:t>
      </w:r>
      <w:r w:rsidRPr="00522EBC">
        <w:rPr>
          <w:color w:val="000000" w:themeColor="text1"/>
        </w:rPr>
        <w:t xml:space="preserve"> twin better</w:t>
      </w:r>
      <w:r w:rsidRPr="00D91009">
        <w:rPr>
          <w:rFonts w:ascii="Calibri" w:hAnsi="Calibri" w:cs="Calibri"/>
          <w:color w:val="000000" w:themeColor="text1"/>
        </w:rPr>
        <w:t xml:space="preserve"> </w:t>
      </w:r>
      <w:r>
        <w:rPr>
          <w:rFonts w:ascii="Calibri" w:hAnsi="Calibri" w:cs="Calibri"/>
          <w:color w:val="000000" w:themeColor="text1"/>
        </w:rPr>
        <w:t xml:space="preserve">serves </w:t>
      </w:r>
      <w:r w:rsidRPr="00D91009">
        <w:rPr>
          <w:rFonts w:ascii="Calibri" w:hAnsi="Calibri" w:cs="Calibri"/>
          <w:color w:val="000000" w:themeColor="text1"/>
        </w:rPr>
        <w:t>when η</w:t>
      </w:r>
      <w:r w:rsidRPr="00D91009">
        <w:rPr>
          <w:rFonts w:ascii="Calibri" w:hAnsi="Calibri" w:cs="Calibri"/>
          <w:color w:val="000000" w:themeColor="text1"/>
          <w:vertAlign w:val="subscript"/>
        </w:rPr>
        <w:t>3</w:t>
      </w:r>
      <w:r w:rsidRPr="00D91009">
        <w:rPr>
          <w:rFonts w:ascii="Calibri" w:hAnsi="Calibri" w:cs="Calibri"/>
          <w:color w:val="000000" w:themeColor="text1"/>
        </w:rPr>
        <w:t xml:space="preserve"> is negative. In most cases the cooperation of SA twin</w:t>
      </w:r>
      <w:r>
        <w:rPr>
          <w:rFonts w:ascii="Calibri" w:hAnsi="Calibri" w:cs="Calibri"/>
          <w:color w:val="000000" w:themeColor="text1"/>
        </w:rPr>
        <w:t>ning</w:t>
      </w:r>
      <w:r w:rsidRPr="00D91009">
        <w:rPr>
          <w:rFonts w:ascii="Calibri" w:hAnsi="Calibri" w:cs="Calibri"/>
          <w:color w:val="000000" w:themeColor="text1"/>
        </w:rPr>
        <w:t xml:space="preserve"> modes </w:t>
      </w:r>
      <w:r w:rsidRPr="00D91009">
        <w:rPr>
          <w:rFonts w:ascii="Calibri" w:hAnsi="Calibri" w:cs="Calibri"/>
          <w:noProof/>
          <w:color w:val="000000" w:themeColor="text1"/>
        </w:rPr>
        <w:t>were</w:t>
      </w:r>
      <w:r w:rsidRPr="00D91009">
        <w:rPr>
          <w:rFonts w:ascii="Calibri" w:hAnsi="Calibri" w:cs="Calibri"/>
          <w:color w:val="000000" w:themeColor="text1"/>
        </w:rPr>
        <w:t xml:space="preserve"> restricted within type I {111}</w:t>
      </w:r>
      <w:r w:rsidRPr="00D91009">
        <w:rPr>
          <w:rFonts w:ascii="Times New Roman" w:hAnsi="Times New Roman" w:cs="Times New Roman"/>
          <w:color w:val="000000" w:themeColor="text1"/>
          <w:vertAlign w:val="subscript"/>
        </w:rPr>
        <w:t>α</w:t>
      </w:r>
      <w:r w:rsidRPr="00D91009">
        <w:rPr>
          <w:rFonts w:ascii="Calibri" w:hAnsi="Calibri" w:cs="Calibri"/>
          <w:color w:val="000000" w:themeColor="text1"/>
          <w:vertAlign w:val="subscript"/>
        </w:rPr>
        <w:t>’’</w:t>
      </w:r>
      <w:r w:rsidRPr="00D91009">
        <w:rPr>
          <w:rFonts w:ascii="Calibri" w:hAnsi="Calibri" w:cs="Calibri"/>
          <w:color w:val="000000" w:themeColor="text1"/>
        </w:rPr>
        <w:t xml:space="preserve"> and type II &lt;-211&gt;</w:t>
      </w:r>
      <w:r w:rsidRPr="00D91009">
        <w:rPr>
          <w:rFonts w:ascii="Times New Roman" w:hAnsi="Times New Roman" w:cs="Times New Roman"/>
          <w:color w:val="000000" w:themeColor="text1"/>
          <w:vertAlign w:val="subscript"/>
        </w:rPr>
        <w:t>α</w:t>
      </w:r>
      <w:r w:rsidRPr="00D91009">
        <w:rPr>
          <w:rFonts w:ascii="Calibri" w:hAnsi="Calibri" w:cs="Calibri"/>
          <w:color w:val="000000" w:themeColor="text1"/>
          <w:vertAlign w:val="subscript"/>
        </w:rPr>
        <w:t>’’</w:t>
      </w:r>
      <w:r w:rsidRPr="00D91009">
        <w:rPr>
          <w:rFonts w:ascii="Calibri" w:hAnsi="Calibri" w:cs="Calibri"/>
          <w:color w:val="000000" w:themeColor="text1"/>
        </w:rPr>
        <w:t xml:space="preserve"> twin</w:t>
      </w:r>
      <w:r w:rsidR="001101FC">
        <w:rPr>
          <w:rFonts w:ascii="Calibri" w:hAnsi="Calibri" w:cs="Calibri"/>
          <w:color w:val="000000" w:themeColor="text1"/>
        </w:rPr>
        <w:t>ning</w:t>
      </w:r>
      <w:r w:rsidRPr="00D91009">
        <w:rPr>
          <w:rFonts w:ascii="Calibri" w:hAnsi="Calibri" w:cs="Calibri"/>
          <w:color w:val="000000" w:themeColor="text1"/>
        </w:rPr>
        <w:t xml:space="preserve"> as shown in Fig. 2-27(g). Yet observations of </w:t>
      </w:r>
      <w:r w:rsidRPr="00D91009">
        <w:rPr>
          <w:rFonts w:cs="Calibri"/>
          <w:color w:val="000000" w:themeColor="text1"/>
        </w:rPr>
        <w:t>compound {011}</w:t>
      </w:r>
      <w:r w:rsidRPr="00D91009">
        <w:rPr>
          <w:rFonts w:cs="Times New Roman"/>
          <w:color w:val="000000" w:themeColor="text1"/>
          <w:vertAlign w:val="subscript"/>
        </w:rPr>
        <w:t>α</w:t>
      </w:r>
      <w:r w:rsidRPr="00D91009">
        <w:rPr>
          <w:rFonts w:cs="Calibri"/>
          <w:color w:val="000000" w:themeColor="text1"/>
          <w:vertAlign w:val="subscript"/>
        </w:rPr>
        <w:t>’’</w:t>
      </w:r>
      <w:r w:rsidRPr="00D91009">
        <w:rPr>
          <w:rFonts w:cs="Calibri"/>
          <w:color w:val="000000" w:themeColor="text1"/>
        </w:rPr>
        <w:t xml:space="preserve"> twinning togeth</w:t>
      </w:r>
      <w:r w:rsidRPr="00D91009">
        <w:rPr>
          <w:rFonts w:cs="Calibri"/>
          <w:noProof/>
          <w:color w:val="000000" w:themeColor="text1"/>
        </w:rPr>
        <w:t>er with typ</w:t>
      </w:r>
      <w:r w:rsidRPr="00D91009">
        <w:rPr>
          <w:rFonts w:cs="Calibri"/>
          <w:color w:val="000000" w:themeColor="text1"/>
        </w:rPr>
        <w:t>e I and type II twin</w:t>
      </w:r>
      <w:r w:rsidR="001101FC">
        <w:rPr>
          <w:rFonts w:cs="Calibri"/>
          <w:color w:val="000000" w:themeColor="text1"/>
        </w:rPr>
        <w:t>ning</w:t>
      </w:r>
      <w:r w:rsidRPr="00D91009">
        <w:rPr>
          <w:rFonts w:cs="Calibri"/>
          <w:color w:val="000000" w:themeColor="text1"/>
        </w:rPr>
        <w:t xml:space="preserve"> </w:t>
      </w:r>
      <w:r w:rsidRPr="00D91009">
        <w:rPr>
          <w:rFonts w:cs="Calibri"/>
          <w:noProof/>
          <w:color w:val="000000" w:themeColor="text1"/>
        </w:rPr>
        <w:t>were</w:t>
      </w:r>
      <w:r>
        <w:rPr>
          <w:rFonts w:cs="Calibri"/>
          <w:noProof/>
          <w:sz w:val="40"/>
          <w:szCs w:val="40"/>
        </w:rPr>
        <w:t xml:space="preserve"> </w:t>
      </w:r>
      <w:r w:rsidRPr="00C06CF3">
        <w:rPr>
          <w:rFonts w:cs="Calibri"/>
          <w:noProof/>
        </w:rPr>
        <w:t xml:space="preserve">also </w:t>
      </w:r>
      <w:r w:rsidRPr="00D91009">
        <w:rPr>
          <w:rFonts w:cs="Calibri"/>
          <w:noProof/>
          <w:color w:val="000000" w:themeColor="text1"/>
        </w:rPr>
        <w:t>reported</w:t>
      </w:r>
      <w:r>
        <w:rPr>
          <w:rFonts w:cs="Calibri"/>
          <w:noProof/>
          <w:color w:val="000000" w:themeColor="text1"/>
        </w:rPr>
        <w:t xml:space="preserve"> </w:t>
      </w:r>
      <w:r w:rsidRPr="00C06CF3">
        <w:fldChar w:fldCharType="begin" w:fldLock="1"/>
      </w:r>
      <w:r>
        <w:rPr>
          <w:rFonts w:cs="Calibri"/>
          <w:color w:val="000000" w:themeColor="text1"/>
        </w:rPr>
        <w:instrText>ADDIN CSL_CITATION {"citationItems":[{"id":"ITEM-1","itemData":{"DOI":"10.1016/j.actamat.2015.12.001","ISBN":"13596454","ISSN":"13596454","PMID":"10124575","abstract":"Deformation twinning of the Ti-25Ta-20Nb (mass%) shape memory alloy is characterized us</w:instrText>
      </w:r>
      <w:r>
        <w:rPr>
          <w:rFonts w:cs="Calibri" w:hint="eastAsia"/>
          <w:color w:val="000000" w:themeColor="text1"/>
        </w:rPr>
        <w:instrText xml:space="preserve">ing EBSD and TEM. The selfaccommodating </w:instrText>
      </w:r>
      <w:r>
        <w:rPr>
          <w:rFonts w:cs="Calibri" w:hint="eastAsia"/>
          <w:color w:val="000000" w:themeColor="text1"/>
        </w:rPr>
        <w:instrText>α″</w:instrText>
      </w:r>
      <w:r>
        <w:rPr>
          <w:rFonts w:cs="Calibri" w:hint="eastAsia"/>
          <w:color w:val="000000" w:themeColor="text1"/>
        </w:rPr>
        <w:instrText xml:space="preserve"> microstructure is shown to be first deformed using {111}</w:instrText>
      </w:r>
      <w:r>
        <w:rPr>
          <w:rFonts w:cs="Calibri" w:hint="eastAsia"/>
          <w:color w:val="000000" w:themeColor="text1"/>
        </w:rPr>
        <w:instrText>α″</w:instrText>
      </w:r>
      <w:r>
        <w:rPr>
          <w:rFonts w:cs="Calibri" w:hint="eastAsia"/>
          <w:color w:val="000000" w:themeColor="text1"/>
        </w:rPr>
        <w:instrText xml:space="preserve"> type I and &lt;211&gt;</w:instrText>
      </w:r>
      <w:r>
        <w:rPr>
          <w:rFonts w:cs="Calibri" w:hint="eastAsia"/>
          <w:color w:val="000000" w:themeColor="text1"/>
        </w:rPr>
        <w:instrText>α″</w:instrText>
      </w:r>
      <w:r>
        <w:rPr>
          <w:rFonts w:cs="Calibri" w:hint="eastAsia"/>
          <w:color w:val="000000" w:themeColor="text1"/>
        </w:rPr>
        <w:instrText xml:space="preserve"> type II reorientation twinning. Plastic deformation occurs further by plastic twinning with a new {130}&lt;310&gt;</w:instrText>
      </w:r>
      <w:r>
        <w:rPr>
          <w:rFonts w:cs="Calibri" w:hint="eastAsia"/>
          <w:color w:val="000000" w:themeColor="text1"/>
        </w:rPr>
        <w:instrText>α″</w:instrText>
      </w:r>
      <w:r>
        <w:rPr>
          <w:rFonts w:cs="Calibri" w:hint="eastAsia"/>
          <w:color w:val="000000" w:themeColor="text1"/>
        </w:rPr>
        <w:instrText xml:space="preserve"> twinning system. Maximum lattice deformation calculation is a relevant parameter to predict the variant of martensite that is favored during the reorientation process. Conversely, Schmid factor analysis can be used to predict the selection of {130}&lt;310&gt;</w:instrText>
      </w:r>
      <w:r>
        <w:rPr>
          <w:rFonts w:cs="Calibri" w:hint="eastAsia"/>
          <w:color w:val="000000" w:themeColor="text1"/>
        </w:rPr>
        <w:instrText>α″</w:instrText>
      </w:r>
      <w:r>
        <w:rPr>
          <w:rFonts w:cs="Calibri" w:hint="eastAsia"/>
          <w:color w:val="000000" w:themeColor="text1"/>
        </w:rPr>
        <w:instrText xml:space="preserve"> twinning variants during deformation. Analogy between {130}&lt;310&gt;</w:instrText>
      </w:r>
      <w:r>
        <w:rPr>
          <w:rFonts w:cs="Calibri" w:hint="eastAsia"/>
          <w:color w:val="000000" w:themeColor="text1"/>
        </w:rPr>
        <w:instrText>α″</w:instrText>
      </w:r>
      <w:r>
        <w:rPr>
          <w:rFonts w:cs="Calibri" w:hint="eastAsia"/>
          <w:color w:val="000000" w:themeColor="text1"/>
        </w:rPr>
        <w:instrText xml:space="preserve"> and {332}&lt;113&gt;</w:instrText>
      </w:r>
      <w:r>
        <w:rPr>
          <w:rFonts w:cs="Calibri" w:hint="eastAsia"/>
          <w:color w:val="000000" w:themeColor="text1"/>
        </w:rPr>
        <w:instrText>β</w:instrText>
      </w:r>
      <w:r>
        <w:rPr>
          <w:rFonts w:cs="Calibri" w:hint="eastAsia"/>
          <w:color w:val="000000" w:themeColor="text1"/>
        </w:rPr>
        <w:instrText>twinning systems is highlighted.","author":[{"dropping-particle":"","family":"Bertrand","given":"Emmanuel","non-dropping-particle":"","parse-names":false,"suffix":""},{"dropping-particle":"","fam</w:instrText>
      </w:r>
      <w:r>
        <w:rPr>
          <w:rFonts w:cs="Calibri"/>
          <w:color w:val="000000" w:themeColor="text1"/>
        </w:rPr>
        <w:instrText>ily":"Castany","given":"Philippe","non-dropping-particle":"","parse-names":false,"suffix":""},{"dropping-particle":"","family":"Yang","given":"Yang","non-dropping-particle":"","parse-names":false,"suffix":""},{"dropping-particle":"","family":"Menou","given":"Edern","non-dropping-particle":"","parse-names":false,"suffix":""},{"dropping-particle":"","family":"Gloriant","given":"Thierry","non-dropping-particle":"","parse-names":false,"suffix":""}],"container-title":"Acta Materialia","id":"ITEM-1","issued":{"</w:instrText>
      </w:r>
      <w:r>
        <w:rPr>
          <w:rFonts w:cs="Calibri" w:hint="eastAsia"/>
          <w:color w:val="000000" w:themeColor="text1"/>
        </w:rPr>
        <w:instrText>date-parts":[["2016"]]},"title":"Deformation twinning in the full-</w:instrText>
      </w:r>
      <w:r>
        <w:rPr>
          <w:rFonts w:cs="Calibri" w:hint="eastAsia"/>
          <w:color w:val="000000" w:themeColor="text1"/>
        </w:rPr>
        <w:instrText>α″</w:instrText>
      </w:r>
      <w:r>
        <w:rPr>
          <w:rFonts w:cs="Calibri" w:hint="eastAsia"/>
          <w:color w:val="000000" w:themeColor="text1"/>
        </w:rPr>
        <w:instrText xml:space="preserve"> martensitic Ti-25Ta-20Nb shape memory alloy","type":"article-journal"},"uris":["http://www.mendeley.com/documents/?uuid=40c9e674-5c50-4012-9404-ce85f346724c","http://www.mendeley.com/doc</w:instrText>
      </w:r>
      <w:r>
        <w:rPr>
          <w:rFonts w:cs="Calibri"/>
          <w:color w:val="000000" w:themeColor="text1"/>
        </w:rPr>
        <w:instrText>uments/?uuid=52547bef-0447-4f2d-a9c5-2bc8e04bf9a6"]},{"id":"ITEM-2","itemData":{"DOI":"10.1016/j.vacuum.2018.07.029","ISSN":"0042207X","abstract":"The martensite structures and the mechanical properties of the solution treated Ti-16Nb-(0, 0.3, 0.7, 1)Ag (at.%) alloys were systematically investigated. For all the Ti-Nb-Ag alloys, different martensite variants are in {111} type I and 211 type II twin relation, while the {111} type I twins are the dominant substructures inside a martensite variant. Substructures of the (011) compound twins are also observed in the Ti-16Nb-1 A g alloy. With increasing the Ag content, the ultimate tensile strength is improved significantly, while the elastic modulus decreases slightly. As a result, the Ti-16Nb-1 A g alloy has a good combination of high strength (840 Mpa) and low elastic modulus.","author":[{"dropping-particle":"","family":"Sun","given":"B.","non-dropping-particle":"","parse-names":false,"suffix":""},{"dropping-particle":"","family":"Meng","given":"X. L.","non-dropping-particle":"","parse-names":false,"suffix":""},{"dropping-particle":"","family":"Gao","given":"Z. Y.","non-dropping-particle":"","parse-names":false,"suffix":""},{"dropping-particle":"","family":"Cai","given":"W.","non-dropping-particle":"","parse-names":false,"suffix":""}],"container-title":"Vacuum","id":"ITEM-2","issued":{"date-parts":[["2018"]]},"title":"Martensite structure and mechanical property of Ti-Nb-Ag shape memory alloys for biomedical applications","type":"article-journal"},"uris":["http://www.mendeley.com/documents/?uuid=99647e13-59d6-4ff5-9c78-9162fdefc58e","http://www.mendeley.com/documents/?uuid=1dd68945-c87c-411a-a1d9-7505db9ea9ba"]}],"mendeley":{"formattedCitation":"[157,158]","plainTextFormattedCitation":"[157,158]","previouslyFormattedCitation":"[157,158]"},"properties":{"noteIndex":0},"schema":"https://github.com/citation-style-language/schema/raw/master/csl-citation.json"}</w:instrText>
      </w:r>
      <w:r w:rsidRPr="00C06CF3">
        <w:rPr>
          <w:rFonts w:cs="Calibri"/>
          <w:color w:val="000000" w:themeColor="text1"/>
        </w:rPr>
        <w:fldChar w:fldCharType="separate"/>
      </w:r>
      <w:r w:rsidRPr="003B39BC">
        <w:rPr>
          <w:rFonts w:cs="Calibri"/>
          <w:noProof/>
          <w:color w:val="000000" w:themeColor="text1"/>
        </w:rPr>
        <w:t>[157,158]</w:t>
      </w:r>
      <w:r w:rsidRPr="00C06CF3">
        <w:fldChar w:fldCharType="end"/>
      </w:r>
      <w:r w:rsidRPr="00D91009">
        <w:rPr>
          <w:rFonts w:cs="Calibri"/>
          <w:color w:val="000000" w:themeColor="text1"/>
        </w:rPr>
        <w:t>. The</w:t>
      </w:r>
      <w:r w:rsidRPr="00C06CF3">
        <w:rPr>
          <w:rFonts w:cs="Calibri"/>
          <w:color w:val="000000" w:themeColor="text1"/>
        </w:rPr>
        <w:t xml:space="preserve"> </w:t>
      </w:r>
      <w:r w:rsidRPr="00D91009">
        <w:rPr>
          <w:rFonts w:cs="Calibri"/>
          <w:color w:val="000000" w:themeColor="text1"/>
        </w:rPr>
        <w:t>critical condition for activating SA type I {111}</w:t>
      </w:r>
      <w:r w:rsidRPr="00D91009">
        <w:rPr>
          <w:rFonts w:cs="Times New Roman"/>
          <w:color w:val="000000" w:themeColor="text1"/>
          <w:vertAlign w:val="subscript"/>
        </w:rPr>
        <w:t>α</w:t>
      </w:r>
      <w:r w:rsidRPr="00D91009">
        <w:rPr>
          <w:rFonts w:cs="Calibri"/>
          <w:color w:val="000000" w:themeColor="text1"/>
          <w:vertAlign w:val="subscript"/>
        </w:rPr>
        <w:t xml:space="preserve">’’ </w:t>
      </w:r>
      <w:r w:rsidRPr="00D91009">
        <w:rPr>
          <w:rFonts w:cs="Calibri"/>
          <w:color w:val="000000" w:themeColor="text1"/>
        </w:rPr>
        <w:t>and SA compound {011}</w:t>
      </w:r>
      <w:r w:rsidRPr="00D91009">
        <w:rPr>
          <w:rFonts w:cs="Times New Roman"/>
          <w:color w:val="000000" w:themeColor="text1"/>
          <w:vertAlign w:val="subscript"/>
        </w:rPr>
        <w:t>α</w:t>
      </w:r>
      <w:r w:rsidRPr="00D91009">
        <w:rPr>
          <w:rFonts w:cs="Calibri"/>
          <w:color w:val="000000" w:themeColor="text1"/>
          <w:vertAlign w:val="subscript"/>
        </w:rPr>
        <w:t>’’</w:t>
      </w:r>
      <w:r w:rsidRPr="00D91009">
        <w:rPr>
          <w:rFonts w:cs="Calibri"/>
          <w:color w:val="000000" w:themeColor="text1"/>
        </w:rPr>
        <w:t xml:space="preserve"> twin </w:t>
      </w:r>
      <w:r>
        <w:rPr>
          <w:rFonts w:cs="Calibri"/>
          <w:color w:val="000000" w:themeColor="text1"/>
        </w:rPr>
        <w:t>was</w:t>
      </w:r>
      <w:r w:rsidRPr="00D91009">
        <w:rPr>
          <w:rFonts w:cs="Calibri"/>
          <w:color w:val="000000" w:themeColor="text1"/>
        </w:rPr>
        <w:t xml:space="preserve"> different: lattice correspond</w:t>
      </w:r>
      <w:r>
        <w:rPr>
          <w:rFonts w:cs="Calibri"/>
          <w:color w:val="000000" w:themeColor="text1"/>
        </w:rPr>
        <w:t>s</w:t>
      </w:r>
      <w:r w:rsidRPr="00D91009">
        <w:rPr>
          <w:rFonts w:cs="Calibri"/>
          <w:color w:val="000000" w:themeColor="text1"/>
        </w:rPr>
        <w:t xml:space="preserve"> to {10-11}</w:t>
      </w:r>
      <w:r w:rsidRPr="00D91009">
        <w:rPr>
          <w:rFonts w:cs="Times New Roman"/>
          <w:color w:val="000000" w:themeColor="text1"/>
          <w:vertAlign w:val="subscript"/>
        </w:rPr>
        <w:t>α</w:t>
      </w:r>
      <w:r w:rsidRPr="00D91009">
        <w:rPr>
          <w:rFonts w:cs="Calibri"/>
          <w:color w:val="000000" w:themeColor="text1"/>
        </w:rPr>
        <w:t xml:space="preserve"> and {10-12}</w:t>
      </w:r>
      <w:r w:rsidRPr="00D91009">
        <w:rPr>
          <w:rFonts w:cs="Times New Roman"/>
          <w:color w:val="000000" w:themeColor="text1"/>
          <w:vertAlign w:val="subscript"/>
        </w:rPr>
        <w:t>α</w:t>
      </w:r>
      <w:r w:rsidRPr="00D91009">
        <w:rPr>
          <w:rFonts w:ascii="Calibri" w:hAnsi="Calibri" w:cs="Calibri"/>
          <w:color w:val="000000" w:themeColor="text1"/>
        </w:rPr>
        <w:t xml:space="preserve"> mechanical twinning. </w:t>
      </w:r>
      <w:r w:rsidRPr="00C06CF3">
        <w:rPr>
          <w:rFonts w:ascii="Calibri" w:eastAsia="Calibri" w:hAnsi="Calibri" w:cs="Calibri"/>
          <w:color w:val="000000" w:themeColor="text1"/>
        </w:rPr>
        <w:t>The activation of these two twinning structures may be ascribed to the shear stress exerted along</w:t>
      </w:r>
      <w:r w:rsidR="001101FC">
        <w:rPr>
          <w:rFonts w:ascii="Calibri" w:eastAsia="Calibri" w:hAnsi="Calibri" w:cs="Calibri"/>
          <w:color w:val="000000" w:themeColor="text1"/>
        </w:rPr>
        <w:t xml:space="preserve"> the</w:t>
      </w:r>
      <w:r w:rsidRPr="00C06CF3">
        <w:rPr>
          <w:rFonts w:ascii="Calibri" w:eastAsia="Calibri" w:hAnsi="Calibri" w:cs="Calibri"/>
          <w:color w:val="000000" w:themeColor="text1"/>
        </w:rPr>
        <w:t xml:space="preserve"> [10-12]</w:t>
      </w:r>
      <w:r w:rsidRPr="00C06CF3">
        <w:rPr>
          <w:rFonts w:ascii="Calibri" w:eastAsia="Calibri" w:hAnsi="Calibri" w:cs="Calibri"/>
          <w:color w:val="000000" w:themeColor="text1"/>
          <w:vertAlign w:val="subscript"/>
        </w:rPr>
        <w:t>α</w:t>
      </w:r>
      <w:r w:rsidRPr="00C06CF3">
        <w:rPr>
          <w:rFonts w:ascii="Calibri" w:eastAsia="Calibri" w:hAnsi="Calibri" w:cs="Calibri"/>
          <w:color w:val="000000" w:themeColor="text1"/>
        </w:rPr>
        <w:t xml:space="preserve"> directio</w:t>
      </w:r>
      <w:r w:rsidRPr="00C06CF3">
        <w:rPr>
          <w:rFonts w:ascii="Calibri" w:eastAsia="Calibri" w:hAnsi="Calibri" w:cs="Calibri"/>
          <w:color w:val="323333"/>
        </w:rPr>
        <w:t>n. Also, {011}&lt;0-11&gt;</w:t>
      </w:r>
      <w:r w:rsidRPr="00C06CF3">
        <w:rPr>
          <w:rFonts w:ascii="Calibri" w:eastAsia="Calibri" w:hAnsi="Calibri" w:cs="Calibri"/>
          <w:color w:val="323333"/>
          <w:vertAlign w:val="subscript"/>
        </w:rPr>
        <w:t xml:space="preserve"> α’’</w:t>
      </w:r>
      <w:r w:rsidRPr="00C06CF3">
        <w:rPr>
          <w:rFonts w:ascii="Calibri" w:eastAsia="Calibri" w:hAnsi="Calibri" w:cs="Calibri"/>
          <w:color w:val="323333"/>
        </w:rPr>
        <w:t xml:space="preserve"> compound twinning</w:t>
      </w:r>
      <w:r>
        <w:rPr>
          <w:rFonts w:ascii="Calibri" w:eastAsia="Calibri" w:hAnsi="Calibri" w:cs="Calibri"/>
          <w:color w:val="323333"/>
        </w:rPr>
        <w:t>,</w:t>
      </w:r>
      <w:r w:rsidRPr="00C06CF3">
        <w:rPr>
          <w:rFonts w:ascii="Calibri" w:eastAsia="Calibri" w:hAnsi="Calibri" w:cs="Calibri"/>
          <w:color w:val="323333"/>
        </w:rPr>
        <w:t xml:space="preserve"> whose lattice</w:t>
      </w:r>
      <w:r w:rsidRPr="00C06CF3">
        <w:rPr>
          <w:rFonts w:ascii="Calibri" w:eastAsia="Calibri" w:hAnsi="Calibri" w:cs="Calibri"/>
          <w:color w:val="000000" w:themeColor="text1"/>
        </w:rPr>
        <w:t xml:space="preserve"> correspon</w:t>
      </w:r>
      <w:r>
        <w:rPr>
          <w:rFonts w:ascii="Calibri" w:eastAsia="Calibri" w:hAnsi="Calibri" w:cs="Calibri"/>
          <w:color w:val="000000" w:themeColor="text1"/>
        </w:rPr>
        <w:t>ding</w:t>
      </w:r>
      <w:r w:rsidRPr="00C06CF3">
        <w:rPr>
          <w:rFonts w:ascii="Calibri" w:eastAsia="Calibri" w:hAnsi="Calibri" w:cs="Calibri"/>
          <w:color w:val="FF2500"/>
        </w:rPr>
        <w:t xml:space="preserve"> </w:t>
      </w:r>
      <w:r w:rsidRPr="00C06CF3">
        <w:rPr>
          <w:rFonts w:ascii="Calibri" w:eastAsia="Calibri" w:hAnsi="Calibri" w:cs="Calibri"/>
          <w:color w:val="323333"/>
        </w:rPr>
        <w:t>mechanical twinning mode in α phase is {10-12}&lt;10-12&gt;</w:t>
      </w:r>
      <w:r w:rsidRPr="00C06CF3">
        <w:rPr>
          <w:rFonts w:ascii="Calibri" w:eastAsia="Calibri" w:hAnsi="Calibri" w:cs="Calibri"/>
          <w:color w:val="323333"/>
          <w:vertAlign w:val="subscript"/>
        </w:rPr>
        <w:t xml:space="preserve">α </w:t>
      </w:r>
      <w:r w:rsidRPr="00C06CF3">
        <w:rPr>
          <w:rFonts w:ascii="Calibri" w:eastAsia="Calibri" w:hAnsi="Calibri" w:cs="Calibri"/>
          <w:color w:val="323333"/>
        </w:rPr>
        <w:t>shares the same twinning direction with the {10-11}&lt;10-12&gt;</w:t>
      </w:r>
      <w:r w:rsidRPr="00C06CF3">
        <w:rPr>
          <w:rFonts w:ascii="Calibri" w:eastAsia="Calibri" w:hAnsi="Calibri" w:cs="Calibri"/>
          <w:color w:val="323333"/>
          <w:vertAlign w:val="subscript"/>
        </w:rPr>
        <w:t>α</w:t>
      </w:r>
      <w:r w:rsidRPr="00C06CF3">
        <w:rPr>
          <w:rFonts w:ascii="Calibri" w:eastAsia="Calibri" w:hAnsi="Calibri" w:cs="Calibri"/>
          <w:color w:val="323333"/>
        </w:rPr>
        <w:t xml:space="preserve"> (lattice correspond to SA type I {111}</w:t>
      </w:r>
      <w:r w:rsidRPr="00C06CF3">
        <w:rPr>
          <w:rFonts w:ascii="Calibri" w:eastAsia="Calibri" w:hAnsi="Calibri" w:cs="Calibri"/>
          <w:color w:val="323333"/>
          <w:vertAlign w:val="subscript"/>
        </w:rPr>
        <w:t xml:space="preserve">α’’ </w:t>
      </w:r>
      <w:r w:rsidRPr="00C06CF3">
        <w:rPr>
          <w:rFonts w:ascii="Calibri" w:eastAsia="Calibri" w:hAnsi="Calibri" w:cs="Calibri"/>
          <w:color w:val="323333"/>
        </w:rPr>
        <w:t>twin) twinning mode. The driving force for the cooperation of type I {111}</w:t>
      </w:r>
      <w:r w:rsidRPr="00C06CF3">
        <w:rPr>
          <w:rFonts w:ascii="Calibri" w:eastAsia="Calibri" w:hAnsi="Calibri" w:cs="Calibri"/>
          <w:color w:val="323333"/>
          <w:vertAlign w:val="subscript"/>
        </w:rPr>
        <w:t xml:space="preserve">α’’ </w:t>
      </w:r>
      <w:r w:rsidRPr="00C06CF3">
        <w:rPr>
          <w:rFonts w:ascii="Calibri" w:eastAsia="Calibri" w:hAnsi="Calibri" w:cs="Calibri"/>
          <w:color w:val="323333"/>
        </w:rPr>
        <w:t>and compound {011}</w:t>
      </w:r>
      <w:r w:rsidRPr="00C06CF3">
        <w:rPr>
          <w:rFonts w:ascii="Calibri" w:eastAsia="Calibri" w:hAnsi="Calibri" w:cs="Calibri"/>
          <w:color w:val="323333"/>
          <w:vertAlign w:val="subscript"/>
        </w:rPr>
        <w:t>α’’</w:t>
      </w:r>
      <w:r w:rsidRPr="00C06CF3">
        <w:rPr>
          <w:rFonts w:ascii="Calibri" w:eastAsia="Calibri" w:hAnsi="Calibri" w:cs="Calibri"/>
          <w:color w:val="323333"/>
        </w:rPr>
        <w:t xml:space="preserve"> may not only </w:t>
      </w:r>
      <w:r>
        <w:rPr>
          <w:rFonts w:ascii="Calibri" w:eastAsia="Calibri" w:hAnsi="Calibri" w:cs="Calibri"/>
          <w:color w:val="000000" w:themeColor="text1"/>
        </w:rPr>
        <w:t>originate from</w:t>
      </w:r>
      <w:r w:rsidRPr="00C06CF3">
        <w:rPr>
          <w:rFonts w:ascii="Calibri" w:eastAsia="Calibri" w:hAnsi="Calibri" w:cs="Calibri"/>
          <w:color w:val="000000" w:themeColor="text1"/>
        </w:rPr>
        <w:t xml:space="preserve"> </w:t>
      </w:r>
      <w:r w:rsidRPr="00C06CF3">
        <w:rPr>
          <w:rFonts w:ascii="Calibri" w:eastAsia="Calibri" w:hAnsi="Calibri" w:cs="Calibri"/>
          <w:color w:val="323333"/>
        </w:rPr>
        <w:t>the volume change caused by phase transformation</w:t>
      </w:r>
      <w:r>
        <w:rPr>
          <w:rFonts w:ascii="Calibri" w:eastAsia="Calibri" w:hAnsi="Calibri" w:cs="Calibri"/>
          <w:color w:val="323333"/>
        </w:rPr>
        <w:t>,</w:t>
      </w:r>
      <w:r w:rsidRPr="00C06CF3">
        <w:rPr>
          <w:rFonts w:ascii="Calibri" w:eastAsia="Calibri" w:hAnsi="Calibri" w:cs="Calibri"/>
          <w:color w:val="323333"/>
        </w:rPr>
        <w:t xml:space="preserve"> but also the shear stress exerted along</w:t>
      </w:r>
      <w:r w:rsidR="001101FC">
        <w:rPr>
          <w:rFonts w:ascii="Calibri" w:eastAsia="Calibri" w:hAnsi="Calibri" w:cs="Calibri"/>
          <w:color w:val="323333"/>
        </w:rPr>
        <w:t xml:space="preserve"> the</w:t>
      </w:r>
      <w:r w:rsidRPr="00C06CF3">
        <w:rPr>
          <w:rFonts w:ascii="Calibri" w:eastAsia="Calibri" w:hAnsi="Calibri" w:cs="Calibri"/>
          <w:color w:val="323333"/>
        </w:rPr>
        <w:t xml:space="preserve"> &lt;01-1&gt;</w:t>
      </w:r>
      <w:r w:rsidRPr="00C06CF3">
        <w:rPr>
          <w:rFonts w:ascii="Calibri" w:eastAsia="Calibri" w:hAnsi="Calibri" w:cs="Calibri"/>
          <w:color w:val="323333"/>
          <w:vertAlign w:val="subscript"/>
        </w:rPr>
        <w:t>α’’</w:t>
      </w:r>
      <w:r w:rsidRPr="00C06CF3">
        <w:rPr>
          <w:rFonts w:ascii="Calibri" w:eastAsia="Calibri" w:hAnsi="Calibri" w:cs="Calibri"/>
          <w:color w:val="323333"/>
        </w:rPr>
        <w:t xml:space="preserve"> direction</w:t>
      </w:r>
      <w:r>
        <w:rPr>
          <w:rFonts w:ascii="Calibri" w:eastAsia="Calibri" w:hAnsi="Calibri" w:cs="Calibri"/>
          <w:color w:val="323333"/>
        </w:rPr>
        <w:t xml:space="preserve"> </w:t>
      </w:r>
      <w:r w:rsidRPr="00C06CF3">
        <w:fldChar w:fldCharType="begin" w:fldLock="1"/>
      </w:r>
      <w:r>
        <w:rPr>
          <w:rFonts w:cs="Calibri"/>
          <w:color w:val="333333"/>
        </w:rPr>
        <w:instrText>ADDIN CSL_CITATION {"citationItems":[{"id":"ITEM-1","itemData":{"DOI":"10.1038/s41598-018-30059-8","ISSN":"20452322","author":[{"dropping-particle":"","family":"Lee","given":"Sangwon","non-dropping-particle":"","parse-names":false,"suffix":""},{"dropping-particle":"","family":"Park","given":"Chanhee","non-dropping-particle":"","parse-names":false,"suffix":""},{"dropping-particle":"","family":"Hong","given":"Jaekeun","non-dropping-particle":"","parse-names":false,"suffix":""},{"dropping-particle":"","family":"Yeom","given":"Jong taek","non-dropping-particle":"","parse-names":false,"suffix":""}],"container-title":"Scientific Reports","id":"ITEM-1","issued":{"date-parts":[["2018"]]},"title":"The Role of Nano-domains in {1–011} Twinned Martensite in Metastable Titanium Alloys","type":"article-journal"},"uris":["http://www.mendeley.com/documents/?uuid=20a7a593-1059-43a7-977b-5a1bdc5dfddd"]}],"mendeley":{"formattedCitation":"[159]","plainTextFormattedCitation":"[159]","previouslyFormattedCitation":"[159]"},"properties":{"noteIndex":0},"schema":"https://github.com/citation-style-language/schema/raw/master/csl-citation.json"}</w:instrText>
      </w:r>
      <w:r w:rsidRPr="00C06CF3">
        <w:rPr>
          <w:rFonts w:cs="Calibri"/>
          <w:color w:val="333333"/>
        </w:rPr>
        <w:fldChar w:fldCharType="separate"/>
      </w:r>
      <w:r w:rsidRPr="003B39BC">
        <w:rPr>
          <w:rFonts w:cs="Calibri"/>
          <w:noProof/>
          <w:color w:val="333333"/>
        </w:rPr>
        <w:t>[159]</w:t>
      </w:r>
      <w:r w:rsidRPr="00C06CF3">
        <w:fldChar w:fldCharType="end"/>
      </w:r>
      <w:r w:rsidRPr="00C06CF3">
        <w:rPr>
          <w:rFonts w:ascii="Calibri" w:eastAsia="Calibri" w:hAnsi="Calibri" w:cs="Calibri"/>
          <w:color w:val="333333"/>
        </w:rPr>
        <w:t xml:space="preserve">. </w:t>
      </w:r>
      <w:r>
        <w:rPr>
          <w:rFonts w:cs="Calibri"/>
          <w:color w:val="333333"/>
        </w:rPr>
        <w:t xml:space="preserve">Accordingly, it is </w:t>
      </w:r>
      <w:r w:rsidR="004A2B25">
        <w:rPr>
          <w:rFonts w:cs="Calibri"/>
          <w:color w:val="333333"/>
        </w:rPr>
        <w:t>plausible</w:t>
      </w:r>
      <w:r>
        <w:rPr>
          <w:rFonts w:cs="Calibri"/>
          <w:color w:val="333333"/>
        </w:rPr>
        <w:t xml:space="preserve"> to deduce that both </w:t>
      </w:r>
      <w:r w:rsidRPr="005E163A">
        <w:rPr>
          <w:rFonts w:cs="Calibri"/>
          <w:color w:val="333333"/>
        </w:rPr>
        <w:t>type I {111}</w:t>
      </w:r>
      <w:r w:rsidRPr="005E163A">
        <w:rPr>
          <w:rFonts w:cs="Times New Roman"/>
          <w:color w:val="333333"/>
          <w:vertAlign w:val="subscript"/>
        </w:rPr>
        <w:t xml:space="preserve"> α</w:t>
      </w:r>
      <w:r w:rsidRPr="005E163A">
        <w:rPr>
          <w:rFonts w:cs="Calibri"/>
          <w:color w:val="333333"/>
          <w:vertAlign w:val="subscript"/>
        </w:rPr>
        <w:t xml:space="preserve">’’ </w:t>
      </w:r>
      <w:r w:rsidRPr="005E163A">
        <w:rPr>
          <w:rFonts w:cs="Calibri"/>
          <w:color w:val="333333"/>
        </w:rPr>
        <w:t>and</w:t>
      </w:r>
      <w:r>
        <w:rPr>
          <w:rFonts w:cs="Calibri"/>
          <w:color w:val="333333"/>
        </w:rPr>
        <w:t xml:space="preserve"> </w:t>
      </w:r>
      <w:r w:rsidRPr="005E163A">
        <w:rPr>
          <w:rFonts w:cs="Calibri"/>
          <w:color w:val="333333"/>
        </w:rPr>
        <w:t>compound {011}</w:t>
      </w:r>
      <w:r w:rsidRPr="005E163A">
        <w:rPr>
          <w:rFonts w:cs="Times New Roman"/>
          <w:color w:val="333333"/>
          <w:vertAlign w:val="subscript"/>
        </w:rPr>
        <w:t>α</w:t>
      </w:r>
      <w:r w:rsidRPr="005E163A">
        <w:rPr>
          <w:rFonts w:cs="Calibri"/>
          <w:color w:val="333333"/>
          <w:vertAlign w:val="subscript"/>
        </w:rPr>
        <w:t>’’</w:t>
      </w:r>
      <w:r>
        <w:rPr>
          <w:rFonts w:cs="Calibri"/>
          <w:color w:val="333333"/>
        </w:rPr>
        <w:t xml:space="preserve"> twinning can be regarded as potential mechanical twinning modes in</w:t>
      </w:r>
      <w:r w:rsidRPr="005E163A">
        <w:rPr>
          <w:rFonts w:cs="Calibri"/>
          <w:color w:val="333333"/>
        </w:rPr>
        <w:t xml:space="preserve"> </w:t>
      </w:r>
      <w:r>
        <w:rPr>
          <w:rFonts w:cs="Calibri"/>
          <w:color w:val="333333"/>
        </w:rPr>
        <w:t xml:space="preserve">the </w:t>
      </w:r>
      <w:r w:rsidRPr="005E163A">
        <w:rPr>
          <w:rFonts w:cs="Times New Roman"/>
          <w:color w:val="333333"/>
        </w:rPr>
        <w:t>α</w:t>
      </w:r>
      <w:r w:rsidRPr="005E163A">
        <w:rPr>
          <w:rFonts w:cs="Calibri"/>
          <w:color w:val="333333"/>
        </w:rPr>
        <w:t>’’</w:t>
      </w:r>
      <w:r>
        <w:rPr>
          <w:rFonts w:cs="Calibri"/>
          <w:color w:val="333333"/>
        </w:rPr>
        <w:t xml:space="preserve"> phase and can be </w:t>
      </w:r>
      <w:r w:rsidR="001101FC">
        <w:rPr>
          <w:rFonts w:cs="Calibri"/>
          <w:color w:val="333333"/>
        </w:rPr>
        <w:t xml:space="preserve">further </w:t>
      </w:r>
      <w:r>
        <w:rPr>
          <w:rFonts w:cs="Calibri"/>
          <w:color w:val="333333"/>
        </w:rPr>
        <w:t xml:space="preserve">utilised to improve the TWIP effect. </w:t>
      </w:r>
      <w:r>
        <w:rPr>
          <w:rFonts w:ascii="Calibri" w:hAnsi="Calibri" w:cs="Calibri"/>
          <w:color w:val="333333"/>
        </w:rPr>
        <w:t>The self-accommodation morphology can also contribute to the grain refinement, with special polygon shape type I twin and type II twin related lath structure</w:t>
      </w:r>
      <w:r w:rsidR="001101FC">
        <w:rPr>
          <w:rFonts w:ascii="Calibri" w:hAnsi="Calibri" w:cs="Calibri"/>
          <w:color w:val="333333"/>
        </w:rPr>
        <w:t>s</w:t>
      </w:r>
      <w:r>
        <w:rPr>
          <w:rFonts w:ascii="Calibri" w:hAnsi="Calibri" w:cs="Calibri"/>
          <w:color w:val="333333"/>
        </w:rPr>
        <w:t>. Thi</w:t>
      </w:r>
      <w:r w:rsidRPr="00C06CF3">
        <w:rPr>
          <w:rFonts w:ascii="Calibri" w:hAnsi="Calibri" w:cs="Calibri"/>
          <w:color w:val="333333"/>
        </w:rPr>
        <w:t xml:space="preserve">s contribution to grain refinement profoundly complicates the microstructure and prohibits dislocation glide across the grain boundary as shown in Fig 2-27(h). </w:t>
      </w:r>
      <w:r>
        <w:rPr>
          <w:rFonts w:ascii="Calibri" w:hAnsi="Calibri" w:cs="Calibri"/>
          <w:color w:val="333333"/>
        </w:rPr>
        <w:t xml:space="preserve">Together with the cooperation of TWIP effect and TRIP effect, this series of SA twinnings </w:t>
      </w:r>
      <w:r w:rsidRPr="009A4117">
        <w:rPr>
          <w:rFonts w:ascii="Calibri" w:hAnsi="Calibri" w:cs="Calibri"/>
          <w:noProof/>
          <w:color w:val="333333"/>
        </w:rPr>
        <w:t>has</w:t>
      </w:r>
      <w:r>
        <w:rPr>
          <w:rFonts w:ascii="Calibri" w:hAnsi="Calibri" w:cs="Calibri"/>
          <w:color w:val="333333"/>
        </w:rPr>
        <w:t xml:space="preserve"> the potential to provide </w:t>
      </w:r>
      <w:r w:rsidR="001101FC">
        <w:rPr>
          <w:rFonts w:ascii="Calibri" w:hAnsi="Calibri" w:cs="Calibri"/>
          <w:color w:val="333333"/>
        </w:rPr>
        <w:t xml:space="preserve">an </w:t>
      </w:r>
      <w:r>
        <w:rPr>
          <w:rFonts w:ascii="Calibri" w:hAnsi="Calibri" w:cs="Calibri"/>
          <w:color w:val="333333"/>
        </w:rPr>
        <w:t>additional strengthening source for existing</w:t>
      </w:r>
      <w:r w:rsidRPr="00C06CF3">
        <w:rPr>
          <w:rFonts w:ascii="Calibri" w:hAnsi="Calibri" w:cs="Calibri"/>
          <w:noProof/>
          <w:color w:val="000000" w:themeColor="text1"/>
        </w:rPr>
        <w:t xml:space="preserve"> </w:t>
      </w:r>
      <w:r w:rsidRPr="009A4117">
        <w:rPr>
          <w:rFonts w:ascii="Calibri" w:hAnsi="Calibri" w:cs="Calibri"/>
          <w:noProof/>
          <w:color w:val="333333"/>
        </w:rPr>
        <w:t>RHEAs</w:t>
      </w:r>
      <w:r>
        <w:rPr>
          <w:rFonts w:ascii="Calibri" w:hAnsi="Calibri" w:cs="Calibri"/>
          <w:color w:val="333333"/>
        </w:rPr>
        <w:t>.</w:t>
      </w:r>
    </w:p>
    <w:p w14:paraId="531D67DE" w14:textId="4522304B" w:rsidR="001101FC" w:rsidRDefault="001101FC" w:rsidP="00624970">
      <w:pPr>
        <w:spacing w:afterLines="60" w:after="144" w:line="360" w:lineRule="auto"/>
        <w:jc w:val="both"/>
        <w:rPr>
          <w:rFonts w:ascii="Calibri" w:hAnsi="Calibri" w:cs="Calibri"/>
          <w:color w:val="333333"/>
        </w:rPr>
      </w:pPr>
    </w:p>
    <w:p w14:paraId="4BA37D32" w14:textId="0D2DACBA" w:rsidR="001101FC" w:rsidRDefault="001101FC" w:rsidP="00624970">
      <w:pPr>
        <w:spacing w:afterLines="60" w:after="144" w:line="360" w:lineRule="auto"/>
        <w:jc w:val="both"/>
        <w:rPr>
          <w:rFonts w:ascii="Calibri" w:hAnsi="Calibri" w:cs="Calibri"/>
          <w:color w:val="333333"/>
        </w:rPr>
      </w:pPr>
    </w:p>
    <w:p w14:paraId="2C480502" w14:textId="560519D3" w:rsidR="001101FC" w:rsidRDefault="001101FC" w:rsidP="00624970">
      <w:pPr>
        <w:spacing w:afterLines="60" w:after="144" w:line="360" w:lineRule="auto"/>
        <w:jc w:val="both"/>
        <w:rPr>
          <w:rFonts w:ascii="Calibri" w:hAnsi="Calibri" w:cs="Calibri"/>
          <w:color w:val="333333"/>
        </w:rPr>
      </w:pPr>
    </w:p>
    <w:p w14:paraId="1CBCA446" w14:textId="08E8E30D" w:rsidR="001101FC" w:rsidRDefault="001101FC" w:rsidP="00624970">
      <w:pPr>
        <w:spacing w:afterLines="60" w:after="144" w:line="360" w:lineRule="auto"/>
        <w:jc w:val="both"/>
        <w:rPr>
          <w:rFonts w:ascii="Calibri" w:hAnsi="Calibri" w:cs="Calibri"/>
          <w:color w:val="333333"/>
        </w:rPr>
      </w:pPr>
    </w:p>
    <w:p w14:paraId="695B2417" w14:textId="2C3B9577" w:rsidR="001101FC" w:rsidRDefault="001101FC" w:rsidP="00624970">
      <w:pPr>
        <w:spacing w:afterLines="60" w:after="144" w:line="360" w:lineRule="auto"/>
        <w:jc w:val="both"/>
        <w:rPr>
          <w:rFonts w:ascii="Calibri" w:hAnsi="Calibri" w:cs="Calibri"/>
          <w:color w:val="333333"/>
        </w:rPr>
      </w:pPr>
    </w:p>
    <w:p w14:paraId="04E1CE46" w14:textId="729AEA87" w:rsidR="001101FC" w:rsidRDefault="001101FC" w:rsidP="00624970">
      <w:pPr>
        <w:spacing w:afterLines="60" w:after="144" w:line="360" w:lineRule="auto"/>
        <w:jc w:val="both"/>
        <w:rPr>
          <w:rFonts w:ascii="Calibri" w:hAnsi="Calibri" w:cs="Calibri"/>
          <w:color w:val="333333"/>
        </w:rPr>
      </w:pPr>
    </w:p>
    <w:p w14:paraId="3C243275" w14:textId="77777777" w:rsidR="001101FC" w:rsidRPr="0047573B" w:rsidRDefault="001101FC" w:rsidP="00624970">
      <w:pPr>
        <w:spacing w:afterLines="60" w:after="144" w:line="360" w:lineRule="auto"/>
        <w:jc w:val="both"/>
        <w:rPr>
          <w:rFonts w:ascii="Calibri" w:hAnsi="Calibri" w:cs="Calibri"/>
          <w:color w:val="333333"/>
        </w:rPr>
      </w:pPr>
    </w:p>
    <w:p w14:paraId="1534B174" w14:textId="77777777" w:rsidR="00624970" w:rsidRPr="001E3029" w:rsidRDefault="00624970" w:rsidP="00624970">
      <w:pPr>
        <w:pStyle w:val="2"/>
        <w:spacing w:before="0" w:afterLines="60" w:after="144" w:line="360" w:lineRule="auto"/>
        <w:rPr>
          <w:rFonts w:asciiTheme="minorHAnsi" w:hAnsiTheme="minorHAnsi"/>
          <w:b/>
          <w:color w:val="000000" w:themeColor="text1"/>
          <w:sz w:val="32"/>
        </w:rPr>
      </w:pPr>
      <w:bookmarkStart w:id="193" w:name="_Toc5618291"/>
      <w:bookmarkStart w:id="194" w:name="_Toc22052517"/>
      <w:r w:rsidRPr="001E3029">
        <w:rPr>
          <w:rFonts w:asciiTheme="minorHAnsi" w:hAnsiTheme="minorHAnsi"/>
          <w:b/>
          <w:color w:val="000000" w:themeColor="text1"/>
          <w:sz w:val="32"/>
        </w:rPr>
        <w:lastRenderedPageBreak/>
        <w:t>2.7 Summary</w:t>
      </w:r>
      <w:bookmarkEnd w:id="193"/>
      <w:bookmarkEnd w:id="194"/>
      <w:r w:rsidRPr="001E3029">
        <w:rPr>
          <w:rFonts w:asciiTheme="minorHAnsi" w:hAnsiTheme="minorHAnsi"/>
          <w:b/>
          <w:color w:val="000000" w:themeColor="text1"/>
          <w:sz w:val="32"/>
        </w:rPr>
        <w:t xml:space="preserve"> </w:t>
      </w:r>
    </w:p>
    <w:p w14:paraId="218865C4" w14:textId="77777777" w:rsidR="00624970" w:rsidRDefault="00624970" w:rsidP="00624970">
      <w:pPr>
        <w:spacing w:afterLines="60" w:after="144" w:line="360" w:lineRule="auto"/>
        <w:jc w:val="both"/>
      </w:pPr>
      <w:r>
        <w:t>R</w:t>
      </w:r>
      <w:r w:rsidRPr="0044096C">
        <w:t>esearch has been undertaken into</w:t>
      </w:r>
      <w:r w:rsidRPr="20DC30E2">
        <w:t xml:space="preserve"> </w:t>
      </w:r>
      <w:r w:rsidRPr="0044096C">
        <w:t>HEAs</w:t>
      </w:r>
      <w:r w:rsidRPr="20DC30E2">
        <w:t xml:space="preserve"> </w:t>
      </w:r>
      <w:r w:rsidRPr="0044096C">
        <w:t>through both advanced and semi-empirical methods. In particular, experiments have been carried out to identify</w:t>
      </w:r>
      <w:r w:rsidRPr="20DC30E2">
        <w:t xml:space="preserve"> </w:t>
      </w:r>
      <w:r w:rsidRPr="0044096C">
        <w:t>the underlying mechanism for simple solid solution phase</w:t>
      </w:r>
      <w:r>
        <w:t>s</w:t>
      </w:r>
      <w:r w:rsidRPr="0044096C">
        <w:t xml:space="preserve"> forming in this series </w:t>
      </w:r>
      <w:r>
        <w:t>of</w:t>
      </w:r>
      <w:r w:rsidRPr="0044096C">
        <w:t xml:space="preserve"> alloy system</w:t>
      </w:r>
      <w:r>
        <w:t>s</w:t>
      </w:r>
      <w:r w:rsidRPr="20DC30E2">
        <w:t xml:space="preserve">.  </w:t>
      </w:r>
      <w:r w:rsidRPr="0044096C">
        <w:t xml:space="preserve">Both semi-empirical and </w:t>
      </w:r>
      <w:r w:rsidRPr="006B3ACA">
        <w:rPr>
          <w:i/>
        </w:rPr>
        <w:t>ab initio</w:t>
      </w:r>
      <w:r w:rsidRPr="0044096C">
        <w:t xml:space="preserve"> methods are</w:t>
      </w:r>
      <w:r w:rsidRPr="20DC30E2">
        <w:t xml:space="preserve"> </w:t>
      </w:r>
      <w:r w:rsidRPr="0044096C">
        <w:t>effective</w:t>
      </w:r>
      <w:r>
        <w:t>ly developed</w:t>
      </w:r>
      <w:r w:rsidRPr="0044096C">
        <w:t xml:space="preserve"> in predicting</w:t>
      </w:r>
      <w:r w:rsidRPr="20DC30E2">
        <w:t xml:space="preserve"> </w:t>
      </w:r>
      <w:r w:rsidRPr="0044096C">
        <w:t>the</w:t>
      </w:r>
      <w:r w:rsidRPr="20DC30E2">
        <w:t xml:space="preserve"> </w:t>
      </w:r>
      <w:r w:rsidRPr="0044096C">
        <w:t xml:space="preserve">mechanical properties of HEAs. </w:t>
      </w:r>
      <w:r>
        <w:t>Moreover</w:t>
      </w:r>
      <w:r w:rsidRPr="250B347C">
        <w:t xml:space="preserve">, </w:t>
      </w:r>
      <w:r w:rsidRPr="4B13125B">
        <w:t>greater</w:t>
      </w:r>
      <w:r w:rsidRPr="20DC30E2">
        <w:t xml:space="preserve"> </w:t>
      </w:r>
      <w:r w:rsidRPr="3A54108B">
        <w:t xml:space="preserve">precision </w:t>
      </w:r>
      <w:r>
        <w:t>has been achieved i</w:t>
      </w:r>
      <w:r w:rsidRPr="3A54108B">
        <w:t xml:space="preserve">n predicting phase formation. </w:t>
      </w:r>
      <w:r w:rsidRPr="00C06CF3">
        <w:rPr>
          <w:color w:val="000000" w:themeColor="text1"/>
        </w:rPr>
        <w:t>Such developments offer</w:t>
      </w:r>
      <w:r w:rsidRPr="0044096C">
        <w:t xml:space="preserve"> researchers a reliable tool to screen desired HEAs from thousands of candidates</w:t>
      </w:r>
      <w:r w:rsidRPr="20DC30E2">
        <w:t xml:space="preserve">. </w:t>
      </w:r>
    </w:p>
    <w:p w14:paraId="08B4D3A4" w14:textId="77777777" w:rsidR="00624970" w:rsidRDefault="00624970" w:rsidP="00624970">
      <w:pPr>
        <w:spacing w:afterLines="60" w:after="144" w:line="360" w:lineRule="auto"/>
        <w:jc w:val="both"/>
      </w:pPr>
      <w:r>
        <w:t>I</w:t>
      </w:r>
      <w:r w:rsidRPr="70C94A81">
        <w:t xml:space="preserve">nspired by these </w:t>
      </w:r>
      <w:r>
        <w:t xml:space="preserve">findings, </w:t>
      </w:r>
      <w:r w:rsidRPr="0044096C">
        <w:t>conventional alloy strengthening</w:t>
      </w:r>
      <w:r w:rsidRPr="20DC30E2">
        <w:t xml:space="preserve"> </w:t>
      </w:r>
      <w:r w:rsidRPr="00C06CF3">
        <w:rPr>
          <w:noProof/>
        </w:rPr>
        <w:t>w</w:t>
      </w:r>
      <w:r w:rsidRPr="0044096C">
        <w:rPr>
          <w:noProof/>
        </w:rPr>
        <w:t>as</w:t>
      </w:r>
      <w:r w:rsidRPr="0044096C">
        <w:t xml:space="preserve"> successfully </w:t>
      </w:r>
      <w:r>
        <w:t>achieved</w:t>
      </w:r>
      <w:r w:rsidRPr="0044096C">
        <w:t xml:space="preserve"> in the </w:t>
      </w:r>
      <w:r w:rsidRPr="20DC30E2">
        <w:t>‘</w:t>
      </w:r>
      <w:r w:rsidRPr="0044096C">
        <w:t>3d-transitional group</w:t>
      </w:r>
      <w:r w:rsidRPr="20DC30E2">
        <w:t>’</w:t>
      </w:r>
      <w:r w:rsidRPr="0044096C">
        <w:t xml:space="preserve"> HEAs by TWIP/TRIP and </w:t>
      </w:r>
      <w:r>
        <w:t>resulted in</w:t>
      </w:r>
      <w:r w:rsidRPr="0044096C">
        <w:t xml:space="preserve"> </w:t>
      </w:r>
      <w:r>
        <w:t>increasing the</w:t>
      </w:r>
      <w:r w:rsidRPr="0044096C">
        <w:t xml:space="preserve"> mechanical performance. However, there remains another essential group of HEAs whose compon</w:t>
      </w:r>
      <w:r w:rsidRPr="0044096C">
        <w:rPr>
          <w:noProof/>
        </w:rPr>
        <w:t>ents</w:t>
      </w:r>
      <w:r>
        <w:rPr>
          <w:noProof/>
        </w:rPr>
        <w:t xml:space="preserve"> are</w:t>
      </w:r>
      <w:r w:rsidRPr="0044096C">
        <w:t xml:space="preserve"> mainly composed of refractory elements (RHEAs)</w:t>
      </w:r>
      <w:r>
        <w:t>, which exhibit limited</w:t>
      </w:r>
      <w:r w:rsidRPr="0044096C">
        <w:t xml:space="preserve"> mechanical response at </w:t>
      </w:r>
      <w:r>
        <w:t>ambient</w:t>
      </w:r>
      <w:r w:rsidRPr="0044096C">
        <w:t xml:space="preserve"> temperature</w:t>
      </w:r>
      <w:r>
        <w:t>s</w:t>
      </w:r>
      <w:r w:rsidRPr="0044096C">
        <w:t xml:space="preserve">. </w:t>
      </w:r>
    </w:p>
    <w:p w14:paraId="1C280057" w14:textId="4ABDF2EB" w:rsidR="00624970" w:rsidRDefault="00624970" w:rsidP="00624970">
      <w:pPr>
        <w:spacing w:after="120" w:line="360" w:lineRule="auto"/>
        <w:jc w:val="both"/>
      </w:pPr>
      <w:r>
        <w:t>In order to</w:t>
      </w:r>
      <w:r w:rsidRPr="0044096C">
        <w:rPr>
          <w:noProof/>
        </w:rPr>
        <w:t xml:space="preserve"> promote </w:t>
      </w:r>
      <w:r>
        <w:rPr>
          <w:noProof/>
        </w:rPr>
        <w:t>strength and ductility</w:t>
      </w:r>
      <w:r w:rsidRPr="0044096C">
        <w:rPr>
          <w:noProof/>
        </w:rPr>
        <w:t xml:space="preserve"> </w:t>
      </w:r>
      <w:r>
        <w:rPr>
          <w:noProof/>
        </w:rPr>
        <w:t>in</w:t>
      </w:r>
      <w:r w:rsidRPr="0044096C">
        <w:rPr>
          <w:noProof/>
        </w:rPr>
        <w:t xml:space="preserve"> RHEAs</w:t>
      </w:r>
      <w:r>
        <w:rPr>
          <w:noProof/>
        </w:rPr>
        <w:t xml:space="preserve"> under ambient temperatures</w:t>
      </w:r>
      <w:r w:rsidRPr="0044096C">
        <w:t xml:space="preserve">, </w:t>
      </w:r>
      <w:r>
        <w:t xml:space="preserve">the focus of </w:t>
      </w:r>
      <w:r w:rsidR="001101FC">
        <w:t xml:space="preserve">this </w:t>
      </w:r>
      <w:r>
        <w:t>current thesis concentrates on the development of</w:t>
      </w:r>
      <w:r w:rsidR="001101FC">
        <w:t xml:space="preserve"> a</w:t>
      </w:r>
      <w:r>
        <w:t xml:space="preserve"> new strengthening strategy of RHEAs. The strategy will introduce and detail </w:t>
      </w:r>
      <w:r w:rsidRPr="0044096C">
        <w:t xml:space="preserve">several </w:t>
      </w:r>
      <w:r>
        <w:t xml:space="preserve">different </w:t>
      </w:r>
      <w:r w:rsidRPr="0044096C">
        <w:t>approaches</w:t>
      </w:r>
      <w:r>
        <w:t xml:space="preserve">, in an attempt to promote mechanical performance of RHEAs at room temperature. </w:t>
      </w:r>
      <w:r w:rsidRPr="2A90E7A9">
        <w:t xml:space="preserve">The most </w:t>
      </w:r>
      <w:r w:rsidRPr="10E2A543">
        <w:t xml:space="preserve">effective </w:t>
      </w:r>
      <w:r>
        <w:t>may be</w:t>
      </w:r>
      <w:r w:rsidRPr="0044096C">
        <w:t xml:space="preserve"> the coherent</w:t>
      </w:r>
      <w:r w:rsidRPr="20DC30E2">
        <w:t xml:space="preserve"> </w:t>
      </w:r>
      <w:r w:rsidRPr="0044096C">
        <w:t>deformation mechanism</w:t>
      </w:r>
      <w:r>
        <w:t>s of</w:t>
      </w:r>
      <w:r w:rsidRPr="0044096C">
        <w:t xml:space="preserve"> TRIP</w:t>
      </w:r>
      <w:r>
        <w:t xml:space="preserve"> and </w:t>
      </w:r>
      <w:r w:rsidRPr="0044096C">
        <w:t>TWIP</w:t>
      </w:r>
      <w:r>
        <w:rPr>
          <w:noProof/>
        </w:rPr>
        <w:t>, in addition to</w:t>
      </w:r>
      <w:r w:rsidRPr="0044096C">
        <w:rPr>
          <w:noProof/>
        </w:rPr>
        <w:t xml:space="preserve"> </w:t>
      </w:r>
      <w:r w:rsidRPr="0044096C">
        <w:t>metastable engineering and self-accommodation morphology</w:t>
      </w:r>
      <w:r>
        <w:t>. These will be described in successive chapters.</w:t>
      </w:r>
      <w:r w:rsidRPr="20DC30E2">
        <w:t xml:space="preserve"> </w:t>
      </w:r>
    </w:p>
    <w:p w14:paraId="45A1C134" w14:textId="77777777" w:rsidR="00624970" w:rsidRDefault="00624970" w:rsidP="00624970">
      <w:pPr>
        <w:spacing w:after="120" w:line="360" w:lineRule="auto"/>
        <w:jc w:val="both"/>
      </w:pPr>
    </w:p>
    <w:p w14:paraId="697DB930" w14:textId="77777777" w:rsidR="00624970" w:rsidRDefault="00624970" w:rsidP="00624970">
      <w:pPr>
        <w:spacing w:after="120" w:line="360" w:lineRule="auto"/>
        <w:jc w:val="both"/>
      </w:pPr>
    </w:p>
    <w:p w14:paraId="1736435A" w14:textId="77777777" w:rsidR="00624970" w:rsidRDefault="00624970" w:rsidP="00624970">
      <w:pPr>
        <w:spacing w:after="120" w:line="360" w:lineRule="auto"/>
        <w:jc w:val="both"/>
      </w:pPr>
    </w:p>
    <w:p w14:paraId="17C2902A" w14:textId="77777777" w:rsidR="00624970" w:rsidRDefault="00624970" w:rsidP="00624970">
      <w:pPr>
        <w:spacing w:after="120" w:line="360" w:lineRule="auto"/>
        <w:jc w:val="both"/>
      </w:pPr>
    </w:p>
    <w:p w14:paraId="1E216524" w14:textId="77777777" w:rsidR="00624970" w:rsidRDefault="00624970" w:rsidP="00624970">
      <w:pPr>
        <w:spacing w:after="120" w:line="360" w:lineRule="auto"/>
        <w:jc w:val="both"/>
      </w:pPr>
    </w:p>
    <w:p w14:paraId="0231CD4E" w14:textId="77777777" w:rsidR="00624970" w:rsidRDefault="00624970" w:rsidP="00624970">
      <w:pPr>
        <w:spacing w:after="120" w:line="360" w:lineRule="auto"/>
        <w:jc w:val="both"/>
      </w:pPr>
    </w:p>
    <w:p w14:paraId="4B9DD7CB" w14:textId="77777777" w:rsidR="00624970" w:rsidRDefault="00624970" w:rsidP="00624970">
      <w:pPr>
        <w:spacing w:after="120" w:line="360" w:lineRule="auto"/>
        <w:jc w:val="both"/>
      </w:pPr>
    </w:p>
    <w:p w14:paraId="016C51E8" w14:textId="77777777" w:rsidR="00624970" w:rsidRDefault="00624970" w:rsidP="00624970">
      <w:pPr>
        <w:spacing w:after="120" w:line="360" w:lineRule="auto"/>
        <w:jc w:val="both"/>
      </w:pPr>
    </w:p>
    <w:p w14:paraId="338EDC84" w14:textId="77777777" w:rsidR="00624970" w:rsidRDefault="00624970" w:rsidP="00624970">
      <w:pPr>
        <w:spacing w:after="120" w:line="360" w:lineRule="auto"/>
        <w:jc w:val="both"/>
      </w:pPr>
    </w:p>
    <w:p w14:paraId="431460B2" w14:textId="77777777" w:rsidR="00624970" w:rsidRDefault="00624970" w:rsidP="00624970">
      <w:pPr>
        <w:spacing w:after="120" w:line="360" w:lineRule="auto"/>
        <w:jc w:val="both"/>
      </w:pPr>
    </w:p>
    <w:p w14:paraId="7FCE6959" w14:textId="77777777" w:rsidR="00624970" w:rsidRDefault="00624970" w:rsidP="00624970">
      <w:pPr>
        <w:pStyle w:val="2"/>
        <w:spacing w:before="0" w:after="120" w:line="360" w:lineRule="auto"/>
        <w:rPr>
          <w:rFonts w:asciiTheme="minorHAnsi" w:hAnsiTheme="minorHAnsi"/>
          <w:b/>
          <w:color w:val="000000" w:themeColor="text1"/>
          <w:sz w:val="32"/>
        </w:rPr>
      </w:pPr>
      <w:bookmarkStart w:id="195" w:name="_Toc22052518"/>
      <w:r w:rsidRPr="001E3029">
        <w:rPr>
          <w:rFonts w:asciiTheme="minorHAnsi" w:hAnsiTheme="minorHAnsi"/>
          <w:b/>
          <w:color w:val="000000" w:themeColor="text1"/>
          <w:sz w:val="32"/>
        </w:rPr>
        <w:lastRenderedPageBreak/>
        <w:t>2.</w:t>
      </w:r>
      <w:r>
        <w:rPr>
          <w:rFonts w:asciiTheme="minorHAnsi" w:hAnsiTheme="minorHAnsi"/>
          <w:b/>
          <w:color w:val="000000" w:themeColor="text1"/>
          <w:sz w:val="32"/>
        </w:rPr>
        <w:t>8</w:t>
      </w:r>
      <w:r w:rsidRPr="001E3029">
        <w:rPr>
          <w:rFonts w:asciiTheme="minorHAnsi" w:hAnsiTheme="minorHAnsi"/>
          <w:b/>
          <w:color w:val="000000" w:themeColor="text1"/>
          <w:sz w:val="32"/>
        </w:rPr>
        <w:t xml:space="preserve"> </w:t>
      </w:r>
      <w:r>
        <w:rPr>
          <w:rFonts w:asciiTheme="minorHAnsi" w:hAnsiTheme="minorHAnsi"/>
          <w:b/>
          <w:color w:val="000000" w:themeColor="text1"/>
          <w:sz w:val="32"/>
        </w:rPr>
        <w:t>References</w:t>
      </w:r>
      <w:bookmarkEnd w:id="195"/>
    </w:p>
    <w:p w14:paraId="2CAC6F9F"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fldChar w:fldCharType="begin" w:fldLock="1"/>
      </w:r>
      <w:r>
        <w:instrText xml:space="preserve">ADDIN Mendeley Bibliography CSL_BIBLIOGRAPHY </w:instrText>
      </w:r>
      <w:r>
        <w:fldChar w:fldCharType="separate"/>
      </w:r>
      <w:r w:rsidRPr="003B39BC">
        <w:rPr>
          <w:rFonts w:ascii="Calibri" w:hAnsi="Calibri" w:cs="Times New Roman"/>
          <w:noProof/>
          <w:szCs w:val="24"/>
        </w:rPr>
        <w:t>[1]</w:t>
      </w:r>
      <w:r w:rsidRPr="003B39BC">
        <w:rPr>
          <w:rFonts w:ascii="Calibri" w:hAnsi="Calibri" w:cs="Times New Roman"/>
          <w:noProof/>
          <w:szCs w:val="24"/>
        </w:rPr>
        <w:tab/>
        <w:t>B. Cantor, I.T.H. Chang, P. Knight, A.J.B. Vincent, Microstructural development in equiatomic multicomponent alloys, Mater. Sci. Eng. A. (2004). doi:10.1016/j.msea.2003.10.257.</w:t>
      </w:r>
    </w:p>
    <w:p w14:paraId="6E42FD00"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[2]</w:t>
      </w:r>
      <w:r w:rsidRPr="003B39BC">
        <w:rPr>
          <w:rFonts w:ascii="Calibri" w:hAnsi="Calibri" w:cs="Times New Roman"/>
          <w:noProof/>
          <w:szCs w:val="24"/>
        </w:rPr>
        <w:tab/>
        <w:t>J.W. Yeh, S.K. Chen, S.J. Lin, J.Y. Gan, T.S. Chin, T.T. Shun, C.H. Tsau, S.Y. Chang, Nanostructured high-entropy alloys with multiple principal elements: Novel alloy design concepts and outcomes, Adv. Eng. Mater. (2004). doi:10.1002/adem.200300567.</w:t>
      </w:r>
    </w:p>
    <w:p w14:paraId="1AF0EBD4"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[3]</w:t>
      </w:r>
      <w:r w:rsidRPr="003B39BC">
        <w:rPr>
          <w:rFonts w:ascii="Calibri" w:hAnsi="Calibri" w:cs="Times New Roman"/>
          <w:noProof/>
          <w:szCs w:val="24"/>
        </w:rPr>
        <w:tab/>
        <w:t>U. Dahlborg, J. Cornide, M. Calvo-Dahlborg, T.C. Hansen, Z. Leong, L. Asensio Dominguez, S. Chambreland, A. Cunliffe, R. Goodall, I. Todd, Crystalline structures of some high entropy alloys obtained by neutron and X-ray diffraction, in: Acta Phys. Pol. A, 2015. doi:10.12693/APhysPolA.128.552.</w:t>
      </w:r>
    </w:p>
    <w:p w14:paraId="2793DD30"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[4]</w:t>
      </w:r>
      <w:r w:rsidRPr="003B39BC">
        <w:rPr>
          <w:rFonts w:ascii="Calibri" w:hAnsi="Calibri" w:cs="Times New Roman"/>
          <w:noProof/>
          <w:szCs w:val="24"/>
        </w:rPr>
        <w:tab/>
        <w:t>E.J. Pickering, R. Muñoz-Moreno, H.J. Stone, N.G. Jones, Precipitation in the equiatomic high-entropy alloy CrMnFeCoNi, Scr. Mater. (2016). doi:10.1016/j.scriptamat.2015.10.025.</w:t>
      </w:r>
    </w:p>
    <w:p w14:paraId="6E99449D"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[5]</w:t>
      </w:r>
      <w:r w:rsidRPr="003B39BC">
        <w:rPr>
          <w:rFonts w:ascii="Calibri" w:hAnsi="Calibri" w:cs="Times New Roman"/>
          <w:noProof/>
          <w:szCs w:val="24"/>
        </w:rPr>
        <w:tab/>
        <w:t>S.P. Wang, J. Xu, (TiZrNbTa)-Mo high-entropy alloys: Dependence of microstructure and mechanical properties on Mo concentration and modeling of solid solution strengthening, Intermetallics. (2018). doi:10.1016/j.intermet.2018.01.017.</w:t>
      </w:r>
    </w:p>
    <w:p w14:paraId="08EA347F"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[6]</w:t>
      </w:r>
      <w:r w:rsidRPr="003B39BC">
        <w:rPr>
          <w:rFonts w:ascii="Calibri" w:hAnsi="Calibri" w:cs="Times New Roman"/>
          <w:noProof/>
          <w:szCs w:val="24"/>
        </w:rPr>
        <w:tab/>
        <w:t>Y. Ikeda, B. Grabowski, F. Körmann, Ab initio phase stabilities and mechanical properties of multicomponent alloys: A comprehensive review for high entropy alloys and compositionally complex alloys, Mater. Charact. (2018). doi:10.1016/j.matchar.2018.06.019.</w:t>
      </w:r>
    </w:p>
    <w:p w14:paraId="1BECB08C"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[7]</w:t>
      </w:r>
      <w:r w:rsidRPr="003B39BC">
        <w:rPr>
          <w:rFonts w:ascii="Calibri" w:hAnsi="Calibri" w:cs="Times New Roman"/>
          <w:noProof/>
          <w:szCs w:val="24"/>
        </w:rPr>
        <w:tab/>
        <w:t>B. Cantor, K.B. Kim, P.J. Warren, Novel Multicomponent Amorphous Alloys, Mater. Sci. Forum. (2002). doi:10.4028/www.scientific.net/MSF.386-388.27.</w:t>
      </w:r>
    </w:p>
    <w:p w14:paraId="623DBE7A"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[8]</w:t>
      </w:r>
      <w:r w:rsidRPr="003B39BC">
        <w:rPr>
          <w:rFonts w:ascii="Calibri" w:hAnsi="Calibri" w:cs="Times New Roman"/>
          <w:noProof/>
          <w:szCs w:val="24"/>
        </w:rPr>
        <w:tab/>
        <w:t>J.W. Yeh, S.K. Chen, J.Y. Gan, S.J. Lin, T.S. Chin, T.T. Shun, C.H. Tsau, S.Y. Chang, Formation of simple crystal structures in Cu-Co-Ni-Cr-Al-Fe-Ti-V alloys with multiprincipal metallic elements, Metall. Mater. Trans. A Phys. Metall. Mater. Sci. (2004). doi:10.1007/s11661-006-0234-4.</w:t>
      </w:r>
    </w:p>
    <w:p w14:paraId="75C1436E"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[9]</w:t>
      </w:r>
      <w:r w:rsidRPr="003B39BC">
        <w:rPr>
          <w:rFonts w:ascii="Calibri" w:hAnsi="Calibri" w:cs="Times New Roman"/>
          <w:noProof/>
          <w:szCs w:val="24"/>
        </w:rPr>
        <w:tab/>
        <w:t>F. Tian, Y. Wang, D.L. Irving, L. Vitos, Applications of coherent potential approximation to HEAs, in: High-Entropy Alloy. Fundam. Appl., 2016. doi:10.1007/978-3-319-27013-5_9.</w:t>
      </w:r>
    </w:p>
    <w:p w14:paraId="1244CF7F"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[10]</w:t>
      </w:r>
      <w:r w:rsidRPr="003B39BC">
        <w:rPr>
          <w:rFonts w:ascii="Calibri" w:hAnsi="Calibri" w:cs="Times New Roman"/>
          <w:noProof/>
          <w:szCs w:val="24"/>
        </w:rPr>
        <w:tab/>
        <w:t>J.Y. He, H. Wang, H.L. Huang, X.D. Xu, M.W. Chen, Y. Wu, X.J. Liu, T.G. Nieh, K. An, Z.P. Lu, A precipitation-hardened high-entropy alloy with outstanding tensile properties, Acta Mater. (2016). doi:10.1016/j.actamat.2015.08.076.</w:t>
      </w:r>
    </w:p>
    <w:p w14:paraId="74D8EA6A"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lastRenderedPageBreak/>
        <w:t>[11]</w:t>
      </w:r>
      <w:r w:rsidRPr="003B39BC">
        <w:rPr>
          <w:rFonts w:ascii="Calibri" w:hAnsi="Calibri" w:cs="Times New Roman"/>
          <w:noProof/>
          <w:szCs w:val="24"/>
        </w:rPr>
        <w:tab/>
        <w:t>T. Yang, S. Xia, S. Liu, C. Wang, S. Liu, Y. Fang, Y. Zhang, J. Xue, S. Yan, Y. Wang, Precipitation behavior of AlxCoCrFeNi high entropy alloys under ion irradiation, Sci. Rep. (2016). doi:10.1038/srep32146.</w:t>
      </w:r>
    </w:p>
    <w:p w14:paraId="40A5D5F3"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[12]</w:t>
      </w:r>
      <w:r w:rsidRPr="003B39BC">
        <w:rPr>
          <w:rFonts w:ascii="Calibri" w:hAnsi="Calibri" w:cs="Times New Roman"/>
          <w:noProof/>
          <w:szCs w:val="24"/>
        </w:rPr>
        <w:tab/>
        <w:t>Z. Tang, M.C. Gao, H. Diao, T. Yang, J. Liu, T. Zuo, Y. Zhang, Z. Lu, Y. Cheng, Y. Zhang, K.A. Dahmen, P.K. Liaw, T. Egami, Aluminum alloying effects on lattice types, microstructures, and mechanical behavior of high-entropy alloys systems, JOM. (2013). doi:10.1007/s11837-013-0776-z.</w:t>
      </w:r>
    </w:p>
    <w:p w14:paraId="350DA56B"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[13]</w:t>
      </w:r>
      <w:r w:rsidRPr="003B39BC">
        <w:rPr>
          <w:rFonts w:ascii="Calibri" w:hAnsi="Calibri" w:cs="Times New Roman"/>
          <w:noProof/>
          <w:szCs w:val="24"/>
        </w:rPr>
        <w:tab/>
        <w:t>Y.J. Liang, L. Wang, Y. Wen, B. Cheng, Q. Wu, T. Cao, Q. Xiao, Y. Xue, G. Sha, Y. Wang, Y. Ren, X. Li, L. Wang, F. Wang, H. Cai, High-content ductile coherent nanoprecipitates achieve ultrastrong high-entropy alloys, Nat. Commun. (2018). doi:10.1038/s41467-018-06600-8.</w:t>
      </w:r>
    </w:p>
    <w:p w14:paraId="678FC10D"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[14]</w:t>
      </w:r>
      <w:r w:rsidRPr="003B39BC">
        <w:rPr>
          <w:rFonts w:ascii="Calibri" w:hAnsi="Calibri" w:cs="Times New Roman"/>
          <w:noProof/>
          <w:szCs w:val="24"/>
        </w:rPr>
        <w:tab/>
        <w:t>J.-W. Yeh, J.W. Yeh, Jien-Wei Yeh, " Recent Progress in High-entropy Alloys " RECENT PROGRESS IN HIGH-ENTROPY ALLOYS, Ann. Chim. – Sci. Des Mater. (2006).</w:t>
      </w:r>
    </w:p>
    <w:p w14:paraId="10EDFEFF"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[15]</w:t>
      </w:r>
      <w:r w:rsidRPr="003B39BC">
        <w:rPr>
          <w:rFonts w:ascii="Calibri" w:hAnsi="Calibri" w:cs="Times New Roman"/>
          <w:noProof/>
          <w:szCs w:val="24"/>
        </w:rPr>
        <w:tab/>
        <w:t>I.A. Tomilin, S.D. Kaloshkin, ‘High entropy alloys’—‘semi-impossible’ regular solid solutions?, Mater. Sci. Technol. (2015). doi:10.1179/1743284715Y.0000000028.</w:t>
      </w:r>
    </w:p>
    <w:p w14:paraId="155C2600"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[16]</w:t>
      </w:r>
      <w:r w:rsidRPr="003B39BC">
        <w:rPr>
          <w:rFonts w:ascii="Calibri" w:hAnsi="Calibri" w:cs="Times New Roman"/>
          <w:noProof/>
          <w:szCs w:val="24"/>
        </w:rPr>
        <w:tab/>
        <w:t>D.B. Miracle, O.N. Senkov, A critical review of high entropy alloys and related concepts, Acta Mater. (2017). doi:10.1016/j.actamat.2016.08.081.</w:t>
      </w:r>
    </w:p>
    <w:p w14:paraId="0B2A8BAB"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[17]</w:t>
      </w:r>
      <w:r w:rsidRPr="003B39BC">
        <w:rPr>
          <w:rFonts w:ascii="Calibri" w:hAnsi="Calibri" w:cs="Times New Roman"/>
          <w:noProof/>
          <w:szCs w:val="24"/>
        </w:rPr>
        <w:tab/>
        <w:t>D. Li, C. Li, T. Feng, Y. Zhang, G. Sha, J.J. Lewandowski, P.K. Liaw, Y. Zhang, High-entropy Al0.3CoCrFeNi alloy fibers with high tensile strength and ductility at ambient and cryogenic temperatures, Acta Mater. (2017). doi:10.1016/j.actamat.2016.10.038.</w:t>
      </w:r>
    </w:p>
    <w:p w14:paraId="7A3CE567"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[18]</w:t>
      </w:r>
      <w:r w:rsidRPr="003B39BC">
        <w:rPr>
          <w:rFonts w:ascii="Calibri" w:hAnsi="Calibri" w:cs="Times New Roman"/>
          <w:noProof/>
          <w:szCs w:val="24"/>
        </w:rPr>
        <w:tab/>
        <w:t>Z.G. Zhu, K.H. Ma, Q. Wang, C.H. Shek, Compositional dependence of phase formation and mechanical properties in three CoCrFeNi-(Mn/Al/Cu) high entropy alloys, Intermetallics. (2016). doi:10.1016/j.intermet.2016.09.003.</w:t>
      </w:r>
    </w:p>
    <w:p w14:paraId="0D3988CC"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[19]</w:t>
      </w:r>
      <w:r w:rsidRPr="003B39BC">
        <w:rPr>
          <w:rFonts w:ascii="Calibri" w:hAnsi="Calibri" w:cs="Times New Roman"/>
          <w:noProof/>
          <w:szCs w:val="24"/>
        </w:rPr>
        <w:tab/>
        <w:t>M. Beyramali Kivy, C.S. Kriewall, M. Asle Zaeem, Formation of chromium-iron carbide by carbon diffusion in AlXCoCrFeNiCu high-entropy alloys, Mater. Res. Lett. (2018). doi:10.1080/21663831.2018.1449767.</w:t>
      </w:r>
    </w:p>
    <w:p w14:paraId="7341AEA2"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[20]</w:t>
      </w:r>
      <w:r w:rsidRPr="003B39BC">
        <w:rPr>
          <w:rFonts w:ascii="Calibri" w:hAnsi="Calibri" w:cs="Times New Roman"/>
          <w:noProof/>
          <w:szCs w:val="24"/>
        </w:rPr>
        <w:tab/>
        <w:t>O.N. Senkov, G.B. Wilks, D.B. Miracle, C.P. Chuang, P.K. Liaw, Refractory high-entropy alloys, Intermetallics. (2010). doi:10.1016/j.intermet.2010.05.014.</w:t>
      </w:r>
    </w:p>
    <w:p w14:paraId="39D5635B"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[21]</w:t>
      </w:r>
      <w:r w:rsidRPr="003B39BC">
        <w:rPr>
          <w:rFonts w:ascii="Calibri" w:hAnsi="Calibri" w:cs="Times New Roman"/>
          <w:noProof/>
          <w:szCs w:val="24"/>
        </w:rPr>
        <w:tab/>
        <w:t>F. He, Z. Wang, Q. Wu, J. Li, J. Wang, C.T. Liu, Phase separation of metastable CoCrFeNi high entropy alloy at intermediate temperatures, Scr. Mater. (2017). doi:10.1016/j.scriptamat.2016.08.008.</w:t>
      </w:r>
    </w:p>
    <w:p w14:paraId="4A51601E"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lastRenderedPageBreak/>
        <w:t>[22]</w:t>
      </w:r>
      <w:r w:rsidRPr="003B39BC">
        <w:rPr>
          <w:rFonts w:ascii="Calibri" w:hAnsi="Calibri" w:cs="Times New Roman"/>
          <w:noProof/>
          <w:szCs w:val="24"/>
        </w:rPr>
        <w:tab/>
        <w:t>N.D. Stepanov, D.G. Shaysultanov, M.S. Ozerov, S. V. Zherebtsov, G.A. Salishchev, Second phase formation in the CoCrFeNiMn high entropy alloy after recrystallization annealing, Mater. Lett. (2016). doi:10.1016/j.matlet.2016.08.088.</w:t>
      </w:r>
    </w:p>
    <w:p w14:paraId="2EE1325F"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[23]</w:t>
      </w:r>
      <w:r w:rsidRPr="003B39BC">
        <w:rPr>
          <w:rFonts w:ascii="Calibri" w:hAnsi="Calibri" w:cs="Times New Roman"/>
          <w:noProof/>
          <w:szCs w:val="24"/>
        </w:rPr>
        <w:tab/>
        <w:t>Z. Leong, J.S. Wróbel, S.L. Dudarev, R. Goodall, I. Todd, D. Nguyen-Manh, The Effect of Electronic Structure on the Phases Present in High Entropy Alloys, Sci. Rep. (2017). doi:10.1038/srep39803.</w:t>
      </w:r>
    </w:p>
    <w:p w14:paraId="10562754"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[24]</w:t>
      </w:r>
      <w:r w:rsidRPr="003B39BC">
        <w:rPr>
          <w:rFonts w:ascii="Calibri" w:hAnsi="Calibri" w:cs="Times New Roman"/>
          <w:noProof/>
          <w:szCs w:val="24"/>
        </w:rPr>
        <w:tab/>
        <w:t>T.T. Shun, L.Y. Chang, M.H. Shiu, Microstructures and mechanical properties of multiprincipal component CoCrFeNiTi x alloys, Mater. Sci. Eng. A. (2012). doi:10.1016/j.msea.2012.06.075.</w:t>
      </w:r>
    </w:p>
    <w:p w14:paraId="542F7990"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[25]</w:t>
      </w:r>
      <w:r w:rsidRPr="003B39BC">
        <w:rPr>
          <w:rFonts w:ascii="Calibri" w:hAnsi="Calibri" w:cs="Times New Roman"/>
          <w:noProof/>
          <w:szCs w:val="24"/>
        </w:rPr>
        <w:tab/>
        <w:t>S. Praveen, B.S. Murty, R.S. Kottada, Effect of Molybdenum and Niobium on the Phase Formation and Hardness of Nanocrystalline CoCrFeNi High Entropy Alloys, J. Nanosci. Nanotechnol. (2014). doi:10.1166/jnn.2014.9441.</w:t>
      </w:r>
    </w:p>
    <w:p w14:paraId="3C575E0F"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[26]</w:t>
      </w:r>
      <w:r w:rsidRPr="003B39BC">
        <w:rPr>
          <w:rFonts w:ascii="Calibri" w:hAnsi="Calibri" w:cs="Times New Roman"/>
          <w:noProof/>
          <w:szCs w:val="24"/>
        </w:rPr>
        <w:tab/>
        <w:t>G.A. Salishchev, M.A. Tikhonovsky, D.G. Shaysultanov, N.D. Stepanov, A. V. Kuznetsov, I. V. Kolodiy, A.S. Tortika, O.N. Senkov, Effect of Mn and v on structure and mechanical properties of high-entropy alloys based on CoCrFeNi system, J. Alloys Compd. (2014). doi:10.1016/j.jallcom.2013.12.210.</w:t>
      </w:r>
    </w:p>
    <w:p w14:paraId="7EC029A1"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[27]</w:t>
      </w:r>
      <w:r w:rsidRPr="003B39BC">
        <w:rPr>
          <w:rFonts w:ascii="Calibri" w:hAnsi="Calibri" w:cs="Times New Roman"/>
          <w:noProof/>
          <w:szCs w:val="24"/>
        </w:rPr>
        <w:tab/>
        <w:t>J.C. Rao, H.Y. Diao, V. Ocelík, D. Vainchtein, C. Zhang, C. Kuo, Z. Tang, W. Guo, J.D. Poplawsky, Y. Zhou, P.K. Liaw, J.T.M. De Hosson, Secondary phases in AlxCoCrFeNi high-entropy alloys: An in-situ TEM heating study and thermodynamic appraisal, Acta Mater. (2017). doi:10.1016/j.actamat.2017.03.066.</w:t>
      </w:r>
    </w:p>
    <w:p w14:paraId="2D0A10EE"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[28]</w:t>
      </w:r>
      <w:r w:rsidRPr="003B39BC">
        <w:rPr>
          <w:rFonts w:ascii="Calibri" w:hAnsi="Calibri" w:cs="Times New Roman"/>
          <w:noProof/>
          <w:szCs w:val="24"/>
        </w:rPr>
        <w:tab/>
        <w:t>S. Guo, C.T. Liu, Phase stability in high entropy alloys: Formation of solid-solution phase or amorphous phase, Prog. Nat. Sci. Mater. Int. (2011). doi:10.1016/S1002-0071(12)60080-X.</w:t>
      </w:r>
    </w:p>
    <w:p w14:paraId="763855A5"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[29]</w:t>
      </w:r>
      <w:r w:rsidRPr="003B39BC">
        <w:rPr>
          <w:rFonts w:ascii="Calibri" w:hAnsi="Calibri" w:cs="Times New Roman"/>
          <w:noProof/>
          <w:szCs w:val="24"/>
        </w:rPr>
        <w:tab/>
        <w:t>K.M.C.E. W. Hume-Rothery, G.W. Mabbott, The Freezing Points, Melting Points, and Solid Solubility Limits of the Alloys of Silver, and Copper with the Elements of the B Sub-Groups, Philos. Trans. R. Soc. Math. Phys. Eng. Sci. 233 (1934) 1–97.</w:t>
      </w:r>
    </w:p>
    <w:p w14:paraId="6A3A9D50"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[30]</w:t>
      </w:r>
      <w:r w:rsidRPr="003B39BC">
        <w:rPr>
          <w:rFonts w:ascii="Calibri" w:hAnsi="Calibri" w:cs="Times New Roman"/>
          <w:noProof/>
          <w:szCs w:val="24"/>
        </w:rPr>
        <w:tab/>
        <w:t>M.B.B. L.S. Darken, R.W. Gurry, Physical chemistry of metals, 2002.</w:t>
      </w:r>
    </w:p>
    <w:p w14:paraId="65B2085C"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[31]</w:t>
      </w:r>
      <w:r w:rsidRPr="003B39BC">
        <w:rPr>
          <w:rFonts w:ascii="Calibri" w:hAnsi="Calibri" w:cs="Times New Roman"/>
          <w:noProof/>
          <w:szCs w:val="24"/>
        </w:rPr>
        <w:tab/>
        <w:t>D. Kashchiev, Nucleation --- Basic Theory with Applications, 2003. doi:10.1088/0031-9120/15/2/102.</w:t>
      </w:r>
    </w:p>
    <w:p w14:paraId="79F7ACC0"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[32]</w:t>
      </w:r>
      <w:r w:rsidRPr="003B39BC">
        <w:rPr>
          <w:rFonts w:ascii="Calibri" w:hAnsi="Calibri" w:cs="Times New Roman"/>
          <w:noProof/>
          <w:szCs w:val="24"/>
        </w:rPr>
        <w:tab/>
        <w:t>Y. Zhang, X. Yang, P.K. Liaw, Alloy design and properties optimization of high-entropy alloys, JOM. (2012). doi:10.1007/s11837-012-0366-5.</w:t>
      </w:r>
    </w:p>
    <w:p w14:paraId="2DAB4134"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[33]</w:t>
      </w:r>
      <w:r w:rsidRPr="003B39BC">
        <w:rPr>
          <w:rFonts w:ascii="Calibri" w:hAnsi="Calibri" w:cs="Times New Roman"/>
          <w:noProof/>
          <w:szCs w:val="24"/>
        </w:rPr>
        <w:tab/>
        <w:t xml:space="preserve">X. Yang, Y. Zhang, Prediction of high-entropy stabilized solid-solution in multi-component alloys, </w:t>
      </w:r>
      <w:r w:rsidRPr="003B39BC">
        <w:rPr>
          <w:rFonts w:ascii="Calibri" w:hAnsi="Calibri" w:cs="Times New Roman"/>
          <w:noProof/>
          <w:szCs w:val="24"/>
        </w:rPr>
        <w:lastRenderedPageBreak/>
        <w:t>Mater. Chem. Phys. (2012). doi:10.1016/j.matchemphys.2011.11.021.</w:t>
      </w:r>
    </w:p>
    <w:p w14:paraId="1DF140AF"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[34]</w:t>
      </w:r>
      <w:r w:rsidRPr="003B39BC">
        <w:rPr>
          <w:rFonts w:ascii="Calibri" w:hAnsi="Calibri" w:cs="Times New Roman"/>
          <w:noProof/>
          <w:szCs w:val="24"/>
        </w:rPr>
        <w:tab/>
        <w:t>U. Mizutani, Hume-Rothery rules for structurally complex alloy phases, MRS Bull. (2012). doi:10.1557/mrs.2012.45.</w:t>
      </w:r>
    </w:p>
    <w:p w14:paraId="4B4B366A"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[35]</w:t>
      </w:r>
      <w:r w:rsidRPr="003B39BC">
        <w:rPr>
          <w:rFonts w:ascii="Calibri" w:hAnsi="Calibri" w:cs="Times New Roman"/>
          <w:noProof/>
          <w:szCs w:val="24"/>
        </w:rPr>
        <w:tab/>
        <w:t>L. Pauling, The nature of the chemical bond. IV. The energy of single bonds and the relative electronegativity of atoms, J. Am. Chem. Soc. (1932). doi:10.1021/ja01348a011.</w:t>
      </w:r>
    </w:p>
    <w:p w14:paraId="1F736D3B"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[36]</w:t>
      </w:r>
      <w:r w:rsidRPr="003B39BC">
        <w:rPr>
          <w:rFonts w:ascii="Calibri" w:hAnsi="Calibri" w:cs="Times New Roman"/>
          <w:noProof/>
          <w:szCs w:val="24"/>
        </w:rPr>
        <w:tab/>
        <w:t>R.S. Mulliken, A New Electroaffinity Scale; Together with Data on Valence States and on Valence Ionization Potentials and Electron Affinities, J. Chem. Phys. (1934). doi:10.1063/1.1749394.</w:t>
      </w:r>
    </w:p>
    <w:p w14:paraId="2A32396A"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[37]</w:t>
      </w:r>
      <w:r w:rsidRPr="003B39BC">
        <w:rPr>
          <w:rFonts w:ascii="Calibri" w:hAnsi="Calibri" w:cs="Times New Roman"/>
          <w:noProof/>
          <w:szCs w:val="24"/>
        </w:rPr>
        <w:tab/>
        <w:t>Z. Leong, I. Todd, R. Goodall, Structural dependency of some multiple principal component alloys with the Thomas-Fermi-Dirac electron density, Scr. Mater. (2018). doi:10.1016/j.scriptamat.2017.11.002.</w:t>
      </w:r>
    </w:p>
    <w:p w14:paraId="63D16E33"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[38]</w:t>
      </w:r>
      <w:r w:rsidRPr="003B39BC">
        <w:rPr>
          <w:rFonts w:ascii="Calibri" w:hAnsi="Calibri" w:cs="Times New Roman"/>
          <w:noProof/>
          <w:szCs w:val="24"/>
        </w:rPr>
        <w:tab/>
        <w:t>A.L. Allred, E.G. Rochow, A scale of electronegativity based on electrostatic force, J. Inorg. Nucl. Chem. (1958). doi:10.1016/0022-1902(58)80003-2.</w:t>
      </w:r>
    </w:p>
    <w:p w14:paraId="747D7A6F"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[39]</w:t>
      </w:r>
      <w:r w:rsidRPr="003B39BC">
        <w:rPr>
          <w:rFonts w:ascii="Calibri" w:hAnsi="Calibri" w:cs="Times New Roman"/>
          <w:noProof/>
          <w:szCs w:val="24"/>
        </w:rPr>
        <w:tab/>
        <w:t>L.C. Allen, Electronegativity Is the Average One-Electron Energy of the Valence-Shell Electrons in Ground-State Free Atoms, J. Am. Chem. Soc. (1989). doi:10.1021/ja00207a003.</w:t>
      </w:r>
    </w:p>
    <w:p w14:paraId="0CCEE159"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[40]</w:t>
      </w:r>
      <w:r w:rsidRPr="003B39BC">
        <w:rPr>
          <w:rFonts w:ascii="Calibri" w:hAnsi="Calibri" w:cs="Times New Roman"/>
          <w:noProof/>
          <w:szCs w:val="24"/>
        </w:rPr>
        <w:tab/>
        <w:t>Y. Dong, Y. Lu, L. Jiang, T. Wang, T. Li, Effects of electro-negativity on the stability of topologically close-packed phase in high entropy alloys, Intermetallics. (2014). doi:10.1016/j.intermet.2014.04.001.</w:t>
      </w:r>
    </w:p>
    <w:p w14:paraId="77A7D1E5"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[41]</w:t>
      </w:r>
      <w:r w:rsidRPr="003B39BC">
        <w:rPr>
          <w:rFonts w:ascii="Calibri" w:hAnsi="Calibri" w:cs="Times New Roman"/>
          <w:noProof/>
          <w:szCs w:val="24"/>
        </w:rPr>
        <w:tab/>
        <w:t>Z. Leong, Y. Huang, R. Goodall, I. Todd, Electronegativity and enthalpy of mixing biplots for High Entropy Alloy solid solution prediction, Mater. Chem. Phys. (2018). doi:10.1016/j.matchemphys.2017.09.001.</w:t>
      </w:r>
    </w:p>
    <w:p w14:paraId="7C2C31BA"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[42]</w:t>
      </w:r>
      <w:r w:rsidRPr="003B39BC">
        <w:rPr>
          <w:rFonts w:ascii="Calibri" w:hAnsi="Calibri" w:cs="Times New Roman"/>
          <w:noProof/>
          <w:szCs w:val="24"/>
        </w:rPr>
        <w:tab/>
        <w:t>M.G. Poletti, G. Fiore, B.A. Szost, L. Battezzati, Search for high entropy alloys in the X-NbTaTiZr systems (X = Al, Cr, V, Sn), J. Alloys Compd. (2015). doi:10.1016/j.jallcom.2014.09.145.</w:t>
      </w:r>
    </w:p>
    <w:p w14:paraId="467CB05E"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[43]</w:t>
      </w:r>
      <w:r w:rsidRPr="003B39BC">
        <w:rPr>
          <w:rFonts w:ascii="Calibri" w:hAnsi="Calibri" w:cs="Times New Roman"/>
          <w:noProof/>
          <w:szCs w:val="24"/>
        </w:rPr>
        <w:tab/>
        <w:t>A.T. Paxton, M. Methfessel, D.G. Pettifor, A bandstructure view of the Hume-Rothery electron phases, Proc. R. Soc. A Math. Phys. Eng. Sci. (1997). doi:10.1098/rspa.1997.0080.</w:t>
      </w:r>
    </w:p>
    <w:p w14:paraId="3886F378"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[44]</w:t>
      </w:r>
      <w:r w:rsidRPr="003B39BC">
        <w:rPr>
          <w:rFonts w:ascii="Calibri" w:hAnsi="Calibri" w:cs="Times New Roman"/>
          <w:noProof/>
          <w:szCs w:val="24"/>
        </w:rPr>
        <w:tab/>
        <w:t>D.G. Pettifor, Theory of the crystal structures of transition metals, J. Phys. C Solid State Phys. (1970). doi:10.1088/0022-3719/3/2/018.</w:t>
      </w:r>
    </w:p>
    <w:p w14:paraId="2C371CF5"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[45]</w:t>
      </w:r>
      <w:r w:rsidRPr="003B39BC">
        <w:rPr>
          <w:rFonts w:ascii="Calibri" w:hAnsi="Calibri" w:cs="Times New Roman"/>
          <w:noProof/>
          <w:szCs w:val="24"/>
        </w:rPr>
        <w:tab/>
        <w:t>D. Nguyen-Manh, D.G. Pettifor, Electronic structure, phase stability and elastic moduli of AB transition metal aluminides, Intermetallics. (1999). doi:10.1016/S0966-9795(99)00040-0.</w:t>
      </w:r>
    </w:p>
    <w:p w14:paraId="595EBF17"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lastRenderedPageBreak/>
        <w:t>[46]</w:t>
      </w:r>
      <w:r w:rsidRPr="003B39BC">
        <w:rPr>
          <w:rFonts w:ascii="Calibri" w:hAnsi="Calibri" w:cs="Times New Roman"/>
          <w:noProof/>
          <w:szCs w:val="24"/>
        </w:rPr>
        <w:tab/>
        <w:t>L. You, X. Song, A study of low Young′s modulus Ti-Nb-Zr alloys using d electrons alloy theory, Scr. Mater. (2012). doi:10.1016/j.scriptamat.2012.03.020.</w:t>
      </w:r>
    </w:p>
    <w:p w14:paraId="22D5B843"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[47]</w:t>
      </w:r>
      <w:r w:rsidRPr="003B39BC">
        <w:rPr>
          <w:rFonts w:ascii="Calibri" w:hAnsi="Calibri" w:cs="Times New Roman"/>
          <w:noProof/>
          <w:szCs w:val="24"/>
        </w:rPr>
        <w:tab/>
        <w:t>L. You, X. Song, First principles study of low Young’s modulus Ti-Nb-Zr alloy system, Mater. Lett. (2012). doi:10.1016/j.matlet.2012.01.145.</w:t>
      </w:r>
    </w:p>
    <w:p w14:paraId="7C0AB32F"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[48]</w:t>
      </w:r>
      <w:r w:rsidRPr="003B39BC">
        <w:rPr>
          <w:rFonts w:ascii="Calibri" w:hAnsi="Calibri" w:cs="Times New Roman"/>
          <w:noProof/>
          <w:szCs w:val="24"/>
        </w:rPr>
        <w:tab/>
        <w:t>Q. YAO, J. SUN, H. XING, W. yuan GUO, Influence of Nb and Mo contents on phase stability and elastic property of β-type Ti-X alloys, Trans. Nonferrous Met. Soc. China (English Ed. (2007). doi:10.1016/S1003-6326(07)60287-8.</w:t>
      </w:r>
    </w:p>
    <w:p w14:paraId="418911E7"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[49]</w:t>
      </w:r>
      <w:r w:rsidRPr="003B39BC">
        <w:rPr>
          <w:rFonts w:ascii="Calibri" w:hAnsi="Calibri" w:cs="Times New Roman"/>
          <w:noProof/>
          <w:szCs w:val="24"/>
        </w:rPr>
        <w:tab/>
        <w:t>M. Kök, Y. Aydoǧdu, Electron concentration dependence of phase transition and magnetic properties in NiMnGa alloys, J. Supercond. Nov. Magn. (2013). doi:10.1007/s10948-012-1849-x.</w:t>
      </w:r>
    </w:p>
    <w:p w14:paraId="4280A043"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[50]</w:t>
      </w:r>
      <w:r w:rsidRPr="003B39BC">
        <w:rPr>
          <w:rFonts w:ascii="Calibri" w:hAnsi="Calibri" w:cs="Times New Roman"/>
          <w:noProof/>
          <w:szCs w:val="24"/>
        </w:rPr>
        <w:tab/>
        <w:t>S. Guo, C. Ng, J. Lu, C.T. Liu, Effect of valence electron concentration on stability of fcc or bcc phase in high entropy alloys, in: J. Appl. Phys., 2011. doi:10.1063/1.3587228.</w:t>
      </w:r>
    </w:p>
    <w:p w14:paraId="5B90FFE8"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[51]</w:t>
      </w:r>
      <w:r w:rsidRPr="003B39BC">
        <w:rPr>
          <w:rFonts w:ascii="Calibri" w:hAnsi="Calibri" w:cs="Times New Roman"/>
          <w:noProof/>
          <w:szCs w:val="24"/>
        </w:rPr>
        <w:tab/>
        <w:t>A.R. Miedema, The electronegativity parameter for transition metals: Heat of formation and charge transfer in alloys, J. Less-Common Met. (1973). doi:10.1103/PhysRevB.54.11169.</w:t>
      </w:r>
    </w:p>
    <w:p w14:paraId="64B651C1"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[52]</w:t>
      </w:r>
      <w:r w:rsidRPr="003B39BC">
        <w:rPr>
          <w:rFonts w:ascii="Calibri" w:hAnsi="Calibri" w:cs="Times New Roman"/>
          <w:noProof/>
          <w:szCs w:val="24"/>
        </w:rPr>
        <w:tab/>
        <w:t>A. Takeuchi, A. Inoue, Calculations of Mixing Enthalpy and Mismatch Entropy for Ternary Amorphous Alloys, Mater. Trans. JIM. (2000). doi:10.2320/matertrans1989.41.1372.</w:t>
      </w:r>
    </w:p>
    <w:p w14:paraId="416B3739"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[53]</w:t>
      </w:r>
      <w:r w:rsidRPr="003B39BC">
        <w:rPr>
          <w:rFonts w:ascii="Calibri" w:hAnsi="Calibri" w:cs="Times New Roman"/>
          <w:noProof/>
          <w:szCs w:val="24"/>
        </w:rPr>
        <w:tab/>
        <w:t>A. Inoue, Stabilization of metallic supercooled liquid and bulk amorphous alloys, Acta Mater. (2000). doi:10.1016/S1359-6454(99)00300-6.</w:t>
      </w:r>
    </w:p>
    <w:p w14:paraId="493264F1"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[54]</w:t>
      </w:r>
      <w:r w:rsidRPr="003B39BC">
        <w:rPr>
          <w:rFonts w:ascii="Calibri" w:hAnsi="Calibri" w:cs="Times New Roman"/>
          <w:noProof/>
          <w:szCs w:val="24"/>
        </w:rPr>
        <w:tab/>
        <w:t>Y. Zhang, Y.J. Zhou, J.P. Lin, G.L. Chen, P.K. Liaw, Solid-solution phase formation rules for multi-component alloys, Adv. Eng. Mater. (2008). doi:10.1002/adem.200700240.</w:t>
      </w:r>
    </w:p>
    <w:p w14:paraId="2D574639"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[55]</w:t>
      </w:r>
      <w:r w:rsidRPr="003B39BC">
        <w:rPr>
          <w:rFonts w:ascii="Calibri" w:hAnsi="Calibri" w:cs="Times New Roman"/>
          <w:noProof/>
          <w:szCs w:val="24"/>
        </w:rPr>
        <w:tab/>
        <w:t>L.A. Domínguez, R. Goodall, I. Todd, Prediction and validation of quaternary high entropy alloys using statistical approaches, Mater. Sci. Technol. (2015). doi:10.1179/1743284715Y.0000000019.</w:t>
      </w:r>
    </w:p>
    <w:p w14:paraId="082DB5ED"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[56]</w:t>
      </w:r>
      <w:r w:rsidRPr="003B39BC">
        <w:rPr>
          <w:rFonts w:ascii="Calibri" w:hAnsi="Calibri" w:cs="Times New Roman"/>
          <w:noProof/>
          <w:szCs w:val="24"/>
        </w:rPr>
        <w:tab/>
        <w:t>L. De Broglie, The wave nature of the electron, Nobel Lect. Phys. 1922-1941. (1929).</w:t>
      </w:r>
    </w:p>
    <w:p w14:paraId="5CA907EF"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[57]</w:t>
      </w:r>
      <w:r w:rsidRPr="003B39BC">
        <w:rPr>
          <w:rFonts w:ascii="Calibri" w:hAnsi="Calibri" w:cs="Times New Roman"/>
          <w:noProof/>
          <w:szCs w:val="24"/>
        </w:rPr>
        <w:tab/>
        <w:t>E.J.S. Villaseñor, Introduction to Quantum Mechanics, in: AIP Conf. Proc., 2008. doi:10.1063/1.2958160.</w:t>
      </w:r>
    </w:p>
    <w:p w14:paraId="5BA23690"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[58]</w:t>
      </w:r>
      <w:r w:rsidRPr="003B39BC">
        <w:rPr>
          <w:rFonts w:ascii="Calibri" w:hAnsi="Calibri" w:cs="Times New Roman"/>
          <w:noProof/>
          <w:szCs w:val="24"/>
        </w:rPr>
        <w:tab/>
        <w:t>J. Manning, An Introduction to Theoretical Chemistry, Mater. Res. Bull. (2003). doi:10.1016/S0025-5408(03)00183-1.</w:t>
      </w:r>
    </w:p>
    <w:p w14:paraId="79140AE0"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[59]</w:t>
      </w:r>
      <w:r w:rsidRPr="003B39BC">
        <w:rPr>
          <w:rFonts w:ascii="Calibri" w:hAnsi="Calibri" w:cs="Times New Roman"/>
          <w:noProof/>
          <w:szCs w:val="24"/>
        </w:rPr>
        <w:tab/>
        <w:t>M. Born, R. Oppenheimer, Zur Quantentheorie der Molekeln, Ann. Phys. (1927). doi:10.1002/andp.19273892002.</w:t>
      </w:r>
    </w:p>
    <w:p w14:paraId="10F2280B"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lastRenderedPageBreak/>
        <w:t>[60]</w:t>
      </w:r>
      <w:r w:rsidRPr="003B39BC">
        <w:rPr>
          <w:rFonts w:ascii="Calibri" w:hAnsi="Calibri" w:cs="Times New Roman"/>
          <w:noProof/>
          <w:szCs w:val="24"/>
        </w:rPr>
        <w:tab/>
        <w:t>M. Born, K. Huang, M. Lax, Dynamical Theory of Crystal Lattices, Am. J. Phys. (1955). doi:10.1119/1.1934059.</w:t>
      </w:r>
    </w:p>
    <w:p w14:paraId="34F6DA6E"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[61]</w:t>
      </w:r>
      <w:r w:rsidRPr="003B39BC">
        <w:rPr>
          <w:rFonts w:ascii="Calibri" w:hAnsi="Calibri" w:cs="Times New Roman"/>
          <w:noProof/>
          <w:szCs w:val="24"/>
        </w:rPr>
        <w:tab/>
        <w:t>E. Fermi, Statistical method to determine some properties of atoms, Rend. Accad. Naz. Lincei. (1927). doi:10.1007/BF01351576.</w:t>
      </w:r>
    </w:p>
    <w:p w14:paraId="7D267CC8"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[62]</w:t>
      </w:r>
      <w:r w:rsidRPr="003B39BC">
        <w:rPr>
          <w:rFonts w:ascii="Calibri" w:hAnsi="Calibri" w:cs="Times New Roman"/>
          <w:noProof/>
          <w:szCs w:val="24"/>
        </w:rPr>
        <w:tab/>
        <w:t>L.H. Thomas, The calculation of atomic fields, Math. Proc. Cambridge Philos. Soc. (1927). doi:10.1017/S0305004100011683.</w:t>
      </w:r>
    </w:p>
    <w:p w14:paraId="488E0828"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[63]</w:t>
      </w:r>
      <w:r w:rsidRPr="003B39BC">
        <w:rPr>
          <w:rFonts w:ascii="Calibri" w:hAnsi="Calibri" w:cs="Times New Roman"/>
          <w:noProof/>
          <w:szCs w:val="24"/>
        </w:rPr>
        <w:tab/>
        <w:t>P. Hohenberg, W. Kohn, Inhomogeneous electron gas, Phys. Rev. (1964). doi:10.1103/PhysRev.136.B864.</w:t>
      </w:r>
    </w:p>
    <w:p w14:paraId="0BDBB7FB"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[64]</w:t>
      </w:r>
      <w:r w:rsidRPr="003B39BC">
        <w:rPr>
          <w:rFonts w:ascii="Calibri" w:hAnsi="Calibri" w:cs="Times New Roman"/>
          <w:noProof/>
          <w:szCs w:val="24"/>
        </w:rPr>
        <w:tab/>
        <w:t>D.R. Hartree, The Wave Mechanics of an Atom with a Non-Coulomb Central Field. Part II. Some Results and Discussion, Math. Proc. Cambridge Philos. Soc. (1928). doi:10.1017/S0305004100011920.</w:t>
      </w:r>
    </w:p>
    <w:p w14:paraId="072DDCAC"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[65]</w:t>
      </w:r>
      <w:r w:rsidRPr="003B39BC">
        <w:rPr>
          <w:rFonts w:ascii="Calibri" w:hAnsi="Calibri" w:cs="Times New Roman"/>
          <w:noProof/>
          <w:szCs w:val="24"/>
        </w:rPr>
        <w:tab/>
        <w:t>W. Kohn, L.J. Sham, Self-consistent equations including exchange and correlation effects, Phys. Rev. (1965). doi:10.1103/PhysRev.140.A1133.</w:t>
      </w:r>
    </w:p>
    <w:p w14:paraId="057766B7"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[66]</w:t>
      </w:r>
      <w:r w:rsidRPr="003B39BC">
        <w:rPr>
          <w:rFonts w:ascii="Calibri" w:hAnsi="Calibri" w:cs="Times New Roman"/>
          <w:noProof/>
          <w:szCs w:val="24"/>
        </w:rPr>
        <w:tab/>
        <w:t>P.A.M. Dirac, Note on Exchange Phenomena in the Thomas Atom, Math. Proc. Cambridge Philos. Soc. (1930). doi:10.1017/S0305004100016108.</w:t>
      </w:r>
    </w:p>
    <w:p w14:paraId="50AC1EBF"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[67]</w:t>
      </w:r>
      <w:r w:rsidRPr="003B39BC">
        <w:rPr>
          <w:rFonts w:ascii="Calibri" w:hAnsi="Calibri" w:cs="Times New Roman"/>
          <w:noProof/>
          <w:szCs w:val="24"/>
        </w:rPr>
        <w:tab/>
        <w:t>P. Blanchard, E. Brüning, Density functional theory of atoms and molecules, in: Prog. Math. Phys., 2015. doi:10.1007/978-3-319-14045-2_37.</w:t>
      </w:r>
    </w:p>
    <w:p w14:paraId="76245BED"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[68]</w:t>
      </w:r>
      <w:r w:rsidRPr="003B39BC">
        <w:rPr>
          <w:rFonts w:ascii="Calibri" w:hAnsi="Calibri" w:cs="Times New Roman"/>
          <w:noProof/>
          <w:szCs w:val="24"/>
        </w:rPr>
        <w:tab/>
        <w:t>J.P. Perdew, K. Burke, M. Ernzerhof, Generalized gradient approximation made simple, Phys. Rev. Lett. (1996). doi:10.1103/PhysRevLett.77.3865.</w:t>
      </w:r>
    </w:p>
    <w:p w14:paraId="6BE78B6E"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[69]</w:t>
      </w:r>
      <w:r w:rsidRPr="003B39BC">
        <w:rPr>
          <w:rFonts w:ascii="Calibri" w:hAnsi="Calibri" w:cs="Times New Roman"/>
          <w:noProof/>
          <w:szCs w:val="24"/>
        </w:rPr>
        <w:tab/>
        <w:t>S. Dudarev, G. Botton, Electron-energy-loss spectra and the structural stability of nickel oxide: An LSDA+U study, Phys. Rev. B - Condens. Matter Mater. Phys. (1998). doi:10.1103/PhysRevB.57.1505.</w:t>
      </w:r>
    </w:p>
    <w:p w14:paraId="2CDCF060"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[70]</w:t>
      </w:r>
      <w:r w:rsidRPr="003B39BC">
        <w:rPr>
          <w:rFonts w:ascii="Calibri" w:hAnsi="Calibri" w:cs="Times New Roman"/>
          <w:noProof/>
          <w:szCs w:val="24"/>
        </w:rPr>
        <w:tab/>
        <w:t>A.I. Liechtenstein, V.I. Anisimov, J. Zaanen, Density-functional theory and strong interactions: Orbital ordering in Mott-Hubbard insulators, Phys. Rev. B. (1995). doi:10.1103/PhysRevB.52.R5467.</w:t>
      </w:r>
    </w:p>
    <w:p w14:paraId="32FE5EA1"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[71]</w:t>
      </w:r>
      <w:r w:rsidRPr="003B39BC">
        <w:rPr>
          <w:rFonts w:ascii="Calibri" w:hAnsi="Calibri" w:cs="Times New Roman"/>
          <w:noProof/>
          <w:szCs w:val="24"/>
        </w:rPr>
        <w:tab/>
        <w:t>P. Schwerdtfeger, The pseudopotential approximation in electronic structure theory, ChemPhysChem. (2011). doi:10.1002/cphc.201100387.</w:t>
      </w:r>
    </w:p>
    <w:p w14:paraId="63811277"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[72]</w:t>
      </w:r>
      <w:r w:rsidRPr="003B39BC">
        <w:rPr>
          <w:rFonts w:ascii="Calibri" w:hAnsi="Calibri" w:cs="Times New Roman"/>
          <w:noProof/>
          <w:szCs w:val="24"/>
        </w:rPr>
        <w:tab/>
        <w:t xml:space="preserve">P.E. Blöchl, Projector augmented-wave method, Phys. Rev. B. (1994). </w:t>
      </w:r>
      <w:r w:rsidRPr="003B39BC">
        <w:rPr>
          <w:rFonts w:ascii="Calibri" w:hAnsi="Calibri" w:cs="Times New Roman"/>
          <w:noProof/>
          <w:szCs w:val="24"/>
        </w:rPr>
        <w:lastRenderedPageBreak/>
        <w:t>doi:10.1103/PhysRevB.50.17953.</w:t>
      </w:r>
    </w:p>
    <w:p w14:paraId="69AE401C"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[73]</w:t>
      </w:r>
      <w:r w:rsidRPr="003B39BC">
        <w:rPr>
          <w:rFonts w:ascii="Calibri" w:hAnsi="Calibri" w:cs="Times New Roman"/>
          <w:noProof/>
          <w:szCs w:val="24"/>
        </w:rPr>
        <w:tab/>
        <w:t>G. Kresse, Ab initio molecular dynamics for liquid metals, J. Non. Cryst. Solids. (1995). doi:10.1016/0022-3093(95)00355-X.</w:t>
      </w:r>
    </w:p>
    <w:p w14:paraId="5CDE6D0E"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[74]</w:t>
      </w:r>
      <w:r w:rsidRPr="003B39BC">
        <w:rPr>
          <w:rFonts w:ascii="Calibri" w:hAnsi="Calibri" w:cs="Times New Roman"/>
          <w:noProof/>
          <w:szCs w:val="24"/>
        </w:rPr>
        <w:tab/>
        <w:t>M.D. Segall, P.J.D. Lindan, M.J. Probert, C.J. Pickard, P.J. Hasnip, S.J. Clark, M.C. Payne, First-principles simulation: Ideas, illustrations and the CASTEP code, J. Phys. Condens. Matter. (2002). doi:10.1088/0953-8984/14/11/301.</w:t>
      </w:r>
    </w:p>
    <w:p w14:paraId="5C0A87BA"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[75]</w:t>
      </w:r>
      <w:r w:rsidRPr="003B39BC">
        <w:rPr>
          <w:rFonts w:ascii="Calibri" w:hAnsi="Calibri" w:cs="Times New Roman"/>
          <w:noProof/>
          <w:szCs w:val="24"/>
        </w:rPr>
        <w:tab/>
        <w:t>L. Vitos, Computational Quantum Mechanics for Materials Engineers: The EMTO Method and Applications, 2007. doi:10.1007/978-1-84628-951-4.</w:t>
      </w:r>
    </w:p>
    <w:p w14:paraId="1B05DC04"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[76]</w:t>
      </w:r>
      <w:r w:rsidRPr="003B39BC">
        <w:rPr>
          <w:rFonts w:ascii="Calibri" w:hAnsi="Calibri" w:cs="Times New Roman"/>
          <w:noProof/>
          <w:szCs w:val="24"/>
        </w:rPr>
        <w:tab/>
        <w:t>L.F. Huang, B. Grabowski, J. Zhang, M.J. Lai, C.C. Tasan, S. Sandlöbes, D. Raabe, J. Neugebauer, From electronic structure to phase diagrams: A bottom-up approach to understand the stability of titanium–transition metal alloys, Acta Mater. (2016). doi:10.1016/j.actamat.2016.04.059.</w:t>
      </w:r>
    </w:p>
    <w:p w14:paraId="4AD63914"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[77]</w:t>
      </w:r>
      <w:r w:rsidRPr="003B39BC">
        <w:rPr>
          <w:rFonts w:ascii="Calibri" w:hAnsi="Calibri" w:cs="Times New Roman"/>
          <w:noProof/>
          <w:szCs w:val="24"/>
        </w:rPr>
        <w:tab/>
        <w:t>C. Zhang, F. Zhang, S. Chen, W. Cao, Computational thermodynamics aided high-entropy alloy design, JOM. (2012). doi:10.1007/s11837-012-0365-6.</w:t>
      </w:r>
    </w:p>
    <w:p w14:paraId="175893E0"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[78]</w:t>
      </w:r>
      <w:r w:rsidRPr="003B39BC">
        <w:rPr>
          <w:rFonts w:ascii="Calibri" w:hAnsi="Calibri" w:cs="Times New Roman"/>
          <w:noProof/>
          <w:szCs w:val="24"/>
        </w:rPr>
        <w:tab/>
        <w:t>L. Bellaiche, D. Vanderbilt, Virtual crystal approximation revisited: Application to dielectric and piezoelectric properties of perovskites, Phys. Rev. B - Condens. Matter Mater. Phys. (2000). doi:10.1103/PhysRevB.61.7877.</w:t>
      </w:r>
    </w:p>
    <w:p w14:paraId="3C2DC986"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[79]</w:t>
      </w:r>
      <w:r w:rsidRPr="003B39BC">
        <w:rPr>
          <w:rFonts w:ascii="Calibri" w:hAnsi="Calibri" w:cs="Times New Roman"/>
          <w:noProof/>
          <w:szCs w:val="24"/>
        </w:rPr>
        <w:tab/>
        <w:t>A. Zunger, S.H. Wei, L.G. Ferreira, J.E. Bernard, Special quasirandom structures, Phys. Rev. Lett. (1990). doi:10.1103/PhysRevLett.65.353.</w:t>
      </w:r>
    </w:p>
    <w:p w14:paraId="4398E8A7"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[80]</w:t>
      </w:r>
      <w:r w:rsidRPr="003B39BC">
        <w:rPr>
          <w:rFonts w:ascii="Calibri" w:hAnsi="Calibri" w:cs="Times New Roman"/>
          <w:noProof/>
          <w:szCs w:val="24"/>
        </w:rPr>
        <w:tab/>
        <w:t>P. Soven, Coherent-potential model of substitutional disordered alloys, Phys. Rev. (1967). doi:10.1103/PhysRev.156.809.</w:t>
      </w:r>
    </w:p>
    <w:p w14:paraId="5C2239BD"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[81]</w:t>
      </w:r>
      <w:r w:rsidRPr="003B39BC">
        <w:rPr>
          <w:rFonts w:ascii="Calibri" w:hAnsi="Calibri" w:cs="Times New Roman"/>
          <w:noProof/>
          <w:szCs w:val="24"/>
        </w:rPr>
        <w:tab/>
        <w:t>F. Yonezawa, K. Morigaki, Coherent Potential Approximation, Prog. Theor. Phys. Suppl. (1973). doi:10.1143/PTPS.53.1.</w:t>
      </w:r>
    </w:p>
    <w:p w14:paraId="280DF728"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[82]</w:t>
      </w:r>
      <w:r w:rsidRPr="003B39BC">
        <w:rPr>
          <w:rFonts w:ascii="Calibri" w:hAnsi="Calibri" w:cs="Times New Roman"/>
          <w:noProof/>
          <w:szCs w:val="24"/>
        </w:rPr>
        <w:tab/>
        <w:t>J.S. Faulkner, G.M. Stocks, Calculating properties with the coherent-potential approximation, Phys. Rev. B. (1980). doi:10.1103/PhysRevB.21.3222.</w:t>
      </w:r>
    </w:p>
    <w:p w14:paraId="3ACF77CC"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[83]</w:t>
      </w:r>
      <w:r w:rsidRPr="003B39BC">
        <w:rPr>
          <w:rFonts w:ascii="Calibri" w:hAnsi="Calibri" w:cs="Times New Roman"/>
          <w:noProof/>
          <w:szCs w:val="24"/>
        </w:rPr>
        <w:tab/>
        <w:t>F. Tian, L. Delczeg, N. Chen, L.K. Varga, J. Shen, L. Vitos, Structural stability of NiCoFeCrAlx high-entropy alloy from ab initio theory, Phys. Rev. B - Condens. Matter Mater. Phys. (2013). doi:10.1103/PhysRevB.88.085128.</w:t>
      </w:r>
    </w:p>
    <w:p w14:paraId="4433A4C7"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[84]</w:t>
      </w:r>
      <w:r w:rsidRPr="003B39BC">
        <w:rPr>
          <w:rFonts w:ascii="Calibri" w:hAnsi="Calibri" w:cs="Times New Roman"/>
          <w:noProof/>
          <w:szCs w:val="24"/>
        </w:rPr>
        <w:tab/>
        <w:t xml:space="preserve">M.C. Troparevsky, J.R. Morris, P.R.C. Kent, A.R. Lupini, G.M. Stocks, Criteria for predicting the </w:t>
      </w:r>
      <w:r w:rsidRPr="003B39BC">
        <w:rPr>
          <w:rFonts w:ascii="Calibri" w:hAnsi="Calibri" w:cs="Times New Roman"/>
          <w:noProof/>
          <w:szCs w:val="24"/>
        </w:rPr>
        <w:lastRenderedPageBreak/>
        <w:t>formation of single-phase high-entropy alloys, Phys. Rev. X. (2015). doi:10.1103/PhysRevX.5.011041.</w:t>
      </w:r>
    </w:p>
    <w:p w14:paraId="0C452DB4"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[85]</w:t>
      </w:r>
      <w:r w:rsidRPr="003B39BC">
        <w:rPr>
          <w:rFonts w:ascii="Calibri" w:hAnsi="Calibri" w:cs="Times New Roman"/>
          <w:noProof/>
          <w:szCs w:val="24"/>
        </w:rPr>
        <w:tab/>
        <w:t>L. Qi, D.C. Chrzan, Tuning ideal tensile strengths and intrinsic ductility of bcc refractory alloys, Phys. Rev. Lett. (2014). doi:10.1103/PhysRevLett.112.115503.</w:t>
      </w:r>
    </w:p>
    <w:p w14:paraId="54F709D6"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[86]</w:t>
      </w:r>
      <w:r w:rsidRPr="003B39BC">
        <w:rPr>
          <w:rFonts w:ascii="Calibri" w:hAnsi="Calibri" w:cs="Times New Roman"/>
          <w:noProof/>
          <w:szCs w:val="24"/>
        </w:rPr>
        <w:tab/>
        <w:t>S. Sheikh, S. Shafeie, Q. Hu, J. Ahlström, C. Persson, J. Veselý, J. Zýka, U. Klement, S. Guo, Alloy design for intrinsically ductile refractory high-entropy alloys, J. Appl. Phys. (2016). doi:10.1063/1.4966659.</w:t>
      </w:r>
    </w:p>
    <w:p w14:paraId="24414078"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[87]</w:t>
      </w:r>
      <w:r w:rsidRPr="003B39BC">
        <w:rPr>
          <w:rFonts w:ascii="Calibri" w:hAnsi="Calibri" w:cs="Times New Roman"/>
          <w:noProof/>
          <w:szCs w:val="24"/>
        </w:rPr>
        <w:tab/>
        <w:t>F. Tian, L.K. Varga, N. Chen, J. Shen, L. Vitos, Empirical design of single phase high-entropy alloys with high hardness, Intermetallics. (2015). doi:10.1016/j.intermet.2014.10.010.</w:t>
      </w:r>
    </w:p>
    <w:p w14:paraId="7652FA61"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[88]</w:t>
      </w:r>
      <w:r w:rsidRPr="003B39BC">
        <w:rPr>
          <w:rFonts w:ascii="Calibri" w:hAnsi="Calibri" w:cs="Times New Roman"/>
          <w:noProof/>
          <w:szCs w:val="24"/>
        </w:rPr>
        <w:tab/>
        <w:t>X. Li, F. Tian, S. Schönecker, J. Zhao, L. Vitos, Ab initio-predicted micro-mechanical performance of refractory high-entropy alloys, Sci. Rep. (2015). doi:10.1038/srep12334.</w:t>
      </w:r>
    </w:p>
    <w:p w14:paraId="685C63AE"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[89]</w:t>
      </w:r>
      <w:r w:rsidRPr="003B39BC">
        <w:rPr>
          <w:rFonts w:ascii="Calibri" w:hAnsi="Calibri" w:cs="Times New Roman"/>
          <w:noProof/>
          <w:szCs w:val="24"/>
        </w:rPr>
        <w:tab/>
        <w:t>X. Li, S. Schönecker, J. Zhao, B. Johansson, L. Vitos, Ideal strength of random alloys from first principles, Phys. Rev. B - Condens. Matter Mater. Phys. (2013). doi:10.1103/PhysRevB.87.214203.</w:t>
      </w:r>
    </w:p>
    <w:p w14:paraId="3B690193"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[90]</w:t>
      </w:r>
      <w:r w:rsidRPr="003B39BC">
        <w:rPr>
          <w:rFonts w:ascii="Calibri" w:hAnsi="Calibri" w:cs="Times New Roman"/>
          <w:noProof/>
          <w:szCs w:val="24"/>
        </w:rPr>
        <w:tab/>
        <w:t>F. Tian, L.K. Varga, N. Chen, J. Shen, L. Vitos, Ab initio design of elastically isotropic TiZrNbMoVx high-entropy alloys, J. Alloys Compd. (2014). doi:10.1016/j.jallcom.2014.01.237.</w:t>
      </w:r>
    </w:p>
    <w:p w14:paraId="466E2571"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[91]</w:t>
      </w:r>
      <w:r w:rsidRPr="003B39BC">
        <w:rPr>
          <w:rFonts w:ascii="Calibri" w:hAnsi="Calibri" w:cs="Times New Roman"/>
          <w:noProof/>
          <w:szCs w:val="24"/>
        </w:rPr>
        <w:tab/>
        <w:t>B. Gludovatz, A. Hohenwarter, D. Catoor, E.H. Chang, E.P. George, R.O. Ritchie, A fracture-resistant high-entropy alloy for cryogenic applications, Science (80-. ). (2014). doi:10.1126/science.1254581.</w:t>
      </w:r>
    </w:p>
    <w:p w14:paraId="0A9F2D01"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[92]</w:t>
      </w:r>
      <w:r w:rsidRPr="003B39BC">
        <w:rPr>
          <w:rFonts w:ascii="Calibri" w:hAnsi="Calibri" w:cs="Times New Roman"/>
          <w:noProof/>
          <w:szCs w:val="24"/>
        </w:rPr>
        <w:tab/>
        <w:t>T. Yang, Y.L. Zhao, Y. Tong, Z.B. Jiao, J. Wei, J.X. Cai, X.D. Han, D. Chen, A. Hu, J.J. Kai, K. Lu, Y. Liu, C.T. Liu, Multicomponent intermetallic nanoparticles and superb mechanical behaviors of complex alloys, Science (80-. ). (2018). doi:10.1126/science.aas8815.</w:t>
      </w:r>
    </w:p>
    <w:p w14:paraId="178E47BF"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[93]</w:t>
      </w:r>
      <w:r w:rsidRPr="003B39BC">
        <w:rPr>
          <w:rFonts w:ascii="Calibri" w:hAnsi="Calibri" w:cs="Times New Roman"/>
          <w:noProof/>
          <w:szCs w:val="24"/>
        </w:rPr>
        <w:tab/>
        <w:t>Z. Li, K.G. Pradeep, Y. Deng, D. Raabe, C.C. Tasan, Metastable high-entropy dual-phase alloys overcome the strength-ductility trade-off, Nature. (2016). doi:10.1038/nature17981.</w:t>
      </w:r>
    </w:p>
    <w:p w14:paraId="48632FB2"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[94]</w:t>
      </w:r>
      <w:r w:rsidRPr="003B39BC">
        <w:rPr>
          <w:rFonts w:ascii="Calibri" w:hAnsi="Calibri" w:cs="Times New Roman"/>
          <w:noProof/>
          <w:szCs w:val="24"/>
        </w:rPr>
        <w:tab/>
        <w:t>Z. Lei, X. Liu, Y. Wu, H. Wang, S. Jiang, S. Wang, X. Hui, Y. Wu, B. Gault, P. Kontis, D. Raabe, L. Gu, Q. Zhang, H. Chen, H. Wang, J. Liu, K. An, Q. Zeng, T.G. Nieh, Z. Lu, Enhanced strength and ductility in a high-entropy alloy via ordered oxygen complexes, Nature. (2018). doi:10.1038/s41586-018-0685-y.</w:t>
      </w:r>
    </w:p>
    <w:p w14:paraId="20299A2E"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[95]</w:t>
      </w:r>
      <w:r w:rsidRPr="003B39BC">
        <w:rPr>
          <w:rFonts w:ascii="Calibri" w:hAnsi="Calibri" w:cs="Times New Roman"/>
          <w:noProof/>
          <w:szCs w:val="24"/>
        </w:rPr>
        <w:tab/>
        <w:t>S. qin Xia, Z. Wang, T. fei Yang, Y. Zhang, Irradiation Behavior in High Entropy Alloys, J. Iron Steel Res. Int. (2015). doi:10.1016/S1006-706X(15)30084-4.</w:t>
      </w:r>
    </w:p>
    <w:p w14:paraId="770C9A5E"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lastRenderedPageBreak/>
        <w:t>[96]</w:t>
      </w:r>
      <w:r w:rsidRPr="003B39BC">
        <w:rPr>
          <w:rFonts w:ascii="Calibri" w:hAnsi="Calibri" w:cs="Times New Roman"/>
          <w:noProof/>
          <w:szCs w:val="24"/>
        </w:rPr>
        <w:tab/>
        <w:t>W.Y. Chen, X. Liu, Y. Chen, J.W. Yeh, K.K. Tseng, K. Natesan, Irradiation effects in high entropy alloys and 316H stainless steel at 300 °C, J. Nucl. Mater. (2018). doi:10.1016/j.jnucmat.2018.08.031.</w:t>
      </w:r>
    </w:p>
    <w:p w14:paraId="398B092D"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[97]</w:t>
      </w:r>
      <w:r w:rsidRPr="003B39BC">
        <w:rPr>
          <w:rFonts w:ascii="Calibri" w:hAnsi="Calibri" w:cs="Times New Roman"/>
          <w:noProof/>
          <w:szCs w:val="24"/>
        </w:rPr>
        <w:tab/>
        <w:t>P.K. Liaw, Radiation Behavior of High-Entropy Alloys for Advanced Reactors, (Project Rep. Abstr. (2014).</w:t>
      </w:r>
    </w:p>
    <w:p w14:paraId="25EBD519"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[98]</w:t>
      </w:r>
      <w:r w:rsidRPr="003B39BC">
        <w:rPr>
          <w:rFonts w:ascii="Calibri" w:hAnsi="Calibri" w:cs="Times New Roman"/>
          <w:noProof/>
          <w:szCs w:val="24"/>
        </w:rPr>
        <w:tab/>
        <w:t>K.V.S. Thurston, B. Gludovatz, A. Hohenwarter, G. Laplanche, E.P. George, R.O. Ritchie, Effect of temperature on the fatigue-crack growth behavior of the high-entropy alloy CrMnFeCoNi, Intermetallics. (2017). doi:10.1016/j.intermet.2017.05.009.</w:t>
      </w:r>
    </w:p>
    <w:p w14:paraId="635ADA13"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[99]</w:t>
      </w:r>
      <w:r w:rsidRPr="003B39BC">
        <w:rPr>
          <w:rFonts w:ascii="Calibri" w:hAnsi="Calibri" w:cs="Times New Roman"/>
          <w:noProof/>
          <w:szCs w:val="24"/>
        </w:rPr>
        <w:tab/>
        <w:t>S.Q. Xia, M.C. Gao, Y. Zhang, Abnormal temperature dependence of impact toughness in AlxCoCrFeNi system high entropy alloys, Mater. Chem. Phys. (2018). doi:10.1016/j.matchemphys.2017.06.021.</w:t>
      </w:r>
    </w:p>
    <w:p w14:paraId="2F6CFB5F"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[100]</w:t>
      </w:r>
      <w:r w:rsidRPr="003B39BC">
        <w:rPr>
          <w:rFonts w:ascii="Calibri" w:hAnsi="Calibri" w:cs="Times New Roman"/>
          <w:noProof/>
          <w:szCs w:val="24"/>
        </w:rPr>
        <w:tab/>
        <w:t>J.Y. He, H. Wang, Y. Wu, X.J. Liu, H.H. Mao, T.G. Nieh, Z.P. Lu, Precipitation behavior and its effects on tensile properties of FeCoNiCr high-entropy alloys, Intermetallics. (2016). doi:10.1016/j.intermet.2016.09.005.</w:t>
      </w:r>
    </w:p>
    <w:p w14:paraId="02F437A5"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[101]</w:t>
      </w:r>
      <w:r w:rsidRPr="003B39BC">
        <w:rPr>
          <w:rFonts w:ascii="Calibri" w:hAnsi="Calibri" w:cs="Times New Roman"/>
          <w:noProof/>
          <w:szCs w:val="24"/>
        </w:rPr>
        <w:tab/>
        <w:t>Z. Wu, H. Bei, G.M. Pharr, E.P. George, Temperature dependence of the mechanical properties of equiatomic solid solution alloys with face-centered cubic crystal structures, Acta Mater. (2014). doi:10.1016/j.actamat.2014.08.026.</w:t>
      </w:r>
    </w:p>
    <w:p w14:paraId="6E075708"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[102]</w:t>
      </w:r>
      <w:r w:rsidRPr="003B39BC">
        <w:rPr>
          <w:rFonts w:ascii="Calibri" w:hAnsi="Calibri" w:cs="Times New Roman"/>
          <w:noProof/>
          <w:szCs w:val="24"/>
        </w:rPr>
        <w:tab/>
        <w:t>D.T. Pierce, J.A. Jiménez, J. Bentley, D. Raabe, C. Oskay, J.E. Wittig, The influence of manganese content on the stacking fault and austenite/ε-martensite interfacial energies in Fe-Mn-(Al-Si) steels investigated by experiment and theory, Acta Mater. (2014). doi:10.1016/j.actamat.2014.01.001.</w:t>
      </w:r>
    </w:p>
    <w:p w14:paraId="2AA2C08D"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[103]</w:t>
      </w:r>
      <w:r w:rsidRPr="003B39BC">
        <w:rPr>
          <w:rFonts w:ascii="Calibri" w:hAnsi="Calibri" w:cs="Times New Roman"/>
          <w:noProof/>
          <w:szCs w:val="24"/>
        </w:rPr>
        <w:tab/>
        <w:t>A. Dumay, J.P. Chateau, S. Allain, S. Migot, O. Bouaziz, Influence of addition elements on the stacking-fault energy and mechanical properties of an austenitic Fe-Mn-C steel, Mater. Sci. Eng. A. (2008). doi:10.1016/j.msea.2006.12.170.</w:t>
      </w:r>
    </w:p>
    <w:p w14:paraId="40C1A854"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[104]</w:t>
      </w:r>
      <w:r w:rsidRPr="003B39BC">
        <w:rPr>
          <w:rFonts w:ascii="Calibri" w:hAnsi="Calibri" w:cs="Times New Roman"/>
          <w:noProof/>
          <w:szCs w:val="24"/>
        </w:rPr>
        <w:tab/>
        <w:t>L. Chen, Y. Zhao, X. Qin, Some aspects of high manganese twinning-induced plasticity (TWIP) steel, a review, Acta Metall. Sin. (English Lett. (2013). doi:10.1007/s40195-012-0501-x.</w:t>
      </w:r>
    </w:p>
    <w:p w14:paraId="606386D0"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[105]</w:t>
      </w:r>
      <w:r w:rsidRPr="003B39BC">
        <w:rPr>
          <w:rFonts w:ascii="Calibri" w:hAnsi="Calibri" w:cs="Times New Roman"/>
          <w:noProof/>
          <w:szCs w:val="24"/>
        </w:rPr>
        <w:tab/>
        <w:t>S. Allain, J.P. Chateau, D. Dahmoun, O. Bouaziz, Modeling of mechanical twinning in a high manganese content austenitic steel, Mater. Sci. Eng. A. (2004). doi:10.1016/j.msea.2004.05.038.</w:t>
      </w:r>
    </w:p>
    <w:p w14:paraId="6537D3C5"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[106]</w:t>
      </w:r>
      <w:r w:rsidRPr="003B39BC">
        <w:rPr>
          <w:rFonts w:ascii="Calibri" w:hAnsi="Calibri" w:cs="Times New Roman"/>
          <w:noProof/>
          <w:szCs w:val="24"/>
        </w:rPr>
        <w:tab/>
        <w:t xml:space="preserve">G. Frommeyer, U. Brüx, P. Neumann, Supra-Ductile and High-Strength Manganese-TRIP/TWIP </w:t>
      </w:r>
      <w:r w:rsidRPr="003B39BC">
        <w:rPr>
          <w:rFonts w:ascii="Calibri" w:hAnsi="Calibri" w:cs="Times New Roman"/>
          <w:noProof/>
          <w:szCs w:val="24"/>
        </w:rPr>
        <w:lastRenderedPageBreak/>
        <w:t>Steels for High Energy Absorption Purposes., ISIJ Int. (2003). doi:10.2355/isijinternational.43.438.</w:t>
      </w:r>
    </w:p>
    <w:p w14:paraId="29C41039"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[107]</w:t>
      </w:r>
      <w:r w:rsidRPr="003B39BC">
        <w:rPr>
          <w:rFonts w:ascii="Calibri" w:hAnsi="Calibri" w:cs="Times New Roman"/>
          <w:noProof/>
          <w:szCs w:val="24"/>
        </w:rPr>
        <w:tab/>
        <w:t>B.B. He, H.W. Luo, M.X. Huang, Experimental investigation on a novel medium Mn steel combining transformation-induced plasticity and twinning-induced plasticity effects, Int. J. Plast. (2016). doi:10.1016/j.ijplas.2015.11.004.</w:t>
      </w:r>
    </w:p>
    <w:p w14:paraId="61AF2482"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[108]</w:t>
      </w:r>
      <w:r w:rsidRPr="003B39BC">
        <w:rPr>
          <w:rFonts w:ascii="Calibri" w:hAnsi="Calibri" w:cs="Times New Roman"/>
          <w:noProof/>
          <w:szCs w:val="24"/>
        </w:rPr>
        <w:tab/>
        <w:t>Z.J. Zhang, M.M. Mao, J. Wang, B. Gludovatz, Z. Zhang, S.X. Mao, E.P. George, Q. Yu, R.O. Ritchie, Nanoscale origins of the damage tolerance of the high-entropy alloy CrMnFeCoNi, Nat. Commun. (2015). doi:10.1038/ncomms10143.</w:t>
      </w:r>
    </w:p>
    <w:p w14:paraId="17188C36"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[109]</w:t>
      </w:r>
      <w:r w:rsidRPr="003B39BC">
        <w:rPr>
          <w:rFonts w:ascii="Calibri" w:hAnsi="Calibri" w:cs="Times New Roman"/>
          <w:noProof/>
          <w:szCs w:val="24"/>
        </w:rPr>
        <w:tab/>
        <w:t>Y. Deng, C.C. Tasan, K.G. Pradeep, H. Springer, A. Kostka, D. Raabe, Design of a twinning-induced plasticity high entropy alloy, Acta Mater. (2015). doi:10.1016/j.actamat.2015.04.014.</w:t>
      </w:r>
    </w:p>
    <w:p w14:paraId="23C7A632"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[110]</w:t>
      </w:r>
      <w:r w:rsidRPr="003B39BC">
        <w:rPr>
          <w:rFonts w:ascii="Calibri" w:hAnsi="Calibri" w:cs="Times New Roman"/>
          <w:noProof/>
          <w:szCs w:val="24"/>
        </w:rPr>
        <w:tab/>
        <w:t>Transformation induced plasticity, Adv. Mater. Process. (2005). doi:10.1115/1.3101930.</w:t>
      </w:r>
    </w:p>
    <w:p w14:paraId="3D3F96F1"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[111]</w:t>
      </w:r>
      <w:r w:rsidRPr="003B39BC">
        <w:rPr>
          <w:rFonts w:ascii="Calibri" w:hAnsi="Calibri" w:cs="Times New Roman"/>
          <w:noProof/>
          <w:szCs w:val="24"/>
        </w:rPr>
        <w:tab/>
        <w:t>D.M. Norfleet, P.M. Sarosi, S. Manchiraju, M.F.X. Wagner, M.D. Uchic, P.M. Anderson, M.J. Mills, Transformation-induced plasticity during pseudoelastic deformation in Ni-Ti microcrystals, Acta Mater. (2009). doi:10.1016/j.actamat.2009.04.009.</w:t>
      </w:r>
    </w:p>
    <w:p w14:paraId="4B8E8007"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[112]</w:t>
      </w:r>
      <w:r w:rsidRPr="003B39BC">
        <w:rPr>
          <w:rFonts w:ascii="Calibri" w:hAnsi="Calibri" w:cs="Times New Roman"/>
          <w:noProof/>
          <w:szCs w:val="24"/>
        </w:rPr>
        <w:tab/>
        <w:t>S. Turteltaub, A.S.J. Suiker, Transformation-induced plasticity in ferrous alloys, J. Mech. Phys. Solids. (2005). doi:10.1016/j.jmps.2005.03.004.</w:t>
      </w:r>
    </w:p>
    <w:p w14:paraId="34D27CA3"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[113]</w:t>
      </w:r>
      <w:r w:rsidRPr="003B39BC">
        <w:rPr>
          <w:rFonts w:ascii="Calibri" w:hAnsi="Calibri" w:cs="Times New Roman"/>
          <w:noProof/>
          <w:szCs w:val="24"/>
        </w:rPr>
        <w:tab/>
        <w:t>P.J. Jacques, Transformation-induced plasticity for high strength formable steels, Curr. Opin. Solid State Mater. Sci. (2004). doi:10.1016/j.cossms.2004.09.006.</w:t>
      </w:r>
    </w:p>
    <w:p w14:paraId="0A0448DE"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[114]</w:t>
      </w:r>
      <w:r w:rsidRPr="003B39BC">
        <w:rPr>
          <w:rFonts w:ascii="Calibri" w:hAnsi="Calibri" w:cs="Times New Roman"/>
          <w:noProof/>
          <w:szCs w:val="24"/>
        </w:rPr>
        <w:tab/>
        <w:t>I. Tamura, Deformation-induced martensitic transformation and transformation-induced plasticity in steels, Met. Sci. (1982). doi:10.1179/030634582790427316.</w:t>
      </w:r>
    </w:p>
    <w:p w14:paraId="616C2358"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[115]</w:t>
      </w:r>
      <w:r w:rsidRPr="003B39BC">
        <w:rPr>
          <w:rFonts w:ascii="Calibri" w:hAnsi="Calibri" w:cs="Times New Roman"/>
          <w:noProof/>
          <w:szCs w:val="24"/>
        </w:rPr>
        <w:tab/>
        <w:t>F.D. Fischer, G. Reisner, E. Werner, K. Tanaka, G. Cailletaud, T. Antretter, New view on transformation induced plasticity (TRIP), Int. J. Plast. (2000). doi:10.1016/S0749-6419(99)00078-9.</w:t>
      </w:r>
    </w:p>
    <w:p w14:paraId="0C94D7BD"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[116]</w:t>
      </w:r>
      <w:r w:rsidRPr="003B39BC">
        <w:rPr>
          <w:rFonts w:ascii="Calibri" w:hAnsi="Calibri" w:cs="Times New Roman"/>
          <w:noProof/>
          <w:szCs w:val="24"/>
        </w:rPr>
        <w:tab/>
        <w:t>M. Marteleur, F. Sun, T. Gloriant, P. Vermaut, P.J. Jacques, F. Prima, On the design of new β-metastable titanium alloys with improved work hardening rate thanks to simultaneous TRIP and TWIP effects, Scr. Mater. (2012). doi:10.1016/j.scriptamat.2012.01.049.</w:t>
      </w:r>
    </w:p>
    <w:p w14:paraId="45252F4C"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[117]</w:t>
      </w:r>
      <w:r w:rsidRPr="003B39BC">
        <w:rPr>
          <w:rFonts w:ascii="Calibri" w:hAnsi="Calibri" w:cs="Times New Roman"/>
          <w:noProof/>
          <w:szCs w:val="24"/>
        </w:rPr>
        <w:tab/>
        <w:t>M. Ahmed, D. Wexler, G. Casillas, D.G. Savvakin, E. V. Pereloma, Strain rate dependence of deformation-induced transformation and twinning in a metastable titanium alloy, Acta Mater. (2016). doi:10.1016/j.actamat.2015.11.026.</w:t>
      </w:r>
    </w:p>
    <w:p w14:paraId="3E9454F2"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lastRenderedPageBreak/>
        <w:t>[118]</w:t>
      </w:r>
      <w:r w:rsidRPr="003B39BC">
        <w:rPr>
          <w:rFonts w:ascii="Calibri" w:hAnsi="Calibri" w:cs="Times New Roman"/>
          <w:noProof/>
          <w:szCs w:val="24"/>
        </w:rPr>
        <w:tab/>
        <w:t>S.J. Sun, Y.Z. Tian, H.R. Lin, H.J. Yang, X.G. Dong, Y.H. Wang, Z.F. Zhang, Transition of twinning behavior in CoCrFeMnNi high entropy alloy with grain refinement, Mater. Sci. Eng. A. (2018). doi:10.1016/j.msea.2017.12.022.</w:t>
      </w:r>
    </w:p>
    <w:p w14:paraId="5B8B95B0"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[119]</w:t>
      </w:r>
      <w:r w:rsidRPr="003B39BC">
        <w:rPr>
          <w:rFonts w:ascii="Calibri" w:hAnsi="Calibri" w:cs="Times New Roman"/>
          <w:noProof/>
          <w:szCs w:val="24"/>
        </w:rPr>
        <w:tab/>
        <w:t>Z. Li, C.C. Tasan, H. Springer, B. Gault, D. Raabe, Interstitial atoms enable joint twinning and transformation induced plasticity in strong and ductile high-entropy alloys, Sci. Rep. (2017). doi:10.1038/srep40704.</w:t>
      </w:r>
    </w:p>
    <w:p w14:paraId="14FA6F9C"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[120]</w:t>
      </w:r>
      <w:r w:rsidRPr="003B39BC">
        <w:rPr>
          <w:rFonts w:ascii="Calibri" w:hAnsi="Calibri" w:cs="Times New Roman"/>
          <w:noProof/>
          <w:szCs w:val="24"/>
        </w:rPr>
        <w:tab/>
        <w:t>H. Huang, Y. Wu, J. He, H. Wang, X. Liu, K. An, W. Wu, Z. Lu, Phase-Transformation Ductilization of Brittle High-Entropy Alloys via Metastability Engineering, Adv. Mater. (2017). doi:10.1002/adma.201701678.</w:t>
      </w:r>
    </w:p>
    <w:p w14:paraId="66987203"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[121]</w:t>
      </w:r>
      <w:r w:rsidRPr="003B39BC">
        <w:rPr>
          <w:rFonts w:ascii="Calibri" w:hAnsi="Calibri" w:cs="Times New Roman"/>
          <w:noProof/>
          <w:szCs w:val="24"/>
        </w:rPr>
        <w:tab/>
        <w:t>L. Lilensten, J.P. Couzinié, J. Bourgon, L. Perrière, G. Dirras, F. Prima, I. Guillot, Design and tensile properties of a bcc Ti-rich high-entropy alloy with transformation-induced plasticity, Mater. Res. Lett. (2017). doi:10.1080/21663831.2016.1221861.</w:t>
      </w:r>
    </w:p>
    <w:p w14:paraId="015ABBBA"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[122]</w:t>
      </w:r>
      <w:r w:rsidRPr="003B39BC">
        <w:rPr>
          <w:rFonts w:ascii="Calibri" w:hAnsi="Calibri" w:cs="Times New Roman"/>
          <w:noProof/>
          <w:szCs w:val="24"/>
        </w:rPr>
        <w:tab/>
        <w:t>J.S. Jeong, Y.M. Koo, I.K. Jeong, S.K. Kim, S.K. Kwon, Micro-structural study of high-Mn TWIP steels using diffraction profile analysis, Mater. Sci. Eng. A. (2011). doi:10.1016/j.msea.2011.09.060.</w:t>
      </w:r>
    </w:p>
    <w:p w14:paraId="10E091DC"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[123]</w:t>
      </w:r>
      <w:r w:rsidRPr="003B39BC">
        <w:rPr>
          <w:rFonts w:ascii="Calibri" w:hAnsi="Calibri" w:cs="Times New Roman"/>
          <w:noProof/>
          <w:szCs w:val="24"/>
        </w:rPr>
        <w:tab/>
        <w:t>S.L. Wong, M. Madivala, U. Prahl, F. Roters, D. Raabe, A crystal plasticity model for twinning- and transformation-induced plasticity, Acta Mater. (2016). doi:10.1016/j.actamat.2016.07.032.</w:t>
      </w:r>
    </w:p>
    <w:p w14:paraId="12485CBF"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[124]</w:t>
      </w:r>
      <w:r w:rsidRPr="003B39BC">
        <w:rPr>
          <w:rFonts w:ascii="Calibri" w:hAnsi="Calibri" w:cs="Times New Roman"/>
          <w:noProof/>
          <w:szCs w:val="24"/>
        </w:rPr>
        <w:tab/>
        <w:t>E. El-Danaf, S.R. Kalidindi, R.D. Doherty, Influence of grain size and stacking-fault energy on deformation twinning in fcc metals, Metall. Mater. Trans. A Phys. Metall. Mater. Sci. (1999). doi:10.1007/s11661-999-0272-9.</w:t>
      </w:r>
    </w:p>
    <w:p w14:paraId="7D1AD6B9"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[125]</w:t>
      </w:r>
      <w:r w:rsidRPr="003B39BC">
        <w:rPr>
          <w:rFonts w:ascii="Calibri" w:hAnsi="Calibri" w:cs="Times New Roman"/>
          <w:noProof/>
          <w:szCs w:val="24"/>
        </w:rPr>
        <w:tab/>
        <w:t>I. Gutierrez-Urrutia, D. Raabe, Grain size effect on strain hardening in twinning-induced plasticity steels, Scr. Mater. (2012). doi:10.1016/j.scriptamat.2012.01.037.</w:t>
      </w:r>
    </w:p>
    <w:p w14:paraId="09AC7CC5"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[126]</w:t>
      </w:r>
      <w:r w:rsidRPr="003B39BC">
        <w:rPr>
          <w:rFonts w:ascii="Calibri" w:hAnsi="Calibri" w:cs="Times New Roman"/>
          <w:noProof/>
          <w:szCs w:val="24"/>
        </w:rPr>
        <w:tab/>
        <w:t>M.A. Meyers, O. Vöhringer, V.A. Lubarda, The onset of twinning in metals: A constitutive description, Acta Mater. (2001). doi:10.1016/S1359-6454(01)00300-7.</w:t>
      </w:r>
    </w:p>
    <w:p w14:paraId="393B4FAF"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[127]</w:t>
      </w:r>
      <w:r w:rsidRPr="003B39BC">
        <w:rPr>
          <w:rFonts w:ascii="Calibri" w:hAnsi="Calibri" w:cs="Times New Roman"/>
          <w:noProof/>
          <w:szCs w:val="24"/>
        </w:rPr>
        <w:tab/>
        <w:t>E.N. Hahn, M.A. Meyers, Grain-size dependent mechanical behavior of nanocrystalline metals, Mater. Sci. Eng. A. (2015). doi:10.1016/j.msea.2015.07.075.</w:t>
      </w:r>
    </w:p>
    <w:p w14:paraId="336CB64E"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[128]</w:t>
      </w:r>
      <w:r w:rsidRPr="003B39BC">
        <w:rPr>
          <w:rFonts w:ascii="Calibri" w:hAnsi="Calibri" w:cs="Times New Roman"/>
          <w:noProof/>
          <w:szCs w:val="24"/>
        </w:rPr>
        <w:tab/>
        <w:t>Y.T. Zhu, X.Z. Liao, X.L. Wu, J. Narayan, Grain size effect on deformation twinning and detwinning, in: J. Mater. Sci., 2013. doi:10.1007/s10853-013-7140-0.</w:t>
      </w:r>
    </w:p>
    <w:p w14:paraId="6C9A9DFB"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[129]</w:t>
      </w:r>
      <w:r w:rsidRPr="003B39BC">
        <w:rPr>
          <w:rFonts w:ascii="Calibri" w:hAnsi="Calibri" w:cs="Times New Roman"/>
          <w:noProof/>
          <w:szCs w:val="24"/>
        </w:rPr>
        <w:tab/>
        <w:t xml:space="preserve">Z. Li, C.C. Tasan, K.G. Pradeep, D. Raabe, A TRIP-assisted dual-phase high-entropy alloy: Grain size </w:t>
      </w:r>
      <w:r w:rsidRPr="003B39BC">
        <w:rPr>
          <w:rFonts w:ascii="Calibri" w:hAnsi="Calibri" w:cs="Times New Roman"/>
          <w:noProof/>
          <w:szCs w:val="24"/>
        </w:rPr>
        <w:lastRenderedPageBreak/>
        <w:t>and phase fraction effects on deformation behavior, Acta Mater. (2017). doi:10.1016/j.actamat.2017.03.069.</w:t>
      </w:r>
    </w:p>
    <w:p w14:paraId="02ABA99D"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[130]</w:t>
      </w:r>
      <w:r w:rsidRPr="003B39BC">
        <w:rPr>
          <w:rFonts w:ascii="Calibri" w:hAnsi="Calibri" w:cs="Times New Roman"/>
          <w:noProof/>
          <w:szCs w:val="24"/>
        </w:rPr>
        <w:tab/>
        <w:t>O.N. Senkov, D.B. Miracle, K.J. Chaput, J.P. Couzinie, Development and exploration of refractory high entropy alloys - A review, J. Mater. Res. (2018). doi:10.1557/jmr.2018.153.</w:t>
      </w:r>
    </w:p>
    <w:p w14:paraId="0E96903B"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[131]</w:t>
      </w:r>
      <w:r w:rsidRPr="003B39BC">
        <w:rPr>
          <w:rFonts w:ascii="Calibri" w:hAnsi="Calibri" w:cs="Times New Roman"/>
          <w:noProof/>
          <w:szCs w:val="24"/>
        </w:rPr>
        <w:tab/>
        <w:t>J. Chen, X. Zhou, W. Wang, B. Liu, Y. Lv, W. Yang, D. Xu, Y. Liu, A review on fundamental of high entropy alloys with promising high–temperature properties, J. Alloys Compd. (2018). doi:10.1016/j.jallcom.2018.05.067.</w:t>
      </w:r>
    </w:p>
    <w:p w14:paraId="4127D0A6"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[132]</w:t>
      </w:r>
      <w:r w:rsidRPr="003B39BC">
        <w:rPr>
          <w:rFonts w:ascii="Calibri" w:hAnsi="Calibri" w:cs="Times New Roman"/>
          <w:noProof/>
          <w:szCs w:val="24"/>
        </w:rPr>
        <w:tab/>
        <w:t>J. Tran, Titanium by design: Trip titanium alloy, ProQuest Diss. Theses Glob. (2009).</w:t>
      </w:r>
    </w:p>
    <w:p w14:paraId="2F7C370A"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[133]</w:t>
      </w:r>
      <w:r w:rsidRPr="003B39BC">
        <w:rPr>
          <w:rFonts w:ascii="Calibri" w:hAnsi="Calibri" w:cs="Times New Roman"/>
          <w:noProof/>
          <w:szCs w:val="24"/>
        </w:rPr>
        <w:tab/>
        <w:t>M.J. Lai, T. Li, D. Raabe, ω phase acts as a switch between dislocation channeling and joint twinning- and transformation-induced plasticity in a metastable β titanium alloy, Acta Mater. (2018). doi:10.1016/j.actamat.2018.03.053.</w:t>
      </w:r>
    </w:p>
    <w:p w14:paraId="4B584017"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[134]</w:t>
      </w:r>
      <w:r w:rsidRPr="003B39BC">
        <w:rPr>
          <w:rFonts w:ascii="Calibri" w:hAnsi="Calibri" w:cs="Times New Roman"/>
          <w:noProof/>
          <w:szCs w:val="24"/>
        </w:rPr>
        <w:tab/>
        <w:t xml:space="preserve">H. Xing, J. Sun, Mechanical twinning and omega transition by </w:t>
      </w:r>
      <w:r w:rsidRPr="003B39BC">
        <w:rPr>
          <w:rFonts w:ascii="Calibri" w:hAnsi="Calibri" w:cs="Times New Roman"/>
          <w:noProof/>
          <w:szCs w:val="24"/>
        </w:rPr>
        <w:t>〈</w:t>
      </w:r>
      <w:r w:rsidRPr="003B39BC">
        <w:rPr>
          <w:rFonts w:ascii="Calibri" w:hAnsi="Calibri" w:cs="Times New Roman"/>
          <w:noProof/>
          <w:szCs w:val="24"/>
        </w:rPr>
        <w:t>111</w:t>
      </w:r>
      <w:r w:rsidRPr="003B39BC">
        <w:rPr>
          <w:rFonts w:ascii="Calibri" w:hAnsi="Calibri" w:cs="Times New Roman"/>
          <w:noProof/>
          <w:szCs w:val="24"/>
        </w:rPr>
        <w:t>〉</w:t>
      </w:r>
      <w:r w:rsidRPr="003B39BC">
        <w:rPr>
          <w:rFonts w:ascii="Calibri" w:hAnsi="Calibri" w:cs="Times New Roman"/>
          <w:noProof/>
          <w:szCs w:val="24"/>
        </w:rPr>
        <w:t xml:space="preserve"> {112} shear in a metastable ß titanium alloy, Appl. Phys. Lett. (2008). doi:10.1063/1.2959183.</w:t>
      </w:r>
    </w:p>
    <w:p w14:paraId="139F9ACF"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[135]</w:t>
      </w:r>
      <w:r w:rsidRPr="003B39BC">
        <w:rPr>
          <w:rFonts w:ascii="Calibri" w:hAnsi="Calibri" w:cs="Times New Roman"/>
          <w:noProof/>
          <w:szCs w:val="24"/>
        </w:rPr>
        <w:tab/>
        <w:t>M. Morinaga, H. Yukawa, Alloy design with the aid of molecular orbital method, Bull. Mater. Sci. (1997). doi:10.1007/BF02747420.</w:t>
      </w:r>
    </w:p>
    <w:p w14:paraId="6D02B29D"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[136]</w:t>
      </w:r>
      <w:r w:rsidRPr="003B39BC">
        <w:rPr>
          <w:rFonts w:ascii="Calibri" w:hAnsi="Calibri" w:cs="Times New Roman"/>
          <w:noProof/>
          <w:szCs w:val="24"/>
        </w:rPr>
        <w:tab/>
        <w:t>C. Lin, J. Yu, G. Yin, A. Zhang, Z. Zhao, S. Huang, Y. Zhao, L. Guo, Omega Phase Transformation in Titanium Alloys: A Review, Cailiao Daobao/Materials Rev. (2017). doi:10.11896/j.issn.1005-023X.2017.05.012.</w:t>
      </w:r>
    </w:p>
    <w:p w14:paraId="1B8B32D0"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[137]</w:t>
      </w:r>
      <w:r w:rsidRPr="003B39BC">
        <w:rPr>
          <w:rFonts w:ascii="Calibri" w:hAnsi="Calibri" w:cs="Times New Roman"/>
          <w:noProof/>
          <w:szCs w:val="24"/>
        </w:rPr>
        <w:tab/>
        <w:t>B.S. Hickman, The formation of omega phase in titanium and zirconium alloys: A review, J. Mater. Sci. (1969). doi:10.1007/BF00550217.</w:t>
      </w:r>
    </w:p>
    <w:p w14:paraId="4629201E"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[138]</w:t>
      </w:r>
      <w:r w:rsidRPr="003B39BC">
        <w:rPr>
          <w:rFonts w:ascii="Calibri" w:hAnsi="Calibri" w:cs="Times New Roman"/>
          <w:noProof/>
          <w:szCs w:val="24"/>
        </w:rPr>
        <w:tab/>
        <w:t>G.K. Dey, R. Tewari, S. Banerjee, G. Jyoti, S.C. Gupta, K.D. Joshi, S.K. Sikka, Formation of a shock deformation induced ω phase in Zr 20 Nb alloy, Acta Mater. (2004). doi:10.1016/j.actamat.2004.07.008.</w:t>
      </w:r>
    </w:p>
    <w:p w14:paraId="32C1EE79"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[139]</w:t>
      </w:r>
      <w:r w:rsidRPr="003B39BC">
        <w:rPr>
          <w:rFonts w:ascii="Calibri" w:hAnsi="Calibri" w:cs="Times New Roman"/>
          <w:noProof/>
          <w:szCs w:val="24"/>
        </w:rPr>
        <w:tab/>
        <w:t>X.L. Wang, L. Li, W. Mei, W.L. Wang, J. Sun, Dependence of stress-induced omega transition and mechanical twinning on phase stability in metastable β Ti-V alloys, Mater. Charact. (2015). doi:10.1016/j.matchar.2015.06.038.</w:t>
      </w:r>
    </w:p>
    <w:p w14:paraId="54E66E0C"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[140]</w:t>
      </w:r>
      <w:r w:rsidRPr="003B39BC">
        <w:rPr>
          <w:rFonts w:ascii="Calibri" w:hAnsi="Calibri" w:cs="Times New Roman"/>
          <w:noProof/>
          <w:szCs w:val="24"/>
        </w:rPr>
        <w:tab/>
        <w:t>J. Zhang, C.C. Tasan, M.J. Lai, A.C. Dippel, D. Raabe, Complexion-mediated martensitic phase transformation in Titanium, Nat. Commun. (2017). doi:10.1007/s00117-017-0224-0.</w:t>
      </w:r>
    </w:p>
    <w:p w14:paraId="2718B740"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lastRenderedPageBreak/>
        <w:t>[141]</w:t>
      </w:r>
      <w:r w:rsidRPr="003B39BC">
        <w:rPr>
          <w:rFonts w:ascii="Calibri" w:hAnsi="Calibri" w:cs="Times New Roman"/>
          <w:noProof/>
          <w:szCs w:val="24"/>
        </w:rPr>
        <w:tab/>
        <w:t>R. V. Mises, Mechanik der plastischen Formänderung von Kristallen, ZAMM ‐ J. Appl. Math. Mech. / Zeitschrift Für Angew. Math. Und Mech. (1928). doi:10.1002/zamm.19280080302.</w:t>
      </w:r>
    </w:p>
    <w:p w14:paraId="7A3AD382"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[142]</w:t>
      </w:r>
      <w:r w:rsidRPr="003B39BC">
        <w:rPr>
          <w:rFonts w:ascii="Calibri" w:hAnsi="Calibri" w:cs="Times New Roman"/>
          <w:noProof/>
          <w:szCs w:val="24"/>
        </w:rPr>
        <w:tab/>
        <w:t>B. Jiang, A. Tu, H. Wang, H. Duan, S. He, H. Ye, K. Du, Direct observation of deformation twinning under stress gradient in body-centered cubic metals, Acta Mater. (2018). doi:10.1016/j.actamat.2018.05.061.</w:t>
      </w:r>
    </w:p>
    <w:p w14:paraId="3DD12A72"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[143]</w:t>
      </w:r>
      <w:r w:rsidRPr="003B39BC">
        <w:rPr>
          <w:rFonts w:ascii="Calibri" w:hAnsi="Calibri" w:cs="Times New Roman"/>
          <w:noProof/>
          <w:szCs w:val="24"/>
        </w:rPr>
        <w:tab/>
        <w:t>S. Hanada, O. Izumi, Correlation of tensile properties, deformation modes, and phase stability in commercial β-phase titanium alloys, Metall. Trans. A. (1987). doi:10.1007/BF02825707.</w:t>
      </w:r>
    </w:p>
    <w:p w14:paraId="1C5639F3"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[144]</w:t>
      </w:r>
      <w:r w:rsidRPr="003B39BC">
        <w:rPr>
          <w:rFonts w:ascii="Calibri" w:hAnsi="Calibri" w:cs="Times New Roman"/>
          <w:noProof/>
          <w:szCs w:val="24"/>
        </w:rPr>
        <w:tab/>
        <w:t>A.G. Crocker, Twinned martensite, Acta Metall. (1962). doi:10.1016/0001-6160(62)90056-1.</w:t>
      </w:r>
    </w:p>
    <w:p w14:paraId="32F9CD49"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[145]</w:t>
      </w:r>
      <w:r w:rsidRPr="003B39BC">
        <w:rPr>
          <w:rFonts w:ascii="Calibri" w:hAnsi="Calibri" w:cs="Times New Roman"/>
          <w:noProof/>
          <w:szCs w:val="24"/>
        </w:rPr>
        <w:tab/>
        <w:t>V.S. Litvinov, A.A. Popov, O.A. Elkina, A. V. Litvinov, Deformation twins of the {332}</w:t>
      </w:r>
      <w:r w:rsidRPr="003B39BC">
        <w:rPr>
          <w:rFonts w:ascii="Calibri" w:hAnsi="Calibri" w:cs="Times New Roman"/>
          <w:noProof/>
          <w:szCs w:val="24"/>
        </w:rPr>
        <w:t>〈</w:t>
      </w:r>
      <w:r w:rsidRPr="003B39BC">
        <w:rPr>
          <w:rFonts w:ascii="Calibri" w:hAnsi="Calibri" w:cs="Times New Roman"/>
          <w:noProof/>
          <w:szCs w:val="24"/>
        </w:rPr>
        <w:t>113</w:t>
      </w:r>
      <w:r w:rsidRPr="003B39BC">
        <w:rPr>
          <w:rFonts w:ascii="Calibri" w:hAnsi="Calibri" w:cs="Times New Roman"/>
          <w:noProof/>
          <w:szCs w:val="24"/>
        </w:rPr>
        <w:t>〉</w:t>
      </w:r>
      <w:r w:rsidRPr="003B39BC">
        <w:rPr>
          <w:rFonts w:ascii="Calibri" w:hAnsi="Calibri" w:cs="Times New Roman"/>
          <w:noProof/>
          <w:szCs w:val="24"/>
        </w:rPr>
        <w:t xml:space="preserve"> type in β-phase titanium alloys, Phys. Met. Metallogr. (1997).</w:t>
      </w:r>
    </w:p>
    <w:p w14:paraId="3445313A"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[146]</w:t>
      </w:r>
      <w:r w:rsidRPr="003B39BC">
        <w:rPr>
          <w:rFonts w:ascii="Calibri" w:hAnsi="Calibri" w:cs="Times New Roman"/>
          <w:noProof/>
          <w:szCs w:val="24"/>
        </w:rPr>
        <w:tab/>
        <w:t>T. Kawabata, S. Kawasaki, O. Izumi, Mechanical properties of TiNbTa single crystals at cryogenic temperatures, Acta Mater. (1998). doi:10.1016/S1359-6454(97)00475-8.</w:t>
      </w:r>
    </w:p>
    <w:p w14:paraId="5D7E5164"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[147]</w:t>
      </w:r>
      <w:r w:rsidRPr="003B39BC">
        <w:rPr>
          <w:rFonts w:ascii="Calibri" w:hAnsi="Calibri" w:cs="Times New Roman"/>
          <w:noProof/>
          <w:szCs w:val="24"/>
        </w:rPr>
        <w:tab/>
        <w:t>V.S. Litvinov, G.M. Rusakov, Twinning on the {332}&lt;113&gt; system in unstable β titanium alloys, Phys. Met. Metallogr. (2000).</w:t>
      </w:r>
    </w:p>
    <w:p w14:paraId="52054291"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[148]</w:t>
      </w:r>
      <w:r w:rsidRPr="003B39BC">
        <w:rPr>
          <w:rFonts w:ascii="Calibri" w:hAnsi="Calibri" w:cs="Times New Roman"/>
          <w:noProof/>
          <w:szCs w:val="24"/>
        </w:rPr>
        <w:tab/>
        <w:t>L.M. Dougherty, G.T. Gray, E.K. Cerreta, R.J. McCabe, R.D. Field, J.F. Bingert, Rare twin linked to high-pressure phase transition in iron, Scr. Mater. (2009). doi:10.1016/j.scriptamat.2009.01.014.</w:t>
      </w:r>
    </w:p>
    <w:p w14:paraId="2ED79B54"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[149]</w:t>
      </w:r>
      <w:r w:rsidRPr="003B39BC">
        <w:rPr>
          <w:rFonts w:ascii="Calibri" w:hAnsi="Calibri" w:cs="Times New Roman"/>
          <w:noProof/>
          <w:szCs w:val="24"/>
        </w:rPr>
        <w:tab/>
        <w:t>S.J. Wang, M.L. Sui, Y.T. Chen, Q.H. Lu, E. Ma, X.Y. Pei, Q.Z. Li, H.B. Hu, Microstructural fingerprints of phase transitions in shock-loaded iron, Sci. Rep. (2013). doi:10.1038/srep01086.</w:t>
      </w:r>
    </w:p>
    <w:p w14:paraId="206EB983"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[150]</w:t>
      </w:r>
      <w:r w:rsidRPr="003B39BC">
        <w:rPr>
          <w:rFonts w:ascii="Calibri" w:hAnsi="Calibri" w:cs="Times New Roman"/>
          <w:noProof/>
          <w:szCs w:val="24"/>
        </w:rPr>
        <w:tab/>
        <w:t>H. Tobe, H.Y. Kim, T. Inamura, H. Hosoda, S. Miyazaki, Origin of {3 3 2} twinning in metastable β-Ti alloys, Acta Mater. (2014). doi:10.1016/j.actamat.2013.10.048.</w:t>
      </w:r>
    </w:p>
    <w:p w14:paraId="52CFA1D1"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[151]</w:t>
      </w:r>
      <w:r w:rsidRPr="003B39BC">
        <w:rPr>
          <w:rFonts w:ascii="Calibri" w:hAnsi="Calibri" w:cs="Times New Roman"/>
          <w:noProof/>
          <w:szCs w:val="24"/>
        </w:rPr>
        <w:tab/>
        <w:t>M.J. Lai, C.C. Tasan, D. Raabe, On the mechanism of {332} twinning in metastable β titanium alloys, Acta Mater. (2016). doi:10.1016/j.actamat.2016.03.040.</w:t>
      </w:r>
    </w:p>
    <w:p w14:paraId="027FB6DB"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[152]</w:t>
      </w:r>
      <w:r w:rsidRPr="003B39BC">
        <w:rPr>
          <w:rFonts w:ascii="Calibri" w:hAnsi="Calibri" w:cs="Times New Roman"/>
          <w:noProof/>
          <w:szCs w:val="24"/>
        </w:rPr>
        <w:tab/>
        <w:t>P. Castany, Y. Yang, E. Bertrand, T. Gloriant, Reversion of a Parent 310 α′′ Martensitic Twinning System at the Origin of {332 } 113 ©β Twins Observed in Metastable β Titanium Alloys, Phys. Rev. Lett. (2016). doi:10.1103/PhysRevLett.117.245501.</w:t>
      </w:r>
    </w:p>
    <w:p w14:paraId="7896A08F"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[153]</w:t>
      </w:r>
      <w:r w:rsidRPr="003B39BC">
        <w:rPr>
          <w:rFonts w:ascii="Calibri" w:hAnsi="Calibri" w:cs="Times New Roman"/>
          <w:noProof/>
          <w:szCs w:val="24"/>
        </w:rPr>
        <w:tab/>
        <w:t>A. Biesiekierski, J. Wang, M. Abdel-Hady Gepreel, C. Wen, A new look at biomedical Ti-based shape memory alloys, Acta Biomater. (2012). doi:10.1016/j.actbio.2012.01.018.</w:t>
      </w:r>
    </w:p>
    <w:p w14:paraId="459A8636"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[154]</w:t>
      </w:r>
      <w:r w:rsidRPr="003B39BC">
        <w:rPr>
          <w:rFonts w:ascii="Calibri" w:hAnsi="Calibri" w:cs="Times New Roman"/>
          <w:noProof/>
          <w:szCs w:val="24"/>
        </w:rPr>
        <w:tab/>
        <w:t xml:space="preserve">B. Sun, X. Meng, Z. Gao, W. Cai, Crystallography Study on the Internal Twinning of Ti–Nb-Based </w:t>
      </w:r>
      <w:r w:rsidRPr="003B39BC">
        <w:rPr>
          <w:rFonts w:ascii="Calibri" w:hAnsi="Calibri" w:cs="Times New Roman"/>
          <w:noProof/>
          <w:szCs w:val="24"/>
        </w:rPr>
        <w:lastRenderedPageBreak/>
        <w:t>Shape Memory Alloys, Cryst. Res. Technol. (2018). doi:10.1002/crat.201800067.</w:t>
      </w:r>
    </w:p>
    <w:p w14:paraId="541BA48D"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[155]</w:t>
      </w:r>
      <w:r w:rsidRPr="003B39BC">
        <w:rPr>
          <w:rFonts w:ascii="Calibri" w:hAnsi="Calibri" w:cs="Times New Roman"/>
          <w:noProof/>
          <w:szCs w:val="24"/>
        </w:rPr>
        <w:tab/>
        <w:t>Y.W. Chai, H.Y. Kim, H. Hosoda, S. Miyazaki, Self-accommodation in Ti-Nb shape memory alloys, Acta Mater. (2009). doi:10.1016/j.actamat.2009.04.051.</w:t>
      </w:r>
    </w:p>
    <w:p w14:paraId="43849462"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[156]</w:t>
      </w:r>
      <w:r w:rsidRPr="003B39BC">
        <w:rPr>
          <w:rFonts w:ascii="Calibri" w:hAnsi="Calibri" w:cs="Times New Roman"/>
          <w:noProof/>
          <w:szCs w:val="24"/>
        </w:rPr>
        <w:tab/>
        <w:t>T. Inamura, J.I. Kim, H.Y. Kim, H. Hosoda, K. Wakashima, S. Miyazaki, Composition dependent crystallography of α″-martensite in Ti-Nb-based β-titanium alloy, Philos. Mag. (2007). doi:10.1080/14786430601003874.</w:t>
      </w:r>
    </w:p>
    <w:p w14:paraId="503D414D"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[157]</w:t>
      </w:r>
      <w:r w:rsidRPr="003B39BC">
        <w:rPr>
          <w:rFonts w:ascii="Calibri" w:hAnsi="Calibri" w:cs="Times New Roman"/>
          <w:noProof/>
          <w:szCs w:val="24"/>
        </w:rPr>
        <w:tab/>
        <w:t>E. Bertrand, P. Castany, Y. Yang, E. Menou, T. Gloriant, Deformation twinning in the full-α″ martensitic Ti-25Ta-20Nb shape memory alloy, Acta Mater. (2016). doi:10.1016/j.actamat.2015.12.001.</w:t>
      </w:r>
    </w:p>
    <w:p w14:paraId="58FF0EAC"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cs="Times New Roman"/>
          <w:noProof/>
          <w:szCs w:val="24"/>
        </w:rPr>
      </w:pPr>
      <w:r w:rsidRPr="003B39BC">
        <w:rPr>
          <w:rFonts w:ascii="Calibri" w:hAnsi="Calibri" w:cs="Times New Roman"/>
          <w:noProof/>
          <w:szCs w:val="24"/>
        </w:rPr>
        <w:t>[158]</w:t>
      </w:r>
      <w:r w:rsidRPr="003B39BC">
        <w:rPr>
          <w:rFonts w:ascii="Calibri" w:hAnsi="Calibri" w:cs="Times New Roman"/>
          <w:noProof/>
          <w:szCs w:val="24"/>
        </w:rPr>
        <w:tab/>
        <w:t>B. Sun, X.L. Meng, Z.Y. Gao, W. Cai, Martensite structure and mechanical property of Ti-Nb-Ag shape memory alloys for biomedical applications, Vacuum. (2018). doi:10.1016/j.vacuum.2018.07.029.</w:t>
      </w:r>
    </w:p>
    <w:p w14:paraId="4BE2C54F" w14:textId="77777777" w:rsidR="00624970" w:rsidRPr="003B39BC" w:rsidRDefault="00624970" w:rsidP="00624970">
      <w:pPr>
        <w:widowControl w:val="0"/>
        <w:autoSpaceDE w:val="0"/>
        <w:autoSpaceDN w:val="0"/>
        <w:adjustRightInd w:val="0"/>
        <w:spacing w:after="120" w:line="360" w:lineRule="auto"/>
        <w:ind w:left="640" w:hanging="640"/>
        <w:rPr>
          <w:rFonts w:ascii="Calibri" w:hAnsi="Calibri"/>
          <w:noProof/>
        </w:rPr>
      </w:pPr>
      <w:r w:rsidRPr="003B39BC">
        <w:rPr>
          <w:rFonts w:ascii="Calibri" w:hAnsi="Calibri" w:cs="Times New Roman"/>
          <w:noProof/>
          <w:szCs w:val="24"/>
        </w:rPr>
        <w:t>[159]</w:t>
      </w:r>
      <w:r w:rsidRPr="003B39BC">
        <w:rPr>
          <w:rFonts w:ascii="Calibri" w:hAnsi="Calibri" w:cs="Times New Roman"/>
          <w:noProof/>
          <w:szCs w:val="24"/>
        </w:rPr>
        <w:tab/>
        <w:t>S. Lee, C. Park, J. Hong, J. taek Yeom, The Role of Nano-domains in {1–011} Twinned Martensite in Metastable Titanium Alloys, Sci. Rep. (2018). doi:10.1038/s41598-018-30059-8.</w:t>
      </w:r>
    </w:p>
    <w:p w14:paraId="55B845F5" w14:textId="77777777" w:rsidR="00624970" w:rsidRDefault="00624970" w:rsidP="00624970">
      <w:pPr>
        <w:spacing w:after="120" w:line="360" w:lineRule="auto"/>
        <w:jc w:val="both"/>
      </w:pPr>
      <w:r>
        <w:fldChar w:fldCharType="end"/>
      </w:r>
    </w:p>
    <w:p w14:paraId="1960B52D" w14:textId="77777777" w:rsidR="00624970" w:rsidRDefault="00624970" w:rsidP="00624970">
      <w:pPr>
        <w:spacing w:after="120" w:line="360" w:lineRule="auto"/>
        <w:jc w:val="both"/>
      </w:pPr>
    </w:p>
    <w:p w14:paraId="2E134BC7" w14:textId="77777777" w:rsidR="00624970" w:rsidRDefault="00624970" w:rsidP="00624970">
      <w:pPr>
        <w:spacing w:after="120" w:line="360" w:lineRule="auto"/>
        <w:jc w:val="both"/>
      </w:pPr>
    </w:p>
    <w:p w14:paraId="354ECF42" w14:textId="77777777" w:rsidR="00624970" w:rsidRDefault="00624970" w:rsidP="00624970">
      <w:pPr>
        <w:spacing w:after="120" w:line="360" w:lineRule="auto"/>
        <w:jc w:val="both"/>
      </w:pPr>
    </w:p>
    <w:p w14:paraId="2B71F922" w14:textId="77777777" w:rsidR="00624970" w:rsidRDefault="00624970" w:rsidP="00624970">
      <w:pPr>
        <w:spacing w:after="120" w:line="360" w:lineRule="auto"/>
        <w:jc w:val="both"/>
      </w:pPr>
    </w:p>
    <w:p w14:paraId="4E6F653E" w14:textId="77777777" w:rsidR="00624970" w:rsidRDefault="00624970" w:rsidP="00624970">
      <w:pPr>
        <w:spacing w:after="120" w:line="360" w:lineRule="auto"/>
        <w:jc w:val="both"/>
      </w:pPr>
    </w:p>
    <w:p w14:paraId="228BD7D6" w14:textId="77777777" w:rsidR="00624970" w:rsidRDefault="00624970" w:rsidP="00624970">
      <w:pPr>
        <w:spacing w:after="120" w:line="360" w:lineRule="auto"/>
        <w:jc w:val="both"/>
      </w:pPr>
    </w:p>
    <w:p w14:paraId="69E3FE30" w14:textId="77777777" w:rsidR="00624970" w:rsidRDefault="00624970" w:rsidP="00624970"/>
    <w:p w14:paraId="09E0A73E" w14:textId="5140660B" w:rsidR="001C513B" w:rsidRDefault="001C513B" w:rsidP="00577D1F">
      <w:pPr>
        <w:spacing w:after="120" w:line="360" w:lineRule="auto"/>
      </w:pPr>
    </w:p>
    <w:p w14:paraId="0A7CA3FC" w14:textId="77777777" w:rsidR="001C513B" w:rsidRDefault="001C513B" w:rsidP="001C513B"/>
    <w:p w14:paraId="6AAB9F56" w14:textId="77777777" w:rsidR="001C513B" w:rsidRDefault="001C513B" w:rsidP="001C513B"/>
    <w:p w14:paraId="550C8733" w14:textId="77777777" w:rsidR="001C513B" w:rsidRDefault="001C513B" w:rsidP="001C513B"/>
    <w:p w14:paraId="5CAB8B03" w14:textId="77777777" w:rsidR="001C513B" w:rsidRPr="00BA0791" w:rsidRDefault="001C513B" w:rsidP="001C513B"/>
    <w:p w14:paraId="3B9A260C" w14:textId="77777777" w:rsidR="00624970" w:rsidRPr="005E4CEE" w:rsidRDefault="00624970" w:rsidP="00624970">
      <w:pPr>
        <w:pStyle w:val="1"/>
        <w:spacing w:before="0" w:after="60" w:line="360" w:lineRule="auto"/>
        <w:rPr>
          <w:rFonts w:asciiTheme="minorHAnsi" w:hAnsiTheme="minorHAnsi"/>
          <w:b/>
          <w:color w:val="auto"/>
        </w:rPr>
      </w:pPr>
      <w:bookmarkStart w:id="196" w:name="_Toc22052519"/>
      <w:r w:rsidRPr="005E4CEE">
        <w:rPr>
          <w:rFonts w:asciiTheme="minorHAnsi" w:hAnsiTheme="minorHAnsi"/>
          <w:b/>
          <w:color w:val="auto"/>
        </w:rPr>
        <w:lastRenderedPageBreak/>
        <w:t>Chapter. 3 Experimental methods</w:t>
      </w:r>
      <w:bookmarkEnd w:id="196"/>
    </w:p>
    <w:p w14:paraId="23B27759" w14:textId="77777777" w:rsidR="00624970" w:rsidRPr="00C01720" w:rsidRDefault="00624970" w:rsidP="00624970">
      <w:pPr>
        <w:pStyle w:val="2"/>
        <w:spacing w:before="0" w:after="60" w:line="360" w:lineRule="auto"/>
        <w:rPr>
          <w:rFonts w:asciiTheme="minorHAnsi" w:hAnsiTheme="minorHAnsi"/>
          <w:b/>
          <w:color w:val="auto"/>
          <w:sz w:val="32"/>
          <w:szCs w:val="32"/>
        </w:rPr>
      </w:pPr>
      <w:bookmarkStart w:id="197" w:name="_Toc22052520"/>
      <w:r w:rsidRPr="00C01720">
        <w:rPr>
          <w:rFonts w:asciiTheme="minorHAnsi" w:hAnsiTheme="minorHAnsi"/>
          <w:b/>
          <w:color w:val="auto"/>
          <w:sz w:val="32"/>
          <w:szCs w:val="32"/>
        </w:rPr>
        <w:t>3.1 Alloy synthesis</w:t>
      </w:r>
      <w:bookmarkEnd w:id="197"/>
      <w:r w:rsidRPr="00C01720">
        <w:rPr>
          <w:rFonts w:asciiTheme="minorHAnsi" w:hAnsiTheme="minorHAnsi"/>
          <w:b/>
          <w:color w:val="auto"/>
          <w:sz w:val="32"/>
          <w:szCs w:val="32"/>
        </w:rPr>
        <w:t xml:space="preserve"> </w:t>
      </w:r>
    </w:p>
    <w:p w14:paraId="109954C5" w14:textId="77777777" w:rsidR="00624970" w:rsidRPr="005F6FF5" w:rsidRDefault="00624970" w:rsidP="00624970">
      <w:pPr>
        <w:pStyle w:val="3"/>
        <w:spacing w:before="0" w:after="60" w:line="360" w:lineRule="auto"/>
        <w:rPr>
          <w:rFonts w:asciiTheme="minorHAnsi" w:hAnsiTheme="minorHAnsi"/>
          <w:b/>
          <w:color w:val="auto"/>
          <w:sz w:val="32"/>
          <w:szCs w:val="32"/>
        </w:rPr>
      </w:pPr>
      <w:bookmarkStart w:id="198" w:name="_Toc22052521"/>
      <w:r w:rsidRPr="00C01720">
        <w:rPr>
          <w:rFonts w:asciiTheme="minorHAnsi" w:hAnsiTheme="minorHAnsi"/>
          <w:b/>
          <w:color w:val="auto"/>
          <w:sz w:val="32"/>
          <w:szCs w:val="32"/>
        </w:rPr>
        <w:t>3.1.1 Arc melting</w:t>
      </w:r>
      <w:bookmarkEnd w:id="198"/>
      <w:r w:rsidRPr="00C01720">
        <w:rPr>
          <w:rFonts w:asciiTheme="minorHAnsi" w:hAnsiTheme="minorHAnsi"/>
          <w:b/>
          <w:color w:val="auto"/>
          <w:sz w:val="32"/>
          <w:szCs w:val="32"/>
        </w:rPr>
        <w:t xml:space="preserve"> </w:t>
      </w:r>
    </w:p>
    <w:p w14:paraId="6555CF53" w14:textId="7D05ADF2" w:rsidR="00624970" w:rsidRDefault="00624970" w:rsidP="00624970">
      <w:pPr>
        <w:spacing w:after="60" w:line="360" w:lineRule="auto"/>
        <w:jc w:val="both"/>
      </w:pPr>
      <w:r>
        <w:t>All alloys involved in the current work were synthesised using a small-scale compact arc melting device (Edmund Buhler MAM 1 arc-melter) shown in Fig. 3-1. Apart from the generator and chamber, two water-cooled co</w:t>
      </w:r>
      <w:r w:rsidR="00D77E53">
        <w:t>p</w:t>
      </w:r>
      <w:r>
        <w:t>per crucible hearth</w:t>
      </w:r>
      <w:r w:rsidRPr="00C06CF3">
        <w:rPr>
          <w:color w:val="000000" w:themeColor="text1"/>
        </w:rPr>
        <w:t>s</w:t>
      </w:r>
      <w:r>
        <w:t xml:space="preserve"> were used for melting and casting work, respectively. </w:t>
      </w:r>
      <w:r w:rsidRPr="00C06CF3">
        <w:rPr>
          <w:color w:val="000000" w:themeColor="text1"/>
        </w:rPr>
        <w:t>The samples were prepared</w:t>
      </w:r>
      <w:r>
        <w:t xml:space="preserve"> with weighed raw materials possessing 99.9% purity. The overall measuring accuracy was set as 0.01 g. The raw materials were cleaned in an ultrasonic cleaner for approximately 5 to 10 min with</w:t>
      </w:r>
      <w:r w:rsidRPr="00702152">
        <w:t xml:space="preserve"> isopropanol</w:t>
      </w:r>
      <w:r>
        <w:t xml:space="preserve"> to remove possible contamination. The raw materials were then placed into water cool</w:t>
      </w:r>
      <w:r w:rsidR="00D745B9">
        <w:t>ed</w:t>
      </w:r>
      <w:r>
        <w:t xml:space="preserve"> copper crucibles separately. After the chamber was sealed, the vacuum was pumped to 1.5×10</w:t>
      </w:r>
      <w:r>
        <w:rPr>
          <w:vertAlign w:val="superscript"/>
        </w:rPr>
        <w:t xml:space="preserve">-1 </w:t>
      </w:r>
      <w:r>
        <w:t>Pa with a roughing pump and then flushed with argon</w:t>
      </w:r>
      <w:r w:rsidR="004C76B3">
        <w:t xml:space="preserve"> (BOC, r</w:t>
      </w:r>
      <w:r w:rsidR="004C76B3" w:rsidRPr="004C76B3">
        <w:t xml:space="preserve">esearch </w:t>
      </w:r>
      <w:r w:rsidR="004C76B3">
        <w:t>g</w:t>
      </w:r>
      <w:r w:rsidR="004C76B3" w:rsidRPr="004C76B3">
        <w:t xml:space="preserve">rade </w:t>
      </w:r>
      <w:r w:rsidR="004C76B3">
        <w:t>a</w:t>
      </w:r>
      <w:r w:rsidR="004C76B3" w:rsidRPr="004C76B3">
        <w:t>rgon 99.9995% minimum purity</w:t>
      </w:r>
      <w:r w:rsidR="004C76B3">
        <w:t>)</w:t>
      </w:r>
      <w:r>
        <w:t xml:space="preserve"> to 0.5×10</w:t>
      </w:r>
      <w:r>
        <w:rPr>
          <w:vertAlign w:val="superscript"/>
        </w:rPr>
        <w:t xml:space="preserve">-1 </w:t>
      </w:r>
      <w:r>
        <w:t>Pa. This process was</w:t>
      </w:r>
      <w:r w:rsidRPr="77FC67B1">
        <w:t xml:space="preserve"> </w:t>
      </w:r>
      <w:r>
        <w:t>repeated</w:t>
      </w:r>
      <w:r w:rsidRPr="77FC67B1">
        <w:t xml:space="preserve"> </w:t>
      </w:r>
      <w:r>
        <w:t>three times</w:t>
      </w:r>
      <w:r w:rsidRPr="77FC67B1">
        <w:t xml:space="preserve">. </w:t>
      </w:r>
      <w:r>
        <w:t>The vacuum of the chamber was further pumped to 1×10</w:t>
      </w:r>
      <w:r>
        <w:rPr>
          <w:vertAlign w:val="superscript"/>
        </w:rPr>
        <w:t xml:space="preserve">-5 </w:t>
      </w:r>
      <w:r>
        <w:t>Pa with a turbo pump. Before melting, high purity argon was</w:t>
      </w:r>
      <w:r w:rsidRPr="77FC67B1">
        <w:t xml:space="preserve"> </w:t>
      </w:r>
      <w:r>
        <w:t>refilled into the chamber to 0.5×10</w:t>
      </w:r>
      <w:r>
        <w:rPr>
          <w:vertAlign w:val="superscript"/>
        </w:rPr>
        <w:t xml:space="preserve">-1 </w:t>
      </w:r>
      <w:r>
        <w:t>Pa to act as a protecting atmosphere. After the activation of the power supply, the arc was first conducted to melt a Ti-getter in the centre crucible, which served to remove</w:t>
      </w:r>
      <w:r w:rsidR="004C76B3">
        <w:t xml:space="preserve"> the</w:t>
      </w:r>
      <w:r>
        <w:t xml:space="preserve"> residu</w:t>
      </w:r>
      <w:r w:rsidR="00D745B9">
        <w:t>al</w:t>
      </w:r>
      <w:r>
        <w:t xml:space="preserve"> oxygen. In order to thoroughly melt the sample, high melting point components (e.g. Ta, Hf) were selected with mid</w:t>
      </w:r>
      <w:r w:rsidRPr="77FC67B1">
        <w:t>-</w:t>
      </w:r>
      <w:r>
        <w:t>melting point components (e.g.</w:t>
      </w:r>
      <w:r w:rsidR="004C76B3">
        <w:t xml:space="preserve"> </w:t>
      </w:r>
      <w:r>
        <w:t>Zr</w:t>
      </w:r>
      <w:r w:rsidRPr="77FC67B1">
        <w:t xml:space="preserve">, </w:t>
      </w:r>
      <w:r>
        <w:t>Nb). The binary alloys were then melted with other components in the copper hearth. Following these procedures, all melting was repeated</w:t>
      </w:r>
      <w:r w:rsidRPr="77FC67B1">
        <w:t xml:space="preserve"> </w:t>
      </w:r>
      <w:r>
        <w:t>more than three times on upside down samples in order to melt the sample thoroughly</w:t>
      </w:r>
      <w:r w:rsidRPr="77FC67B1">
        <w:t xml:space="preserve">.  </w:t>
      </w:r>
    </w:p>
    <w:p w14:paraId="27FF811D" w14:textId="77777777" w:rsidR="00624970" w:rsidRDefault="00624970" w:rsidP="00624970">
      <w:pPr>
        <w:keepNext/>
        <w:spacing w:after="60" w:line="360" w:lineRule="auto"/>
        <w:jc w:val="center"/>
      </w:pPr>
      <w:r w:rsidRPr="00FF43E8">
        <w:rPr>
          <w:noProof/>
          <w:lang w:val="en-US" w:eastAsia="en-US"/>
        </w:rPr>
        <w:drawing>
          <wp:inline distT="0" distB="0" distL="0" distR="0" wp14:anchorId="445D8D2D" wp14:editId="53FDDB4D">
            <wp:extent cx="4740250" cy="2284537"/>
            <wp:effectExtent l="0" t="0" r="3810" b="1905"/>
            <wp:docPr id="37" name="图片 36" descr="图片包含 室内, 餐桌, 就坐, 墙壁&#10;&#10;自动生成的说明">
              <a:extLst xmlns:a="http://schemas.openxmlformats.org/drawingml/2006/main">
                <a:ext uri="{FF2B5EF4-FFF2-40B4-BE49-F238E27FC236}">
                  <a16:creationId xmlns:a16="http://schemas.microsoft.com/office/drawing/2014/main" id="{83857A9F-76BA-42FC-88E8-DD17E16970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descr="图片包含 室内, 餐桌, 就坐, 墙壁&#10;&#10;自动生成的说明">
                      <a:extLst>
                        <a:ext uri="{FF2B5EF4-FFF2-40B4-BE49-F238E27FC236}">
                          <a16:creationId xmlns:a16="http://schemas.microsoft.com/office/drawing/2014/main" id="{83857A9F-76BA-42FC-88E8-DD17E1697058}"/>
                        </a:ext>
                      </a:extLst>
                    </pic:cNvPr>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748809" cy="2288662"/>
                    </a:xfrm>
                    <a:prstGeom prst="rect">
                      <a:avLst/>
                    </a:prstGeom>
                  </pic:spPr>
                </pic:pic>
              </a:graphicData>
            </a:graphic>
          </wp:inline>
        </w:drawing>
      </w:r>
    </w:p>
    <w:p w14:paraId="2DD04BA3" w14:textId="77777777" w:rsidR="00552365" w:rsidRPr="0032099F" w:rsidRDefault="00552365" w:rsidP="00552365">
      <w:pPr>
        <w:spacing w:after="60" w:line="360" w:lineRule="auto"/>
        <w:jc w:val="both"/>
        <w:rPr>
          <w:b/>
          <w:sz w:val="18"/>
        </w:rPr>
      </w:pPr>
      <w:bookmarkStart w:id="199" w:name="_Toc7364583"/>
      <w:bookmarkStart w:id="200" w:name="_Toc39312697"/>
      <w:r w:rsidRPr="0032099F">
        <w:rPr>
          <w:b/>
          <w:sz w:val="20"/>
        </w:rPr>
        <w:t>Figure 3-</w:t>
      </w:r>
      <w:r w:rsidRPr="00871240">
        <w:rPr>
          <w:rFonts w:cstheme="minorHAnsi"/>
          <w:b/>
          <w:bCs/>
          <w:sz w:val="20"/>
          <w:szCs w:val="20"/>
        </w:rPr>
        <w:fldChar w:fldCharType="begin"/>
      </w:r>
      <w:r w:rsidRPr="00871240">
        <w:rPr>
          <w:rFonts w:cstheme="minorHAnsi"/>
          <w:b/>
          <w:bCs/>
          <w:sz w:val="20"/>
          <w:szCs w:val="20"/>
        </w:rPr>
        <w:instrText xml:space="preserve"> SEQ Figure \* ARABIC </w:instrText>
      </w:r>
      <w:r w:rsidRPr="00871240">
        <w:rPr>
          <w:rFonts w:cstheme="minorHAnsi"/>
          <w:b/>
          <w:bCs/>
          <w:sz w:val="20"/>
          <w:szCs w:val="20"/>
        </w:rPr>
        <w:fldChar w:fldCharType="separate"/>
      </w:r>
      <w:r>
        <w:rPr>
          <w:rFonts w:cstheme="minorHAnsi"/>
          <w:b/>
          <w:bCs/>
          <w:noProof/>
          <w:sz w:val="20"/>
          <w:szCs w:val="20"/>
        </w:rPr>
        <w:t>1</w:t>
      </w:r>
      <w:r w:rsidRPr="00871240">
        <w:rPr>
          <w:rFonts w:cstheme="minorHAnsi"/>
          <w:b/>
          <w:bCs/>
          <w:sz w:val="20"/>
          <w:szCs w:val="20"/>
        </w:rPr>
        <w:fldChar w:fldCharType="end"/>
      </w:r>
      <w:r w:rsidRPr="0032099F">
        <w:rPr>
          <w:sz w:val="20"/>
        </w:rPr>
        <w:t xml:space="preserve"> </w:t>
      </w:r>
      <w:r w:rsidRPr="0032099F">
        <w:rPr>
          <w:b/>
          <w:sz w:val="20"/>
        </w:rPr>
        <w:t xml:space="preserve">Edmund Buhler MAM 1 arc-Melter with </w:t>
      </w:r>
      <w:r>
        <w:rPr>
          <w:b/>
          <w:sz w:val="20"/>
        </w:rPr>
        <w:t xml:space="preserve">the </w:t>
      </w:r>
      <w:r w:rsidRPr="0032099F">
        <w:rPr>
          <w:b/>
          <w:sz w:val="20"/>
        </w:rPr>
        <w:t xml:space="preserve">main </w:t>
      </w:r>
      <w:r>
        <w:rPr>
          <w:b/>
          <w:sz w:val="20"/>
        </w:rPr>
        <w:t>components presented</w:t>
      </w:r>
      <w:r w:rsidRPr="0032099F">
        <w:rPr>
          <w:b/>
          <w:sz w:val="20"/>
        </w:rPr>
        <w:t>. The water-cooled copper melting and casting hearth</w:t>
      </w:r>
      <w:r>
        <w:rPr>
          <w:b/>
          <w:sz w:val="20"/>
        </w:rPr>
        <w:t>s</w:t>
      </w:r>
      <w:r w:rsidRPr="0032099F">
        <w:rPr>
          <w:b/>
          <w:sz w:val="20"/>
        </w:rPr>
        <w:t xml:space="preserve"> are </w:t>
      </w:r>
      <w:r>
        <w:rPr>
          <w:b/>
          <w:sz w:val="20"/>
        </w:rPr>
        <w:t>clearly displayed</w:t>
      </w:r>
      <w:r w:rsidRPr="0032099F">
        <w:rPr>
          <w:b/>
          <w:sz w:val="20"/>
        </w:rPr>
        <w:t>.</w:t>
      </w:r>
      <w:bookmarkEnd w:id="199"/>
      <w:bookmarkEnd w:id="200"/>
      <w:r w:rsidRPr="0032099F">
        <w:rPr>
          <w:b/>
          <w:sz w:val="20"/>
        </w:rPr>
        <w:t xml:space="preserve">  </w:t>
      </w:r>
    </w:p>
    <w:p w14:paraId="4557F64A" w14:textId="7569578E" w:rsidR="00624970" w:rsidRPr="00C01720" w:rsidRDefault="00624970" w:rsidP="00624970">
      <w:pPr>
        <w:pStyle w:val="3"/>
        <w:spacing w:before="0" w:after="60" w:line="360" w:lineRule="auto"/>
        <w:rPr>
          <w:rFonts w:asciiTheme="minorHAnsi" w:hAnsiTheme="minorHAnsi"/>
          <w:b/>
          <w:color w:val="auto"/>
          <w:sz w:val="32"/>
        </w:rPr>
      </w:pPr>
      <w:bookmarkStart w:id="201" w:name="_Toc22052522"/>
      <w:r w:rsidRPr="00C01720">
        <w:rPr>
          <w:rFonts w:asciiTheme="minorHAnsi" w:hAnsiTheme="minorHAnsi"/>
          <w:b/>
          <w:color w:val="auto"/>
          <w:sz w:val="32"/>
        </w:rPr>
        <w:lastRenderedPageBreak/>
        <w:t>3.1.2 Suction casting</w:t>
      </w:r>
      <w:bookmarkEnd w:id="201"/>
      <w:r w:rsidRPr="00C01720">
        <w:rPr>
          <w:rFonts w:asciiTheme="minorHAnsi" w:hAnsiTheme="minorHAnsi"/>
          <w:b/>
          <w:color w:val="auto"/>
          <w:sz w:val="32"/>
        </w:rPr>
        <w:t xml:space="preserve"> </w:t>
      </w:r>
    </w:p>
    <w:p w14:paraId="5A9057B6" w14:textId="34E8A7FE" w:rsidR="00624970" w:rsidRDefault="00624970" w:rsidP="00624970">
      <w:pPr>
        <w:spacing w:after="60" w:line="360" w:lineRule="auto"/>
        <w:jc w:val="both"/>
      </w:pPr>
      <w:r>
        <w:t xml:space="preserve">The suction casting set </w:t>
      </w:r>
      <w:r w:rsidR="00D77E53">
        <w:t xml:space="preserve">up </w:t>
      </w:r>
      <w:r>
        <w:t>shown in Fig. 3-1 (right) was used to prepare rod samples for the compressive and tensile tests. Prior to sealing the chamber, a back (secondary) vacuum chamber and copper mould with a designated shape was attached to the casting co</w:t>
      </w:r>
      <w:r w:rsidR="00D77E53">
        <w:t>p</w:t>
      </w:r>
      <w:r>
        <w:t>per hearth. The back chamber was pumped down to a vacuum of 1×10</w:t>
      </w:r>
      <w:r>
        <w:rPr>
          <w:vertAlign w:val="superscript"/>
        </w:rPr>
        <w:t>-1</w:t>
      </w:r>
      <w:r>
        <w:t xml:space="preserve">Pa, followed by the pumping of the main chamber. After </w:t>
      </w:r>
      <w:r w:rsidRPr="00C06CF3">
        <w:rPr>
          <w:color w:val="000000" w:themeColor="text1"/>
        </w:rPr>
        <w:t>closing</w:t>
      </w:r>
      <w:r w:rsidRPr="4EDA4C78">
        <w:t xml:space="preserve"> </w:t>
      </w:r>
      <w:r>
        <w:t>the valve for the back chamber, the vacuum procedure for</w:t>
      </w:r>
      <w:r w:rsidR="001F7862">
        <w:t xml:space="preserve"> the</w:t>
      </w:r>
      <w:r>
        <w:t xml:space="preserve"> main chamber was exactly</w:t>
      </w:r>
      <w:r w:rsidRPr="00C06CF3">
        <w:rPr>
          <w:color w:val="000000" w:themeColor="text1"/>
        </w:rPr>
        <w:t xml:space="preserve"> the s</w:t>
      </w:r>
      <w:r>
        <w:t>ame as that chosen for melting. Before casting, high purity argon was refilled into the chamber to 0.3 to 0.7×10</w:t>
      </w:r>
      <w:r>
        <w:rPr>
          <w:vertAlign w:val="superscript"/>
        </w:rPr>
        <w:t xml:space="preserve">-1 </w:t>
      </w:r>
      <w:r>
        <w:t>Pa (0.3 for low melting point samples, 0.7 for refractory samples) to enable suction casting driven by the pressure difference between the main chamber and secondary chamber. A Ti getter was melted primarily to remove residu</w:t>
      </w:r>
      <w:r w:rsidR="00D77E53">
        <w:t>al</w:t>
      </w:r>
      <w:r>
        <w:t xml:space="preserve"> oxygen. The arc was then conducted to the sample and the sample was thoroughly melted. Once the sample was in its molten state, the valve for the back chamber was opened to allow the suction of the sample into the water-cooled cooper mould.</w:t>
      </w:r>
    </w:p>
    <w:p w14:paraId="6E81D15B" w14:textId="77777777" w:rsidR="00624970" w:rsidRPr="00C01720" w:rsidRDefault="00624970" w:rsidP="00624970">
      <w:pPr>
        <w:pStyle w:val="2"/>
        <w:spacing w:before="0" w:after="60" w:line="360" w:lineRule="auto"/>
        <w:rPr>
          <w:rFonts w:asciiTheme="minorHAnsi" w:hAnsiTheme="minorHAnsi"/>
          <w:b/>
          <w:color w:val="auto"/>
          <w:sz w:val="32"/>
        </w:rPr>
      </w:pPr>
      <w:bookmarkStart w:id="202" w:name="_Toc22052523"/>
      <w:r w:rsidRPr="00C01720">
        <w:rPr>
          <w:rFonts w:asciiTheme="minorHAnsi" w:hAnsiTheme="minorHAnsi"/>
          <w:b/>
          <w:color w:val="auto"/>
          <w:sz w:val="32"/>
        </w:rPr>
        <w:t xml:space="preserve">3.2 </w:t>
      </w:r>
      <w:r>
        <w:rPr>
          <w:rFonts w:asciiTheme="minorHAnsi" w:hAnsiTheme="minorHAnsi"/>
          <w:b/>
          <w:color w:val="auto"/>
          <w:sz w:val="32"/>
        </w:rPr>
        <w:t>Sample preparation and m</w:t>
      </w:r>
      <w:r w:rsidRPr="00C01720">
        <w:rPr>
          <w:rFonts w:asciiTheme="minorHAnsi" w:hAnsiTheme="minorHAnsi"/>
          <w:b/>
          <w:color w:val="auto"/>
          <w:sz w:val="32"/>
        </w:rPr>
        <w:t>echanical test</w:t>
      </w:r>
      <w:r>
        <w:rPr>
          <w:rFonts w:asciiTheme="minorHAnsi" w:hAnsiTheme="minorHAnsi"/>
          <w:b/>
          <w:color w:val="auto"/>
          <w:sz w:val="32"/>
        </w:rPr>
        <w:t>ing</w:t>
      </w:r>
      <w:bookmarkEnd w:id="202"/>
    </w:p>
    <w:p w14:paraId="05499403" w14:textId="77777777" w:rsidR="00624970" w:rsidRPr="00C01720" w:rsidRDefault="00624970" w:rsidP="00624970">
      <w:pPr>
        <w:pStyle w:val="3"/>
        <w:spacing w:before="0" w:after="60" w:line="360" w:lineRule="auto"/>
        <w:rPr>
          <w:rFonts w:asciiTheme="minorHAnsi" w:hAnsiTheme="minorHAnsi"/>
          <w:b/>
          <w:color w:val="auto"/>
          <w:sz w:val="32"/>
        </w:rPr>
      </w:pPr>
      <w:bookmarkStart w:id="203" w:name="_Toc22052524"/>
      <w:r w:rsidRPr="00C01720">
        <w:rPr>
          <w:rFonts w:asciiTheme="minorHAnsi" w:hAnsiTheme="minorHAnsi"/>
          <w:b/>
          <w:color w:val="auto"/>
          <w:sz w:val="32"/>
        </w:rPr>
        <w:t>3.2.1 Compression test</w:t>
      </w:r>
      <w:r>
        <w:rPr>
          <w:rFonts w:asciiTheme="minorHAnsi" w:hAnsiTheme="minorHAnsi"/>
          <w:b/>
          <w:color w:val="auto"/>
          <w:sz w:val="32"/>
        </w:rPr>
        <w:t>ing</w:t>
      </w:r>
      <w:bookmarkEnd w:id="203"/>
    </w:p>
    <w:p w14:paraId="72BFE59E" w14:textId="66A24F7A" w:rsidR="00624970" w:rsidRDefault="00624970" w:rsidP="00624970">
      <w:pPr>
        <w:spacing w:after="60" w:line="360" w:lineRule="auto"/>
        <w:jc w:val="both"/>
      </w:pPr>
      <w:r>
        <w:t>All compression</w:t>
      </w:r>
      <w:r w:rsidRPr="104AFF8A">
        <w:t xml:space="preserve"> </w:t>
      </w:r>
      <w:r>
        <w:t>and tensile test</w:t>
      </w:r>
      <w:r w:rsidRPr="6331FF9F">
        <w:t>s</w:t>
      </w:r>
      <w:r>
        <w:t xml:space="preserve"> were performed on a ZWICK Z050TH materials testing system. For the compression</w:t>
      </w:r>
      <w:r w:rsidRPr="104AFF8A">
        <w:t xml:space="preserve"> </w:t>
      </w:r>
      <w:r>
        <w:t>test, samples were prepared from an as-cast rod, which was cast using a 3 mm diameter copper mould. The rods were then sectioned into 6 mm</w:t>
      </w:r>
      <w:r w:rsidR="00D77E53">
        <w:t xml:space="preserve"> lengths</w:t>
      </w:r>
      <w:r>
        <w:t xml:space="preserve"> following ASTM E9-89A which set the length</w:t>
      </w:r>
      <w:r w:rsidRPr="104AFF8A">
        <w:t>-</w:t>
      </w:r>
      <w:r>
        <w:t>to</w:t>
      </w:r>
      <w:r w:rsidRPr="104AFF8A">
        <w:t>-</w:t>
      </w:r>
      <w:r>
        <w:t>diameter ratio for cylindrical</w:t>
      </w:r>
      <w:r w:rsidR="00F74B40">
        <w:t xml:space="preserve"> metallic bulk</w:t>
      </w:r>
      <w:r>
        <w:t xml:space="preserve"> compression samples as 2.0 </w:t>
      </w:r>
      <m:oMath>
        <m:r>
          <m:rPr>
            <m:sty m:val="p"/>
          </m:rPr>
          <w:rPr>
            <w:rFonts w:ascii="Cambria Math" w:hAnsi="Cambria Math"/>
          </w:rPr>
          <m:t>±</m:t>
        </m:r>
      </m:oMath>
      <w:r>
        <w:t xml:space="preserve"> 0.05. To ensure the surface subjected to the applied stress was vertical to the loading direction, both ends of the sectioned samples were carefully polished using a specific </w:t>
      </w:r>
      <w:r w:rsidR="00F74B40">
        <w:t xml:space="preserve">cubic </w:t>
      </w:r>
      <w:r>
        <w:t>mould and measured with a digital Vernier calliper with accuracy up to 0.005 mm. A 50kN load cell was selected to conduct the compression testing using a strain rate of 1×10</w:t>
      </w:r>
      <w:r>
        <w:rPr>
          <w:vertAlign w:val="superscript"/>
        </w:rPr>
        <w:t xml:space="preserve">-4 </w:t>
      </w:r>
      <w:r>
        <w:t>s</w:t>
      </w:r>
      <w:r>
        <w:rPr>
          <w:vertAlign w:val="superscript"/>
        </w:rPr>
        <w:t>-1</w:t>
      </w:r>
      <w:r>
        <w:t>. Crosshead displacement was recorded during testing to calculate the strain occurring on the samples</w:t>
      </w:r>
      <w:r w:rsidR="00F74B40">
        <w:t>, machine compliance was subtracted from the data to correct the error brought by the machine</w:t>
      </w:r>
      <w:r>
        <w:t>. For each composition, at least three samples were tested to provide statistical reproducibility of the compressive properties obtained. The engineering stress and engineering strain curves were then converted into true stress and true strain by using the following formul</w:t>
      </w:r>
      <w:r w:rsidR="00D77E53">
        <w:t>ae</w:t>
      </w:r>
      <w:r>
        <w:t xml:space="preserve"> for compression.  </w:t>
      </w:r>
    </w:p>
    <w:p w14:paraId="46D8D6E2" w14:textId="77777777" w:rsidR="00624970" w:rsidRPr="00240CEC" w:rsidRDefault="00077961" w:rsidP="00624970">
      <w:pPr>
        <w:spacing w:after="60" w:line="360" w:lineRule="auto"/>
        <w:jc w:val="right"/>
      </w:pPr>
      <m:oMath>
        <m:sSub>
          <m:sSubPr>
            <m:ctrlPr>
              <w:rPr>
                <w:rFonts w:ascii="Cambria Math" w:hAnsi="Cambria Math"/>
              </w:rPr>
            </m:ctrlPr>
          </m:sSubPr>
          <m:e>
            <m:r>
              <w:rPr>
                <w:rFonts w:ascii="Cambria Math" w:hAnsi="Cambria Math"/>
              </w:rPr>
              <m:t>σ</m:t>
            </m:r>
          </m:e>
          <m:sub>
            <m:r>
              <w:rPr>
                <w:rFonts w:ascii="Cambria Math" w:hAnsi="Cambria Math"/>
              </w:rPr>
              <m:t>tc</m:t>
            </m:r>
          </m:sub>
        </m:sSub>
        <m: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E</m:t>
            </m:r>
          </m:sub>
        </m:sSub>
        <m:r>
          <w:rPr>
            <w:rFonts w:ascii="Cambria Math" w:hAnsi="Cambria Math"/>
          </w:rPr>
          <m:t>(1-</m:t>
        </m:r>
        <m:sSub>
          <m:sSubPr>
            <m:ctrlPr>
              <w:rPr>
                <w:rFonts w:ascii="Cambria Math" w:hAnsi="Cambria Math"/>
                <w:i/>
              </w:rPr>
            </m:ctrlPr>
          </m:sSubPr>
          <m:e>
            <m:r>
              <w:rPr>
                <w:rFonts w:ascii="Cambria Math" w:hAnsi="Cambria Math"/>
              </w:rPr>
              <m:t>ε</m:t>
            </m:r>
          </m:e>
          <m:sub>
            <m:r>
              <w:rPr>
                <w:rFonts w:ascii="Cambria Math" w:hAnsi="Cambria Math"/>
              </w:rPr>
              <m:t>E</m:t>
            </m:r>
          </m:sub>
        </m:sSub>
        <m:r>
          <w:rPr>
            <w:rFonts w:ascii="Cambria Math" w:hAnsi="Cambria Math"/>
          </w:rPr>
          <m:t>)</m:t>
        </m:r>
      </m:oMath>
      <w:r w:rsidR="00624970">
        <w:t xml:space="preserve">                                                                   (1)</w:t>
      </w:r>
    </w:p>
    <w:p w14:paraId="07B878F1" w14:textId="77777777" w:rsidR="00624970" w:rsidRDefault="00077961" w:rsidP="00624970">
      <w:pPr>
        <w:spacing w:after="60" w:line="360" w:lineRule="auto"/>
        <w:jc w:val="right"/>
      </w:pPr>
      <m:oMath>
        <m:sSub>
          <m:sSubPr>
            <m:ctrlPr>
              <w:rPr>
                <w:rFonts w:ascii="Cambria Math" w:hAnsi="Cambria Math"/>
                <w:i/>
              </w:rPr>
            </m:ctrlPr>
          </m:sSubPr>
          <m:e>
            <m:r>
              <w:rPr>
                <w:rFonts w:ascii="Cambria Math" w:hAnsi="Cambria Math"/>
              </w:rPr>
              <m:t>ε</m:t>
            </m:r>
          </m:e>
          <m:sub>
            <m:r>
              <w:rPr>
                <w:rFonts w:ascii="Cambria Math" w:hAnsi="Cambria Math"/>
              </w:rPr>
              <m:t>tc</m:t>
            </m:r>
          </m:sub>
        </m:sSub>
        <m:r>
          <w:rPr>
            <w:rFonts w:ascii="Cambria Math" w:hAnsi="Cambria Math"/>
          </w:rPr>
          <m:t>=Ln(1-</m:t>
        </m:r>
        <m:sSub>
          <m:sSubPr>
            <m:ctrlPr>
              <w:rPr>
                <w:rFonts w:ascii="Cambria Math" w:hAnsi="Cambria Math"/>
                <w:i/>
              </w:rPr>
            </m:ctrlPr>
          </m:sSubPr>
          <m:e>
            <m:r>
              <w:rPr>
                <w:rFonts w:ascii="Cambria Math" w:hAnsi="Cambria Math"/>
              </w:rPr>
              <m:t>ε</m:t>
            </m:r>
          </m:e>
          <m:sub>
            <m:r>
              <w:rPr>
                <w:rFonts w:ascii="Cambria Math" w:hAnsi="Cambria Math"/>
              </w:rPr>
              <m:t>E</m:t>
            </m:r>
          </m:sub>
        </m:sSub>
        <m:r>
          <w:rPr>
            <w:rFonts w:ascii="Cambria Math" w:hAnsi="Cambria Math"/>
          </w:rPr>
          <m:t>)</m:t>
        </m:r>
      </m:oMath>
      <w:r w:rsidR="00624970">
        <w:t xml:space="preserve">                                                                   (2)</w:t>
      </w:r>
    </w:p>
    <w:p w14:paraId="4B046B0D" w14:textId="08ED6451" w:rsidR="00624970" w:rsidRDefault="00D77E53" w:rsidP="00624970">
      <w:pPr>
        <w:spacing w:after="60" w:line="360" w:lineRule="auto"/>
      </w:pPr>
      <w:r>
        <w:lastRenderedPageBreak/>
        <w:t xml:space="preserve">where </w:t>
      </w:r>
      <m:oMath>
        <m:sSub>
          <m:sSubPr>
            <m:ctrlPr>
              <w:rPr>
                <w:rFonts w:ascii="Cambria Math" w:hAnsi="Cambria Math"/>
              </w:rPr>
            </m:ctrlPr>
          </m:sSubPr>
          <m:e>
            <m:r>
              <w:rPr>
                <w:rFonts w:ascii="Cambria Math" w:hAnsi="Cambria Math"/>
              </w:rPr>
              <m:t>σ</m:t>
            </m:r>
          </m:e>
          <m:sub>
            <m:r>
              <w:rPr>
                <w:rFonts w:ascii="Cambria Math" w:hAnsi="Cambria Math"/>
              </w:rPr>
              <m:t>E</m:t>
            </m:r>
          </m:sub>
        </m:sSub>
      </m:oMath>
      <w:r w:rsidR="00624970">
        <w:t xml:space="preserve"> and </w:t>
      </w:r>
      <m:oMath>
        <m:sSub>
          <m:sSubPr>
            <m:ctrlPr>
              <w:rPr>
                <w:rFonts w:ascii="Cambria Math" w:hAnsi="Cambria Math"/>
                <w:i/>
              </w:rPr>
            </m:ctrlPr>
          </m:sSubPr>
          <m:e>
            <m:r>
              <w:rPr>
                <w:rFonts w:ascii="Cambria Math" w:hAnsi="Cambria Math"/>
              </w:rPr>
              <m:t>ε</m:t>
            </m:r>
          </m:e>
          <m:sub>
            <m:r>
              <w:rPr>
                <w:rFonts w:ascii="Cambria Math" w:hAnsi="Cambria Math"/>
              </w:rPr>
              <m:t>E</m:t>
            </m:r>
          </m:sub>
        </m:sSub>
      </m:oMath>
      <w:r w:rsidR="00624970">
        <w:t xml:space="preserve"> are engineering stress and engineering strain, </w:t>
      </w:r>
      <m:oMath>
        <m:sSub>
          <m:sSubPr>
            <m:ctrlPr>
              <w:rPr>
                <w:rFonts w:ascii="Cambria Math" w:hAnsi="Cambria Math"/>
              </w:rPr>
            </m:ctrlPr>
          </m:sSubPr>
          <m:e>
            <m:r>
              <w:rPr>
                <w:rFonts w:ascii="Cambria Math" w:hAnsi="Cambria Math"/>
              </w:rPr>
              <m:t>σ</m:t>
            </m:r>
          </m:e>
          <m:sub>
            <m:r>
              <w:rPr>
                <w:rFonts w:ascii="Cambria Math" w:hAnsi="Cambria Math"/>
              </w:rPr>
              <m:t>tc</m:t>
            </m:r>
          </m:sub>
        </m:sSub>
      </m:oMath>
      <w:r w:rsidR="00624970">
        <w:t xml:space="preserve"> and </w:t>
      </w:r>
      <m:oMath>
        <m:sSub>
          <m:sSubPr>
            <m:ctrlPr>
              <w:rPr>
                <w:rFonts w:ascii="Cambria Math" w:hAnsi="Cambria Math"/>
                <w:i/>
              </w:rPr>
            </m:ctrlPr>
          </m:sSubPr>
          <m:e>
            <m:r>
              <w:rPr>
                <w:rFonts w:ascii="Cambria Math" w:hAnsi="Cambria Math"/>
              </w:rPr>
              <m:t>ε</m:t>
            </m:r>
          </m:e>
          <m:sub>
            <m:r>
              <w:rPr>
                <w:rFonts w:ascii="Cambria Math" w:hAnsi="Cambria Math"/>
              </w:rPr>
              <m:t>tc</m:t>
            </m:r>
          </m:sub>
        </m:sSub>
      </m:oMath>
      <w:r w:rsidR="00624970">
        <w:t xml:space="preserve"> are true stress and true strain for compression test. </w:t>
      </w:r>
    </w:p>
    <w:p w14:paraId="038B9FBA" w14:textId="77777777" w:rsidR="00624970" w:rsidRPr="00C01720" w:rsidRDefault="00624970" w:rsidP="00624970">
      <w:pPr>
        <w:pStyle w:val="3"/>
        <w:spacing w:before="0" w:after="60" w:line="360" w:lineRule="auto"/>
        <w:rPr>
          <w:rFonts w:asciiTheme="minorHAnsi" w:hAnsiTheme="minorHAnsi"/>
          <w:b/>
          <w:color w:val="auto"/>
          <w:sz w:val="32"/>
          <w:szCs w:val="32"/>
        </w:rPr>
      </w:pPr>
      <w:bookmarkStart w:id="204" w:name="_Toc22052525"/>
      <w:r w:rsidRPr="00C01720">
        <w:rPr>
          <w:rFonts w:asciiTheme="minorHAnsi" w:hAnsiTheme="minorHAnsi"/>
          <w:b/>
          <w:color w:val="auto"/>
          <w:sz w:val="32"/>
          <w:szCs w:val="32"/>
        </w:rPr>
        <w:t>3.2.2 Tensile test</w:t>
      </w:r>
      <w:bookmarkEnd w:id="204"/>
    </w:p>
    <w:p w14:paraId="1E7B596C" w14:textId="4023F0FC" w:rsidR="00624970" w:rsidRDefault="00624970" w:rsidP="00624970">
      <w:pPr>
        <w:spacing w:after="60" w:line="360" w:lineRule="auto"/>
        <w:jc w:val="both"/>
      </w:pPr>
      <w:r>
        <w:t>For tensile testing, samples were prepared from an as-cast rod cast by using a 4 mm × 5 mm copper mould. These rod samples were en</w:t>
      </w:r>
      <w:r w:rsidRPr="007C3AA5">
        <w:t>capsul</w:t>
      </w:r>
      <w:r>
        <w:t xml:space="preserve">ated in quartz tubing </w:t>
      </w:r>
      <w:r w:rsidR="00F20A86">
        <w:rPr>
          <w:rFonts w:hint="eastAsia"/>
        </w:rPr>
        <w:t>with</w:t>
      </w:r>
      <w:r w:rsidR="00F20A86">
        <w:t xml:space="preserve"> </w:t>
      </w:r>
      <w:r w:rsidR="00D77E53">
        <w:t xml:space="preserve">an </w:t>
      </w:r>
      <w:r w:rsidR="00F20A86" w:rsidRPr="00152DB6">
        <w:t xml:space="preserve">oxy-acetylene gas torch </w:t>
      </w:r>
      <w:r>
        <w:t>under a vacuum of 1×10</w:t>
      </w:r>
      <w:r>
        <w:rPr>
          <w:vertAlign w:val="superscript"/>
        </w:rPr>
        <w:t xml:space="preserve">-5 </w:t>
      </w:r>
      <w:r>
        <w:t>Pa. The capsules were then homogenised at 1473 K for 2 h in a vacuum furnace pumped to 1×10</w:t>
      </w:r>
      <w:r>
        <w:rPr>
          <w:vertAlign w:val="superscript"/>
        </w:rPr>
        <w:t xml:space="preserve">-5 </w:t>
      </w:r>
      <w:r>
        <w:t>Pa.</w:t>
      </w:r>
      <w:r w:rsidRPr="6C867622">
        <w:t xml:space="preserve"> </w:t>
      </w:r>
      <w:r>
        <w:t xml:space="preserve">After homogenisation, the samples were quenched </w:t>
      </w:r>
      <w:r w:rsidR="00F20A86">
        <w:rPr>
          <w:rFonts w:hint="eastAsia"/>
        </w:rPr>
        <w:t>with</w:t>
      </w:r>
      <w:r w:rsidR="00F20A86">
        <w:t xml:space="preserve"> room temperature </w:t>
      </w:r>
      <w:r w:rsidR="00F20A86">
        <w:rPr>
          <w:rFonts w:hint="eastAsia"/>
        </w:rPr>
        <w:t>water</w:t>
      </w:r>
      <w:r>
        <w:t xml:space="preserve">. </w:t>
      </w:r>
      <w:r w:rsidRPr="6C867622">
        <w:t xml:space="preserve"> </w:t>
      </w:r>
      <w:r>
        <w:t>The</w:t>
      </w:r>
      <w:r w:rsidRPr="7791DCBF">
        <w:t xml:space="preserve"> surfac</w:t>
      </w:r>
      <w:r>
        <w:t>es</w:t>
      </w:r>
      <w:r w:rsidRPr="6C867622">
        <w:t xml:space="preserve"> </w:t>
      </w:r>
      <w:r>
        <w:t xml:space="preserve">of the samples were then ground to remove oxidisation formed during the quenching process. The samples were then rolled with a 70% reduction, after which samples were </w:t>
      </w:r>
      <w:r w:rsidR="00F20A86">
        <w:t>re-</w:t>
      </w:r>
      <w:r>
        <w:t>encapsulated and annealed at 1123K for 0.5 h followed by quenching. After grinding</w:t>
      </w:r>
      <w:r w:rsidRPr="6C867622">
        <w:t xml:space="preserve"> </w:t>
      </w:r>
      <w:r>
        <w:t xml:space="preserve">their surfaces, samples were then machined following </w:t>
      </w:r>
      <w:r w:rsidRPr="00404369">
        <w:t xml:space="preserve">ASTM E8/E8M-13 </w:t>
      </w:r>
      <w:r>
        <w:t>(subsize) as shown in Fig. 3-2. A 20kN load cell was selected to conduct tensile testing using a strain rate of 1×10</w:t>
      </w:r>
      <w:r>
        <w:rPr>
          <w:vertAlign w:val="superscript"/>
        </w:rPr>
        <w:t>-4</w:t>
      </w:r>
      <w:r>
        <w:t>s</w:t>
      </w:r>
      <w:r>
        <w:rPr>
          <w:vertAlign w:val="superscript"/>
        </w:rPr>
        <w:t>-1</w:t>
      </w:r>
      <w:r>
        <w:t>. The strain was determined using by a digital camera, by tracking the displacement of two pins which were stuck on the surface of the tensile sample. For each composition, at least three samples were tested to provide statistical reproducibility of the tensile properties obtained. The engineering stress and engineering strain curves were then converted into true stress and true strain by using following formula</w:t>
      </w:r>
      <w:r w:rsidR="00D77E53">
        <w:t>e</w:t>
      </w:r>
      <w:r>
        <w:t xml:space="preserve"> for tension</w:t>
      </w:r>
      <w:r>
        <w:fldChar w:fldCharType="begin" w:fldLock="1"/>
      </w:r>
      <w:r>
        <w:instrText>ADDIN CSL_CITATION {"citationItems":[{"id":"ITEM-1","itemData":{"DOI":"10.1016/S0020-7683(98)00153-X","ISSN":"00207683","abstract":"The uniaxial true stress logarithmic strain curve for a thick section can be determined from the load-diameter reduction record of a round tensile specimen. The correction of the true stress for necking can be performed by using the well-known Bridgman equation. For thin sections, it is more practical to use specimens with rectangular cross-section. However, there is no established method to determine the complete true stress-logarithmic strain relation from a rectangular specimen. In this paper, an extensive three-dimensional numerical study has been carried out on the diffuse necking behaviour of tensile specimens made of isotropic materials with rectangular cross-section, and an approximate relation is established between the area reduction of the minimum cross-section and the measured thickness reduction. It is found that the area reduction can be normalized by the uniaxial strain at maximum load which represents the material hardening and also the section aspect ratio. Furthermore, for the same material, specimens with different aspect ratio give exactly the same true average stress-logarithmic strain curve. This finding implies that Bridgmans correction can still be used for necking correction of the true average stress obtained from rectangular specimens. Based on this finding, a method for determining the true stress-logarithmic strain relation from the load-thickness reduction curve of specimens with rectangular cross-section is proposed.","author":[{"dropping-particle":"","family":"Zhang","given":"Z. L.","non-dropping-particle":"","parse-names":false,"suffix":""},{"dropping-particle":"","family":"Hauge","given":"M.","non-dropping-particle":"","parse-names":false,"suffix":""},{"dropping-particle":"","family":"Ødegård","given":"J.","non-dropping-particle":"","parse-names":false,"suffix":""},{"dropping-particle":"","family":"Thaulow","given":"C.","non-dropping-particle":"","parse-names":false,"suffix":""}],"container-title":"International Journal of Solids and Structures","id":"ITEM-1","issued":{"date-parts":[["1999"]]},"title":"Determining material true stress-strain curve from tensile specimens with rectangular cross-section","type":"article-journal"},"uris":["http://www.mendeley.com/documents/?uuid=0b847b39-a147-416f-9b3d-d9a4ba04e2e7"]}],"mendeley":{"formattedCitation":"[1]","plainTextFormattedCitation":"[1]","previouslyFormattedCitation":"[170]"},"properties":{"noteIndex":0},"schema":"https://github.com/citation-style-language/schema/raw/master/csl-citation.json"}</w:instrText>
      </w:r>
      <w:r>
        <w:fldChar w:fldCharType="separate"/>
      </w:r>
      <w:r w:rsidRPr="006D5C47">
        <w:rPr>
          <w:noProof/>
        </w:rPr>
        <w:t>[1]</w:t>
      </w:r>
      <w:r>
        <w:fldChar w:fldCharType="end"/>
      </w:r>
      <w:r w:rsidRPr="6C867622">
        <w:t xml:space="preserve">.  </w:t>
      </w:r>
    </w:p>
    <w:p w14:paraId="7D223635" w14:textId="77777777" w:rsidR="00624970" w:rsidRPr="00240CEC" w:rsidRDefault="00077961" w:rsidP="00624970">
      <w:pPr>
        <w:spacing w:after="60" w:line="360" w:lineRule="auto"/>
        <w:jc w:val="right"/>
      </w:pPr>
      <m:oMath>
        <m:sSub>
          <m:sSubPr>
            <m:ctrlPr>
              <w:rPr>
                <w:rFonts w:ascii="Cambria Math" w:hAnsi="Cambria Math"/>
              </w:rPr>
            </m:ctrlPr>
          </m:sSubPr>
          <m:e>
            <m:r>
              <w:rPr>
                <w:rFonts w:ascii="Cambria Math" w:hAnsi="Cambria Math"/>
              </w:rPr>
              <m:t>σ</m:t>
            </m:r>
          </m:e>
          <m:sub>
            <m:r>
              <w:rPr>
                <w:rFonts w:ascii="Cambria Math" w:hAnsi="Cambria Math"/>
              </w:rPr>
              <m:t>tt</m:t>
            </m:r>
          </m:sub>
        </m:sSub>
        <m: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E</m:t>
            </m:r>
          </m:sub>
        </m:sSub>
        <m:r>
          <w:rPr>
            <w:rFonts w:ascii="Cambria Math" w:hAnsi="Cambria Math"/>
          </w:rPr>
          <m:t>(1+</m:t>
        </m:r>
        <m:sSub>
          <m:sSubPr>
            <m:ctrlPr>
              <w:rPr>
                <w:rFonts w:ascii="Cambria Math" w:hAnsi="Cambria Math"/>
                <w:i/>
              </w:rPr>
            </m:ctrlPr>
          </m:sSubPr>
          <m:e>
            <m:r>
              <w:rPr>
                <w:rFonts w:ascii="Cambria Math" w:hAnsi="Cambria Math"/>
              </w:rPr>
              <m:t>ε</m:t>
            </m:r>
          </m:e>
          <m:sub>
            <m:r>
              <w:rPr>
                <w:rFonts w:ascii="Cambria Math" w:hAnsi="Cambria Math"/>
              </w:rPr>
              <m:t>E</m:t>
            </m:r>
          </m:sub>
        </m:sSub>
        <m:r>
          <w:rPr>
            <w:rFonts w:ascii="Cambria Math" w:hAnsi="Cambria Math"/>
          </w:rPr>
          <m:t>)</m:t>
        </m:r>
      </m:oMath>
      <w:r w:rsidR="00624970">
        <w:t xml:space="preserve">                                                                   (3)</w:t>
      </w:r>
    </w:p>
    <w:p w14:paraId="24869561" w14:textId="77777777" w:rsidR="00624970" w:rsidRDefault="00077961" w:rsidP="00624970">
      <w:pPr>
        <w:spacing w:after="60" w:line="360" w:lineRule="auto"/>
        <w:jc w:val="right"/>
      </w:pPr>
      <m:oMath>
        <m:sSub>
          <m:sSubPr>
            <m:ctrlPr>
              <w:rPr>
                <w:rFonts w:ascii="Cambria Math" w:hAnsi="Cambria Math"/>
                <w:i/>
              </w:rPr>
            </m:ctrlPr>
          </m:sSubPr>
          <m:e>
            <m:r>
              <w:rPr>
                <w:rFonts w:ascii="Cambria Math" w:hAnsi="Cambria Math"/>
              </w:rPr>
              <m:t>ε</m:t>
            </m:r>
          </m:e>
          <m:sub>
            <m:r>
              <w:rPr>
                <w:rFonts w:ascii="Cambria Math" w:hAnsi="Cambria Math"/>
              </w:rPr>
              <m:t>tt</m:t>
            </m:r>
          </m:sub>
        </m:sSub>
        <m:r>
          <w:rPr>
            <w:rFonts w:ascii="Cambria Math" w:hAnsi="Cambria Math"/>
          </w:rPr>
          <m:t>=Ln(1+</m:t>
        </m:r>
        <m:sSub>
          <m:sSubPr>
            <m:ctrlPr>
              <w:rPr>
                <w:rFonts w:ascii="Cambria Math" w:hAnsi="Cambria Math"/>
                <w:i/>
              </w:rPr>
            </m:ctrlPr>
          </m:sSubPr>
          <m:e>
            <m:r>
              <w:rPr>
                <w:rFonts w:ascii="Cambria Math" w:hAnsi="Cambria Math"/>
              </w:rPr>
              <m:t>ε</m:t>
            </m:r>
          </m:e>
          <m:sub>
            <m:r>
              <w:rPr>
                <w:rFonts w:ascii="Cambria Math" w:hAnsi="Cambria Math"/>
              </w:rPr>
              <m:t>E</m:t>
            </m:r>
          </m:sub>
        </m:sSub>
        <m:r>
          <w:rPr>
            <w:rFonts w:ascii="Cambria Math" w:hAnsi="Cambria Math"/>
          </w:rPr>
          <m:t>)</m:t>
        </m:r>
      </m:oMath>
      <w:r w:rsidR="00624970">
        <w:t xml:space="preserve">                                                                   (4)</w:t>
      </w:r>
    </w:p>
    <w:p w14:paraId="5A1D631C" w14:textId="77777777" w:rsidR="00624970" w:rsidRDefault="00624970" w:rsidP="00624970">
      <w:pPr>
        <w:keepNext/>
        <w:spacing w:after="60" w:line="360" w:lineRule="auto"/>
      </w:pPr>
      <w:r>
        <w:t xml:space="preserve">Where </w:t>
      </w:r>
      <m:oMath>
        <m:sSub>
          <m:sSubPr>
            <m:ctrlPr>
              <w:rPr>
                <w:rFonts w:ascii="Cambria Math" w:hAnsi="Cambria Math"/>
              </w:rPr>
            </m:ctrlPr>
          </m:sSubPr>
          <m:e>
            <m:r>
              <w:rPr>
                <w:rFonts w:ascii="Cambria Math" w:hAnsi="Cambria Math"/>
              </w:rPr>
              <m:t>σ</m:t>
            </m:r>
          </m:e>
          <m:sub>
            <m:r>
              <w:rPr>
                <w:rFonts w:ascii="Cambria Math" w:hAnsi="Cambria Math"/>
              </w:rPr>
              <m:t>E</m:t>
            </m:r>
          </m:sub>
        </m:sSub>
      </m:oMath>
      <w:r>
        <w:t xml:space="preserve"> and </w:t>
      </w:r>
      <m:oMath>
        <m:sSub>
          <m:sSubPr>
            <m:ctrlPr>
              <w:rPr>
                <w:rFonts w:ascii="Cambria Math" w:hAnsi="Cambria Math"/>
                <w:i/>
              </w:rPr>
            </m:ctrlPr>
          </m:sSubPr>
          <m:e>
            <m:r>
              <w:rPr>
                <w:rFonts w:ascii="Cambria Math" w:hAnsi="Cambria Math"/>
              </w:rPr>
              <m:t>ε</m:t>
            </m:r>
          </m:e>
          <m:sub>
            <m:r>
              <w:rPr>
                <w:rFonts w:ascii="Cambria Math" w:hAnsi="Cambria Math"/>
              </w:rPr>
              <m:t>E</m:t>
            </m:r>
          </m:sub>
        </m:sSub>
      </m:oMath>
      <w:r>
        <w:t xml:space="preserve"> are engineering stress and engineering strain, </w:t>
      </w:r>
      <m:oMath>
        <m:sSub>
          <m:sSubPr>
            <m:ctrlPr>
              <w:rPr>
                <w:rFonts w:ascii="Cambria Math" w:hAnsi="Cambria Math"/>
              </w:rPr>
            </m:ctrlPr>
          </m:sSubPr>
          <m:e>
            <m:r>
              <w:rPr>
                <w:rFonts w:ascii="Cambria Math" w:hAnsi="Cambria Math"/>
              </w:rPr>
              <m:t>σ</m:t>
            </m:r>
          </m:e>
          <m:sub>
            <m:r>
              <w:rPr>
                <w:rFonts w:ascii="Cambria Math" w:hAnsi="Cambria Math"/>
              </w:rPr>
              <m:t>tt</m:t>
            </m:r>
          </m:sub>
        </m:sSub>
      </m:oMath>
      <w:r>
        <w:t xml:space="preserve"> and </w:t>
      </w:r>
      <m:oMath>
        <m:sSub>
          <m:sSubPr>
            <m:ctrlPr>
              <w:rPr>
                <w:rFonts w:ascii="Cambria Math" w:hAnsi="Cambria Math"/>
                <w:i/>
              </w:rPr>
            </m:ctrlPr>
          </m:sSubPr>
          <m:e>
            <m:r>
              <w:rPr>
                <w:rFonts w:ascii="Cambria Math" w:hAnsi="Cambria Math"/>
              </w:rPr>
              <m:t>ε</m:t>
            </m:r>
          </m:e>
          <m:sub>
            <m:r>
              <w:rPr>
                <w:rFonts w:ascii="Cambria Math" w:hAnsi="Cambria Math"/>
              </w:rPr>
              <m:t>tt</m:t>
            </m:r>
          </m:sub>
        </m:sSub>
      </m:oMath>
      <w:r>
        <w:t xml:space="preserve"> are true stress and true strain for tensile testing. </w:t>
      </w:r>
      <w:r w:rsidRPr="000E669C">
        <w:rPr>
          <w:noProof/>
          <w:lang w:val="en-US" w:eastAsia="en-US"/>
        </w:rPr>
        <w:drawing>
          <wp:inline distT="0" distB="0" distL="0" distR="0" wp14:anchorId="4CD2FEA6" wp14:editId="558012CD">
            <wp:extent cx="5943600" cy="2212340"/>
            <wp:effectExtent l="0" t="0" r="0" b="0"/>
            <wp:docPr id="10" name="图片 3" descr="图片包含 屏幕截图&#10;&#10;自动生成的说明">
              <a:extLst xmlns:a="http://schemas.openxmlformats.org/drawingml/2006/main">
                <a:ext uri="{FF2B5EF4-FFF2-40B4-BE49-F238E27FC236}">
                  <a16:creationId xmlns:a16="http://schemas.microsoft.com/office/drawing/2014/main" id="{0AC5F772-A4D3-4EAE-89B7-D069C3594E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图片包含 屏幕截图&#10;&#10;自动生成的说明">
                      <a:extLst>
                        <a:ext uri="{FF2B5EF4-FFF2-40B4-BE49-F238E27FC236}">
                          <a16:creationId xmlns:a16="http://schemas.microsoft.com/office/drawing/2014/main" id="{0AC5F772-A4D3-4EAE-89B7-D069C3594E89}"/>
                        </a:ext>
                      </a:extLst>
                    </pic:cNvPr>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943600" cy="2212340"/>
                    </a:xfrm>
                    <a:prstGeom prst="rect">
                      <a:avLst/>
                    </a:prstGeom>
                  </pic:spPr>
                </pic:pic>
              </a:graphicData>
            </a:graphic>
          </wp:inline>
        </w:drawing>
      </w:r>
    </w:p>
    <w:p w14:paraId="34B11989" w14:textId="7DA107F5" w:rsidR="00552365" w:rsidRPr="008977C4" w:rsidRDefault="00552365" w:rsidP="00552365">
      <w:pPr>
        <w:spacing w:after="60" w:line="360" w:lineRule="auto"/>
        <w:rPr>
          <w:b/>
          <w:sz w:val="20"/>
          <w:szCs w:val="20"/>
        </w:rPr>
      </w:pPr>
      <w:bookmarkStart w:id="205" w:name="_Toc39312698"/>
      <w:r w:rsidRPr="008977C4">
        <w:rPr>
          <w:b/>
          <w:sz w:val="20"/>
          <w:szCs w:val="20"/>
        </w:rPr>
        <w:t>Fig</w:t>
      </w:r>
      <w:r>
        <w:rPr>
          <w:b/>
          <w:sz w:val="20"/>
          <w:szCs w:val="20"/>
        </w:rPr>
        <w:t>ure</w:t>
      </w:r>
      <w:r w:rsidRPr="008977C4">
        <w:rPr>
          <w:b/>
          <w:sz w:val="20"/>
          <w:szCs w:val="20"/>
        </w:rPr>
        <w:t xml:space="preserve"> 3</w:t>
      </w:r>
      <w:r w:rsidRPr="00871240">
        <w:rPr>
          <w:rFonts w:cstheme="minorHAnsi"/>
          <w:b/>
          <w:bCs/>
          <w:sz w:val="20"/>
          <w:szCs w:val="20"/>
        </w:rPr>
        <w:t>-</w:t>
      </w:r>
      <w:r w:rsidRPr="00871240">
        <w:rPr>
          <w:rFonts w:cstheme="minorHAnsi"/>
          <w:b/>
          <w:bCs/>
          <w:sz w:val="20"/>
          <w:szCs w:val="20"/>
        </w:rPr>
        <w:fldChar w:fldCharType="begin"/>
      </w:r>
      <w:r w:rsidRPr="00871240">
        <w:rPr>
          <w:rFonts w:cstheme="minorHAnsi"/>
          <w:b/>
          <w:bCs/>
          <w:sz w:val="20"/>
          <w:szCs w:val="20"/>
        </w:rPr>
        <w:instrText xml:space="preserve"> SEQ Figure \* ARABIC </w:instrText>
      </w:r>
      <w:r w:rsidRPr="00871240">
        <w:rPr>
          <w:rFonts w:cstheme="minorHAnsi"/>
          <w:b/>
          <w:bCs/>
          <w:sz w:val="20"/>
          <w:szCs w:val="20"/>
        </w:rPr>
        <w:fldChar w:fldCharType="separate"/>
      </w:r>
      <w:r>
        <w:rPr>
          <w:rFonts w:cstheme="minorHAnsi"/>
          <w:b/>
          <w:bCs/>
          <w:noProof/>
          <w:sz w:val="20"/>
          <w:szCs w:val="20"/>
        </w:rPr>
        <w:t>2</w:t>
      </w:r>
      <w:r w:rsidRPr="00871240">
        <w:rPr>
          <w:rFonts w:cstheme="minorHAnsi"/>
          <w:b/>
          <w:bCs/>
          <w:sz w:val="20"/>
          <w:szCs w:val="20"/>
        </w:rPr>
        <w:fldChar w:fldCharType="end"/>
      </w:r>
      <w:r w:rsidRPr="0032099F">
        <w:rPr>
          <w:sz w:val="20"/>
        </w:rPr>
        <w:t xml:space="preserve"> </w:t>
      </w:r>
      <w:r w:rsidRPr="008977C4">
        <w:rPr>
          <w:b/>
          <w:sz w:val="20"/>
          <w:szCs w:val="20"/>
        </w:rPr>
        <w:t xml:space="preserve"> Schematic of dog-bone tensile sample for metallic materials following ASTM E8/E8M-13.</w:t>
      </w:r>
      <w:bookmarkEnd w:id="205"/>
    </w:p>
    <w:p w14:paraId="346FFDD8" w14:textId="18CABC93" w:rsidR="00624970" w:rsidRPr="008977C4" w:rsidRDefault="00624970" w:rsidP="00624970">
      <w:pPr>
        <w:spacing w:after="60" w:line="360" w:lineRule="auto"/>
        <w:rPr>
          <w:b/>
          <w:sz w:val="20"/>
          <w:szCs w:val="20"/>
        </w:rPr>
      </w:pPr>
    </w:p>
    <w:p w14:paraId="476A04AF" w14:textId="77777777" w:rsidR="00624970" w:rsidRDefault="00624970" w:rsidP="00624970">
      <w:pPr>
        <w:spacing w:after="60" w:line="360" w:lineRule="auto"/>
      </w:pPr>
    </w:p>
    <w:p w14:paraId="494296C6" w14:textId="77777777" w:rsidR="00624970" w:rsidRPr="00C01720" w:rsidRDefault="00624970" w:rsidP="00624970">
      <w:pPr>
        <w:pStyle w:val="2"/>
        <w:spacing w:before="0" w:after="60" w:line="360" w:lineRule="auto"/>
        <w:rPr>
          <w:rFonts w:asciiTheme="minorHAnsi" w:hAnsiTheme="minorHAnsi"/>
          <w:b/>
          <w:color w:val="auto"/>
          <w:sz w:val="32"/>
        </w:rPr>
      </w:pPr>
      <w:bookmarkStart w:id="206" w:name="_Toc22052526"/>
      <w:r w:rsidRPr="00C01720">
        <w:rPr>
          <w:rFonts w:asciiTheme="minorHAnsi" w:hAnsiTheme="minorHAnsi"/>
          <w:b/>
          <w:color w:val="auto"/>
          <w:sz w:val="32"/>
        </w:rPr>
        <w:t>3.3 Characteri</w:t>
      </w:r>
      <w:r>
        <w:rPr>
          <w:rFonts w:asciiTheme="minorHAnsi" w:hAnsiTheme="minorHAnsi"/>
          <w:b/>
          <w:color w:val="auto"/>
          <w:sz w:val="32"/>
        </w:rPr>
        <w:t>s</w:t>
      </w:r>
      <w:r w:rsidRPr="00C01720">
        <w:rPr>
          <w:rFonts w:asciiTheme="minorHAnsi" w:hAnsiTheme="minorHAnsi"/>
          <w:b/>
          <w:color w:val="auto"/>
          <w:sz w:val="32"/>
        </w:rPr>
        <w:t>ation methods and sample preparation</w:t>
      </w:r>
      <w:bookmarkEnd w:id="206"/>
    </w:p>
    <w:p w14:paraId="1A9F04AC" w14:textId="77777777" w:rsidR="00624970" w:rsidRPr="00C01720" w:rsidRDefault="00624970" w:rsidP="00624970">
      <w:pPr>
        <w:pStyle w:val="3"/>
        <w:spacing w:before="0" w:after="60" w:line="360" w:lineRule="auto"/>
        <w:rPr>
          <w:rFonts w:asciiTheme="minorHAnsi" w:hAnsiTheme="minorHAnsi"/>
          <w:b/>
          <w:color w:val="auto"/>
          <w:sz w:val="32"/>
          <w:szCs w:val="32"/>
        </w:rPr>
      </w:pPr>
      <w:bookmarkStart w:id="207" w:name="_Toc22052527"/>
      <w:r w:rsidRPr="00C01720">
        <w:rPr>
          <w:rFonts w:asciiTheme="minorHAnsi" w:hAnsiTheme="minorHAnsi"/>
          <w:b/>
          <w:color w:val="auto"/>
          <w:sz w:val="32"/>
          <w:szCs w:val="32"/>
        </w:rPr>
        <w:t>3.3.1 X-ray diffraction</w:t>
      </w:r>
      <w:bookmarkEnd w:id="207"/>
      <w:r w:rsidRPr="00C01720">
        <w:rPr>
          <w:rFonts w:asciiTheme="minorHAnsi" w:hAnsiTheme="minorHAnsi"/>
          <w:b/>
          <w:color w:val="auto"/>
          <w:sz w:val="32"/>
          <w:szCs w:val="32"/>
        </w:rPr>
        <w:t xml:space="preserve"> </w:t>
      </w:r>
    </w:p>
    <w:p w14:paraId="6182ECAF" w14:textId="39663410" w:rsidR="00624970" w:rsidRDefault="00624970" w:rsidP="00624970">
      <w:pPr>
        <w:keepNext/>
        <w:spacing w:after="60" w:line="360" w:lineRule="auto"/>
        <w:jc w:val="both"/>
      </w:pPr>
      <w:r>
        <w:t xml:space="preserve">X-ray diffraction (XRD) was used for primary determination of </w:t>
      </w:r>
      <w:r w:rsidR="00D77E53">
        <w:t xml:space="preserve">the </w:t>
      </w:r>
      <w:r>
        <w:t xml:space="preserve">phase constituents for all HEAs tested. As-cast samples were sectioned into 3 mm diameter x 1 mm thickness disks (for compression) or 4 mm × 3 mm x 1 mm coupons (for tension) for XRD analyses. The post-test samples were sectioned into 3 mm diameter x 1 mm thick disks (for compression) or 3 mm × 2 mm x 1 mm thick coupons </w:t>
      </w:r>
      <w:r w:rsidRPr="26ED617E">
        <w:t>(</w:t>
      </w:r>
      <w:r>
        <w:t>for tension) for XRD analyses. All samples were polished up to 1 μm using diamond suspension. XRD tests were conducted on a Bruker D2 Phaser and Siemens D5000 device with Cu radiation. Primary phase identification was conducted on the Bruker D2 Phaser with a 1° /min scan rate and a 0.1° step size; further detailed XRD was performed on the Siemens D5000 with a slower scan rate 0.2° /min and a 0.02° step size. Samples</w:t>
      </w:r>
      <w:r w:rsidRPr="26ED617E">
        <w:t xml:space="preserve"> </w:t>
      </w:r>
      <w:r>
        <w:t>with</w:t>
      </w:r>
      <w:r w:rsidRPr="26ED617E">
        <w:t xml:space="preserve"> </w:t>
      </w:r>
      <w:r>
        <w:t xml:space="preserve">diffraction angle (2θ) were acquired from 20° to 100° for indexing. </w:t>
      </w:r>
      <w:r w:rsidRPr="00C06CF3">
        <w:rPr>
          <w:color w:val="000000" w:themeColor="text1"/>
        </w:rPr>
        <w:t xml:space="preserve">The characterisation of XRD for the primary phase was first performed by Buker DIFFRAC.EVA software. This software applied </w:t>
      </w:r>
      <w:r>
        <w:rPr>
          <w:color w:val="000000" w:themeColor="text1"/>
        </w:rPr>
        <w:t xml:space="preserve">the </w:t>
      </w:r>
      <w:r w:rsidRPr="00C06CF3">
        <w:rPr>
          <w:color w:val="000000" w:themeColor="text1"/>
        </w:rPr>
        <w:t>phase detail obtained from</w:t>
      </w:r>
      <w:r>
        <w:rPr>
          <w:color w:val="000000" w:themeColor="text1"/>
        </w:rPr>
        <w:t xml:space="preserve"> the</w:t>
      </w:r>
      <w:r w:rsidRPr="00C06CF3">
        <w:rPr>
          <w:color w:val="000000" w:themeColor="text1"/>
        </w:rPr>
        <w:t xml:space="preserve"> Crystallography Open Database (COD).</w:t>
      </w:r>
      <w:r w:rsidRPr="26ED617E">
        <w:t xml:space="preserve"> </w:t>
      </w:r>
      <w:r>
        <w:t xml:space="preserve">TOPAS </w:t>
      </w:r>
      <w:r>
        <w:fldChar w:fldCharType="begin" w:fldLock="1"/>
      </w:r>
      <w:r>
        <w:instrText>ADDIN CSL_CITATION {"citationItems":[{"id":"ITEM-1","itemData":{"DOI":"10.1118/1.4758060","ISSN":"00942405","PMID":"23127075","abstract":"PURPOSE While Monte Carlo particle transport has proven useful in many areas (treatment head design, dose calculation, shielding design, and imaging studies) and has been particularly important for proton therapy (due to the conformal dose distributions and a finite beam range in the patient), the available general purpose Monte Carlo codes in proton therapy have been overly complex for most clinical medical physicists. The learning process has large costs not only in time but also in reliability. To address this issue, we developed an innovative proton Monte Carlo platform and tested the tool in a variety of proton therapy applications. METHODS Our approach was to take one of the already-established general purpose Monte Carlo codes and wrap and extend it to create a specialized user-friendly tool for proton therapy. The resulting tool, TOol for PArticle Simulation (TOPAS), should make Monte Carlo simulation more readily available for research and clinical physicists. TOPAS can model a passive scattering or scanning beam treatment head, model a patient geometry based on computed tomography (CT) images, score dose, fluence, etc., save and restart a phase space, provides advanced graphics, and is fully four-dimensional (4D) to handle variations in beam delivery and patient geometry during treatment. A custom-designed TOPAS parameter control system was placed at the heart of the code to meet requirements for ease of use, reliability, and repeatability without sacrificing flexibility. RESULTS We built and tested the TOPAS code. We have shown that the TOPAS parameter system provides easy yet flexible control over all key simulation areas such as geometry setup, particle source setup, scoring setup, etc. Through design consistency, we have insured that user experience gained in configuring one component, scorer or filter applies equally well to configuring any other component, scorer or filter. We have incorporated key lessons from safety management, proactively removing possible sources of user error such as line-ordering mistakes. We have modeled proton therapy treatment examples including the UCSF eye treatment head, the MGH stereotactic alignment in radiosurgery treatment head and the MGH gantry treatment heads in passive scattering and scanning modes, and we have demonstrated dose calculation based on patient-specific CT data. Initial validation results show agreement with measured data and demonstrate the capabilities of TOPAS in simulating beam delive…","author":[{"dropping-particle":"","family":"Perl","given":"J.","non-dropping-particle":"","parse-names":false,"suffix":""},{"dropping-particle":"","family":"Shin","given":"J.","non-dropping-particle":"","parse-names":false,"suffix":""},{"dropping-particle":"","family":"Schümann","given":"J.","non-dropping-particle":"","parse-names":false,"suffix":""},{"dropping-particle":"","family":"Faddegon","given":"B.","non-dropping-particle":"","parse-names":false,"suffix":""},{"dropping-particle":"","family":"Paganetti","given":"H.","non-dropping-particle":"","parse-names":false,"suffix":""}],"container-title":"Medical Physics","id":"ITEM-1","issued":{"date-parts":[["2012"]]},"title":"TOPAS: An innovative proton Monte Carlo platform for research and clinical applications","type":"article-journal"},"uris":["http://www.mendeley.com/documents/?uuid=bbd0a9b8-5dd6-4900-9728-18752dfd87f5"]}],"mendeley":{"formattedCitation":"[2]","plainTextFormattedCitation":"[2]","previouslyFormattedCitation":"[171]"},"properties":{"noteIndex":0},"schema":"https://github.com/citation-style-language/schema/raw/master/csl-citation.json"}</w:instrText>
      </w:r>
      <w:r>
        <w:fldChar w:fldCharType="separate"/>
      </w:r>
      <w:r w:rsidRPr="006D5C47">
        <w:rPr>
          <w:noProof/>
        </w:rPr>
        <w:t>[2]</w:t>
      </w:r>
      <w:r>
        <w:fldChar w:fldCharType="end"/>
      </w:r>
      <w:r>
        <w:t xml:space="preserve"> code was then utilised for Rietveld refinement to identify accurate lattice parameters and phase constituents. It should be noted, that the limits of the current XRD (low intensity) may affect the accuracy in identifying low content phases. This indicates the XRD results in</w:t>
      </w:r>
      <w:r w:rsidR="00D77E53">
        <w:t xml:space="preserve"> the</w:t>
      </w:r>
      <w:r>
        <w:t xml:space="preserve"> current work may be more appropriately treated by the</w:t>
      </w:r>
      <w:r w:rsidRPr="26ED617E">
        <w:t xml:space="preserve"> </w:t>
      </w:r>
      <w:r>
        <w:t>q</w:t>
      </w:r>
      <w:r w:rsidRPr="001504A5">
        <w:t xml:space="preserve">ualitative </w:t>
      </w:r>
      <w:r>
        <w:t>a</w:t>
      </w:r>
      <w:r w:rsidRPr="001504A5">
        <w:t>nalysis</w:t>
      </w:r>
      <w:r>
        <w:t xml:space="preserve"> method for phase identification. </w:t>
      </w:r>
    </w:p>
    <w:p w14:paraId="76BEEA3C" w14:textId="77777777" w:rsidR="00624970" w:rsidRDefault="00624970" w:rsidP="00624970">
      <w:pPr>
        <w:keepNext/>
        <w:spacing w:after="60" w:line="360" w:lineRule="auto"/>
        <w:jc w:val="center"/>
      </w:pPr>
      <w:r w:rsidRPr="008977C4">
        <w:rPr>
          <w:noProof/>
          <w:lang w:val="en-US" w:eastAsia="en-US"/>
        </w:rPr>
        <w:drawing>
          <wp:inline distT="0" distB="0" distL="0" distR="0" wp14:anchorId="2D5E1CEA" wp14:editId="043273A6">
            <wp:extent cx="3617917" cy="2743200"/>
            <wp:effectExtent l="0" t="0" r="1905" b="0"/>
            <wp:docPr id="29" name="图片 5" descr="图片包含 文字, 地图&#10;&#10;自动生成的说明">
              <a:extLst xmlns:a="http://schemas.openxmlformats.org/drawingml/2006/main">
                <a:ext uri="{FF2B5EF4-FFF2-40B4-BE49-F238E27FC236}">
                  <a16:creationId xmlns:a16="http://schemas.microsoft.com/office/drawing/2014/main" id="{89E3BF3A-ADC2-45DF-A5AE-6B42BB8881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图片包含 文字, 地图&#10;&#10;自动生成的说明">
                      <a:extLst>
                        <a:ext uri="{FF2B5EF4-FFF2-40B4-BE49-F238E27FC236}">
                          <a16:creationId xmlns:a16="http://schemas.microsoft.com/office/drawing/2014/main" id="{89E3BF3A-ADC2-45DF-A5AE-6B42BB8881EE}"/>
                        </a:ext>
                      </a:extLst>
                    </pic:cNvPr>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3661540" cy="2776276"/>
                    </a:xfrm>
                    <a:prstGeom prst="rect">
                      <a:avLst/>
                    </a:prstGeom>
                  </pic:spPr>
                </pic:pic>
              </a:graphicData>
            </a:graphic>
          </wp:inline>
        </w:drawing>
      </w:r>
    </w:p>
    <w:p w14:paraId="52EDAEC7" w14:textId="7934BBE7" w:rsidR="00552365" w:rsidRPr="008977C4" w:rsidRDefault="00552365" w:rsidP="00552365">
      <w:pPr>
        <w:spacing w:after="60" w:line="360" w:lineRule="auto"/>
        <w:jc w:val="center"/>
        <w:rPr>
          <w:b/>
          <w:sz w:val="20"/>
        </w:rPr>
      </w:pPr>
      <w:bookmarkStart w:id="208" w:name="_Toc7364585"/>
      <w:bookmarkStart w:id="209" w:name="_Toc39312699"/>
      <w:r w:rsidRPr="008977C4">
        <w:rPr>
          <w:b/>
          <w:sz w:val="20"/>
        </w:rPr>
        <w:t>Figure 3-</w:t>
      </w:r>
      <w:r w:rsidRPr="00871240">
        <w:rPr>
          <w:b/>
          <w:sz w:val="20"/>
        </w:rPr>
        <w:fldChar w:fldCharType="begin"/>
      </w:r>
      <w:r w:rsidRPr="00871240">
        <w:rPr>
          <w:b/>
          <w:sz w:val="20"/>
        </w:rPr>
        <w:instrText xml:space="preserve"> SEQ Figure \* ARABIC </w:instrText>
      </w:r>
      <w:r w:rsidRPr="00871240">
        <w:rPr>
          <w:b/>
          <w:sz w:val="20"/>
        </w:rPr>
        <w:fldChar w:fldCharType="separate"/>
      </w:r>
      <w:r>
        <w:rPr>
          <w:b/>
          <w:noProof/>
          <w:sz w:val="20"/>
        </w:rPr>
        <w:t>3</w:t>
      </w:r>
      <w:r w:rsidRPr="00871240">
        <w:rPr>
          <w:b/>
          <w:sz w:val="20"/>
        </w:rPr>
        <w:fldChar w:fldCharType="end"/>
      </w:r>
      <w:r w:rsidRPr="008977C4">
        <w:rPr>
          <w:b/>
          <w:sz w:val="20"/>
        </w:rPr>
        <w:t xml:space="preserve"> XRD Rietveld refinement by TOPAS for as-cast TiZrNbTa HEAs</w:t>
      </w:r>
      <w:bookmarkEnd w:id="208"/>
      <w:bookmarkEnd w:id="209"/>
      <w:r w:rsidRPr="008977C4">
        <w:rPr>
          <w:b/>
          <w:sz w:val="20"/>
        </w:rPr>
        <w:t xml:space="preserve"> </w:t>
      </w:r>
    </w:p>
    <w:p w14:paraId="7954BDF4" w14:textId="77777777" w:rsidR="00624970" w:rsidRDefault="00624970" w:rsidP="00624970">
      <w:pPr>
        <w:spacing w:after="60" w:line="360" w:lineRule="auto"/>
        <w:jc w:val="both"/>
      </w:pPr>
    </w:p>
    <w:p w14:paraId="43084143" w14:textId="77777777" w:rsidR="00624970" w:rsidRPr="00C01720" w:rsidRDefault="00624970" w:rsidP="00624970">
      <w:pPr>
        <w:pStyle w:val="3"/>
        <w:spacing w:before="0" w:after="60" w:line="360" w:lineRule="auto"/>
        <w:rPr>
          <w:rFonts w:asciiTheme="minorHAnsi" w:hAnsiTheme="minorHAnsi"/>
          <w:b/>
          <w:color w:val="auto"/>
          <w:sz w:val="32"/>
        </w:rPr>
      </w:pPr>
      <w:bookmarkStart w:id="210" w:name="_Toc22052528"/>
      <w:r w:rsidRPr="00C01720">
        <w:rPr>
          <w:rFonts w:asciiTheme="minorHAnsi" w:hAnsiTheme="minorHAnsi"/>
          <w:b/>
          <w:color w:val="auto"/>
          <w:sz w:val="32"/>
        </w:rPr>
        <w:t>3.3.2 Scanning Electron Microscopy (SEM) and Electron Back Scatter</w:t>
      </w:r>
      <w:r>
        <w:rPr>
          <w:rFonts w:asciiTheme="minorHAnsi" w:hAnsiTheme="minorHAnsi"/>
          <w:b/>
          <w:color w:val="auto"/>
          <w:sz w:val="32"/>
        </w:rPr>
        <w:t>ed</w:t>
      </w:r>
      <w:r w:rsidRPr="00C01720">
        <w:rPr>
          <w:rFonts w:asciiTheme="minorHAnsi" w:hAnsiTheme="minorHAnsi"/>
          <w:b/>
          <w:color w:val="auto"/>
          <w:sz w:val="32"/>
        </w:rPr>
        <w:t xml:space="preserve"> Diffraction (EBSD)</w:t>
      </w:r>
      <w:bookmarkEnd w:id="210"/>
    </w:p>
    <w:p w14:paraId="2EBC787D" w14:textId="05C888C5" w:rsidR="00624970" w:rsidRDefault="00624970" w:rsidP="00624970">
      <w:pPr>
        <w:spacing w:after="60" w:line="360" w:lineRule="auto"/>
        <w:jc w:val="both"/>
      </w:pPr>
      <w:r>
        <w:t xml:space="preserve">All samples for scanning electron microscopy (SEM), electron back scattered diffraction (EBSD) and energy-dispersive X-ray spectroscopy (EDS) were prepared by mechanical polishing. Coarse grinding was undertaken with silicon carbide grinding paper ranging from P120 to P4000. Water-based diamond suspension with sizes from 9 </w:t>
      </w:r>
      <w:r w:rsidRPr="00742228">
        <w:t>μm</w:t>
      </w:r>
      <w:r>
        <w:t xml:space="preserve"> to 1 </w:t>
      </w:r>
      <w:r w:rsidRPr="00742228">
        <w:t>μm</w:t>
      </w:r>
      <w:r>
        <w:t xml:space="preserve"> were used for primary polishing. Fine polishing was conducted with 0.06</w:t>
      </w:r>
      <w:r w:rsidRPr="000F6285">
        <w:t xml:space="preserve"> </w:t>
      </w:r>
      <w:r w:rsidRPr="00742228">
        <w:t>μm</w:t>
      </w:r>
      <w:r>
        <w:t xml:space="preserve"> alumina suspension with H</w:t>
      </w:r>
      <w:r w:rsidRPr="00C06CF3">
        <w:rPr>
          <w:vertAlign w:val="subscript"/>
        </w:rPr>
        <w:t>2</w:t>
      </w:r>
      <w:r w:rsidRPr="1FB74662">
        <w:t>O</w:t>
      </w:r>
      <w:r w:rsidRPr="00C06CF3">
        <w:rPr>
          <w:vertAlign w:val="subscript"/>
        </w:rPr>
        <w:t>2</w:t>
      </w:r>
      <w:r>
        <w:t xml:space="preserve"> (30% solution) addition with the ratio of 1:20. All samples were then ion polished with a Gatan PECS II ion polishing system under a 3keV condition for 10</w:t>
      </w:r>
      <w:r w:rsidRPr="68274949">
        <w:t xml:space="preserve"> </w:t>
      </w:r>
      <w:r>
        <w:t xml:space="preserve">minutes to remove possible contamination and residue chemical suspension. The microstructural characterisation of the as-cast samples and deformed samples were performed on a FEI Inspect F50 FEGSEM using a 10 kV accelerating voltage in back scattered mode, while sample surface </w:t>
      </w:r>
      <w:r w:rsidR="00066033">
        <w:t>micro</w:t>
      </w:r>
      <w:r>
        <w:t>structures were investigated by a second electron detector using a 15 kV accelerating voltage. Twinning identification and phase constituents of deformed as-cast samples were determined on</w:t>
      </w:r>
      <w:r w:rsidRPr="68274949">
        <w:t xml:space="preserve"> </w:t>
      </w:r>
      <w:r>
        <w:t xml:space="preserve">the same FEG-SEM, which fitted with an Oxford Instruments </w:t>
      </w:r>
      <w:r w:rsidRPr="00FF6DD6">
        <w:t>EBSD</w:t>
      </w:r>
      <w:r>
        <w:t xml:space="preserve"> detector. An accelerating voltage of between 20 kV to 25kV and a spot size of 5.0 was used and quantitative processing was completed using HKL’s Channel5 EBSD post-processing software. </w:t>
      </w:r>
      <w:r w:rsidRPr="00D96BD5">
        <w:t>Qualitative component analysis</w:t>
      </w:r>
      <w:r>
        <w:t xml:space="preserve"> for all samples was conducted on </w:t>
      </w:r>
      <w:r w:rsidRPr="00D96BD5">
        <w:t>Philips XL 30 SEM</w:t>
      </w:r>
      <w:r>
        <w:t xml:space="preserve"> with an EDS detector. A cobalt standard sample with 99.99% purity was used for calibration before EDS analyses. EDS results were analysed using Oxford Instruments INCA Energy EDS system. </w:t>
      </w:r>
    </w:p>
    <w:p w14:paraId="0F672263" w14:textId="77777777" w:rsidR="00624970" w:rsidRPr="00C01720" w:rsidRDefault="00624970" w:rsidP="00624970">
      <w:pPr>
        <w:pStyle w:val="3"/>
        <w:spacing w:before="0" w:after="60" w:line="360" w:lineRule="auto"/>
        <w:rPr>
          <w:rFonts w:asciiTheme="minorHAnsi" w:hAnsiTheme="minorHAnsi"/>
          <w:b/>
          <w:color w:val="auto"/>
          <w:sz w:val="32"/>
        </w:rPr>
      </w:pPr>
      <w:bookmarkStart w:id="211" w:name="_Toc22052529"/>
      <w:r w:rsidRPr="00C01720">
        <w:rPr>
          <w:rFonts w:asciiTheme="minorHAnsi" w:hAnsiTheme="minorHAnsi"/>
          <w:b/>
          <w:color w:val="auto"/>
          <w:sz w:val="32"/>
        </w:rPr>
        <w:t xml:space="preserve">3.3.3 </w:t>
      </w:r>
      <w:r w:rsidRPr="00073439">
        <w:rPr>
          <w:rFonts w:asciiTheme="minorHAnsi" w:hAnsiTheme="minorHAnsi"/>
          <w:b/>
          <w:color w:val="auto"/>
          <w:sz w:val="32"/>
        </w:rPr>
        <w:t>Transmission electron microscopy</w:t>
      </w:r>
      <w:r>
        <w:t xml:space="preserve"> </w:t>
      </w:r>
      <w:r>
        <w:rPr>
          <w:rFonts w:asciiTheme="minorHAnsi" w:hAnsiTheme="minorHAnsi"/>
          <w:b/>
          <w:color w:val="auto"/>
          <w:sz w:val="32"/>
        </w:rPr>
        <w:t>(T</w:t>
      </w:r>
      <w:r w:rsidRPr="00C01720">
        <w:rPr>
          <w:rFonts w:asciiTheme="minorHAnsi" w:hAnsiTheme="minorHAnsi"/>
          <w:b/>
          <w:color w:val="auto"/>
          <w:sz w:val="32"/>
        </w:rPr>
        <w:t>EM</w:t>
      </w:r>
      <w:r>
        <w:rPr>
          <w:rFonts w:asciiTheme="minorHAnsi" w:hAnsiTheme="minorHAnsi"/>
          <w:b/>
          <w:color w:val="auto"/>
          <w:sz w:val="32"/>
        </w:rPr>
        <w:t>)</w:t>
      </w:r>
      <w:r w:rsidRPr="00C01720">
        <w:rPr>
          <w:rFonts w:asciiTheme="minorHAnsi" w:hAnsiTheme="minorHAnsi"/>
          <w:b/>
          <w:color w:val="auto"/>
          <w:sz w:val="32"/>
        </w:rPr>
        <w:t xml:space="preserve"> and H</w:t>
      </w:r>
      <w:r>
        <w:rPr>
          <w:rFonts w:asciiTheme="minorHAnsi" w:hAnsiTheme="minorHAnsi"/>
          <w:b/>
          <w:color w:val="auto"/>
          <w:sz w:val="32"/>
        </w:rPr>
        <w:t xml:space="preserve">igh </w:t>
      </w:r>
      <w:r w:rsidRPr="00C01720">
        <w:rPr>
          <w:rFonts w:asciiTheme="minorHAnsi" w:hAnsiTheme="minorHAnsi"/>
          <w:b/>
          <w:color w:val="auto"/>
          <w:sz w:val="32"/>
        </w:rPr>
        <w:t>R</w:t>
      </w:r>
      <w:r>
        <w:rPr>
          <w:rFonts w:asciiTheme="minorHAnsi" w:hAnsiTheme="minorHAnsi"/>
          <w:b/>
          <w:color w:val="auto"/>
          <w:sz w:val="32"/>
        </w:rPr>
        <w:t xml:space="preserve">esolution </w:t>
      </w:r>
      <w:r w:rsidRPr="00C01720">
        <w:rPr>
          <w:rFonts w:asciiTheme="minorHAnsi" w:hAnsiTheme="minorHAnsi"/>
          <w:b/>
          <w:color w:val="auto"/>
          <w:sz w:val="32"/>
        </w:rPr>
        <w:t>TEM</w:t>
      </w:r>
      <w:r>
        <w:rPr>
          <w:rFonts w:asciiTheme="minorHAnsi" w:hAnsiTheme="minorHAnsi"/>
          <w:b/>
          <w:color w:val="auto"/>
          <w:sz w:val="32"/>
        </w:rPr>
        <w:t xml:space="preserve"> (HRTEM)</w:t>
      </w:r>
      <w:bookmarkEnd w:id="211"/>
    </w:p>
    <w:p w14:paraId="029EF4AE" w14:textId="71B50C34" w:rsidR="00624970" w:rsidRDefault="00624970" w:rsidP="00624970">
      <w:pPr>
        <w:spacing w:after="60" w:line="360" w:lineRule="auto"/>
        <w:jc w:val="both"/>
      </w:pPr>
      <w:r>
        <w:t>The deformation mechanisms and microstructural evolution of samples were analysed by transmission electron microscopy (TEM). For compression tested samples, TEM samples were prepared by sectioning the compression samples into 3 mm diameter x 1 mm thickness disks, grinding the disk to 90 μm thickness, followed by</w:t>
      </w:r>
      <w:r w:rsidRPr="53418D04">
        <w:t xml:space="preserve"> </w:t>
      </w:r>
      <w:r>
        <w:t>twin-jet electropolishing. For tensile tested samples, TEM samples were prepared by sectioning tensile samples into 3 mm × 3 mm × 1</w:t>
      </w:r>
      <w:r w:rsidR="000B5E98">
        <w:t xml:space="preserve"> </w:t>
      </w:r>
      <w:r>
        <w:t>mm sections and grinding</w:t>
      </w:r>
      <w:r w:rsidRPr="53418D04">
        <w:t xml:space="preserve"> </w:t>
      </w:r>
      <w:r>
        <w:t>to 90 μm thickness followed by</w:t>
      </w:r>
      <w:r w:rsidRPr="53418D04">
        <w:t xml:space="preserve"> </w:t>
      </w:r>
      <w:r>
        <w:t xml:space="preserve">twin-jet electropolishing. The electropolishing was performed by the Struers </w:t>
      </w:r>
      <w:r w:rsidRPr="00C60650">
        <w:t>TenuPol-5</w:t>
      </w:r>
      <w:r w:rsidRPr="53418D04">
        <w:t xml:space="preserve"> </w:t>
      </w:r>
      <w:r>
        <w:t>twin-jet electropolishing system with a</w:t>
      </w:r>
      <w:r w:rsidRPr="53418D04">
        <w:t xml:space="preserve"> </w:t>
      </w:r>
      <w:r w:rsidRPr="00C60650">
        <w:t>solution of 5% perchloric acid, 35% 2-butoryethanol and 60% methanol</w:t>
      </w:r>
      <w:r w:rsidR="00066033">
        <w:t xml:space="preserve"> at 233K</w:t>
      </w:r>
      <w:r>
        <w:t>. The samples were then put into a</w:t>
      </w:r>
      <w:r w:rsidRPr="53418D04">
        <w:t xml:space="preserve"> </w:t>
      </w:r>
      <w:r w:rsidRPr="00C60650">
        <w:t>Gatan Precision Ion Polishing</w:t>
      </w:r>
      <w:r w:rsidRPr="53418D04">
        <w:t xml:space="preserve"> </w:t>
      </w:r>
      <w:r w:rsidRPr="00C60650">
        <w:t>(PIPS</w:t>
      </w:r>
      <w:r w:rsidRPr="53418D04">
        <w:t xml:space="preserve"> </w:t>
      </w:r>
      <w:r w:rsidRPr="00C60650">
        <w:t>II)</w:t>
      </w:r>
      <w:r>
        <w:t xml:space="preserve"> system for a final clean at 0.3 kV for 5 min</w:t>
      </w:r>
      <w:r w:rsidR="00D97ED7">
        <w:t xml:space="preserve"> to remove possible contamination</w:t>
      </w:r>
      <w:r>
        <w:t xml:space="preserve">. Various TEM instruments were utilised to investigate </w:t>
      </w:r>
      <w:r>
        <w:lastRenderedPageBreak/>
        <w:t xml:space="preserve">the microstructure and deformation mechanisms </w:t>
      </w:r>
      <w:r w:rsidR="00E13D9B">
        <w:t xml:space="preserve">evolution </w:t>
      </w:r>
      <w:r>
        <w:t xml:space="preserve">of the tested samples. For low magnification imaging and selected area diffraction patterns (SADP), a </w:t>
      </w:r>
      <w:r w:rsidRPr="00C60650">
        <w:t>Philips</w:t>
      </w:r>
      <w:r w:rsidRPr="53418D04">
        <w:t xml:space="preserve"> </w:t>
      </w:r>
      <w:r w:rsidRPr="00C60650">
        <w:t xml:space="preserve">EM 420 </w:t>
      </w:r>
      <w:r>
        <w:t xml:space="preserve">TEM with an </w:t>
      </w:r>
      <w:r w:rsidRPr="00C60650">
        <w:t xml:space="preserve">accelerating voltage </w:t>
      </w:r>
      <w:r>
        <w:t xml:space="preserve">of 120kV and a FEI Tecnai 20 TEM with an </w:t>
      </w:r>
      <w:r w:rsidRPr="00C60650">
        <w:t xml:space="preserve">accelerating voltage </w:t>
      </w:r>
      <w:r>
        <w:t xml:space="preserve">of 200kV were used. For nano-scale characterisation, a </w:t>
      </w:r>
      <w:r w:rsidR="000B5E98">
        <w:t xml:space="preserve">JEOL-2010F </w:t>
      </w:r>
      <w:r>
        <w:t xml:space="preserve">high-resolution TEM (HRTEM) </w:t>
      </w:r>
      <w:r w:rsidR="000B5E98">
        <w:t xml:space="preserve">with an </w:t>
      </w:r>
      <w:r w:rsidR="000B5E98" w:rsidRPr="00C60650">
        <w:t xml:space="preserve">accelerating voltage </w:t>
      </w:r>
      <w:r w:rsidR="000B5E98">
        <w:t>of 200kV were used</w:t>
      </w:r>
      <w:r>
        <w:t xml:space="preserve">. High-resolution microstructural characterisation was performed on a </w:t>
      </w:r>
      <w:r w:rsidRPr="003B7141">
        <w:t xml:space="preserve">Titan 80/300 </w:t>
      </w:r>
      <w:r>
        <w:t>HR</w:t>
      </w:r>
      <w:r w:rsidRPr="003B7141">
        <w:t>TEM</w:t>
      </w:r>
      <w:r>
        <w:t xml:space="preserve"> with a </w:t>
      </w:r>
      <w:r w:rsidRPr="003B7141">
        <w:t>Cs aberration (image) corrector</w:t>
      </w:r>
      <w:r w:rsidRPr="53418D04">
        <w:t xml:space="preserve">. </w:t>
      </w:r>
      <w:r w:rsidRPr="003B7141">
        <w:t>This</w:t>
      </w:r>
      <w:r w:rsidRPr="53418D04">
        <w:t xml:space="preserve"> </w:t>
      </w:r>
      <w:r w:rsidRPr="003B7141">
        <w:t>characterisation performance</w:t>
      </w:r>
      <w:r w:rsidRPr="53418D04">
        <w:t xml:space="preserve"> </w:t>
      </w:r>
      <w:r w:rsidRPr="003B7141">
        <w:t>gave 70 pm for the information limit</w:t>
      </w:r>
      <w:r>
        <w:t xml:space="preserve"> and JEOL-R005 </w:t>
      </w:r>
      <w:r w:rsidRPr="003B7141">
        <w:t>Cs aberration correct</w:t>
      </w:r>
      <w:r>
        <w:t>ed HRTEM with an accelerating voltage of 300kV (~90pm). All TEM images were primarily post</w:t>
      </w:r>
      <w:r w:rsidRPr="53418D04">
        <w:t>-</w:t>
      </w:r>
      <w:r>
        <w:t>processed with G</w:t>
      </w:r>
      <w:r w:rsidRPr="00CD2C5B">
        <w:t>atan digital micrograph</w:t>
      </w:r>
      <w:r>
        <w:t xml:space="preserve"> software. Various filter scripts were applied to reduce imagine noise as shown in Fig. 3-4 before and after processing of an HRTEM image. The SADP indexation was accomplished with </w:t>
      </w:r>
      <w:r w:rsidRPr="00CD2C5B">
        <w:t>CrysTBox</w:t>
      </w:r>
      <w:r>
        <w:fldChar w:fldCharType="begin" w:fldLock="1"/>
      </w:r>
      <w:r>
        <w:instrText>ADDIN CSL_CITATION {"citationItems":[{"id":"ITEM-1","itemData":{"DOI":"10.1107/s1600576715017252","ISBN":"1600-5767","ISSN":"1600-5767","PMID":"26664349","abstract":" Three tools for an automated analysis of electron diffraction pattern and crystallographic visualization are presented. Firstly, diffractGUI determines the zone axis from selected area diffraction, convergent beam diffraction or nanodiffraction patterns and allows for indexing of individual reflections. Secondly, ringGUI identifies crystallographic planes corresponding to the depicted rings in the ring diffraction pattern and can select the sample material from a list of candidates. Both diffractGUI and ringGUI employ methods of computer vision for a fast, robust and accurate analysis. Thirdly, cellViewer is an intuitive visualization tool which is also helpful for crystallographic calculations or educational purposes. diffractGUI and cellViewer can be used together during a transmission electron microscopy session to determine the sample holder tilts required to reach a desired zone axis. All the tools offer a graphical user interface. The toolbox is distributed as a standalone application, so it can be installed on the microscope computer and launched directly from DigitalMicrograph (Gatan Inc.). ","author":[{"dropping-particle":"","family":"Klinger","given":"Miloslav","non-dropping-particle":"","parse-names":false,"suffix":""},{"dropping-particle":"","family":"Jäger","given":"Aleš","non-dropping-particle":"","parse-names":false,"suffix":""}],"container-title":"Journal of Applied Crystallography","id":"ITEM-1","issued":{"date-parts":[["2015"]]},"title":"Crystallographic Tool Box ( CrysTBox ): automated tools for transmission electron microscopists and crystallographers ","type":"article-journal"},"uris":["http://www.mendeley.com/documents/?uuid=78a15a93-ec38-4567-8fde-51ca5025f22c"]}],"mendeley":{"formattedCitation":"[3]","plainTextFormattedCitation":"[3]","previouslyFormattedCitation":"[172]"},"properties":{"noteIndex":0},"schema":"https://github.com/citation-style-language/schema/raw/master/csl-citation.json"}</w:instrText>
      </w:r>
      <w:r>
        <w:fldChar w:fldCharType="separate"/>
      </w:r>
      <w:r w:rsidRPr="006D5C47">
        <w:rPr>
          <w:noProof/>
        </w:rPr>
        <w:t>[3]</w:t>
      </w:r>
      <w:r>
        <w:fldChar w:fldCharType="end"/>
      </w:r>
      <w:r w:rsidRPr="53418D04">
        <w:t xml:space="preserve">, </w:t>
      </w:r>
      <w:r>
        <w:t>PTCLab</w:t>
      </w:r>
      <w:r>
        <w:fldChar w:fldCharType="begin" w:fldLock="1"/>
      </w:r>
      <w:r>
        <w:instrText>ADDIN CSL_CITATION {"citationItems":[{"id":"ITEM-1","itemData":{"DOI":"10.1107/s1600576716006075","ISBN":"1600-5767","ISSN":"16005767","abstract":"PTCLab ( Phase Transformation Crystallography Lab ) is free and open-source software to calculate the crystallographic features formed during a phase transformation, such as orientation relationship, interface orientation, interfacial structure etc . This program covers the crystallographic theories for both martensitic and diffusional transformation and allows users to represent the results in stereographic projection. The crystallographic models treated in PTCLab include the classical phenomenological theory of martensite crystallography (PTMC), the double shear version of PTMC, the invariant line model, O-lattice theory, the O-line model, the recently developed three-dimensional near coincidence site method, the edge-to-edge matching model and variant selection analysis. In addition, a number of basic crystallographic calculations for single or multiple crystal structures can be performed with the calculation pad. High-quality composite stereographic projection and electron diffraction patterns can be also obtained by the present application. PTCLab is written in Python, runnable cross platform, and is distributed at https://sourceforge.net/projects/tclab/. ","author":[{"dropping-particle":"","family":"Gu","given":"X.-F.","non-dropping-particle":"","parse-names":false,"suffix":""},{"dropping-particle":"","family":"Furuhara","given":"T.","non-dropping-particle":"","parse-names":false,"suffix":""},{"dropping-particle":"","family":"Zhang","given":"W.-Z.","non-dropping-particle":"","parse-names":false,"suffix":""}],"container-title":"Journal of Applied Crystallography","id":"ITEM-1","issued":{"date-parts":[["2016"]]},"title":"PTCLab : free and open-source software for calculating phase transformation crystallography ","type":"article-journal"},"uris":["http://www.mendeley.com/documents/?uuid=cfe1374a-a670-4b87-a8a3-da943efb46d7"]}],"mendeley":{"formattedCitation":"[4]","plainTextFormattedCitation":"[4]","previouslyFormattedCitation":"[173]"},"properties":{"noteIndex":0},"schema":"https://github.com/citation-style-language/schema/raw/master/csl-citation.json"}</w:instrText>
      </w:r>
      <w:r>
        <w:fldChar w:fldCharType="separate"/>
      </w:r>
      <w:r w:rsidRPr="006D5C47">
        <w:rPr>
          <w:noProof/>
        </w:rPr>
        <w:t>[4]</w:t>
      </w:r>
      <w:r>
        <w:fldChar w:fldCharType="end"/>
      </w:r>
      <w:r>
        <w:t xml:space="preserve"> and MATLAB. </w:t>
      </w:r>
    </w:p>
    <w:p w14:paraId="271D59FB" w14:textId="77777777" w:rsidR="00624970" w:rsidRDefault="00624970" w:rsidP="00624970">
      <w:pPr>
        <w:keepNext/>
        <w:spacing w:after="60" w:line="360" w:lineRule="auto"/>
        <w:jc w:val="center"/>
      </w:pPr>
      <w:r w:rsidRPr="00F55ED5">
        <w:rPr>
          <w:noProof/>
          <w:lang w:val="en-US" w:eastAsia="en-US"/>
        </w:rPr>
        <w:drawing>
          <wp:inline distT="0" distB="0" distL="0" distR="0" wp14:anchorId="118326D1" wp14:editId="6F74CAC8">
            <wp:extent cx="5065074" cy="2053086"/>
            <wp:effectExtent l="0" t="0" r="2540" b="4445"/>
            <wp:docPr id="30" name="图片 34" descr="图片包含 人员&#10;&#10;自动生成的说明">
              <a:extLst xmlns:a="http://schemas.openxmlformats.org/drawingml/2006/main">
                <a:ext uri="{FF2B5EF4-FFF2-40B4-BE49-F238E27FC236}">
                  <a16:creationId xmlns:a16="http://schemas.microsoft.com/office/drawing/2014/main" id="{1A4280A0-1450-4AD5-9312-2961913B16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descr="图片包含 人员&#10;&#10;自动生成的说明">
                      <a:extLst>
                        <a:ext uri="{FF2B5EF4-FFF2-40B4-BE49-F238E27FC236}">
                          <a16:creationId xmlns:a16="http://schemas.microsoft.com/office/drawing/2014/main" id="{1A4280A0-1450-4AD5-9312-2961913B163B}"/>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116873" cy="2074082"/>
                    </a:xfrm>
                    <a:prstGeom prst="rect">
                      <a:avLst/>
                    </a:prstGeom>
                  </pic:spPr>
                </pic:pic>
              </a:graphicData>
            </a:graphic>
          </wp:inline>
        </w:drawing>
      </w:r>
    </w:p>
    <w:p w14:paraId="17EB8FFD" w14:textId="1B2B1BCB" w:rsidR="00552365" w:rsidRDefault="00552365" w:rsidP="00552365">
      <w:pPr>
        <w:pStyle w:val="af6"/>
        <w:spacing w:after="60" w:line="360" w:lineRule="auto"/>
        <w:jc w:val="both"/>
        <w:rPr>
          <w:i w:val="0"/>
          <w:color w:val="auto"/>
          <w:sz w:val="20"/>
        </w:rPr>
      </w:pPr>
      <w:bookmarkStart w:id="212" w:name="_Toc7364586"/>
      <w:bookmarkStart w:id="213" w:name="_Toc39312700"/>
      <w:r w:rsidRPr="00FF43E8">
        <w:rPr>
          <w:b/>
          <w:i w:val="0"/>
          <w:color w:val="auto"/>
          <w:sz w:val="20"/>
        </w:rPr>
        <w:t>Figure</w:t>
      </w:r>
      <w:r>
        <w:rPr>
          <w:b/>
          <w:i w:val="0"/>
          <w:color w:val="auto"/>
          <w:sz w:val="20"/>
        </w:rPr>
        <w:t xml:space="preserve"> 3-</w:t>
      </w:r>
      <w:r w:rsidRPr="00871240">
        <w:rPr>
          <w:b/>
          <w:i w:val="0"/>
          <w:color w:val="auto"/>
          <w:sz w:val="20"/>
        </w:rPr>
        <w:fldChar w:fldCharType="begin"/>
      </w:r>
      <w:r w:rsidRPr="00871240">
        <w:rPr>
          <w:b/>
          <w:i w:val="0"/>
          <w:color w:val="auto"/>
          <w:sz w:val="20"/>
        </w:rPr>
        <w:instrText xml:space="preserve"> SEQ Figure \* ARABIC </w:instrText>
      </w:r>
      <w:r w:rsidRPr="00871240">
        <w:rPr>
          <w:b/>
          <w:i w:val="0"/>
          <w:color w:val="auto"/>
          <w:sz w:val="20"/>
        </w:rPr>
        <w:fldChar w:fldCharType="separate"/>
      </w:r>
      <w:r w:rsidRPr="00871240">
        <w:rPr>
          <w:b/>
          <w:i w:val="0"/>
          <w:color w:val="auto"/>
          <w:sz w:val="20"/>
        </w:rPr>
        <w:t>4</w:t>
      </w:r>
      <w:r w:rsidRPr="00871240">
        <w:rPr>
          <w:b/>
          <w:i w:val="0"/>
          <w:color w:val="auto"/>
          <w:sz w:val="20"/>
        </w:rPr>
        <w:fldChar w:fldCharType="end"/>
      </w:r>
      <w:r>
        <w:rPr>
          <w:b/>
          <w:i w:val="0"/>
          <w:color w:val="auto"/>
          <w:sz w:val="20"/>
        </w:rPr>
        <w:t xml:space="preserve"> HRTEM image before and after processing. </w:t>
      </w:r>
      <w:r w:rsidRPr="005E5580">
        <w:rPr>
          <w:bCs/>
          <w:i w:val="0"/>
          <w:color w:val="auto"/>
          <w:sz w:val="20"/>
        </w:rPr>
        <w:t>(</w:t>
      </w:r>
      <w:r w:rsidRPr="005E5580">
        <w:rPr>
          <w:b/>
          <w:i w:val="0"/>
          <w:color w:val="auto"/>
          <w:sz w:val="20"/>
        </w:rPr>
        <w:t>a</w:t>
      </w:r>
      <w:r w:rsidRPr="005E5580">
        <w:rPr>
          <w:bCs/>
          <w:i w:val="0"/>
          <w:color w:val="auto"/>
          <w:sz w:val="20"/>
        </w:rPr>
        <w:t>) Raw HRTEM image of martensite structure.</w:t>
      </w:r>
      <w:r>
        <w:rPr>
          <w:i w:val="0"/>
          <w:color w:val="auto"/>
          <w:sz w:val="20"/>
        </w:rPr>
        <w:t xml:space="preserve"> Orthorhombic structure taken along </w:t>
      </w:r>
      <w:r>
        <w:rPr>
          <w:rFonts w:hint="eastAsia"/>
          <w:i w:val="0"/>
          <w:color w:val="auto"/>
          <w:sz w:val="20"/>
        </w:rPr>
        <w:t>[</w:t>
      </w:r>
      <w:r>
        <w:rPr>
          <w:i w:val="0"/>
          <w:color w:val="auto"/>
          <w:sz w:val="20"/>
        </w:rPr>
        <w:t>112]</w:t>
      </w:r>
      <w:r>
        <w:rPr>
          <w:i w:val="0"/>
          <w:color w:val="auto"/>
          <w:sz w:val="20"/>
          <w:vertAlign w:val="subscript"/>
        </w:rPr>
        <w:t>α’’</w:t>
      </w:r>
      <w:r>
        <w:rPr>
          <w:i w:val="0"/>
          <w:color w:val="auto"/>
          <w:sz w:val="20"/>
        </w:rPr>
        <w:t xml:space="preserve"> zone axis; and (</w:t>
      </w:r>
      <w:r w:rsidRPr="00FF43E8">
        <w:rPr>
          <w:b/>
          <w:i w:val="0"/>
          <w:color w:val="auto"/>
          <w:sz w:val="20"/>
        </w:rPr>
        <w:t>b</w:t>
      </w:r>
      <w:r>
        <w:rPr>
          <w:i w:val="0"/>
          <w:color w:val="auto"/>
          <w:sz w:val="20"/>
        </w:rPr>
        <w:t>)</w:t>
      </w:r>
      <w:r w:rsidRPr="00FF43E8">
        <w:rPr>
          <w:i w:val="0"/>
          <w:color w:val="auto"/>
          <w:sz w:val="20"/>
        </w:rPr>
        <w:t xml:space="preserve"> </w:t>
      </w:r>
      <w:r>
        <w:rPr>
          <w:i w:val="0"/>
          <w:color w:val="auto"/>
          <w:sz w:val="20"/>
        </w:rPr>
        <w:t xml:space="preserve">Wiener filtered HRTEM of martensite structure. Orthorhombic structure taken along </w:t>
      </w:r>
      <w:r>
        <w:rPr>
          <w:rFonts w:hint="eastAsia"/>
          <w:i w:val="0"/>
          <w:color w:val="auto"/>
          <w:sz w:val="20"/>
        </w:rPr>
        <w:t>[</w:t>
      </w:r>
      <w:r>
        <w:rPr>
          <w:i w:val="0"/>
          <w:color w:val="auto"/>
          <w:sz w:val="20"/>
        </w:rPr>
        <w:t>112]</w:t>
      </w:r>
      <w:r>
        <w:rPr>
          <w:i w:val="0"/>
          <w:color w:val="auto"/>
          <w:sz w:val="20"/>
          <w:vertAlign w:val="subscript"/>
        </w:rPr>
        <w:t>α’’</w:t>
      </w:r>
      <w:r>
        <w:rPr>
          <w:i w:val="0"/>
          <w:color w:val="auto"/>
          <w:sz w:val="20"/>
        </w:rPr>
        <w:t xml:space="preserve"> zone axis.</w:t>
      </w:r>
      <w:bookmarkEnd w:id="212"/>
      <w:bookmarkEnd w:id="213"/>
      <w:r>
        <w:rPr>
          <w:i w:val="0"/>
          <w:color w:val="auto"/>
          <w:sz w:val="20"/>
        </w:rPr>
        <w:t xml:space="preserve"> </w:t>
      </w:r>
    </w:p>
    <w:p w14:paraId="3DAB1A72" w14:textId="77777777" w:rsidR="00624970" w:rsidRDefault="00624970" w:rsidP="00624970">
      <w:pPr>
        <w:spacing w:after="120" w:line="360" w:lineRule="auto"/>
        <w:jc w:val="both"/>
      </w:pPr>
    </w:p>
    <w:p w14:paraId="68226C1E" w14:textId="77777777" w:rsidR="00624970" w:rsidRDefault="00624970" w:rsidP="00624970">
      <w:pPr>
        <w:spacing w:after="120" w:line="360" w:lineRule="auto"/>
        <w:jc w:val="both"/>
      </w:pPr>
    </w:p>
    <w:p w14:paraId="0B9A9989" w14:textId="77777777" w:rsidR="00624970" w:rsidRDefault="00624970" w:rsidP="00624970">
      <w:pPr>
        <w:spacing w:after="120" w:line="360" w:lineRule="auto"/>
        <w:jc w:val="both"/>
      </w:pPr>
    </w:p>
    <w:p w14:paraId="4500E00E" w14:textId="77777777" w:rsidR="00624970" w:rsidRDefault="00624970" w:rsidP="00624970">
      <w:pPr>
        <w:spacing w:after="120" w:line="360" w:lineRule="auto"/>
        <w:jc w:val="both"/>
      </w:pPr>
    </w:p>
    <w:p w14:paraId="4DA05745" w14:textId="77777777" w:rsidR="00624970" w:rsidRDefault="00624970" w:rsidP="00624970">
      <w:pPr>
        <w:spacing w:after="120" w:line="360" w:lineRule="auto"/>
        <w:jc w:val="both"/>
      </w:pPr>
    </w:p>
    <w:p w14:paraId="1B40D845" w14:textId="77777777" w:rsidR="00624970" w:rsidRDefault="00624970" w:rsidP="00624970">
      <w:pPr>
        <w:spacing w:after="120" w:line="360" w:lineRule="auto"/>
        <w:jc w:val="both"/>
      </w:pPr>
    </w:p>
    <w:p w14:paraId="21B59F9E" w14:textId="77777777" w:rsidR="00624970" w:rsidRDefault="00624970" w:rsidP="00624970">
      <w:pPr>
        <w:spacing w:after="120" w:line="360" w:lineRule="auto"/>
        <w:jc w:val="both"/>
      </w:pPr>
    </w:p>
    <w:p w14:paraId="0E262897" w14:textId="77777777" w:rsidR="00624970" w:rsidRDefault="00624970" w:rsidP="00624970">
      <w:pPr>
        <w:spacing w:after="120" w:line="360" w:lineRule="auto"/>
        <w:jc w:val="both"/>
      </w:pPr>
    </w:p>
    <w:p w14:paraId="68EFEEFC" w14:textId="77777777" w:rsidR="00624970" w:rsidRDefault="00624970" w:rsidP="00624970">
      <w:pPr>
        <w:pStyle w:val="2"/>
        <w:spacing w:before="0" w:after="60" w:line="360" w:lineRule="auto"/>
        <w:rPr>
          <w:rFonts w:asciiTheme="minorHAnsi" w:hAnsiTheme="minorHAnsi"/>
          <w:b/>
          <w:color w:val="auto"/>
          <w:sz w:val="32"/>
          <w:szCs w:val="32"/>
        </w:rPr>
      </w:pPr>
      <w:bookmarkStart w:id="214" w:name="_Toc22052530"/>
      <w:r w:rsidRPr="00C01720">
        <w:rPr>
          <w:rFonts w:asciiTheme="minorHAnsi" w:hAnsiTheme="minorHAnsi"/>
          <w:b/>
          <w:color w:val="auto"/>
          <w:sz w:val="32"/>
          <w:szCs w:val="32"/>
        </w:rPr>
        <w:lastRenderedPageBreak/>
        <w:t>3.</w:t>
      </w:r>
      <w:r>
        <w:rPr>
          <w:rFonts w:asciiTheme="minorHAnsi" w:hAnsiTheme="minorHAnsi"/>
          <w:b/>
          <w:color w:val="auto"/>
          <w:sz w:val="32"/>
          <w:szCs w:val="32"/>
        </w:rPr>
        <w:t>4</w:t>
      </w:r>
      <w:r w:rsidRPr="00C01720">
        <w:rPr>
          <w:rFonts w:asciiTheme="minorHAnsi" w:hAnsiTheme="minorHAnsi"/>
          <w:b/>
          <w:color w:val="auto"/>
          <w:sz w:val="32"/>
          <w:szCs w:val="32"/>
        </w:rPr>
        <w:t xml:space="preserve"> </w:t>
      </w:r>
      <w:r>
        <w:rPr>
          <w:rFonts w:asciiTheme="minorHAnsi" w:hAnsiTheme="minorHAnsi"/>
          <w:b/>
          <w:color w:val="auto"/>
          <w:sz w:val="32"/>
          <w:szCs w:val="32"/>
        </w:rPr>
        <w:t>References</w:t>
      </w:r>
      <w:bookmarkEnd w:id="214"/>
      <w:r w:rsidRPr="00C01720">
        <w:rPr>
          <w:rFonts w:asciiTheme="minorHAnsi" w:hAnsiTheme="minorHAnsi"/>
          <w:b/>
          <w:color w:val="auto"/>
          <w:sz w:val="32"/>
          <w:szCs w:val="32"/>
        </w:rPr>
        <w:t xml:space="preserve"> </w:t>
      </w:r>
    </w:p>
    <w:p w14:paraId="57B03A59" w14:textId="77777777" w:rsidR="00624970" w:rsidRPr="006D5C47" w:rsidRDefault="00624970" w:rsidP="00624970">
      <w:pPr>
        <w:widowControl w:val="0"/>
        <w:autoSpaceDE w:val="0"/>
        <w:autoSpaceDN w:val="0"/>
        <w:adjustRightInd w:val="0"/>
        <w:spacing w:line="240" w:lineRule="auto"/>
        <w:ind w:left="640" w:hanging="640"/>
        <w:rPr>
          <w:rFonts w:ascii="Calibri" w:hAnsi="Calibri" w:cs="Times New Roman"/>
          <w:noProof/>
          <w:szCs w:val="24"/>
        </w:rPr>
      </w:pPr>
      <w:r>
        <w:rPr>
          <w:lang w:val="en-US"/>
        </w:rPr>
        <w:fldChar w:fldCharType="begin" w:fldLock="1"/>
      </w:r>
      <w:r>
        <w:rPr>
          <w:lang w:val="en-US"/>
        </w:rPr>
        <w:instrText xml:space="preserve">ADDIN Mendeley Bibliography CSL_BIBLIOGRAPHY </w:instrText>
      </w:r>
      <w:r>
        <w:rPr>
          <w:lang w:val="en-US"/>
        </w:rPr>
        <w:fldChar w:fldCharType="separate"/>
      </w:r>
      <w:r w:rsidRPr="006D5C47">
        <w:rPr>
          <w:rFonts w:ascii="Calibri" w:hAnsi="Calibri" w:cs="Times New Roman"/>
          <w:noProof/>
          <w:szCs w:val="24"/>
        </w:rPr>
        <w:t>[1]</w:t>
      </w:r>
      <w:r w:rsidRPr="006D5C47">
        <w:rPr>
          <w:rFonts w:ascii="Calibri" w:hAnsi="Calibri" w:cs="Times New Roman"/>
          <w:noProof/>
          <w:szCs w:val="24"/>
        </w:rPr>
        <w:tab/>
        <w:t>Z.L. Zhang, M. Hauge, J. Ødegård, C. Thaulow, Determining material true stress-strain curve from tensile specimens with rectangular cross-section, Int. J. Solids Struct. (1999). doi:10.1016/S0020-7683(98)00153-X.</w:t>
      </w:r>
    </w:p>
    <w:p w14:paraId="1EBB4B64" w14:textId="77777777" w:rsidR="00624970" w:rsidRPr="006D5C47" w:rsidRDefault="00624970" w:rsidP="00624970">
      <w:pPr>
        <w:widowControl w:val="0"/>
        <w:autoSpaceDE w:val="0"/>
        <w:autoSpaceDN w:val="0"/>
        <w:adjustRightInd w:val="0"/>
        <w:spacing w:line="240" w:lineRule="auto"/>
        <w:ind w:left="640" w:hanging="640"/>
        <w:rPr>
          <w:rFonts w:ascii="Calibri" w:hAnsi="Calibri" w:cs="Times New Roman"/>
          <w:noProof/>
          <w:szCs w:val="24"/>
        </w:rPr>
      </w:pPr>
      <w:r w:rsidRPr="006D5C47">
        <w:rPr>
          <w:rFonts w:ascii="Calibri" w:hAnsi="Calibri" w:cs="Times New Roman"/>
          <w:noProof/>
          <w:szCs w:val="24"/>
        </w:rPr>
        <w:t>[2]</w:t>
      </w:r>
      <w:r w:rsidRPr="006D5C47">
        <w:rPr>
          <w:rFonts w:ascii="Calibri" w:hAnsi="Calibri" w:cs="Times New Roman"/>
          <w:noProof/>
          <w:szCs w:val="24"/>
        </w:rPr>
        <w:tab/>
        <w:t>J. Perl, J. Shin, J. Schümann, B. Faddegon, H. Paganetti, TOPAS: An innovative proton Monte Carlo platform for research and clinical applications, Med. Phys. (2012). doi:10.1118/1.4758060.</w:t>
      </w:r>
    </w:p>
    <w:p w14:paraId="1247F3C1" w14:textId="77777777" w:rsidR="00624970" w:rsidRPr="006D5C47" w:rsidRDefault="00624970" w:rsidP="00624970">
      <w:pPr>
        <w:widowControl w:val="0"/>
        <w:autoSpaceDE w:val="0"/>
        <w:autoSpaceDN w:val="0"/>
        <w:adjustRightInd w:val="0"/>
        <w:spacing w:line="240" w:lineRule="auto"/>
        <w:ind w:left="640" w:hanging="640"/>
        <w:rPr>
          <w:rFonts w:ascii="Calibri" w:hAnsi="Calibri" w:cs="Times New Roman"/>
          <w:noProof/>
          <w:szCs w:val="24"/>
        </w:rPr>
      </w:pPr>
      <w:r w:rsidRPr="006D5C47">
        <w:rPr>
          <w:rFonts w:ascii="Calibri" w:hAnsi="Calibri" w:cs="Times New Roman"/>
          <w:noProof/>
          <w:szCs w:val="24"/>
        </w:rPr>
        <w:t>[3]</w:t>
      </w:r>
      <w:r w:rsidRPr="006D5C47">
        <w:rPr>
          <w:rFonts w:ascii="Calibri" w:hAnsi="Calibri" w:cs="Times New Roman"/>
          <w:noProof/>
          <w:szCs w:val="24"/>
        </w:rPr>
        <w:tab/>
        <w:t>M. Klinger, A. Jäger, Crystallographic Tool Box ( CrysTBox ): automated tools for transmission electron microscopists and crystallographers , J. Appl. Crystallogr. (2015). doi:10.1107/s1600576715017252.</w:t>
      </w:r>
    </w:p>
    <w:p w14:paraId="6D5EDDF8" w14:textId="77777777" w:rsidR="00624970" w:rsidRPr="006D5C47" w:rsidRDefault="00624970" w:rsidP="00624970">
      <w:pPr>
        <w:widowControl w:val="0"/>
        <w:autoSpaceDE w:val="0"/>
        <w:autoSpaceDN w:val="0"/>
        <w:adjustRightInd w:val="0"/>
        <w:spacing w:line="240" w:lineRule="auto"/>
        <w:ind w:left="640" w:hanging="640"/>
        <w:rPr>
          <w:rFonts w:ascii="Calibri" w:hAnsi="Calibri"/>
          <w:noProof/>
        </w:rPr>
      </w:pPr>
      <w:r w:rsidRPr="006D5C47">
        <w:rPr>
          <w:rFonts w:ascii="Calibri" w:hAnsi="Calibri" w:cs="Times New Roman"/>
          <w:noProof/>
          <w:szCs w:val="24"/>
        </w:rPr>
        <w:t>[4]</w:t>
      </w:r>
      <w:r w:rsidRPr="006D5C47">
        <w:rPr>
          <w:rFonts w:ascii="Calibri" w:hAnsi="Calibri" w:cs="Times New Roman"/>
          <w:noProof/>
          <w:szCs w:val="24"/>
        </w:rPr>
        <w:tab/>
        <w:t>X.-F. Gu, T. Furuhara, W.-Z. Zhang, PTCLab : free and open-source software for calculating phase transformation crystallography , J. Appl. Crystallogr. (2016). doi:10.1107/s1600576716006075.</w:t>
      </w:r>
    </w:p>
    <w:p w14:paraId="6B766F66" w14:textId="77777777" w:rsidR="00624970" w:rsidRPr="006D5C47" w:rsidRDefault="00624970" w:rsidP="00624970">
      <w:pPr>
        <w:rPr>
          <w:lang w:val="en-US"/>
        </w:rPr>
      </w:pPr>
      <w:r>
        <w:rPr>
          <w:lang w:val="en-US"/>
        </w:rPr>
        <w:fldChar w:fldCharType="end"/>
      </w:r>
    </w:p>
    <w:p w14:paraId="399C8315" w14:textId="77777777" w:rsidR="00624970" w:rsidRDefault="00624970" w:rsidP="00624970">
      <w:pPr>
        <w:spacing w:after="120" w:line="360" w:lineRule="auto"/>
        <w:jc w:val="both"/>
      </w:pPr>
    </w:p>
    <w:p w14:paraId="53D384B0" w14:textId="0955CCB0" w:rsidR="001C513B" w:rsidRDefault="001C513B" w:rsidP="001C513B">
      <w:pPr>
        <w:spacing w:after="120" w:line="360" w:lineRule="auto"/>
        <w:jc w:val="both"/>
      </w:pPr>
    </w:p>
    <w:p w14:paraId="74962AB4" w14:textId="77777777" w:rsidR="00577D1F" w:rsidRDefault="00577D1F" w:rsidP="001C513B">
      <w:pPr>
        <w:spacing w:after="120" w:line="360" w:lineRule="auto"/>
        <w:jc w:val="both"/>
      </w:pPr>
    </w:p>
    <w:p w14:paraId="3FF12244" w14:textId="77777777" w:rsidR="00577D1F" w:rsidRDefault="00577D1F" w:rsidP="001C513B">
      <w:pPr>
        <w:spacing w:after="120" w:line="360" w:lineRule="auto"/>
        <w:jc w:val="both"/>
      </w:pPr>
    </w:p>
    <w:p w14:paraId="20BC73AE" w14:textId="77777777" w:rsidR="00577D1F" w:rsidRDefault="00577D1F" w:rsidP="001C513B">
      <w:pPr>
        <w:spacing w:after="120" w:line="360" w:lineRule="auto"/>
        <w:jc w:val="both"/>
      </w:pPr>
    </w:p>
    <w:p w14:paraId="78AEA00A" w14:textId="77777777" w:rsidR="00577D1F" w:rsidRDefault="00577D1F" w:rsidP="001C513B">
      <w:pPr>
        <w:spacing w:after="120" w:line="360" w:lineRule="auto"/>
        <w:jc w:val="both"/>
      </w:pPr>
    </w:p>
    <w:p w14:paraId="5E3EAAEC" w14:textId="77777777" w:rsidR="00577D1F" w:rsidRDefault="00577D1F" w:rsidP="001C513B">
      <w:pPr>
        <w:spacing w:after="120" w:line="360" w:lineRule="auto"/>
        <w:jc w:val="both"/>
      </w:pPr>
    </w:p>
    <w:p w14:paraId="2530135A" w14:textId="77777777" w:rsidR="00577D1F" w:rsidRDefault="00577D1F" w:rsidP="001C513B">
      <w:pPr>
        <w:spacing w:after="120" w:line="360" w:lineRule="auto"/>
        <w:jc w:val="both"/>
      </w:pPr>
    </w:p>
    <w:p w14:paraId="40632196" w14:textId="77777777" w:rsidR="00577D1F" w:rsidRDefault="00577D1F" w:rsidP="001C513B">
      <w:pPr>
        <w:spacing w:after="120" w:line="360" w:lineRule="auto"/>
        <w:jc w:val="both"/>
      </w:pPr>
    </w:p>
    <w:p w14:paraId="360C52AE" w14:textId="77777777" w:rsidR="00577D1F" w:rsidRDefault="00577D1F" w:rsidP="001C513B">
      <w:pPr>
        <w:spacing w:after="120" w:line="360" w:lineRule="auto"/>
        <w:jc w:val="both"/>
      </w:pPr>
    </w:p>
    <w:p w14:paraId="11CCB93A" w14:textId="77777777" w:rsidR="00577D1F" w:rsidRDefault="00577D1F" w:rsidP="001C513B">
      <w:pPr>
        <w:spacing w:after="120" w:line="360" w:lineRule="auto"/>
        <w:jc w:val="both"/>
      </w:pPr>
    </w:p>
    <w:p w14:paraId="75EA9BA4" w14:textId="77777777" w:rsidR="00577D1F" w:rsidRDefault="00577D1F" w:rsidP="001C513B">
      <w:pPr>
        <w:spacing w:after="120" w:line="360" w:lineRule="auto"/>
        <w:jc w:val="both"/>
      </w:pPr>
    </w:p>
    <w:p w14:paraId="4461DDE9" w14:textId="77777777" w:rsidR="00577D1F" w:rsidRDefault="00577D1F" w:rsidP="001C513B">
      <w:pPr>
        <w:spacing w:after="120" w:line="360" w:lineRule="auto"/>
        <w:jc w:val="both"/>
      </w:pPr>
    </w:p>
    <w:p w14:paraId="798B0CE2" w14:textId="77777777" w:rsidR="00577D1F" w:rsidRDefault="00577D1F" w:rsidP="001C513B">
      <w:pPr>
        <w:spacing w:after="120" w:line="360" w:lineRule="auto"/>
        <w:jc w:val="both"/>
      </w:pPr>
    </w:p>
    <w:p w14:paraId="667A20C0" w14:textId="77777777" w:rsidR="00F2589F" w:rsidRDefault="00F2589F" w:rsidP="001C513B">
      <w:pPr>
        <w:pStyle w:val="Normal1"/>
        <w:spacing w:after="120" w:line="360" w:lineRule="auto"/>
        <w:jc w:val="both"/>
        <w:rPr>
          <w:rFonts w:asciiTheme="minorHAnsi" w:hAnsiTheme="minorHAnsi"/>
          <w:noProof/>
          <w:sz w:val="22"/>
          <w:szCs w:val="22"/>
          <w:lang w:val="en-GB"/>
        </w:rPr>
      </w:pPr>
    </w:p>
    <w:p w14:paraId="76476041" w14:textId="77777777" w:rsidR="00F2589F" w:rsidRDefault="00F2589F" w:rsidP="001C513B">
      <w:pPr>
        <w:pStyle w:val="Normal1"/>
        <w:spacing w:after="120" w:line="360" w:lineRule="auto"/>
        <w:jc w:val="both"/>
        <w:rPr>
          <w:rFonts w:asciiTheme="minorHAnsi" w:hAnsiTheme="minorHAnsi"/>
          <w:noProof/>
          <w:sz w:val="22"/>
          <w:szCs w:val="22"/>
          <w:lang w:val="en-GB"/>
        </w:rPr>
      </w:pPr>
    </w:p>
    <w:p w14:paraId="6BC72441" w14:textId="77777777" w:rsidR="00B145BE" w:rsidRPr="00E062D9" w:rsidRDefault="00B145BE" w:rsidP="00B145BE">
      <w:pPr>
        <w:pStyle w:val="1"/>
        <w:spacing w:before="0" w:after="60" w:line="360" w:lineRule="auto"/>
        <w:rPr>
          <w:rFonts w:asciiTheme="minorHAnsi" w:hAnsiTheme="minorHAnsi"/>
          <w:b/>
          <w:color w:val="auto"/>
        </w:rPr>
      </w:pPr>
      <w:bookmarkStart w:id="215" w:name="_Toc22052531"/>
      <w:r w:rsidRPr="00E062D9">
        <w:rPr>
          <w:rFonts w:asciiTheme="minorHAnsi" w:hAnsiTheme="minorHAnsi"/>
          <w:b/>
          <w:color w:val="auto"/>
        </w:rPr>
        <w:lastRenderedPageBreak/>
        <w:t xml:space="preserve">Chapter 4: Design of ductile </w:t>
      </w:r>
      <w:r w:rsidRPr="00E062D9">
        <w:rPr>
          <w:rFonts w:asciiTheme="minorHAnsi" w:hAnsiTheme="minorHAnsi" w:cs="Times New Roman"/>
          <w:b/>
          <w:color w:val="auto"/>
        </w:rPr>
        <w:t>BCC</w:t>
      </w:r>
      <w:r w:rsidRPr="00E062D9">
        <w:rPr>
          <w:rFonts w:asciiTheme="minorHAnsi" w:hAnsiTheme="minorHAnsi"/>
          <w:b/>
          <w:color w:val="auto"/>
        </w:rPr>
        <w:t xml:space="preserve"> stable </w:t>
      </w:r>
      <w:r>
        <w:rPr>
          <w:rFonts w:asciiTheme="minorHAnsi" w:hAnsiTheme="minorHAnsi"/>
          <w:b/>
          <w:color w:val="auto"/>
        </w:rPr>
        <w:t>RHEAs</w:t>
      </w:r>
      <w:bookmarkEnd w:id="215"/>
      <w:r w:rsidRPr="00E062D9">
        <w:rPr>
          <w:rFonts w:asciiTheme="minorHAnsi" w:hAnsiTheme="minorHAnsi"/>
          <w:b/>
          <w:color w:val="auto"/>
        </w:rPr>
        <w:t xml:space="preserve">  </w:t>
      </w:r>
    </w:p>
    <w:p w14:paraId="51C6CBBF" w14:textId="77777777" w:rsidR="00B145BE" w:rsidRPr="00E062D9" w:rsidRDefault="00B145BE" w:rsidP="00B145BE">
      <w:pPr>
        <w:pStyle w:val="2"/>
        <w:spacing w:after="60" w:line="360" w:lineRule="auto"/>
        <w:rPr>
          <w:rFonts w:asciiTheme="minorHAnsi" w:hAnsiTheme="minorHAnsi"/>
          <w:b/>
          <w:color w:val="auto"/>
          <w:sz w:val="32"/>
          <w:szCs w:val="32"/>
        </w:rPr>
      </w:pPr>
      <w:bookmarkStart w:id="216" w:name="_Toc22052532"/>
      <w:r w:rsidRPr="00E062D9">
        <w:rPr>
          <w:rFonts w:asciiTheme="minorHAnsi" w:hAnsiTheme="minorHAnsi"/>
          <w:b/>
          <w:color w:val="auto"/>
          <w:sz w:val="32"/>
          <w:szCs w:val="32"/>
        </w:rPr>
        <w:t>4.1 Preface</w:t>
      </w:r>
      <w:bookmarkEnd w:id="216"/>
      <w:r w:rsidRPr="00E062D9">
        <w:rPr>
          <w:rFonts w:asciiTheme="minorHAnsi" w:hAnsiTheme="minorHAnsi"/>
          <w:b/>
          <w:color w:val="auto"/>
          <w:sz w:val="32"/>
          <w:szCs w:val="32"/>
        </w:rPr>
        <w:t xml:space="preserve"> </w:t>
      </w:r>
    </w:p>
    <w:p w14:paraId="52833B39" w14:textId="0F7DDD1C" w:rsidR="00B145BE" w:rsidRPr="008A4C0A" w:rsidRDefault="00B145BE" w:rsidP="00B145BE">
      <w:pPr>
        <w:pStyle w:val="Normal1"/>
        <w:spacing w:afterLines="60" w:after="144" w:line="360" w:lineRule="auto"/>
        <w:jc w:val="both"/>
        <w:rPr>
          <w:rFonts w:asciiTheme="minorHAnsi" w:hAnsiTheme="minorHAnsi"/>
          <w:sz w:val="22"/>
          <w:szCs w:val="22"/>
          <w:lang w:val="en-GB"/>
        </w:rPr>
      </w:pPr>
      <w:r>
        <w:rPr>
          <w:rFonts w:asciiTheme="minorHAnsi" w:hAnsiTheme="minorHAnsi"/>
          <w:noProof/>
          <w:sz w:val="22"/>
          <w:szCs w:val="22"/>
          <w:lang w:val="en-GB"/>
        </w:rPr>
        <w:t>HEAs are c</w:t>
      </w:r>
      <w:r w:rsidRPr="00D80AF7">
        <w:rPr>
          <w:rFonts w:asciiTheme="minorHAnsi" w:hAnsiTheme="minorHAnsi"/>
          <w:noProof/>
          <w:sz w:val="22"/>
          <w:szCs w:val="22"/>
          <w:lang w:val="en-GB"/>
        </w:rPr>
        <w:t>haracterised</w:t>
      </w:r>
      <w:r w:rsidRPr="00D80AF7">
        <w:rPr>
          <w:rFonts w:asciiTheme="minorHAnsi" w:hAnsiTheme="minorHAnsi"/>
          <w:sz w:val="22"/>
          <w:szCs w:val="22"/>
          <w:lang w:val="en-GB"/>
        </w:rPr>
        <w:t xml:space="preserve"> </w:t>
      </w:r>
      <w:r w:rsidRPr="00D80AF7">
        <w:rPr>
          <w:rFonts w:asciiTheme="minorHAnsi" w:hAnsiTheme="minorHAnsi"/>
          <w:noProof/>
          <w:sz w:val="22"/>
          <w:szCs w:val="22"/>
          <w:lang w:val="en-GB"/>
        </w:rPr>
        <w:t>by</w:t>
      </w:r>
      <w:r w:rsidRPr="00D80AF7">
        <w:rPr>
          <w:rFonts w:asciiTheme="minorHAnsi" w:hAnsiTheme="minorHAnsi"/>
          <w:sz w:val="22"/>
          <w:szCs w:val="22"/>
          <w:lang w:val="en-GB"/>
        </w:rPr>
        <w:t xml:space="preserve"> equimolar multi-princip</w:t>
      </w:r>
      <w:r>
        <w:rPr>
          <w:rFonts w:asciiTheme="minorHAnsi" w:hAnsiTheme="minorHAnsi"/>
          <w:sz w:val="22"/>
          <w:szCs w:val="22"/>
          <w:lang w:val="en-GB"/>
        </w:rPr>
        <w:t>al</w:t>
      </w:r>
      <w:r w:rsidRPr="00D80AF7">
        <w:rPr>
          <w:rFonts w:asciiTheme="minorHAnsi" w:hAnsiTheme="minorHAnsi"/>
          <w:sz w:val="22"/>
          <w:szCs w:val="22"/>
          <w:lang w:val="en-GB"/>
        </w:rPr>
        <w:t xml:space="preserve"> components </w:t>
      </w:r>
      <w:r>
        <w:rPr>
          <w:rFonts w:asciiTheme="minorHAnsi" w:hAnsiTheme="minorHAnsi"/>
          <w:sz w:val="22"/>
          <w:szCs w:val="22"/>
          <w:lang w:val="en-GB"/>
        </w:rPr>
        <w:t>which had leaded to their</w:t>
      </w:r>
      <w:r w:rsidRPr="00D80AF7">
        <w:rPr>
          <w:rFonts w:asciiTheme="minorHAnsi" w:hAnsiTheme="minorHAnsi"/>
          <w:sz w:val="22"/>
          <w:szCs w:val="22"/>
          <w:lang w:val="en-GB"/>
        </w:rPr>
        <w:t xml:space="preserve"> unique structural and functional properties</w:t>
      </w:r>
      <w:r>
        <w:rPr>
          <w:rFonts w:asciiTheme="minorHAnsi" w:hAnsiTheme="minorHAnsi"/>
          <w:sz w:val="22"/>
          <w:szCs w:val="22"/>
          <w:lang w:val="en-GB"/>
        </w:rPr>
        <w:t>. As such</w:t>
      </w:r>
      <w:r w:rsidRPr="00D80AF7">
        <w:rPr>
          <w:rFonts w:asciiTheme="minorHAnsi" w:hAnsiTheme="minorHAnsi"/>
          <w:sz w:val="22"/>
          <w:szCs w:val="22"/>
          <w:lang w:val="en-GB"/>
        </w:rPr>
        <w:t>,</w:t>
      </w:r>
      <w:r>
        <w:rPr>
          <w:rFonts w:asciiTheme="minorHAnsi" w:hAnsiTheme="minorHAnsi"/>
          <w:sz w:val="22"/>
          <w:szCs w:val="22"/>
          <w:lang w:val="en-GB"/>
        </w:rPr>
        <w:t xml:space="preserve"> these materials have attracted significant attention over the past decades </w:t>
      </w:r>
      <w:r w:rsidRPr="00D80AF7">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{"citationItems":[{"id":"ITEM-1","itemData":{"DOI":"10.1126/science.1254581","ISBN":"1095-9203 (Electronic)\\r0036-8075 (Linking)","ISSN":"10959203","PMID":"25190791","abstract":"High-entropy alloys are equiatomic, multi-element systems that can crystallize as a single phase, despite containing multiple elements with different crystal structures. A rationale for this is that the configurational entropy contribution to the total free energy in alloys with five or more major elements may stabilize the solid-solution state relative to multiphase microstructures. We examined a five-element high-entropy alloy, CrMnFeCoNi, which forms a single-phase face-centered cubic solid solution, and found it to have exceptional damage tolerance with tensile strengths above 1 GPa and fracture toughness values exceeding 200 MPa·m(1/2). Furthermore, its mechanical properties actually improve at cryogenic temperatures; we attribute this to a transition from planar-slip dislocation activity at room temperature to deformation by mechanical nanotwinning with decreasing temperature, which results in continuous steady strain hardening.","author":[{"dropping-particle":"","family":"Gludovatz","given":"Bernd","non-dropping-particle":"","parse-names":false,"suffix":""},{"dropping-particle":"","family":"Hohenwarter","given":"Anton","non-dropping-particle":"","parse-names":false,"suffix":""},{"dropping-particle":"","family":"Catoor","given":"Dhiraj","non-dropping-particle":"","parse-names":false,"suffix":""},{"dropping-particle":"","family":"Chang","given":"Edwin H.","non-dropping-particle":"","parse-names":false,"suffix":""},{"dropping-particle":"","family":"George","given":"Easo P.","non-dropping-particle":"","parse-names":false,"suffix":""},{"dropping-particle":"","family":"Ritchie","given":"Robert O.","non-dropping-particle":"","parse-names":false,"suffix":""}],"container-title":"Science","id":"ITEM-1","issued":{"date-parts":[["2014"]]},"title":"A fracture-resistant high-entropy alloy for cryogenic applications","type":"article-journal"},"uris":["http://www.mendeley.com/documents/?uuid=52a97d34-c7ae-4a6b-a4e4-bbfd7e221d7c"]},{"id":"ITEM-2","itemData":{"DOI":"10.1126/science.aas8815","ISBN":"1520-6106 (Print)","ISSN":"0036-8075","PMID":"18630956","abstract":"&lt;p&gt;Alloy design based on single–principal-element systems has approached its limit for performance enhancements. A substantial increase in strength up to gigapascal levels typically causes the premature failure of materials with reduced ductility. Here, we report a strategy to break this trade-off by controllably introducing high-density ductile multicomponent intermetallic nanoparticles (MCINPs) in complex alloy systems. Distinct from the intermetallic-induced embrittlement under conventional wisdom, such MCINP-strengthened alloys exhibit superior strengths of 1.5 gigapascals and ductility as high as 50% in tension at ambient temperature. The plastic instability, a major concern for high-strength materials, can be completely eliminated by generating a distinctive multistage work-hardening behavior, resulting from pronounced dislocation activities and deformation-induced microbands. This MCINP strategy offers a paradigm to develop next-generation materials for structural applications.&lt;/p&gt;","author":[{"dropping-particle":"","family":"Yang","given":"T.","non-dropping-particle":"","parse-names":false,"suffix":""},{"dropping-particle":"","family":"Zhao","given":"Y. L.","non-dropping-particle":"","parse-names":false,"suffix":""},{"dropping-particle":"","family":"Tong","given":"Y.","non-dropping-particle":"","parse-names":false,"suffix":""},{"dropping-particle":"","family":"Jiao","given":"Z. B.","non-dropping-particle":"","parse-names":false,"suffix":""},{"dropping-particle":"","family":"Wei","given":"J.","non-dropping-particle":"","parse-names":false,"suffix":""},{"dropping-particle":"","family":"Cai","given":"J. X.","non-dropping-particle":"","parse-names":false,"suffix":""},{"dropping-particle":"","family":"Han","given":"X. D.","non-dropping-particle":"","parse-names":false,"suffix":""},{"dropping-particle":"","family":"Chen","given":"D.","non-dropping-particle":"","parse-names":false,"suffix":""},{"dropping-particle":"","family":"Hu","given":"A.","non-dropping-particle":"","parse-names":false,"suffix":""},{"dropping-particle":"","family":"Kai","given":"J. J.","non-dropping-particle":"","parse-names":false,"suffix":""},{"dropping-particle":"","family":"Lu","given":"K.","non-dropping-particle":"","parse-names":false,"suffix":""},{"dropping-particle":"","family":"Liu","given":"Y.","non-dropping-particle":"","parse-names":false,"suffix":""},{"dropping-particle":"","family":"Liu","given":"C. T.","non-dropping-particle":"","parse-names":false,"suffix":""}],"container-title":"Science","id":"ITEM-2","issued":{"date-parts":[["2018"]]},"title":"Multicomponent intermetallic nanoparticles and superb mechanical behaviors of complex alloys","type":"article-journal"},"uris":["http://www.mendeley.com/documents/?uuid=ae5ed308-f15c-4253-a125-4e021776be44"]},{"id":"ITEM-3","itemData":{"DOI":"10.1038/s41586-018-0685-y","ISSN":"14764687","PMID":"30429610","abstract":"Oxygen, one of the most abundant elements on Earth, often forms an undesired interstitial impurity or ceramic phase (such as an oxide particle) in metallic materials. Even when it adds strength, oxygen doping renders metals brittle1–3. Here we show that oxygen can take the form of ordered oxygen complexes, a state in between oxide particles and frequently occurring random interstitials. Unlike traditional interstitial strengthening4,5, such ordered interstitial complexes lead to unprecedented enhancement in both strength and ductility in compositionally complex solid solutions, the so-called high-entropy alloys (HEAs)6–10. The tensile strength is enhanced (by 48.5 ± 1.8 per cent) and ductility is substantially improved (by 95.2 ± 8.1 per cent) when doping a model TiZrHfNb HEA with 2.0 atomic per cent oxygen, thus breaking the long-standing strength–ductility trade-off11. The oxygen complexes are ordered nanoscale regions within the HEA characterized by (O, Zr, Ti)-rich atomic complexes whose formation is promoted by the existence of chemical short-range ordering among some of the substitutional matrix elements in the HEAs. Carbon has been reported to improve strength and ductility simultaneously in face-centred cubic HEAs12, by lowering the stacking fault energy and increasing the lattice friction stress. By contrast, the ordered interstitial complexes described here change the dislocation shear mode from planar slip to wavy slip, and promote double cross-slip and thus dislocation multiplication through the formation of Frank–Read sources (a mechanism explaining the generation of multiple dislocations) during deformation. This ordered interstitial complex-mediated strain-hardening mechanism should be particularly useful in Ti-, Zr- and Hf-containing alloys, in which interstitial elements are highly undesirable owing to their embrittlement effects, and in alloys where tuning the stacking fault energy and exploiting athermal transformations13 do not lead to property enhancement. These results provide insight into the role of interstitial solid solutions and associated ordering strengthening mechanisms in metallic materials.","author":[{"dropping-particle":"","family":"Lei","given":"Zhifeng","non-dropping-particle":"","parse-names":false,"suffix":""},{"dropping-particle":"","family":"Liu","given":"Xiongjun","non-dropping-particle":"","parse-names":false,"suffix":""},{"dropping-particle":"","family":"Wu","given":"Yuan","non-dropping-particle":"","parse-names":false,"suffix":""},{"dropping-particle":"","family":"Wang","given":"Hui","non-dropping-particle":"","parse-names":false,"suffix":""},{"dropping-particle":"","family":"Jiang","given":"Suihe","non-dropping-particle":"","parse-names":false,"suffix":""},{"dropping-particle":"","family":"Wang","given":"Shudao","non-dropping-particle":"","parse-names":false,"suffix":""},{"dropping-particle":"","family":"Hui","given":"Xidong","non-dropping-particle":"","parse-names":false,"suffix":""},{"dropping-particle":"","family":"Wu","given":"Yidong","non-dropping-particle":"","parse-names":false,"suffix":""},{"dropping-particle":"","family":"Gault","given":"Baptiste","non-dropping-particle":"","parse-names":false,"suffix":""},{"dropping-particle":"","family":"Kontis","given":"Paraskevas","non-dropping-particle":"","parse-names":false,"suffix":""},{"dropping-particle":"","family":"Raabe","given":"Dierk","non-dropping-particle":"","parse-names":false,"suffix":""},{"dropping-particle":"","family":"Gu","given":"Lin","non-dropping-particle":"","parse-names":false,"suffix":""},{"dropping-particle":"","family":"Zhang","given":"Qinghua","non-dropping-particle":"","parse-names":false,"suffix":""},{"dropping-particle":"","family":"Chen","given":"Houwen","non-dropping-particle":"","parse-names":false,"suffix":""},{"dropping-particle":"","family":"Wang","given":"Hongtao","non-dropping-particle":"","parse-names":false,"suffix":""},{"dropping-particle":"","family":"Liu","given":"Jiabin","non-dropping-particle":"","parse-names":false,"suffix":""},{"dropping-particle":"","family":"An","given":"Ke","non-dropping-particle":"","parse-names":false,"suffix":""},{"dropping-particle":"","family":"Zeng","given":"Qiaoshi","non-dropping-particle":"","parse-names":false,"suffix":""},{"dropping-particle":"","family":"Nieh","given":"Tai Gang","non-dropping-particle":"","parse-names":false,"suffix":""},{"dropping-particle":"","family":"Lu","given":"Zhaoping","non-dropping-particle":"","parse-names":false,"suffix":""}],"container-title":"Nature","id":"ITEM-3","issued":{"date-parts":[["2018"]]},"title":"Enhanced strength and ductility in a high-entropy alloy via ordered oxygen complexes","type":"article-journal"},"uris":["http://www.mendeley.com/documents/?uuid=40cca35f-be64-45d0-8314-b882ad87c3f0"]},{"id":"ITEM-4","itemData":{"DOI":"10.1038/nature17981","ISBN":"0028-0836","ISSN":"14764687","PMID":"27279217","abstract":"Metals have been mankind's most essential materials for thousands of years; however, their use is affected by ecological and economical concerns. Alloys with higher strength and ductility could alleviate some of these concerns by reducing weight and improving energy efficiency. However, most metallurgical mechanisms for increasing strength lead to ductility loss, an effect referred to as the strength-ductility trade-off. Here we present a metastability-engineering strategy in which we design nanostructured, bulk high-entropy alloys with multiple compositionally equivalent high-entropy phases. High-entropy alloys were originally proposed to benefit from phase stabilization through entropy maximization. Yet here, motivated by recent work that relaxes the strict restrictions on high-entropy alloy compositions by demonstrating the weakness of this connection, the concept is overturned. We decrease phase stability to achieve two key benefits: interface hardening due to a dual-phase microstructure (resulting from reduced thermal stability of the high-temperature phase); and transformation-induced hardening (resulting from the reduced mechanical stability of the room-temperature phase). This combines the best of two worlds: extensive hardening due to the decreased phase stability known from advanced steels and massive solid-solution strengthening of high-entropy alloys. In our transformation-induced plasticity-assisted, dual-phase high-entropy alloy (TRIP-DP-HEA), these two contributions lead respectively to enhanced trans-grain and inter-grain slip resistance, and hence, increased strength. Moreover, the increased strain hardening capacity that is enabled by dislocation hardening of the stable phase and transformation-induced hardening of the metastable phase produces increased ductility. This combined increase in strength and ductility distinguishes the TRIP-DP-HEA alloy from other recently developed structural materials. This metastability-engineering strategy should thus usefully guide design in the near-infinite compositional space of high-entropy alloys.","author":[{"dropping-particle":"","family":"Li","given":"Zhiming","non-dropping-particle":"","parse-names":false,"suffix":""},{"dropping-particle":"","family":"Pradeep","given":"Konda Gokuldoss","non-dropping-particle":"","parse-names":false,"suffix":""},{"dropping-particle":"","family":"Deng","given":"Yun","non-dropping-particle":"","parse-names":false,"suffix":""},{"dropping-particle":"","family":"Raabe","given":"Dierk","non-dropping-particle":"","parse-names":false,"suffix":""},{"dropping-particle":"","family":"Tasan","given":"Cemal Cem","non-dropping-particle":"","parse-names":false,"suffix":""}],"container-title":"Nature","id":"ITEM-4","issued":{"date-parts":[["2016"]]},"title":"Metastable high-entropy dual-phase alloys overcome the strength-ductility trade-off","type":"article-journal"},"uris":["http://www.mendeley.com/documents/?uuid=082f25b9-5d2c-4b7f-b69b-80e2c555b8ca"]}],"mendeley":{"formattedCitation":"[1–4]","plainTextFormattedCitation":"[1–4]","previouslyFormattedCitation":"[1–4]"},"properties":{"noteIndex":0},"schema":"https://github.com/citation-style-language/schema/raw/master/csl-citation.json"}</w:instrText>
      </w:r>
      <w:r w:rsidRPr="00D80AF7">
        <w:rPr>
          <w:rFonts w:asciiTheme="minorHAnsi" w:hAnsiTheme="minorHAnsi"/>
          <w:sz w:val="22"/>
          <w:szCs w:val="22"/>
          <w:lang w:val="en-GB"/>
        </w:rPr>
        <w:fldChar w:fldCharType="separate"/>
      </w:r>
      <w:r w:rsidRPr="00C84C26">
        <w:rPr>
          <w:rFonts w:asciiTheme="minorHAnsi" w:hAnsiTheme="minorHAnsi"/>
          <w:noProof/>
          <w:sz w:val="22"/>
          <w:szCs w:val="22"/>
          <w:lang w:val="en-GB"/>
        </w:rPr>
        <w:t>[1–4]</w:t>
      </w:r>
      <w:r w:rsidRPr="00D80AF7">
        <w:rPr>
          <w:rFonts w:asciiTheme="minorHAnsi" w:hAnsiTheme="minorHAnsi"/>
          <w:sz w:val="22"/>
          <w:szCs w:val="22"/>
          <w:lang w:val="en-GB"/>
        </w:rPr>
        <w:fldChar w:fldCharType="end"/>
      </w:r>
      <w:r w:rsidRPr="00D80AF7">
        <w:rPr>
          <w:rFonts w:asciiTheme="minorHAnsi" w:hAnsiTheme="minorHAnsi"/>
          <w:sz w:val="22"/>
          <w:szCs w:val="22"/>
          <w:lang w:val="en-GB"/>
        </w:rPr>
        <w:t xml:space="preserve">. </w:t>
      </w:r>
      <w:r>
        <w:rPr>
          <w:rFonts w:asciiTheme="minorHAnsi" w:hAnsiTheme="minorHAnsi"/>
          <w:sz w:val="22"/>
          <w:szCs w:val="22"/>
          <w:lang w:val="en-GB"/>
        </w:rPr>
        <w:t>The ductile solid solution phases present in HEAs are thought to be</w:t>
      </w:r>
      <w:r w:rsidRPr="00D80AF7">
        <w:rPr>
          <w:rFonts w:asciiTheme="minorHAnsi" w:hAnsiTheme="minorHAnsi"/>
          <w:sz w:val="22"/>
          <w:szCs w:val="22"/>
          <w:lang w:val="en-GB"/>
        </w:rPr>
        <w:t xml:space="preserve"> </w:t>
      </w:r>
      <w:r>
        <w:rPr>
          <w:rFonts w:asciiTheme="minorHAnsi" w:hAnsiTheme="minorHAnsi"/>
          <w:sz w:val="22"/>
          <w:szCs w:val="22"/>
          <w:lang w:val="en-GB"/>
        </w:rPr>
        <w:t>stabilised</w:t>
      </w:r>
      <w:r w:rsidRPr="00D80AF7">
        <w:rPr>
          <w:rFonts w:asciiTheme="minorHAnsi" w:hAnsiTheme="minorHAnsi"/>
          <w:sz w:val="22"/>
          <w:szCs w:val="22"/>
          <w:lang w:val="en-GB"/>
        </w:rPr>
        <w:t xml:space="preserve"> at high temperatures</w:t>
      </w:r>
      <w:r>
        <w:rPr>
          <w:rFonts w:asciiTheme="minorHAnsi" w:hAnsiTheme="minorHAnsi"/>
          <w:sz w:val="22"/>
          <w:szCs w:val="22"/>
          <w:lang w:val="en-GB"/>
        </w:rPr>
        <w:t xml:space="preserve"> as a function of their intrinsically</w:t>
      </w:r>
      <w:r w:rsidRPr="00D80AF7">
        <w:rPr>
          <w:rFonts w:asciiTheme="minorHAnsi" w:hAnsiTheme="minorHAnsi"/>
          <w:sz w:val="22"/>
          <w:szCs w:val="22"/>
          <w:lang w:val="en-GB"/>
        </w:rPr>
        <w:t xml:space="preserve"> high configurational entropy. </w:t>
      </w:r>
      <w:r>
        <w:rPr>
          <w:rFonts w:asciiTheme="minorHAnsi" w:hAnsiTheme="minorHAnsi"/>
          <w:sz w:val="22"/>
          <w:szCs w:val="22"/>
          <w:lang w:val="en-GB"/>
        </w:rPr>
        <w:t>In particular, a</w:t>
      </w:r>
      <w:r w:rsidRPr="00D80AF7">
        <w:rPr>
          <w:rFonts w:asciiTheme="minorHAnsi" w:hAnsiTheme="minorHAnsi"/>
          <w:sz w:val="22"/>
          <w:szCs w:val="22"/>
          <w:lang w:val="en-GB"/>
        </w:rPr>
        <w:t xml:space="preserve"> group of HEAs which </w:t>
      </w:r>
      <w:r w:rsidRPr="00D80AF7">
        <w:rPr>
          <w:rFonts w:asciiTheme="minorHAnsi" w:hAnsiTheme="minorHAnsi"/>
          <w:noProof/>
          <w:sz w:val="22"/>
          <w:szCs w:val="22"/>
          <w:lang w:val="en-GB"/>
        </w:rPr>
        <w:t>primarily</w:t>
      </w:r>
      <w:r w:rsidRPr="00D80AF7">
        <w:rPr>
          <w:rFonts w:asciiTheme="minorHAnsi" w:hAnsiTheme="minorHAnsi"/>
          <w:sz w:val="22"/>
          <w:szCs w:val="22"/>
          <w:lang w:val="en-GB"/>
        </w:rPr>
        <w:t xml:space="preserve"> consist of group IV, </w:t>
      </w:r>
      <w:r w:rsidRPr="007C247B">
        <w:rPr>
          <w:rFonts w:asciiTheme="minorHAnsi" w:hAnsiTheme="minorHAnsi"/>
          <w:noProof/>
          <w:sz w:val="22"/>
          <w:szCs w:val="22"/>
          <w:lang w:val="en-GB"/>
        </w:rPr>
        <w:t>V</w:t>
      </w:r>
      <w:r w:rsidRPr="00D80AF7">
        <w:rPr>
          <w:rFonts w:asciiTheme="minorHAnsi" w:hAnsiTheme="minorHAnsi"/>
          <w:sz w:val="22"/>
          <w:szCs w:val="22"/>
          <w:lang w:val="en-GB"/>
        </w:rPr>
        <w:t xml:space="preserve"> and VI </w:t>
      </w:r>
      <w:r>
        <w:rPr>
          <w:rFonts w:asciiTheme="minorHAnsi" w:hAnsiTheme="minorHAnsi"/>
          <w:sz w:val="22"/>
          <w:szCs w:val="22"/>
          <w:lang w:val="en-GB"/>
        </w:rPr>
        <w:t xml:space="preserve">refractory </w:t>
      </w:r>
      <w:r w:rsidRPr="00D80AF7">
        <w:rPr>
          <w:rFonts w:asciiTheme="minorHAnsi" w:hAnsiTheme="minorHAnsi"/>
          <w:sz w:val="22"/>
          <w:szCs w:val="22"/>
          <w:lang w:val="en-GB"/>
        </w:rPr>
        <w:t>elements</w:t>
      </w:r>
      <w:r>
        <w:rPr>
          <w:rFonts w:asciiTheme="minorHAnsi" w:hAnsiTheme="minorHAnsi"/>
          <w:sz w:val="22"/>
          <w:szCs w:val="22"/>
          <w:lang w:val="en-GB"/>
        </w:rPr>
        <w:t>,</w:t>
      </w:r>
      <w:r w:rsidRPr="00D80AF7">
        <w:rPr>
          <w:rFonts w:asciiTheme="minorHAnsi" w:hAnsiTheme="minorHAnsi"/>
          <w:sz w:val="22"/>
          <w:szCs w:val="22"/>
          <w:lang w:val="en-GB"/>
        </w:rPr>
        <w:t xml:space="preserve"> were </w:t>
      </w:r>
      <w:r>
        <w:rPr>
          <w:rFonts w:asciiTheme="minorHAnsi" w:hAnsiTheme="minorHAnsi"/>
          <w:sz w:val="22"/>
          <w:szCs w:val="22"/>
          <w:lang w:val="en-GB"/>
        </w:rPr>
        <w:t>observed</w:t>
      </w:r>
      <w:r w:rsidRPr="00D80AF7">
        <w:rPr>
          <w:rFonts w:asciiTheme="minorHAnsi" w:hAnsiTheme="minorHAnsi"/>
          <w:sz w:val="22"/>
          <w:szCs w:val="22"/>
          <w:lang w:val="en-GB"/>
        </w:rPr>
        <w:t xml:space="preserve"> to be stable</w:t>
      </w:r>
      <w:r>
        <w:rPr>
          <w:rFonts w:asciiTheme="minorHAnsi" w:hAnsiTheme="minorHAnsi"/>
          <w:sz w:val="22"/>
          <w:szCs w:val="22"/>
          <w:lang w:val="en-GB"/>
        </w:rPr>
        <w:t xml:space="preserve"> and ductile</w:t>
      </w:r>
      <w:r w:rsidRPr="00D80AF7">
        <w:rPr>
          <w:rFonts w:asciiTheme="minorHAnsi" w:hAnsiTheme="minorHAnsi"/>
          <w:sz w:val="22"/>
          <w:szCs w:val="22"/>
          <w:lang w:val="en-GB"/>
        </w:rPr>
        <w:t xml:space="preserve"> at </w:t>
      </w:r>
      <w:r w:rsidRPr="007C247B">
        <w:rPr>
          <w:rFonts w:asciiTheme="minorHAnsi" w:hAnsiTheme="minorHAnsi"/>
          <w:noProof/>
          <w:sz w:val="22"/>
          <w:szCs w:val="22"/>
          <w:lang w:val="en-GB"/>
        </w:rPr>
        <w:t>temperature</w:t>
      </w:r>
      <w:r>
        <w:rPr>
          <w:rFonts w:asciiTheme="minorHAnsi" w:hAnsiTheme="minorHAnsi"/>
          <w:noProof/>
          <w:sz w:val="22"/>
          <w:szCs w:val="22"/>
          <w:lang w:val="en-GB"/>
        </w:rPr>
        <w:t>s</w:t>
      </w:r>
      <w:r w:rsidRPr="00D80AF7">
        <w:rPr>
          <w:rFonts w:asciiTheme="minorHAnsi" w:hAnsiTheme="minorHAnsi"/>
          <w:sz w:val="22"/>
          <w:szCs w:val="22"/>
          <w:lang w:val="en-GB"/>
        </w:rPr>
        <w:t xml:space="preserve"> over </w:t>
      </w:r>
      <w:r>
        <w:rPr>
          <w:rFonts w:asciiTheme="minorHAnsi" w:hAnsiTheme="minorHAnsi"/>
          <w:sz w:val="22"/>
          <w:szCs w:val="22"/>
          <w:lang w:val="en-GB"/>
        </w:rPr>
        <w:t>1873K</w:t>
      </w:r>
      <w:r w:rsidRPr="00D80AF7">
        <w:rPr>
          <w:rFonts w:asciiTheme="minorHAnsi" w:hAnsiTheme="minorHAnsi"/>
          <w:sz w:val="22"/>
          <w:szCs w:val="22"/>
          <w:lang w:val="en-GB"/>
        </w:rPr>
        <w:t xml:space="preserve"> and </w:t>
      </w:r>
      <w:r>
        <w:rPr>
          <w:rFonts w:asciiTheme="minorHAnsi" w:hAnsiTheme="minorHAnsi"/>
          <w:sz w:val="22"/>
          <w:szCs w:val="22"/>
          <w:lang w:val="en-GB"/>
        </w:rPr>
        <w:t>have been</w:t>
      </w:r>
      <w:r w:rsidRPr="00D80AF7">
        <w:rPr>
          <w:rFonts w:asciiTheme="minorHAnsi" w:hAnsiTheme="minorHAnsi"/>
          <w:sz w:val="22"/>
          <w:szCs w:val="22"/>
          <w:lang w:val="en-GB"/>
        </w:rPr>
        <w:t xml:space="preserve"> given the sub-class of</w:t>
      </w:r>
      <w:r>
        <w:rPr>
          <w:rFonts w:asciiTheme="minorHAnsi" w:hAnsiTheme="minorHAnsi"/>
          <w:sz w:val="22"/>
          <w:szCs w:val="22"/>
          <w:lang w:val="en-GB"/>
        </w:rPr>
        <w:t xml:space="preserve"> RHEAs </w:t>
      </w:r>
      <w:r w:rsidRPr="00D80AF7">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{"citationItems":[{"id":"ITEM-1","itemData":{"DOI":"10.1016/j.intermet.2010.05.014","ISBN":"0966-9795","ISSN":"09669795","abstract":"Two refractory high-entropy alloys with near-equiatomic concentrations, W-Nb-Mo-Ta and W-Nb-Mo-Ta-V, were produced by vacuum arc melting. Despite containing many constituents both alloys have a single-phase body-centered cubic (BCC) structure. The lattice parameters a = 3.2134(3) for the quaternary alloy and a = 3.1832(2) for the quinternary alloy were determined with high-energy X-ray diffraction using a scattering vector length range from 0.7 to 20 Å-1. The alloy density and Vickers microhardness were ρ = 13.75 g/cm3and Hv= 4455 MPa for the W-Nb-Mo-Ta alloy and ρ = 12.36 g/cm3and Hv= 5250 MPa for the W-Nb-Mo-Ta-V alloy. The exceptional microhardness in these alloys is greater than any individual constituent, suggesting the operation of a solid-solution-like strengthening mechanism. © 2010 Elsevier Ltd. All rights reserved.","author":[{"dropping-particle":"","family":"Senkov","given":"O. N.","non-dropping-particle":"","parse-names":false,"suffix":""},{"dropping-particle":"","family":"Wilks","given":"G. B.","non-dropping-particle":"","parse-names":false,"suffix":""},{"dropping-particle":"","family":"Miracle","given":"D. B.","non-dropping-particle":"","parse-names":false,"suffix":""},{"dropping-particle":"","family":"Chuang","given":"C. P.","non-dropping-particle":"","parse-names":false,"suffix":""},{"dropping-particle":"","family":"Liaw","given":"P. K.","non-dropping-particle":"","parse-names":false,"suffix":""}],"container-title":"Intermetallics","id":"ITEM-1","issued":{"date-parts":[["2010"]]},"title":"Refractory high-entropy alloys","type":"article-journal"},"uris":["http://www.mendeley.com/documents/?uuid=62b0b7c6-7fd0-4b3b-8189-4d228543f0ab"]},{"id":"ITEM-2","itemData":{"DOI":"10.1016/j.jallcom.2018.05.067","ISBN":"0925-8388","ISSN":"09258388","abstract":"High entropy alloys (HEAs) have five or more principal elements with four core effects: high entropy, sluggish diffusion, severe lattice distortion, and cocktail effects. These effects lead to some distinct properties of HEAs. Some HEAs are promising for high temperature applications and have the potential to replace Ni-base superalloys as the next g</w:instrText>
      </w:r>
      <w:r>
        <w:rPr>
          <w:rFonts w:asciiTheme="minorHAnsi" w:hAnsiTheme="minorHAnsi" w:hint="eastAsia"/>
          <w:sz w:val="22"/>
          <w:szCs w:val="22"/>
          <w:lang w:val="en-GB"/>
        </w:rPr>
        <w:instrText xml:space="preserve">eneration high-temperature materials, such as high entropy superalloys (HESAs) and refractory HEAs. The microstructures of HESAs consisting of </w:instrText>
      </w:r>
      <w:r>
        <w:rPr>
          <w:rFonts w:asciiTheme="minorHAnsi" w:hAnsiTheme="minorHAnsi" w:hint="eastAsia"/>
          <w:sz w:val="22"/>
          <w:szCs w:val="22"/>
          <w:lang w:val="en-GB"/>
        </w:rPr>
        <w:instrText>γ</w:instrText>
      </w:r>
      <w:r>
        <w:rPr>
          <w:rFonts w:asciiTheme="minorHAnsi" w:hAnsiTheme="minorHAnsi" w:hint="eastAsia"/>
          <w:sz w:val="22"/>
          <w:szCs w:val="22"/>
          <w:lang w:val="en-GB"/>
        </w:rPr>
        <w:instrText xml:space="preserve"> and </w:instrText>
      </w:r>
      <w:r>
        <w:rPr>
          <w:rFonts w:asciiTheme="minorHAnsi" w:hAnsiTheme="minorHAnsi" w:hint="eastAsia"/>
          <w:sz w:val="22"/>
          <w:szCs w:val="22"/>
          <w:lang w:val="en-GB"/>
        </w:rPr>
        <w:instrText>γ′</w:instrText>
      </w:r>
      <w:r>
        <w:rPr>
          <w:rFonts w:asciiTheme="minorHAnsi" w:hAnsiTheme="minorHAnsi" w:hint="eastAsia"/>
          <w:sz w:val="22"/>
          <w:szCs w:val="22"/>
          <w:lang w:val="en-GB"/>
        </w:rPr>
        <w:instrText xml:space="preserve"> phases are similar to that of Ni-base superalloys. Refractory HEAs contain refractory elements with hig</w:instrText>
      </w:r>
      <w:r>
        <w:rPr>
          <w:rFonts w:asciiTheme="minorHAnsi" w:hAnsiTheme="minorHAnsi"/>
          <w:sz w:val="22"/>
          <w:szCs w:val="22"/>
          <w:lang w:val="en-GB"/>
        </w:rPr>
        <w:instrText>h melting temperatures. Thus, a number of aspects of HESAs and refractory HEAs are reviewed and discussed in the present paper, including microstructure, density, room-temperature mechanical properties, high-temperature strength, creep behavior, and oxidation resistance. Furthermore, a number of future research topics are suggested, emphasizing on developing high-performance high-temperature materials.","author":[{"dropping-particle":"","family":"Chen","given":"Jian","non-dropping-particle":"","parse-names":false,"suffix":""},{"dropping-particle":"","family":"Zhou","given":"Xueyang","non-dropping-particle":"","parse-names":false,"suffix":""},{"dropping-particle":"","family":"Wang","given":"Weili","non-dropping-particle":"","parse-names":false,"suffix":""},{"dropping-particle":"","family":"Liu","given":"Bing","non-dropping-particle":"","parse-names":false,"suffix":""},{"dropping-particle":"","family":"Lv","given":"Yukun","non-dropping-particle":"","parse-names":false,"suffix":""},{"dropping-particle":"","family":"Yang","given":"Wei","non-dropping-particle":"","parse-names":false,"suffix":""},{"dropping-particle":"","family":"Xu","given":"Dapeng","non-dropping-particle":"","parse-names":false,"suffix":""},{"dropping-particle":"","family":"Liu","given":"Yong","non-dropping-particle":"","parse-names":false,"suffix":""}],"container-title":"Journal of Alloys and Compounds","id":"ITEM-2","issued":{"date-parts":[["2018"]]},"title":"A review on fundamental of high entropy alloys with promising high–temperature properties","type":"article"},"uris":["http://www.mendeley.com/documents/?uuid=aeedca4d-30c2-4da5-b656-8cb3bfc99a9d"]},{"id":"ITEM-3","itemData":{"DOI":"10.1557/jmr.2018.153","ISSN":"20445326","abstract":"&lt;p&gt; &lt;fig position=\"anchor\"&gt; &lt;graphic href=\"S088429141800153X_figAb\" mime-subtype=\"jpeg\" mimetype=\"image\" position=\"float\" type=\"simple\"/&gt; &lt;/fig&gt; &lt;/p&gt;","author":[{"dropping-particle":"","family":"Senkov","given":"Oleg N.","non-dropping-particle":"","parse-names":false,"suffix":""},{"dropping-particle":"","family":"Miracle","given":"Daniel B.","non-dropping-particle":"","parse-names":false,"suffix":""},{"dropping-particle":"","family":"Chaput","given":"Kevin J.","non-dropping-particle":"","parse-names":false,"suffix":""},{"dropping-particle":"","family":"Couzinie","given":"Jean Philippe","non-dropping-particle":"","parse-names":false,"suffix":""}],"container-title":"Journal of Materials Research","id":"ITEM-3","issued":{"date-parts":[["2018"]]},"title":"Development and exploration of refractory high entropy alloys - A review","type":"article"},"uris":["http://www.mendeley.com/documents/?uuid=e6c43fc8-a4f9-4e49-9aa6-1f9bb6c0e55d"]}],"mendeley":{"formattedCitation":"[5–7]","plainTextFormattedCitation":"[5–7]","previouslyFormattedCitation":"[5–7]"},"properties":{"noteIndex":0},"schema":"https://github.com/citation-style-language/schema/raw/master/csl-citation.json"}</w:instrText>
      </w:r>
      <w:r w:rsidRPr="00D80AF7">
        <w:rPr>
          <w:rFonts w:asciiTheme="minorHAnsi" w:hAnsiTheme="minorHAnsi"/>
          <w:sz w:val="22"/>
          <w:szCs w:val="22"/>
          <w:lang w:val="en-GB"/>
        </w:rPr>
        <w:fldChar w:fldCharType="separate"/>
      </w:r>
      <w:r w:rsidRPr="00C84C26">
        <w:rPr>
          <w:rFonts w:asciiTheme="minorHAnsi" w:hAnsiTheme="minorHAnsi"/>
          <w:noProof/>
          <w:sz w:val="22"/>
          <w:szCs w:val="22"/>
          <w:lang w:val="en-GB"/>
        </w:rPr>
        <w:t>[5–7]</w:t>
      </w:r>
      <w:r w:rsidRPr="00D80AF7">
        <w:rPr>
          <w:rFonts w:asciiTheme="minorHAnsi" w:hAnsiTheme="minorHAnsi"/>
          <w:sz w:val="22"/>
          <w:szCs w:val="22"/>
          <w:lang w:val="en-GB"/>
        </w:rPr>
        <w:fldChar w:fldCharType="end"/>
      </w:r>
      <w:r w:rsidRPr="00D80AF7">
        <w:rPr>
          <w:rFonts w:asciiTheme="minorHAnsi" w:hAnsiTheme="minorHAnsi"/>
          <w:sz w:val="22"/>
          <w:szCs w:val="22"/>
          <w:lang w:val="en-GB"/>
        </w:rPr>
        <w:t xml:space="preserve">. </w:t>
      </w:r>
      <w:r>
        <w:rPr>
          <w:rFonts w:asciiTheme="minorHAnsi" w:hAnsiTheme="minorHAnsi"/>
          <w:sz w:val="22"/>
          <w:szCs w:val="22"/>
          <w:lang w:val="en-GB"/>
        </w:rPr>
        <w:t>In contrast to</w:t>
      </w:r>
      <w:r w:rsidRPr="00D80AF7">
        <w:rPr>
          <w:rFonts w:asciiTheme="minorHAnsi" w:hAnsiTheme="minorHAnsi"/>
          <w:sz w:val="22"/>
          <w:szCs w:val="22"/>
          <w:lang w:val="en-GB"/>
        </w:rPr>
        <w:t xml:space="preserve"> Ni-based superalloys (</w:t>
      </w:r>
      <w:r>
        <w:rPr>
          <w:rFonts w:asciiTheme="minorHAnsi" w:hAnsiTheme="minorHAnsi"/>
          <w:sz w:val="22"/>
          <w:szCs w:val="22"/>
          <w:lang w:val="en-GB"/>
        </w:rPr>
        <w:t xml:space="preserve">operational </w:t>
      </w:r>
      <w:r w:rsidRPr="00D80AF7">
        <w:rPr>
          <w:rFonts w:asciiTheme="minorHAnsi" w:hAnsiTheme="minorHAnsi"/>
          <w:sz w:val="22"/>
          <w:szCs w:val="22"/>
          <w:lang w:val="en-GB"/>
        </w:rPr>
        <w:t xml:space="preserve"> temperature</w:t>
      </w:r>
      <w:r>
        <w:rPr>
          <w:rFonts w:asciiTheme="minorHAnsi" w:hAnsiTheme="minorHAnsi"/>
          <w:sz w:val="22"/>
          <w:szCs w:val="22"/>
          <w:lang w:val="en-GB"/>
        </w:rPr>
        <w:t xml:space="preserve"> ranges of</w:t>
      </w:r>
      <w:r w:rsidRPr="00D80AF7">
        <w:rPr>
          <w:rFonts w:asciiTheme="minorHAnsi" w:hAnsiTheme="minorHAnsi"/>
          <w:sz w:val="22"/>
          <w:szCs w:val="22"/>
          <w:lang w:val="en-GB"/>
        </w:rPr>
        <w:t xml:space="preserve"> </w:t>
      </w:r>
      <w:r w:rsidRPr="00431722">
        <w:rPr>
          <w:rFonts w:asciiTheme="minorHAnsi" w:hAnsiTheme="minorHAnsi"/>
          <w:sz w:val="22"/>
          <w:szCs w:val="22"/>
          <w:lang w:val="en-GB"/>
        </w:rPr>
        <w:t>873-1073</w:t>
      </w:r>
      <w:r w:rsidRPr="00431722">
        <w:rPr>
          <w:rFonts w:asciiTheme="minorHAnsi" w:hAnsiTheme="minorHAnsi" w:cs="Cambria Math"/>
          <w:color w:val="333333"/>
          <w:sz w:val="22"/>
          <w:szCs w:val="22"/>
          <w:shd w:val="clear" w:color="auto" w:fill="FFFFFF"/>
          <w:lang w:val="en-GB"/>
        </w:rPr>
        <w:t>K</w:t>
      </w:r>
      <w:r w:rsidRPr="00D80AF7">
        <w:rPr>
          <w:rFonts w:asciiTheme="minorHAnsi" w:hAnsiTheme="minorHAnsi"/>
          <w:sz w:val="22"/>
          <w:szCs w:val="22"/>
          <w:lang w:val="en-GB"/>
        </w:rPr>
        <w:t xml:space="preserve">) and HEAs whose principal components are mainly </w:t>
      </w:r>
      <w:r>
        <w:rPr>
          <w:rFonts w:asciiTheme="minorHAnsi" w:hAnsiTheme="minorHAnsi"/>
          <w:sz w:val="22"/>
          <w:szCs w:val="22"/>
          <w:lang w:val="en-GB"/>
        </w:rPr>
        <w:t xml:space="preserve">from </w:t>
      </w:r>
      <w:r w:rsidRPr="00D80AF7">
        <w:rPr>
          <w:rFonts w:asciiTheme="minorHAnsi" w:hAnsiTheme="minorHAnsi"/>
          <w:sz w:val="22"/>
          <w:szCs w:val="22"/>
          <w:lang w:val="en-GB"/>
        </w:rPr>
        <w:t xml:space="preserve">group VI-XI elements, the lattice structure of most RHEAs </w:t>
      </w:r>
      <w:r>
        <w:rPr>
          <w:rFonts w:asciiTheme="minorHAnsi" w:hAnsiTheme="minorHAnsi"/>
          <w:sz w:val="22"/>
          <w:szCs w:val="22"/>
          <w:lang w:val="en-GB"/>
        </w:rPr>
        <w:t>are</w:t>
      </w:r>
      <w:r w:rsidRPr="00D80AF7">
        <w:rPr>
          <w:rFonts w:asciiTheme="minorHAnsi" w:hAnsiTheme="minorHAnsi"/>
          <w:sz w:val="22"/>
          <w:szCs w:val="22"/>
          <w:lang w:val="en-GB"/>
        </w:rPr>
        <w:t xml:space="preserve"> </w:t>
      </w:r>
      <w:r w:rsidRPr="00D80AF7">
        <w:rPr>
          <w:rFonts w:asciiTheme="minorHAnsi" w:hAnsiTheme="minorHAnsi"/>
          <w:noProof/>
          <w:sz w:val="22"/>
          <w:szCs w:val="22"/>
          <w:lang w:val="en-GB"/>
        </w:rPr>
        <w:t>body-centric</w:t>
      </w:r>
      <w:r w:rsidRPr="00D80AF7">
        <w:rPr>
          <w:rFonts w:asciiTheme="minorHAnsi" w:hAnsiTheme="minorHAnsi"/>
          <w:sz w:val="22"/>
          <w:szCs w:val="22"/>
          <w:lang w:val="en-GB"/>
        </w:rPr>
        <w:t xml:space="preserve"> cubic (BCC) instead of </w:t>
      </w:r>
      <w:r w:rsidRPr="007C247B">
        <w:rPr>
          <w:rFonts w:asciiTheme="minorHAnsi" w:hAnsiTheme="minorHAnsi"/>
          <w:noProof/>
          <w:sz w:val="22"/>
          <w:szCs w:val="22"/>
          <w:lang w:val="en-GB"/>
        </w:rPr>
        <w:t>face-centred</w:t>
      </w:r>
      <w:r w:rsidRPr="00D80AF7">
        <w:rPr>
          <w:rFonts w:asciiTheme="minorHAnsi" w:hAnsiTheme="minorHAnsi"/>
          <w:sz w:val="22"/>
          <w:szCs w:val="22"/>
          <w:lang w:val="en-GB"/>
        </w:rPr>
        <w:t xml:space="preserve"> cubic (FCC)</w:t>
      </w:r>
      <w:r w:rsidRPr="00D80AF7">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{"citationItems":[{"id":"ITEM-1","itemData":{"DOI":"10.1557/jmr.2018.153","ISSN":"20445326","abstract":"&lt;p&gt; &lt;fig position=\"anchor\"&gt; &lt;graphic href=\"S088429141800153X_figAb\" mime-subtype=\"jpeg\" mimetype=\"image\" position=\"float\" type=\"simple\"/&gt; &lt;/fig&gt; &lt;/p&gt;","author":[{"dropping-particle":"","family":"Senkov","given":"Oleg N.","non-dropping-particle":"","parse-names":false,"suffix":""},{"dropping-particle":"","family":"Miracle","given":"Daniel B.","non-dropping-particle":"","parse-names":false,"suffix":""},{"dropping-particle":"","family":"Chaput","given":"Kevin J.","non-dropping-particle":"","parse-names":false,"suffix":""},{"dropping-particle":"","family":"Couzinie","given":"Jean Philippe","non-dropping-particle":"","parse-names":false,"suffix":""}],"container-title":"Journal of Materials Research","id":"ITEM-1","issued":{"date-parts":[["2018"]]},"title":"Development and exploration of refractory high entropy alloys - A review","type":"article"},"uris":["http://www.mendeley.com/documents/?uuid=e6c43fc8-a4f9-4e49-9aa6-1f9bb6c0e55d"]}],"mendeley":{"formattedCitation":"[7]","plainTextFormattedCitation":"[7]","previouslyFormattedCitation":"[7]"},"properties":{"noteIndex":0},"schema":"https://github.com/citation-style-language/schema/raw/master/csl-citation.json"}</w:instrText>
      </w:r>
      <w:r w:rsidRPr="00D80AF7">
        <w:rPr>
          <w:rFonts w:asciiTheme="minorHAnsi" w:hAnsiTheme="minorHAnsi"/>
          <w:sz w:val="22"/>
          <w:szCs w:val="22"/>
          <w:lang w:val="en-GB"/>
        </w:rPr>
        <w:fldChar w:fldCharType="separate"/>
      </w:r>
      <w:r w:rsidRPr="00C84C26">
        <w:rPr>
          <w:rFonts w:asciiTheme="minorHAnsi" w:hAnsiTheme="minorHAnsi"/>
          <w:noProof/>
          <w:sz w:val="22"/>
          <w:szCs w:val="22"/>
          <w:lang w:val="en-GB"/>
        </w:rPr>
        <w:t>[7]</w:t>
      </w:r>
      <w:r w:rsidRPr="00D80AF7">
        <w:rPr>
          <w:rFonts w:asciiTheme="minorHAnsi" w:hAnsiTheme="minorHAnsi"/>
          <w:sz w:val="22"/>
          <w:szCs w:val="22"/>
          <w:lang w:val="en-GB"/>
        </w:rPr>
        <w:fldChar w:fldCharType="end"/>
      </w:r>
      <w:r w:rsidRPr="00D80AF7">
        <w:rPr>
          <w:rFonts w:asciiTheme="minorHAnsi" w:hAnsiTheme="minorHAnsi"/>
          <w:sz w:val="22"/>
          <w:szCs w:val="22"/>
          <w:lang w:val="en-GB"/>
        </w:rPr>
        <w:t xml:space="preserve">. As a precondition for deformation, at least </w:t>
      </w:r>
      <w:r w:rsidRPr="00D80AF7">
        <w:rPr>
          <w:rFonts w:asciiTheme="minorHAnsi" w:hAnsiTheme="minorHAnsi"/>
          <w:noProof/>
          <w:sz w:val="22"/>
          <w:szCs w:val="22"/>
          <w:lang w:val="en-GB"/>
        </w:rPr>
        <w:t>five</w:t>
      </w:r>
      <w:r w:rsidRPr="00D80AF7">
        <w:rPr>
          <w:rFonts w:asciiTheme="minorHAnsi" w:hAnsiTheme="minorHAnsi"/>
          <w:sz w:val="22"/>
          <w:szCs w:val="22"/>
          <w:lang w:val="en-GB"/>
        </w:rPr>
        <w:t xml:space="preserve"> independent slip systems </w:t>
      </w:r>
      <w:r w:rsidRPr="00D80AF7">
        <w:rPr>
          <w:rFonts w:asciiTheme="minorHAnsi" w:hAnsiTheme="minorHAnsi"/>
          <w:noProof/>
          <w:sz w:val="22"/>
          <w:szCs w:val="22"/>
          <w:lang w:val="en-GB"/>
        </w:rPr>
        <w:t xml:space="preserve">are </w:t>
      </w:r>
      <w:r>
        <w:rPr>
          <w:rFonts w:asciiTheme="minorHAnsi" w:hAnsiTheme="minorHAnsi"/>
          <w:noProof/>
          <w:sz w:val="22"/>
          <w:szCs w:val="22"/>
          <w:lang w:val="en-GB"/>
        </w:rPr>
        <w:t>required</w:t>
      </w:r>
      <w:r w:rsidRPr="00D80AF7">
        <w:rPr>
          <w:rFonts w:asciiTheme="minorHAnsi" w:hAnsiTheme="minorHAnsi"/>
          <w:sz w:val="22"/>
          <w:szCs w:val="22"/>
          <w:lang w:val="en-GB"/>
        </w:rPr>
        <w:t xml:space="preserve"> for ductility in a polycrystalline material</w:t>
      </w:r>
      <w:r>
        <w:rPr>
          <w:rFonts w:asciiTheme="minorHAnsi" w:hAnsiTheme="minorHAnsi"/>
          <w:sz w:val="22"/>
          <w:szCs w:val="22"/>
          <w:lang w:val="en-GB"/>
        </w:rPr>
        <w:t xml:space="preserve"> </w:t>
      </w:r>
      <w:r w:rsidRPr="00D80AF7">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{"citationItems":[{"id":"ITEM-1","itemData":{"DOI":"10.1016/0502-8205(53)90018-5","ISBN":"0-471-09125-1","ISSN":"05028205","PMID":"1542251","abstract":"This book is a comprehensive treatment of the fundamentals of dislocations. Sufficient detail is provided to make the book useful as an undergraduate text, and extends the treatment of specific problems to stimulate the advanced graduate student. The book covers the elastic theory of straight and curved dislocations, including a chapter on elastic anisotropy. Applications to the theory of dislocation motion at low and high temperatures are presented. Finally, groups of dislocations, grain boundaries, pileups, barriers, and twins are considered.","author":[{"dropping-particle":"","family":"Cottrell","given":"A.H.","non-dropping-particle":"","parse-names":false,"suffix":""}],"container-title":"Progress in Metal Physics","id":"ITEM-1","issued":{"date-parts":[["1953"]]},"title":"Theory of dislocations","type":"article-journal"},"uris":["http://www.mendeley.com/documents/?uuid=c4922fe8-2d56-4ec4-9dc6-8bccb26617f5"]},{"id":"ITEM-2","itemData":{"DOI":"10.1016/S1359-6454(01)00300-7","ISBN":"1858534569","ISSN":"13596454","PMID":"26","abstract":"A constitutive approach is developed that predicts the critical stress for twinning as a function of external (temperature, strain rate) and internal (grain size, stacking-fault energy) parameters. Plastic deformation by slip and twinning are considered as competitive mechanisms. The twinning stress is equated to the slip stress based on the plastic flow by thermally assisted movement of dislocations over obstacles, which leads to successful prediction of the slip-twinning transition. The model is applied to body centered cubic, face centered cubic, and hexagonal metals and alloys: Fe, Cu, brasses, and Ti, respectively. A constitutive expression for the twinning stress in BCC metals is developed using dislocation emission from a source and the formation of pile-ups, as rate-controlling mechanism. Employing an Eshelby-type analysis, the critical size of twin nucleus and twinning stress are correlated to the twin-boundary energy, which is directly related to the stacking-fault energy (SFE) for FCC metals. The effects of grain size and SFE are examined and the results indicate that the grain-scale pile-ups are not the source of the stress concentrations giving rise to twinning in FCC metals. The constitutive description of the slip-twinning transition are incorporated into the Weertman-Ashby deformation mechanism maps, thereby enabling the introduction of a twinning domain. This is illustrated for titanium with a grain size of 100 μm. © 2001 Acta Materialia Inc. Published by Elsevier Science Ltd. All rights reserved.","author":[{"dropping-particle":"","family":"Meyers","given":"M. A.","non-dropping-particle":"","parse-names":false,"suffix":""},{"dropping-particle":"","family":"Vöhringer","given":"O.","non-dropping-particle":"","parse-names":false,"suffix":""},{"dropping-particle":"","family":"Lubarda","given":"V. A.","non-dropping-particle":"","parse-names":false,"suffix":""}],"container-title":"Acta Materialia","id":"ITEM-2","issued":{"date-parts":[["2001"]]},"title":"The onset of twinning in metals: A constitutive description","type":"article-journal"},"uris":["http://www.mendeley.com/documents/?uuid=6aa4637f-c68f-485b-99cc-02cfbb792a5e"]}],"mendeley":{"formattedCitation":"[8,9]","plainTextFormattedCitation":"[8,9]","previouslyFormattedCitation":"[8,9]"},"properties":{"noteIndex":0},"schema":"https://github.com/citation-style-language/schema/raw/master/csl-citation.json"}</w:instrText>
      </w:r>
      <w:r w:rsidRPr="00D80AF7">
        <w:rPr>
          <w:rFonts w:asciiTheme="minorHAnsi" w:hAnsiTheme="minorHAnsi"/>
          <w:sz w:val="22"/>
          <w:szCs w:val="22"/>
          <w:lang w:val="en-GB"/>
        </w:rPr>
        <w:fldChar w:fldCharType="separate"/>
      </w:r>
      <w:r w:rsidRPr="00C84C26">
        <w:rPr>
          <w:rFonts w:asciiTheme="minorHAnsi" w:hAnsiTheme="minorHAnsi"/>
          <w:noProof/>
          <w:sz w:val="22"/>
          <w:szCs w:val="22"/>
          <w:lang w:val="en-GB"/>
        </w:rPr>
        <w:t>[8,9]</w:t>
      </w:r>
      <w:r w:rsidRPr="00D80AF7">
        <w:rPr>
          <w:rFonts w:asciiTheme="minorHAnsi" w:hAnsiTheme="minorHAnsi"/>
          <w:sz w:val="22"/>
          <w:szCs w:val="22"/>
          <w:lang w:val="en-GB"/>
        </w:rPr>
        <w:fldChar w:fldCharType="end"/>
      </w:r>
      <w:r w:rsidRPr="00D80AF7">
        <w:rPr>
          <w:rFonts w:asciiTheme="minorHAnsi" w:hAnsiTheme="minorHAnsi"/>
          <w:sz w:val="22"/>
          <w:szCs w:val="22"/>
          <w:lang w:val="en-GB"/>
        </w:rPr>
        <w:t xml:space="preserve">. When compared to the 12 slip systems present for the FCC structure, the BCC structure </w:t>
      </w:r>
      <w:r w:rsidRPr="007C247B">
        <w:rPr>
          <w:rFonts w:asciiTheme="minorHAnsi" w:hAnsiTheme="minorHAnsi"/>
          <w:noProof/>
          <w:sz w:val="22"/>
          <w:szCs w:val="22"/>
          <w:lang w:val="en-GB"/>
        </w:rPr>
        <w:t>po</w:t>
      </w:r>
      <w:r>
        <w:rPr>
          <w:rFonts w:asciiTheme="minorHAnsi" w:hAnsiTheme="minorHAnsi"/>
          <w:noProof/>
          <w:sz w:val="22"/>
          <w:szCs w:val="22"/>
          <w:lang w:val="en-GB"/>
        </w:rPr>
        <w:t>s</w:t>
      </w:r>
      <w:r w:rsidRPr="007C247B">
        <w:rPr>
          <w:rFonts w:asciiTheme="minorHAnsi" w:hAnsiTheme="minorHAnsi"/>
          <w:noProof/>
          <w:sz w:val="22"/>
          <w:szCs w:val="22"/>
          <w:lang w:val="en-GB"/>
        </w:rPr>
        <w:t>sesses</w:t>
      </w:r>
      <w:r w:rsidRPr="00D80AF7">
        <w:rPr>
          <w:rFonts w:asciiTheme="minorHAnsi" w:hAnsiTheme="minorHAnsi"/>
          <w:sz w:val="22"/>
          <w:szCs w:val="22"/>
          <w:lang w:val="en-GB"/>
        </w:rPr>
        <w:t xml:space="preserve"> 48 slip system. </w:t>
      </w:r>
      <w:r>
        <w:rPr>
          <w:rFonts w:asciiTheme="minorHAnsi" w:hAnsiTheme="minorHAnsi"/>
          <w:sz w:val="22"/>
          <w:szCs w:val="22"/>
          <w:lang w:val="en-GB"/>
        </w:rPr>
        <w:t xml:space="preserve">However, due to the lack of close-packed planes, the critical-resolved shear stress (CRSS) required to activate slip systems in BCC materials is much higher than </w:t>
      </w:r>
      <w:r w:rsidR="003611E3">
        <w:rPr>
          <w:rFonts w:asciiTheme="minorHAnsi" w:hAnsiTheme="minorHAnsi" w:hint="eastAsia"/>
          <w:sz w:val="22"/>
          <w:szCs w:val="22"/>
          <w:lang w:val="en-GB"/>
        </w:rPr>
        <w:t>that</w:t>
      </w:r>
      <w:r>
        <w:rPr>
          <w:rFonts w:asciiTheme="minorHAnsi" w:hAnsiTheme="minorHAnsi"/>
          <w:sz w:val="22"/>
          <w:szCs w:val="22"/>
          <w:lang w:val="en-GB"/>
        </w:rPr>
        <w:t xml:space="preserve"> required in FCC materials, α(BCC)-iron and γ-iron. </w:t>
      </w:r>
      <w:r w:rsidRPr="00D80AF7">
        <w:rPr>
          <w:rFonts w:asciiTheme="minorHAnsi" w:hAnsiTheme="minorHAnsi"/>
          <w:sz w:val="22"/>
          <w:szCs w:val="22"/>
          <w:lang w:val="en-GB"/>
        </w:rPr>
        <w:t xml:space="preserve">As a result, </w:t>
      </w:r>
      <w:r>
        <w:rPr>
          <w:rFonts w:asciiTheme="minorHAnsi" w:hAnsiTheme="minorHAnsi"/>
          <w:sz w:val="22"/>
          <w:szCs w:val="22"/>
          <w:lang w:val="en-GB"/>
        </w:rPr>
        <w:t>for</w:t>
      </w:r>
      <w:r w:rsidRPr="00D80AF7">
        <w:rPr>
          <w:rFonts w:asciiTheme="minorHAnsi" w:hAnsiTheme="minorHAnsi"/>
          <w:sz w:val="22"/>
          <w:szCs w:val="22"/>
          <w:lang w:val="en-GB"/>
        </w:rPr>
        <w:t xml:space="preserve"> RHEAs </w:t>
      </w:r>
      <w:r>
        <w:rPr>
          <w:rFonts w:asciiTheme="minorHAnsi" w:hAnsiTheme="minorHAnsi"/>
          <w:sz w:val="22"/>
          <w:szCs w:val="22"/>
          <w:lang w:val="en-GB"/>
        </w:rPr>
        <w:t>possessing mainly BCC phases</w:t>
      </w:r>
      <w:r w:rsidRPr="00D80AF7">
        <w:rPr>
          <w:rFonts w:asciiTheme="minorHAnsi" w:hAnsiTheme="minorHAnsi"/>
          <w:sz w:val="22"/>
          <w:szCs w:val="22"/>
          <w:lang w:val="en-GB"/>
        </w:rPr>
        <w:t xml:space="preserve">, </w:t>
      </w:r>
      <w:r>
        <w:rPr>
          <w:rFonts w:asciiTheme="minorHAnsi" w:hAnsiTheme="minorHAnsi"/>
          <w:sz w:val="22"/>
          <w:szCs w:val="22"/>
          <w:lang w:val="en-GB"/>
        </w:rPr>
        <w:t>limited ductility</w:t>
      </w:r>
      <w:r w:rsidRPr="00D80AF7">
        <w:rPr>
          <w:rFonts w:asciiTheme="minorHAnsi" w:hAnsiTheme="minorHAnsi"/>
          <w:sz w:val="22"/>
          <w:szCs w:val="22"/>
          <w:lang w:val="en-GB"/>
        </w:rPr>
        <w:t xml:space="preserve"> at room temperature</w:t>
      </w:r>
      <w:r>
        <w:rPr>
          <w:rFonts w:asciiTheme="minorHAnsi" w:hAnsiTheme="minorHAnsi"/>
          <w:sz w:val="22"/>
          <w:szCs w:val="22"/>
          <w:lang w:val="en-GB"/>
        </w:rPr>
        <w:t>s</w:t>
      </w:r>
      <w:r w:rsidRPr="00D80AF7">
        <w:rPr>
          <w:rFonts w:asciiTheme="minorHAnsi" w:hAnsiTheme="minorHAnsi"/>
          <w:sz w:val="22"/>
          <w:szCs w:val="22"/>
          <w:lang w:val="en-GB"/>
        </w:rPr>
        <w:t xml:space="preserve"> </w:t>
      </w:r>
      <w:r w:rsidRPr="00D80AF7">
        <w:rPr>
          <w:rFonts w:asciiTheme="minorHAnsi" w:hAnsiTheme="minorHAnsi"/>
          <w:noProof/>
          <w:sz w:val="22"/>
          <w:szCs w:val="22"/>
          <w:lang w:val="en-GB"/>
        </w:rPr>
        <w:t>was</w:t>
      </w:r>
      <w:r w:rsidRPr="00D80AF7">
        <w:rPr>
          <w:rFonts w:asciiTheme="minorHAnsi" w:hAnsiTheme="minorHAnsi"/>
          <w:sz w:val="22"/>
          <w:szCs w:val="22"/>
          <w:lang w:val="en-GB"/>
        </w:rPr>
        <w:t xml:space="preserve"> observed</w:t>
      </w:r>
      <w:r>
        <w:rPr>
          <w:rFonts w:asciiTheme="minorHAnsi" w:hAnsiTheme="minorHAnsi"/>
          <w:sz w:val="22"/>
          <w:szCs w:val="22"/>
          <w:lang w:val="en-GB"/>
        </w:rPr>
        <w:t xml:space="preserve">, hence limiting </w:t>
      </w:r>
      <w:r w:rsidR="003611E3">
        <w:rPr>
          <w:rFonts w:asciiTheme="minorHAnsi" w:hAnsiTheme="minorHAnsi"/>
          <w:sz w:val="22"/>
          <w:szCs w:val="22"/>
          <w:lang w:val="en-GB"/>
        </w:rPr>
        <w:t>their</w:t>
      </w:r>
      <w:r>
        <w:rPr>
          <w:rFonts w:asciiTheme="minorHAnsi" w:hAnsiTheme="minorHAnsi"/>
          <w:sz w:val="22"/>
          <w:szCs w:val="22"/>
          <w:lang w:val="en-GB"/>
        </w:rPr>
        <w:t xml:space="preserve"> application </w:t>
      </w:r>
      <w:r w:rsidRPr="00D80AF7">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{"citationItems":[{"id":"ITEM-1","itemData":{"DOI":"10.1557/jmr.2018.153","ISSN":"20445326","abstract":"&lt;p&gt; &lt;fig position=\"anchor\"&gt; &lt;graphic href=\"S088429141800153X_figAb\" mime-subtype=\"jpeg\" mimetype=\"image\" position=\"float\" type=\"simple\"/&gt; &lt;/fig&gt; &lt;/p&gt;","author":[{"dropping-particle":"","family":"Senkov","given":"Oleg N.","non-dropping-particle":"","parse-names":false,"suffix":""},{"dropping-particle":"","family":"Miracle","given":"Daniel B.","non-dropping-particle":"","parse-names":false,"suffix":""},{"dropping-particle":"","family":"Chaput","given":"Kevin J.","non-dropping-particle":"","parse-names":false,"suffix":""},{"dropping-particle":"","family":"Couzinie","given":"Jean Philippe","non-dropping-particle":"","parse-names":false,"suffix":""}],"container-title":"Journal of Materials Research","id":"ITEM-1","issued":{"date-parts":[["2018"]]},"title":"Development and exploration of refractory high entropy alloys - A review","type":"article"},"uris":["http://www.mendeley.com/documents/?uuid=e6c43fc8-a4f9-4e49-9aa6-1f9bb6c0e55d"]}],"mendeley":{"formattedCitation":"[7]","plainTextFormattedCitation":"[7]","previouslyFormattedCitation":"[7]"},"properties":{"noteIndex":0},"schema":"https://github.com/citation-style-language/schema/raw/master/csl-citation.json"}</w:instrText>
      </w:r>
      <w:r w:rsidRPr="00D80AF7">
        <w:rPr>
          <w:rFonts w:asciiTheme="minorHAnsi" w:hAnsiTheme="minorHAnsi"/>
          <w:sz w:val="22"/>
          <w:szCs w:val="22"/>
          <w:lang w:val="en-GB"/>
        </w:rPr>
        <w:fldChar w:fldCharType="separate"/>
      </w:r>
      <w:r w:rsidRPr="00C84C26">
        <w:rPr>
          <w:rFonts w:asciiTheme="minorHAnsi" w:hAnsiTheme="minorHAnsi"/>
          <w:noProof/>
          <w:sz w:val="22"/>
          <w:szCs w:val="22"/>
          <w:lang w:val="en-GB"/>
        </w:rPr>
        <w:t>[7]</w:t>
      </w:r>
      <w:r w:rsidRPr="00D80AF7">
        <w:rPr>
          <w:rFonts w:asciiTheme="minorHAnsi" w:hAnsiTheme="minorHAnsi"/>
          <w:sz w:val="22"/>
          <w:szCs w:val="22"/>
          <w:lang w:val="en-GB"/>
        </w:rPr>
        <w:fldChar w:fldCharType="end"/>
      </w:r>
      <w:r w:rsidRPr="00D80AF7">
        <w:rPr>
          <w:rFonts w:asciiTheme="minorHAnsi" w:hAnsiTheme="minorHAnsi"/>
          <w:sz w:val="22"/>
          <w:szCs w:val="22"/>
          <w:lang w:val="en-GB"/>
        </w:rPr>
        <w:t xml:space="preserve">. </w:t>
      </w:r>
      <w:r>
        <w:rPr>
          <w:rFonts w:asciiTheme="minorHAnsi" w:hAnsiTheme="minorHAnsi"/>
          <w:sz w:val="22"/>
          <w:szCs w:val="22"/>
          <w:lang w:val="en-GB"/>
        </w:rPr>
        <w:t>Therefore, i</w:t>
      </w:r>
      <w:r w:rsidRPr="00D80AF7">
        <w:rPr>
          <w:rFonts w:asciiTheme="minorHAnsi" w:hAnsiTheme="minorHAnsi"/>
          <w:sz w:val="22"/>
          <w:szCs w:val="22"/>
          <w:lang w:val="en-GB"/>
        </w:rPr>
        <w:t>n order</w:t>
      </w:r>
      <w:r w:rsidRPr="00D80AF7">
        <w:rPr>
          <w:rFonts w:asciiTheme="minorHAnsi" w:hAnsiTheme="minorHAnsi"/>
          <w:noProof/>
          <w:sz w:val="22"/>
          <w:szCs w:val="22"/>
          <w:lang w:val="en-GB"/>
        </w:rPr>
        <w:t xml:space="preserve"> to overcome this </w:t>
      </w:r>
      <w:r>
        <w:rPr>
          <w:rFonts w:asciiTheme="minorHAnsi" w:hAnsiTheme="minorHAnsi"/>
          <w:noProof/>
          <w:sz w:val="22"/>
          <w:szCs w:val="22"/>
          <w:lang w:val="en-GB"/>
        </w:rPr>
        <w:t xml:space="preserve">limitation </w:t>
      </w:r>
      <w:r w:rsidRPr="00D80AF7">
        <w:rPr>
          <w:rFonts w:asciiTheme="minorHAnsi" w:hAnsiTheme="minorHAnsi"/>
          <w:noProof/>
          <w:sz w:val="22"/>
          <w:szCs w:val="22"/>
          <w:lang w:val="en-GB"/>
        </w:rPr>
        <w:t xml:space="preserve">and </w:t>
      </w:r>
      <w:r>
        <w:rPr>
          <w:rFonts w:asciiTheme="minorHAnsi" w:hAnsiTheme="minorHAnsi"/>
          <w:noProof/>
          <w:sz w:val="22"/>
          <w:szCs w:val="22"/>
          <w:lang w:val="en-GB"/>
        </w:rPr>
        <w:t xml:space="preserve">produce RHEAs with increased ductility, there is a requirement to </w:t>
      </w:r>
      <w:r w:rsidRPr="00D80AF7">
        <w:rPr>
          <w:rFonts w:asciiTheme="minorHAnsi" w:hAnsiTheme="minorHAnsi"/>
          <w:sz w:val="22"/>
          <w:szCs w:val="22"/>
          <w:lang w:val="en-GB"/>
        </w:rPr>
        <w:t xml:space="preserve">design RHEAs with a ductile BCC matrix. </w:t>
      </w:r>
    </w:p>
    <w:p w14:paraId="0F83D593" w14:textId="59FB4109" w:rsidR="00B145BE" w:rsidRPr="00D80AF7" w:rsidRDefault="00B145BE" w:rsidP="00B145BE">
      <w:pPr>
        <w:pStyle w:val="Normal1"/>
        <w:spacing w:afterLines="60" w:after="144" w:line="360" w:lineRule="auto"/>
        <w:jc w:val="both"/>
        <w:rPr>
          <w:rFonts w:asciiTheme="minorHAnsi" w:hAnsiTheme="minorHAnsi"/>
          <w:sz w:val="22"/>
          <w:szCs w:val="22"/>
          <w:lang w:val="en-GB"/>
        </w:rPr>
      </w:pPr>
      <w:r w:rsidRPr="008A4C0A">
        <w:rPr>
          <w:rFonts w:asciiTheme="minorHAnsi" w:hAnsiTheme="minorHAnsi"/>
          <w:sz w:val="22"/>
          <w:szCs w:val="22"/>
          <w:lang w:val="en-GB"/>
        </w:rPr>
        <w:t xml:space="preserve">In general, the mechanical performance of certain alloys can </w:t>
      </w:r>
      <w:r w:rsidRPr="008A4C0A">
        <w:rPr>
          <w:rFonts w:asciiTheme="minorHAnsi" w:hAnsiTheme="minorHAnsi"/>
          <w:noProof/>
          <w:sz w:val="22"/>
          <w:szCs w:val="22"/>
          <w:lang w:val="en-GB"/>
        </w:rPr>
        <w:t>be directly reflected</w:t>
      </w:r>
      <w:r w:rsidRPr="008A4C0A">
        <w:rPr>
          <w:rFonts w:asciiTheme="minorHAnsi" w:hAnsiTheme="minorHAnsi"/>
          <w:sz w:val="22"/>
          <w:szCs w:val="22"/>
          <w:lang w:val="en-GB"/>
        </w:rPr>
        <w:t xml:space="preserve"> </w:t>
      </w:r>
      <w:r w:rsidRPr="008A4C0A">
        <w:rPr>
          <w:rFonts w:asciiTheme="minorHAnsi" w:hAnsiTheme="minorHAnsi"/>
          <w:noProof/>
          <w:sz w:val="22"/>
          <w:szCs w:val="22"/>
          <w:lang w:val="en-GB"/>
        </w:rPr>
        <w:t>through</w:t>
      </w:r>
      <w:r w:rsidRPr="008A4C0A">
        <w:rPr>
          <w:rFonts w:asciiTheme="minorHAnsi" w:hAnsiTheme="minorHAnsi"/>
          <w:sz w:val="22"/>
          <w:szCs w:val="22"/>
          <w:lang w:val="en-GB"/>
        </w:rPr>
        <w:t xml:space="preserve"> their </w:t>
      </w:r>
      <w:r>
        <w:rPr>
          <w:rFonts w:asciiTheme="minorHAnsi" w:hAnsiTheme="minorHAnsi"/>
          <w:sz w:val="22"/>
          <w:szCs w:val="22"/>
          <w:lang w:val="en-GB"/>
        </w:rPr>
        <w:t>elastic constants</w:t>
      </w:r>
      <w:r w:rsidRPr="008A4C0A">
        <w:rPr>
          <w:rFonts w:asciiTheme="minorHAnsi" w:hAnsiTheme="minorHAnsi"/>
          <w:sz w:val="22"/>
          <w:szCs w:val="22"/>
          <w:lang w:val="en-GB"/>
        </w:rPr>
        <w:t xml:space="preserve">. </w:t>
      </w:r>
      <w:r>
        <w:rPr>
          <w:rFonts w:asciiTheme="minorHAnsi" w:hAnsiTheme="minorHAnsi"/>
          <w:sz w:val="22"/>
          <w:szCs w:val="22"/>
          <w:lang w:val="en-GB"/>
        </w:rPr>
        <w:t>Main works have been</w:t>
      </w:r>
      <w:r w:rsidRPr="008A4C0A">
        <w:rPr>
          <w:rFonts w:asciiTheme="minorHAnsi" w:hAnsiTheme="minorHAnsi"/>
          <w:sz w:val="22"/>
          <w:szCs w:val="22"/>
          <w:lang w:val="en-GB"/>
        </w:rPr>
        <w:t xml:space="preserve"> conducted to investigate the elastic </w:t>
      </w:r>
      <w:r w:rsidRPr="008A4C0A">
        <w:rPr>
          <w:rFonts w:asciiTheme="minorHAnsi" w:hAnsiTheme="minorHAnsi"/>
          <w:noProof/>
          <w:sz w:val="22"/>
          <w:szCs w:val="22"/>
          <w:lang w:val="en-GB"/>
        </w:rPr>
        <w:t>properties</w:t>
      </w:r>
      <w:r w:rsidRPr="008A4C0A">
        <w:rPr>
          <w:rFonts w:asciiTheme="minorHAnsi" w:hAnsiTheme="minorHAnsi"/>
          <w:sz w:val="22"/>
          <w:szCs w:val="22"/>
          <w:lang w:val="en-GB"/>
        </w:rPr>
        <w:t xml:space="preserve"> of RHEAs and </w:t>
      </w:r>
      <w:r>
        <w:rPr>
          <w:rFonts w:asciiTheme="minorHAnsi" w:hAnsiTheme="minorHAnsi"/>
          <w:noProof/>
          <w:sz w:val="22"/>
          <w:szCs w:val="22"/>
          <w:lang w:val="en-GB"/>
        </w:rPr>
        <w:t>subsequently used</w:t>
      </w:r>
      <w:r w:rsidRPr="008A4C0A">
        <w:rPr>
          <w:rFonts w:asciiTheme="minorHAnsi" w:hAnsiTheme="minorHAnsi"/>
          <w:sz w:val="22"/>
          <w:szCs w:val="22"/>
          <w:lang w:val="en-GB"/>
        </w:rPr>
        <w:t xml:space="preserve"> to predict the</w:t>
      </w:r>
      <w:r>
        <w:rPr>
          <w:rFonts w:asciiTheme="minorHAnsi" w:hAnsiTheme="minorHAnsi"/>
          <w:sz w:val="22"/>
          <w:szCs w:val="22"/>
          <w:lang w:val="en-GB"/>
        </w:rPr>
        <w:t>ir</w:t>
      </w:r>
      <w:r w:rsidRPr="008A4C0A">
        <w:rPr>
          <w:rFonts w:asciiTheme="minorHAnsi" w:hAnsiTheme="minorHAnsi"/>
          <w:sz w:val="22"/>
          <w:szCs w:val="22"/>
          <w:lang w:val="en-GB"/>
        </w:rPr>
        <w:t xml:space="preserve"> mechanical performance. From the comparison of </w:t>
      </w:r>
      <w:r w:rsidRPr="00ED7740">
        <w:rPr>
          <w:rFonts w:asciiTheme="minorHAnsi" w:hAnsiTheme="minorHAnsi"/>
          <w:i/>
          <w:sz w:val="22"/>
          <w:szCs w:val="22"/>
          <w:lang w:val="en-GB"/>
        </w:rPr>
        <w:t>ab initio</w:t>
      </w:r>
      <w:r w:rsidRPr="008A4C0A">
        <w:rPr>
          <w:rFonts w:asciiTheme="minorHAnsi" w:hAnsiTheme="minorHAnsi"/>
          <w:sz w:val="22"/>
          <w:szCs w:val="22"/>
          <w:lang w:val="en-GB"/>
        </w:rPr>
        <w:t xml:space="preserve"> simulated result</w:t>
      </w:r>
      <w:r>
        <w:rPr>
          <w:rFonts w:asciiTheme="minorHAnsi" w:hAnsiTheme="minorHAnsi"/>
          <w:sz w:val="22"/>
          <w:szCs w:val="22"/>
          <w:lang w:val="en-GB"/>
        </w:rPr>
        <w:t>s</w:t>
      </w:r>
      <w:r w:rsidRPr="008A4C0A">
        <w:rPr>
          <w:rFonts w:asciiTheme="minorHAnsi" w:hAnsiTheme="minorHAnsi"/>
          <w:sz w:val="22"/>
          <w:szCs w:val="22"/>
          <w:lang w:val="en-GB"/>
        </w:rPr>
        <w:t xml:space="preserve"> </w:t>
      </w:r>
      <w:r>
        <w:rPr>
          <w:rFonts w:asciiTheme="minorHAnsi" w:hAnsiTheme="minorHAnsi"/>
          <w:sz w:val="22"/>
          <w:szCs w:val="22"/>
          <w:lang w:val="en-GB"/>
        </w:rPr>
        <w:t>with</w:t>
      </w:r>
      <w:r w:rsidRPr="008A4C0A">
        <w:rPr>
          <w:rFonts w:asciiTheme="minorHAnsi" w:hAnsiTheme="minorHAnsi"/>
          <w:sz w:val="22"/>
          <w:szCs w:val="22"/>
          <w:lang w:val="en-GB"/>
        </w:rPr>
        <w:t xml:space="preserve"> experimen</w:t>
      </w:r>
      <w:r w:rsidRPr="00D80AF7">
        <w:rPr>
          <w:rFonts w:asciiTheme="minorHAnsi" w:hAnsiTheme="minorHAnsi"/>
          <w:sz w:val="22"/>
          <w:szCs w:val="22"/>
          <w:lang w:val="en-GB"/>
        </w:rPr>
        <w:t>tal result</w:t>
      </w:r>
      <w:r>
        <w:rPr>
          <w:rFonts w:asciiTheme="minorHAnsi" w:hAnsiTheme="minorHAnsi"/>
          <w:sz w:val="22"/>
          <w:szCs w:val="22"/>
          <w:lang w:val="en-GB"/>
        </w:rPr>
        <w:t>s</w:t>
      </w:r>
      <w:r w:rsidRPr="00D80AF7">
        <w:rPr>
          <w:rFonts w:asciiTheme="minorHAnsi" w:hAnsiTheme="minorHAnsi"/>
          <w:sz w:val="22"/>
          <w:szCs w:val="22"/>
          <w:lang w:val="en-GB"/>
        </w:rPr>
        <w:t>, elastic</w:t>
      </w:r>
      <w:r w:rsidR="003611E3">
        <w:rPr>
          <w:rFonts w:asciiTheme="minorHAnsi" w:hAnsiTheme="minorHAnsi"/>
          <w:sz w:val="22"/>
          <w:szCs w:val="22"/>
          <w:lang w:val="en-GB"/>
        </w:rPr>
        <w:t>ity</w:t>
      </w:r>
      <w:r w:rsidRPr="00D80AF7">
        <w:rPr>
          <w:rFonts w:asciiTheme="minorHAnsi" w:hAnsiTheme="minorHAnsi"/>
          <w:sz w:val="22"/>
          <w:szCs w:val="22"/>
          <w:lang w:val="en-GB"/>
        </w:rPr>
        <w:t xml:space="preserve"> isotropic RHEAs </w:t>
      </w:r>
      <w:r>
        <w:rPr>
          <w:rFonts w:asciiTheme="minorHAnsi" w:hAnsiTheme="minorHAnsi"/>
          <w:noProof/>
          <w:sz w:val="22"/>
          <w:szCs w:val="22"/>
          <w:lang w:val="en-GB"/>
        </w:rPr>
        <w:t>were</w:t>
      </w:r>
      <w:r w:rsidRPr="00D80AF7">
        <w:rPr>
          <w:rFonts w:asciiTheme="minorHAnsi" w:hAnsiTheme="minorHAnsi"/>
          <w:noProof/>
          <w:sz w:val="22"/>
          <w:szCs w:val="22"/>
          <w:lang w:val="en-GB"/>
        </w:rPr>
        <w:t xml:space="preserve"> predicted</w:t>
      </w:r>
      <w:r>
        <w:rPr>
          <w:rFonts w:asciiTheme="minorHAnsi" w:hAnsiTheme="minorHAnsi"/>
          <w:noProof/>
          <w:sz w:val="22"/>
          <w:szCs w:val="22"/>
          <w:lang w:val="en-GB"/>
        </w:rPr>
        <w:t xml:space="preserve"> to have greater ductility than </w:t>
      </w:r>
      <w:r w:rsidRPr="00D80AF7">
        <w:rPr>
          <w:rFonts w:asciiTheme="minorHAnsi" w:hAnsiTheme="minorHAnsi"/>
          <w:sz w:val="22"/>
          <w:szCs w:val="22"/>
          <w:lang w:val="en-GB"/>
        </w:rPr>
        <w:t>elastic</w:t>
      </w:r>
      <w:r>
        <w:rPr>
          <w:rFonts w:asciiTheme="minorHAnsi" w:hAnsiTheme="minorHAnsi"/>
          <w:sz w:val="22"/>
          <w:szCs w:val="22"/>
          <w:lang w:val="en-GB"/>
        </w:rPr>
        <w:t>ally</w:t>
      </w:r>
      <w:r w:rsidRPr="00D80AF7">
        <w:rPr>
          <w:rFonts w:asciiTheme="minorHAnsi" w:hAnsiTheme="minorHAnsi"/>
          <w:sz w:val="22"/>
          <w:szCs w:val="22"/>
          <w:lang w:val="en-GB"/>
        </w:rPr>
        <w:t xml:space="preserve"> anisotrop</w:t>
      </w:r>
      <w:r>
        <w:rPr>
          <w:rFonts w:asciiTheme="minorHAnsi" w:hAnsiTheme="minorHAnsi"/>
          <w:sz w:val="22"/>
          <w:szCs w:val="22"/>
          <w:lang w:val="en-GB"/>
        </w:rPr>
        <w:t>ic</w:t>
      </w:r>
      <w:r w:rsidRPr="00D80AF7">
        <w:rPr>
          <w:rFonts w:asciiTheme="minorHAnsi" w:hAnsiTheme="minorHAnsi"/>
          <w:sz w:val="22"/>
          <w:szCs w:val="22"/>
          <w:lang w:val="en-GB"/>
        </w:rPr>
        <w:t xml:space="preserve"> RHEAs</w:t>
      </w:r>
      <w:r>
        <w:rPr>
          <w:rFonts w:asciiTheme="minorHAnsi" w:hAnsiTheme="minorHAnsi"/>
          <w:sz w:val="22"/>
          <w:szCs w:val="22"/>
          <w:lang w:val="en-GB"/>
        </w:rPr>
        <w:t xml:space="preserve"> </w:t>
      </w:r>
      <w:r w:rsidRPr="00D80AF7">
        <w:rPr>
          <w:rFonts w:asciiTheme="minorHAnsi" w:hAnsiTheme="minorHAnsi"/>
          <w:sz w:val="22"/>
          <w:szCs w:val="22"/>
          <w:lang w:val="en-GB"/>
        </w:rPr>
        <w:fldChar w:fldCharType="begin" w:fldLock="1"/>
      </w:r>
      <w:r>
        <w:rPr>
          <w:rFonts w:asciiTheme="minorHAnsi" w:hAnsiTheme="minorHAnsi"/>
          <w:sz w:val="22"/>
          <w:szCs w:val="22"/>
          <w:lang w:val="en-GB"/>
        </w:rPr>
        <w:instrText xml:space="preserve">ADDIN CSL_CITATION {"citationItems":[{"id":"ITEM-1","itemData":{"DOI":"10.1088/0953-8984/27/7/075401","ISBN":"0953-8984","ISSN":"1361648X","PMID":"25640032","abstract":"The Al(x)MoNbTiV (x = 0-1.5) high-entropy alloys (HEAs) adopt a single solid-solution phase, having the body centered cubic (bcc) crystal structure. Here we employ the ab initio exact muffin-tin orbitals method in combination with the coherent potential approximation to investigate the equilibrium volume, elastic constants, and polycrystalline elastic moduli of Al(x)MoNbTiV HEAs. A comparison between the ab initio and experimental equilibrium volumes demonstrates the validity and accuracy of the present approach. Our results indicate that Al addition decreases the thermodynamic stability of the bcc structure with respect to face-centered cubic and hexagonal close packed lattices. For the elastically isotropic Al(0.4)MoNbTiV HEAs, the valence electron concentration (VEC) is about 4.82, which is slightly different from VEC </w:instrText>
      </w:r>
      <w:r>
        <w:rPr>
          <w:rFonts w:ascii="Cambria Math" w:hAnsi="Cambria Math" w:cs="Cambria Math"/>
          <w:sz w:val="22"/>
          <w:szCs w:val="22"/>
          <w:lang w:val="en-GB"/>
        </w:rPr>
        <w:instrText>∼</w:instrText>
      </w:r>
      <w:r>
        <w:rPr>
          <w:rFonts w:asciiTheme="minorHAnsi" w:hAnsiTheme="minorHAnsi"/>
          <w:sz w:val="22"/>
          <w:szCs w:val="22"/>
          <w:lang w:val="en-GB"/>
        </w:rPr>
        <w:instrText xml:space="preserve"> 4.72 obtained for the isotropic Gum metals and refractory--HEAs.","author":[{"dropping-particle":"","family":"Cao","given":"Peiyu","non-dropping-particle":"","parse-names":false,"suffix":""},{"dropping-particle":"","family":"Ni","given":"Xiaodong","non-dropping-particle":"","parse-names":false,"suffix":""},{"dropping-particle":"","family":"Tian","given":"Fuyang","non-dropping-particle":"","parse-names":false,"suffix":""},{"dropping-particle":"","family":"Varga","given":"Lajos K.","non-dropping-particle":"","parse-names":false,"suffix":""},{"dropping-particle":"","family":"Vitos","given":"Levente","non-dropping-particle":"","parse-names":false,"suffix":""}],"container-title":"Journal of Physics Condensed Matter","id":"ITEM-1","issued":{"date-parts":[["2015"]]},"title":"Ab initio study of AlxMoNbTiV high-entropy alloys","type":"article-journal"},"uris":["http://www.mendeley.com/documents/?uuid=da9674b8-29c8-4502-aab1-de8d145afb3e"]},{"id":"ITEM-2","itemData":{"DOI":"10.1016/j.jallcom.2014.01.237","ISBN":"0925-8388","ISSN":"09258388","abstract":"The TiZrVNb and TiZrNbMoVx (x = 0-1.5) high-entropy alloys (HEAs) are single-phase solid solutions having the body centered cubic crystallographic structure. Here we use the ab initio exact muffin-tin orbitals method in combination with the coherent potential approximation to study the equilibrium bulk properties of the above refractory HEAs. We provide a detailed investigation of the effect of alloying elements on the electronic structure and elastic parameters. Our results indicate that vanadium enhances the anisotropy of TiZrNbMoVx. As an application of the present theoretical database, we verify the often quoted correlation between the valence electron concentration (VEC) and the micro-mechanical properties in the case of multi-component alloys. Furthermore, we predict that the present HEAs become elastically isotropic for VEC</w:instrText>
      </w:r>
      <w:r>
        <w:rPr>
          <w:rFonts w:ascii="Cambria Math" w:hAnsi="Cambria Math" w:cs="Cambria Math"/>
          <w:sz w:val="22"/>
          <w:szCs w:val="22"/>
          <w:lang w:val="en-GB"/>
        </w:rPr>
        <w:instrText>∼</w:instrText>
      </w:r>
      <w:r>
        <w:rPr>
          <w:rFonts w:asciiTheme="minorHAnsi" w:hAnsiTheme="minorHAnsi"/>
          <w:sz w:val="22"/>
          <w:szCs w:val="22"/>
          <w:lang w:val="en-GB"/>
        </w:rPr>
        <w:instrText xml:space="preserve">4.72. </w:instrText>
      </w:r>
      <w:r>
        <w:rPr>
          <w:rFonts w:ascii="Calibri" w:hAnsi="Calibri" w:cs="Calibri"/>
          <w:sz w:val="22"/>
          <w:szCs w:val="22"/>
          <w:lang w:val="en-GB"/>
        </w:rPr>
        <w:instrText>©</w:instrText>
      </w:r>
      <w:r>
        <w:rPr>
          <w:rFonts w:asciiTheme="minorHAnsi" w:hAnsiTheme="minorHAnsi"/>
          <w:sz w:val="22"/>
          <w:szCs w:val="22"/>
          <w:lang w:val="en-GB"/>
        </w:rPr>
        <w:instrText xml:space="preserve"> 2014 Elsevier B.V. All rights reserved.","author":[{"dropping-particle":"","family":"Tian","given":"Fuyang","non-dropping-particle":"","parse-names":false,"suffix":""},{"dropping-particle":"","family":"Varga","given":"Lajos Karoly","non-dropping-particle":"","parse-names":false,"suffix":""},{"dropping-particle":"","family":"Chen","given":"Nanxian","non-dropping-particle":"","parse-names":false,"suffix":""},{"dropping-particle":"","family":"Shen","given":"Jiang","non-dropping-particle":"","parse-names":false,"suffix":""},{"dropping-particle":"","family":"Vitos","given":"Levente","non-dropping-particle":"","parse-names":false,"suffix":""}],"container-title":"Journal of Alloys and Compounds","id":"ITEM-2","issued":{"date-parts":[["2014"]]},"title":"Ab initio design of elastically isotropic TiZrNbMoVx high-entropy alloys","type":"article-journal"},"uris":["http://www.mendeley.com/documents/?uuid=11ffa549-45a0-4157-8c75-fd8cfb3af1e0"]},{"id":"ITEM-3","itemData":{"DOI":"10.1103/PhysRevB.88.085128","ISBN":"0925-8388","ISSN":"10980121","abstract":"First-principles alloy theory predicts that at room temperature the paramagnetic NiCoFeCrAl x high entropy alloys adopt the face centered cubic (fcc) structure for x 0.60 and the body centered cubic (bcc) structure for x 1.23, with an fcc-bcc duplex region in between the two pure phases. The calculated single-and polycrystal elastic parameters exhibit strong composition and crystal structure dependence. Based on the present theoretical findings, it is concluded that alloys around the equimolar NiCoFeCrAl composition have superior mechanical performance as compared to the single-phase regions. DOI: 10.1103/PhysRevB.88.085128 PACS number(s): 62.20.D−, 71.20.Be, 81.05.Bx","author":[{"dropping-particle":"","family":"Tian","given":"Fuyang","non-dropping-particle":"","parse-names":false,"suffix":""},{"dropping-particle":"","family":"Delczeg","given":"Lorand","non-dropping-particle":"","parse-names":false,"suffix":""},{"dropping-particle":"","family":"Chen","given":"Nanxian","non-dropping-particle":"","parse-names":false,"suffix":""},{"dropping-particle":"","family":"Varga","given":"Lajos Karoly","non-dropping-particle":"","parse-names":false,"suffix":""},{"dropping-particle":"","family":"Shen","given":"Jiang","non-dropping-particle":"","parse-names":false,"suffix":""},{"dropping-particle":"","family":"Vitos","given":"Levente","non-dropping-particle":"","parse-names":false,"suffix":""}],"container-title":"Physical Review B - Condensed Matter and Materials Physics","id":"ITEM-3","issued":{"date-parts":[["2013"]]},"title":"Structural stability of NiCoFeCrAlx high-entropy alloy from ab initio theory","type":"article-journal"},"uris":["http://www.mendeley.com/documents/?uuid=c1e19632-36d4-46c1-8cb6-ca5bbe11a590"]}],"mendeley":{"formattedCitation":"[10–12]","plainTextFormattedCitation":"[10–12]","previouslyFormattedCitation":"[10–12]"},"properties":{"noteIndex":0},"schema":"https://github.com/citation-style-language/schema/raw/master/csl-citation.json"}</w:instrText>
      </w:r>
      <w:r w:rsidRPr="00D80AF7">
        <w:rPr>
          <w:rFonts w:asciiTheme="minorHAnsi" w:hAnsiTheme="minorHAnsi"/>
          <w:sz w:val="22"/>
          <w:szCs w:val="22"/>
          <w:lang w:val="en-GB"/>
        </w:rPr>
        <w:fldChar w:fldCharType="separate"/>
      </w:r>
      <w:r w:rsidRPr="00C84C26">
        <w:rPr>
          <w:rFonts w:asciiTheme="minorHAnsi" w:hAnsiTheme="minorHAnsi"/>
          <w:noProof/>
          <w:sz w:val="22"/>
          <w:szCs w:val="22"/>
          <w:lang w:val="en-GB"/>
        </w:rPr>
        <w:t>[10–12]</w:t>
      </w:r>
      <w:r w:rsidRPr="00D80AF7">
        <w:rPr>
          <w:rFonts w:asciiTheme="minorHAnsi" w:hAnsiTheme="minorHAnsi"/>
          <w:sz w:val="22"/>
          <w:szCs w:val="22"/>
          <w:lang w:val="en-GB"/>
        </w:rPr>
        <w:fldChar w:fldCharType="end"/>
      </w:r>
      <w:r w:rsidRPr="00D80AF7">
        <w:rPr>
          <w:rFonts w:asciiTheme="minorHAnsi" w:hAnsiTheme="minorHAnsi"/>
          <w:sz w:val="22"/>
          <w:szCs w:val="22"/>
          <w:lang w:val="en-GB"/>
        </w:rPr>
        <w:t xml:space="preserve">. Using </w:t>
      </w:r>
      <w:r w:rsidR="003611E3">
        <w:rPr>
          <w:rFonts w:asciiTheme="minorHAnsi" w:hAnsiTheme="minorHAnsi"/>
          <w:sz w:val="22"/>
          <w:szCs w:val="22"/>
          <w:lang w:val="en-GB"/>
        </w:rPr>
        <w:t xml:space="preserve">the </w:t>
      </w:r>
      <w:r w:rsidRPr="00D80AF7">
        <w:rPr>
          <w:rFonts w:asciiTheme="minorHAnsi" w:hAnsiTheme="minorHAnsi"/>
          <w:sz w:val="22"/>
          <w:szCs w:val="22"/>
          <w:lang w:val="en-GB"/>
        </w:rPr>
        <w:t xml:space="preserve">EMTO-CPA method, several </w:t>
      </w:r>
      <w:r>
        <w:rPr>
          <w:rFonts w:asciiTheme="minorHAnsi" w:hAnsiTheme="minorHAnsi"/>
          <w:sz w:val="22"/>
          <w:szCs w:val="22"/>
          <w:lang w:val="en-GB"/>
        </w:rPr>
        <w:t xml:space="preserve">ductile </w:t>
      </w:r>
      <w:r w:rsidRPr="00D80AF7">
        <w:rPr>
          <w:rFonts w:asciiTheme="minorHAnsi" w:hAnsiTheme="minorHAnsi"/>
          <w:sz w:val="22"/>
          <w:szCs w:val="22"/>
          <w:lang w:val="en-GB"/>
        </w:rPr>
        <w:t>elastic isotropic RHEAs including TiZrNbMo</w:t>
      </w:r>
      <w:r w:rsidRPr="00D80AF7">
        <w:rPr>
          <w:rFonts w:asciiTheme="minorHAnsi" w:hAnsiTheme="minorHAnsi"/>
          <w:sz w:val="22"/>
          <w:szCs w:val="22"/>
          <w:vertAlign w:val="subscript"/>
          <w:lang w:val="en-GB"/>
        </w:rPr>
        <w:t>0.8</w:t>
      </w:r>
      <w:r w:rsidRPr="00D80AF7">
        <w:rPr>
          <w:rFonts w:asciiTheme="minorHAnsi" w:hAnsiTheme="minorHAnsi"/>
          <w:sz w:val="22"/>
          <w:szCs w:val="22"/>
          <w:lang w:val="en-GB"/>
        </w:rPr>
        <w:t>V</w:t>
      </w:r>
      <w:r w:rsidRPr="00D80AF7">
        <w:rPr>
          <w:rFonts w:asciiTheme="minorHAnsi" w:hAnsiTheme="minorHAnsi"/>
          <w:sz w:val="22"/>
          <w:szCs w:val="22"/>
          <w:vertAlign w:val="subscript"/>
          <w:lang w:val="en-GB"/>
        </w:rPr>
        <w:t>0.5</w:t>
      </w:r>
      <w:r>
        <w:rPr>
          <w:rFonts w:asciiTheme="minorHAnsi" w:hAnsiTheme="minorHAnsi"/>
          <w:sz w:val="22"/>
          <w:szCs w:val="22"/>
          <w:vertAlign w:val="subscript"/>
          <w:lang w:val="en-GB"/>
        </w:rPr>
        <w:t xml:space="preserve"> </w:t>
      </w:r>
      <w:r w:rsidRPr="00D80AF7">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{"citationItems":[{"id":"ITEM-1","itemData":{"DOI":"10.1007/s11837-012-0366-5","ISBN":"1047-4838","ISSN":"10474838","PMID":"20528867","abstract":"This article reviews the recent work on the high-entropy alloys (HEAs)\\nin our group and others. HEAs usually contain five or more elements, and\\nthus, the phase diagram of HEAs is often not available to be used to\\ndesign the alloys. We have proposed that the parameters of delta and\\nOmega can be used to predict the phase formation of HEAs, namely Omega a\\nparts per thousand yen 1.1 and delta a parts per thousand currency sign\\n6.6%, which are required to form solid-solution phases. To test this\\ncriterion, alloys of TiZrNbMoV (x) and CoCrFeNiAlNb (x) were prepared.\\nTheir microstructures mainly consist of simple body-centered cubic solid\\nsolutions at low Nb contents. TiZrNbMoV (x) alloys possess excellent\\nmechanical properties. Bridgman solidification was also used to control\\nthe microstructure of the CoCrFeNiAl alloy, and its plasticity was\\nimproved to be about 30%. To our surprise, the CoCrFeNiAl HEAs exhibit\\nno apparent ductile-to-brittle transition even when the temperatures are\\nlowered from 298 K to 77 K.","author":[{"dropping-particle":"","family":"Zhang","given":"Y.","non-dropping-particle":"","parse-names":false,"suffix":""},{"dropping-particle":"","family":"Yang","given":"X.","non-dropping-particle":"","parse-names":false,"suffix":""},{"dropping-particle":"","family":"Liaw","given":"P. K.","non-dropping-particle":"","parse-names":false,"suffix":""}],"container-title":"JOM","id":"ITEM-1","issued":{"date-parts":[["2012"]]},"title":"Alloy design and properties optimization of high-entropy alloys","type":"article"},"uris":["http://www.mendeley.com/documents/?uuid=df915709-160d-4df6-ad32-e4f9ba4caf47"]}],"mendeley":{"formattedCitation":"[13]","plainTextFormattedCitation":"[13]","previouslyFormattedCitation":"[13]"},"properties":{"noteIndex":0},"schema":"https://github.com/citation-style-language/schema/raw/master/csl-citation.json"}</w:instrText>
      </w:r>
      <w:r w:rsidRPr="00D80AF7">
        <w:rPr>
          <w:rFonts w:asciiTheme="minorHAnsi" w:hAnsiTheme="minorHAnsi"/>
          <w:sz w:val="22"/>
          <w:szCs w:val="22"/>
          <w:lang w:val="en-GB"/>
        </w:rPr>
        <w:fldChar w:fldCharType="separate"/>
      </w:r>
      <w:r w:rsidRPr="00C84C26">
        <w:rPr>
          <w:rFonts w:asciiTheme="minorHAnsi" w:hAnsiTheme="minorHAnsi"/>
          <w:noProof/>
          <w:sz w:val="22"/>
          <w:szCs w:val="22"/>
          <w:lang w:val="en-GB"/>
        </w:rPr>
        <w:t>[13]</w:t>
      </w:r>
      <w:r w:rsidRPr="00D80AF7">
        <w:rPr>
          <w:rFonts w:asciiTheme="minorHAnsi" w:hAnsiTheme="minorHAnsi"/>
          <w:sz w:val="22"/>
          <w:szCs w:val="22"/>
          <w:lang w:val="en-GB"/>
        </w:rPr>
        <w:fldChar w:fldCharType="end"/>
      </w:r>
      <w:r w:rsidRPr="00D80AF7">
        <w:rPr>
          <w:rFonts w:asciiTheme="minorHAnsi" w:hAnsiTheme="minorHAnsi"/>
          <w:sz w:val="22"/>
          <w:szCs w:val="22"/>
          <w:lang w:val="en-GB"/>
        </w:rPr>
        <w:t xml:space="preserve"> and TiVNbMoAl</w:t>
      </w:r>
      <w:r w:rsidRPr="00D80AF7">
        <w:rPr>
          <w:rFonts w:asciiTheme="minorHAnsi" w:hAnsiTheme="minorHAnsi"/>
          <w:sz w:val="22"/>
          <w:szCs w:val="22"/>
          <w:vertAlign w:val="subscript"/>
          <w:lang w:val="en-GB"/>
        </w:rPr>
        <w:t>0.4</w:t>
      </w:r>
      <w:r>
        <w:rPr>
          <w:rFonts w:asciiTheme="minorHAnsi" w:hAnsiTheme="minorHAnsi"/>
          <w:sz w:val="22"/>
          <w:szCs w:val="22"/>
          <w:vertAlign w:val="subscript"/>
          <w:lang w:val="en-GB"/>
        </w:rPr>
        <w:t xml:space="preserve"> </w:t>
      </w:r>
      <w:r w:rsidRPr="00D80AF7">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{"citationItems":[{"id":"ITEM-1","itemData":{"DOI":"10.3390/e16020870","ISBN":"1099-4300","ISSN":"10994300","abstract":"A series of high entropy alloys (HEAs), AlxNbTiMoV, was produced by a vacuum arc-melting method. Their microstructures and compressive mechanical behavior at room temperature were investigated. It has been found that a single solid-solution phase with a body-centered cubic (BCC) crystal structure forms in these alloys. Among these alloys, Al0.5NbTiMoV reaches the highest yield strength (1,625 MPa), which should be attributed to the considerable solid-solution strengthening behavior. Furthermore, serration and crackling noises near the yielding point was observed in the NbTiMoV alloy, which represents the first such reported phenomenon at room temperature in HEAs.","author":[{"dropping-particle":"","family":"Chen","given":"Shu Ying","non-dropping-particle":"","parse-names":false,"suffix":""},{"dropping-particle":"","family":"Yang","given":"Xiao","non-dropping-particle":"","parse-names":false,"suffix":""},{"dropping-particle":"","family":"Dahmen","given":"Karin A.","non-dropping-particle":"","parse-names":false,"suffix":""},{"dropping-particle":"","family":"Liaw","given":"Peter K.","non-dropping-particle":"","parse-names":false,"suffix":""},{"dropping-particle":"","family":"Zhang","given":"Yong","non-dropping-particle":"","parse-names":false,"suffix":""}],"container-title":"Entropy","id":"ITEM-1","issued":{"date-parts":[["2014"]]},"title":"Microstructures and crackling noise of AlxNbTiMoV high entropy alloys","type":"article-journal"},"uris":["http://www.mendeley.com/documents/?uuid=86b1f372-d8b1-4176-9765-5e7e5cf02a8a"]}],"mendeley":{"formattedCitation":"[14]","plainTextFormattedCitation":"[14]","previouslyFormattedCitation":"[14]"},"properties":{"noteIndex":0},"schema":"https://github.com/citation-style-language/schema/raw/master/csl-citation.json"}</w:instrText>
      </w:r>
      <w:r w:rsidRPr="00D80AF7">
        <w:rPr>
          <w:rFonts w:asciiTheme="minorHAnsi" w:hAnsiTheme="minorHAnsi"/>
          <w:sz w:val="22"/>
          <w:szCs w:val="22"/>
          <w:lang w:val="en-GB"/>
        </w:rPr>
        <w:fldChar w:fldCharType="separate"/>
      </w:r>
      <w:r w:rsidRPr="00C84C26">
        <w:rPr>
          <w:rFonts w:asciiTheme="minorHAnsi" w:hAnsiTheme="minorHAnsi"/>
          <w:noProof/>
          <w:sz w:val="22"/>
          <w:szCs w:val="22"/>
          <w:lang w:val="en-GB"/>
        </w:rPr>
        <w:t>[14]</w:t>
      </w:r>
      <w:r w:rsidRPr="00D80AF7">
        <w:rPr>
          <w:rFonts w:asciiTheme="minorHAnsi" w:hAnsiTheme="minorHAnsi"/>
          <w:sz w:val="22"/>
          <w:szCs w:val="22"/>
          <w:lang w:val="en-GB"/>
        </w:rPr>
        <w:fldChar w:fldCharType="end"/>
      </w:r>
      <w:r>
        <w:rPr>
          <w:rFonts w:asciiTheme="minorHAnsi" w:hAnsiTheme="minorHAnsi"/>
          <w:sz w:val="22"/>
          <w:szCs w:val="22"/>
          <w:lang w:val="en-GB"/>
        </w:rPr>
        <w:t>,</w:t>
      </w:r>
      <w:r w:rsidRPr="00D80AF7">
        <w:rPr>
          <w:rFonts w:asciiTheme="minorHAnsi" w:hAnsiTheme="minorHAnsi"/>
          <w:sz w:val="22"/>
          <w:szCs w:val="22"/>
          <w:lang w:val="en-GB"/>
        </w:rPr>
        <w:t xml:space="preserve"> were successfully </w:t>
      </w:r>
      <w:r>
        <w:rPr>
          <w:rFonts w:asciiTheme="minorHAnsi" w:hAnsiTheme="minorHAnsi"/>
          <w:noProof/>
          <w:sz w:val="22"/>
          <w:szCs w:val="22"/>
          <w:lang w:val="en-GB"/>
        </w:rPr>
        <w:t>designed</w:t>
      </w:r>
      <w:r w:rsidRPr="00D80AF7">
        <w:rPr>
          <w:rFonts w:asciiTheme="minorHAnsi" w:hAnsiTheme="minorHAnsi"/>
          <w:sz w:val="22"/>
          <w:szCs w:val="22"/>
          <w:lang w:val="en-GB"/>
        </w:rPr>
        <w:t xml:space="preserve"> and tested. However, as previously discussed in the </w:t>
      </w:r>
      <w:r w:rsidRPr="00D80AF7">
        <w:rPr>
          <w:rFonts w:asciiTheme="minorHAnsi" w:hAnsiTheme="minorHAnsi"/>
          <w:noProof/>
          <w:sz w:val="22"/>
          <w:szCs w:val="22"/>
          <w:lang w:val="en-GB"/>
        </w:rPr>
        <w:t>literature</w:t>
      </w:r>
      <w:r w:rsidRPr="00D80AF7">
        <w:rPr>
          <w:rFonts w:asciiTheme="minorHAnsi" w:hAnsiTheme="minorHAnsi"/>
          <w:sz w:val="22"/>
          <w:szCs w:val="22"/>
          <w:lang w:val="en-GB"/>
        </w:rPr>
        <w:t xml:space="preserve"> review, even with </w:t>
      </w:r>
      <w:r>
        <w:rPr>
          <w:rFonts w:asciiTheme="minorHAnsi" w:hAnsiTheme="minorHAnsi"/>
          <w:sz w:val="22"/>
          <w:szCs w:val="22"/>
          <w:lang w:val="en-GB"/>
        </w:rPr>
        <w:t xml:space="preserve">the use of </w:t>
      </w:r>
      <w:r w:rsidR="003611E3">
        <w:rPr>
          <w:rFonts w:asciiTheme="minorHAnsi" w:hAnsiTheme="minorHAnsi"/>
          <w:sz w:val="22"/>
          <w:szCs w:val="22"/>
          <w:lang w:val="en-GB"/>
        </w:rPr>
        <w:t xml:space="preserve">the </w:t>
      </w:r>
      <w:r w:rsidRPr="00D80AF7">
        <w:rPr>
          <w:rFonts w:asciiTheme="minorHAnsi" w:hAnsiTheme="minorHAnsi"/>
          <w:sz w:val="22"/>
          <w:szCs w:val="22"/>
          <w:lang w:val="en-GB"/>
        </w:rPr>
        <w:t xml:space="preserve">EMTO-CPA method, the selection and </w:t>
      </w:r>
      <w:r w:rsidRPr="00D80AF7">
        <w:rPr>
          <w:rFonts w:asciiTheme="minorHAnsi" w:hAnsiTheme="minorHAnsi"/>
          <w:noProof/>
          <w:sz w:val="22"/>
          <w:szCs w:val="22"/>
          <w:lang w:val="en-GB"/>
        </w:rPr>
        <w:t>optimisation</w:t>
      </w:r>
      <w:r w:rsidRPr="00D80AF7">
        <w:rPr>
          <w:rFonts w:asciiTheme="minorHAnsi" w:hAnsiTheme="minorHAnsi"/>
          <w:sz w:val="22"/>
          <w:szCs w:val="22"/>
          <w:lang w:val="en-GB"/>
        </w:rPr>
        <w:t xml:space="preserve"> of RHEAs composition </w:t>
      </w:r>
      <w:r>
        <w:rPr>
          <w:rFonts w:asciiTheme="minorHAnsi" w:hAnsiTheme="minorHAnsi"/>
          <w:sz w:val="22"/>
          <w:szCs w:val="22"/>
          <w:lang w:val="en-GB"/>
        </w:rPr>
        <w:t>is difficult</w:t>
      </w:r>
      <w:r w:rsidRPr="00D80AF7">
        <w:rPr>
          <w:rFonts w:asciiTheme="minorHAnsi" w:hAnsiTheme="minorHAnsi"/>
          <w:sz w:val="22"/>
          <w:szCs w:val="22"/>
          <w:lang w:val="en-GB"/>
        </w:rPr>
        <w:t xml:space="preserve"> when conducted on a range of </w:t>
      </w:r>
      <w:r>
        <w:rPr>
          <w:rFonts w:asciiTheme="minorHAnsi" w:hAnsiTheme="minorHAnsi"/>
          <w:sz w:val="22"/>
          <w:szCs w:val="22"/>
          <w:lang w:val="en-GB"/>
        </w:rPr>
        <w:t>candidates</w:t>
      </w:r>
      <w:r w:rsidRPr="00D80AF7">
        <w:rPr>
          <w:rFonts w:asciiTheme="minorHAnsi" w:hAnsiTheme="minorHAnsi"/>
          <w:sz w:val="22"/>
          <w:szCs w:val="22"/>
          <w:lang w:val="en-GB"/>
        </w:rPr>
        <w:t xml:space="preserve"> </w:t>
      </w:r>
      <w:r>
        <w:rPr>
          <w:rFonts w:asciiTheme="minorHAnsi" w:hAnsiTheme="minorHAnsi"/>
          <w:sz w:val="22"/>
          <w:szCs w:val="22"/>
          <w:lang w:val="en-GB"/>
        </w:rPr>
        <w:t xml:space="preserve">where </w:t>
      </w:r>
      <w:r w:rsidRPr="00D80AF7">
        <w:rPr>
          <w:rFonts w:asciiTheme="minorHAnsi" w:hAnsiTheme="minorHAnsi"/>
          <w:sz w:val="22"/>
          <w:szCs w:val="22"/>
          <w:lang w:val="en-GB"/>
        </w:rPr>
        <w:t xml:space="preserve">over 30 elements </w:t>
      </w:r>
      <w:r>
        <w:rPr>
          <w:rFonts w:asciiTheme="minorHAnsi" w:hAnsiTheme="minorHAnsi"/>
          <w:sz w:val="22"/>
          <w:szCs w:val="22"/>
          <w:lang w:val="en-GB"/>
        </w:rPr>
        <w:t>can be chosen as components</w:t>
      </w:r>
      <w:r w:rsidRPr="00D80AF7">
        <w:rPr>
          <w:rFonts w:asciiTheme="minorHAnsi" w:hAnsiTheme="minorHAnsi"/>
          <w:sz w:val="22"/>
          <w:szCs w:val="22"/>
          <w:lang w:val="en-GB"/>
        </w:rPr>
        <w:t xml:space="preserve">. </w:t>
      </w:r>
      <w:r>
        <w:rPr>
          <w:rFonts w:asciiTheme="minorHAnsi" w:hAnsiTheme="minorHAnsi"/>
          <w:noProof/>
          <w:sz w:val="22"/>
          <w:szCs w:val="22"/>
          <w:lang w:val="en-GB"/>
        </w:rPr>
        <w:t>Therefore, a</w:t>
      </w:r>
      <w:r w:rsidRPr="00D80AF7">
        <w:rPr>
          <w:rFonts w:asciiTheme="minorHAnsi" w:hAnsiTheme="minorHAnsi"/>
          <w:sz w:val="22"/>
          <w:szCs w:val="22"/>
          <w:lang w:val="en-GB"/>
        </w:rPr>
        <w:t xml:space="preserve"> </w:t>
      </w:r>
      <w:r>
        <w:rPr>
          <w:rFonts w:asciiTheme="minorHAnsi" w:hAnsiTheme="minorHAnsi"/>
          <w:sz w:val="22"/>
          <w:szCs w:val="22"/>
          <w:lang w:val="en-GB"/>
        </w:rPr>
        <w:t>simple</w:t>
      </w:r>
      <w:r w:rsidRPr="00D80AF7">
        <w:rPr>
          <w:rFonts w:asciiTheme="minorHAnsi" w:hAnsiTheme="minorHAnsi"/>
          <w:sz w:val="22"/>
          <w:szCs w:val="22"/>
          <w:lang w:val="en-GB"/>
        </w:rPr>
        <w:t xml:space="preserve"> semi-empirical method </w:t>
      </w:r>
      <w:r w:rsidRPr="00D80AF7">
        <w:rPr>
          <w:rFonts w:asciiTheme="minorHAnsi" w:hAnsiTheme="minorHAnsi"/>
          <w:noProof/>
          <w:sz w:val="22"/>
          <w:szCs w:val="22"/>
          <w:lang w:val="en-GB"/>
        </w:rPr>
        <w:t xml:space="preserve">is </w:t>
      </w:r>
      <w:r>
        <w:rPr>
          <w:rFonts w:asciiTheme="minorHAnsi" w:hAnsiTheme="minorHAnsi"/>
          <w:noProof/>
          <w:sz w:val="22"/>
          <w:szCs w:val="22"/>
          <w:lang w:val="en-GB"/>
        </w:rPr>
        <w:t>required</w:t>
      </w:r>
      <w:r w:rsidRPr="00D80AF7">
        <w:rPr>
          <w:rFonts w:asciiTheme="minorHAnsi" w:hAnsiTheme="minorHAnsi"/>
          <w:sz w:val="22"/>
          <w:szCs w:val="22"/>
          <w:lang w:val="en-GB"/>
        </w:rPr>
        <w:t xml:space="preserve"> for the </w:t>
      </w:r>
      <w:r>
        <w:rPr>
          <w:rFonts w:asciiTheme="minorHAnsi" w:hAnsiTheme="minorHAnsi"/>
          <w:noProof/>
          <w:sz w:val="22"/>
          <w:szCs w:val="22"/>
          <w:lang w:val="en-GB"/>
        </w:rPr>
        <w:t>primary</w:t>
      </w:r>
      <w:r w:rsidRPr="00D80AF7">
        <w:rPr>
          <w:rFonts w:asciiTheme="minorHAnsi" w:hAnsiTheme="minorHAnsi"/>
          <w:sz w:val="22"/>
          <w:szCs w:val="22"/>
          <w:lang w:val="en-GB"/>
        </w:rPr>
        <w:t xml:space="preserve"> selection of RHEAs, prior to optimisation</w:t>
      </w:r>
      <w:r>
        <w:rPr>
          <w:rFonts w:asciiTheme="minorHAnsi" w:hAnsiTheme="minorHAnsi"/>
          <w:sz w:val="22"/>
          <w:szCs w:val="22"/>
          <w:lang w:val="en-GB"/>
        </w:rPr>
        <w:t xml:space="preserve"> by </w:t>
      </w:r>
      <w:r w:rsidRPr="00ED7740">
        <w:rPr>
          <w:rFonts w:asciiTheme="minorHAnsi" w:hAnsiTheme="minorHAnsi"/>
          <w:i/>
          <w:sz w:val="22"/>
          <w:szCs w:val="22"/>
          <w:lang w:val="en-GB"/>
        </w:rPr>
        <w:t>ab initio</w:t>
      </w:r>
      <w:r>
        <w:rPr>
          <w:rFonts w:asciiTheme="minorHAnsi" w:hAnsiTheme="minorHAnsi"/>
          <w:sz w:val="22"/>
          <w:szCs w:val="22"/>
          <w:lang w:val="en-GB"/>
        </w:rPr>
        <w:t xml:space="preserve"> methods</w:t>
      </w:r>
      <w:r w:rsidRPr="00D80AF7">
        <w:rPr>
          <w:rFonts w:asciiTheme="minorHAnsi" w:hAnsiTheme="minorHAnsi"/>
          <w:sz w:val="22"/>
          <w:szCs w:val="22"/>
          <w:lang w:val="en-GB"/>
        </w:rPr>
        <w:t xml:space="preserve">. </w:t>
      </w:r>
      <w:r>
        <w:rPr>
          <w:rFonts w:asciiTheme="minorHAnsi" w:hAnsiTheme="minorHAnsi"/>
          <w:noProof/>
          <w:sz w:val="22"/>
          <w:szCs w:val="22"/>
          <w:lang w:val="en-GB"/>
        </w:rPr>
        <w:t xml:space="preserve">There are a number of </w:t>
      </w:r>
      <w:r w:rsidRPr="00D80AF7">
        <w:rPr>
          <w:rFonts w:asciiTheme="minorHAnsi" w:hAnsiTheme="minorHAnsi"/>
          <w:noProof/>
          <w:sz w:val="22"/>
          <w:szCs w:val="22"/>
          <w:lang w:val="en-GB"/>
        </w:rPr>
        <w:t>parameters</w:t>
      </w:r>
      <w:r w:rsidRPr="00D80AF7">
        <w:rPr>
          <w:rFonts w:asciiTheme="minorHAnsi" w:hAnsiTheme="minorHAnsi"/>
          <w:sz w:val="22"/>
          <w:szCs w:val="22"/>
          <w:lang w:val="en-GB"/>
        </w:rPr>
        <w:t xml:space="preserve"> </w:t>
      </w:r>
      <w:r>
        <w:rPr>
          <w:rFonts w:asciiTheme="minorHAnsi" w:hAnsiTheme="minorHAnsi"/>
          <w:sz w:val="22"/>
          <w:szCs w:val="22"/>
          <w:lang w:val="en-GB"/>
        </w:rPr>
        <w:t xml:space="preserve">that </w:t>
      </w:r>
      <w:r w:rsidRPr="00D80AF7">
        <w:rPr>
          <w:rFonts w:asciiTheme="minorHAnsi" w:hAnsiTheme="minorHAnsi"/>
          <w:sz w:val="22"/>
          <w:szCs w:val="22"/>
          <w:lang w:val="en-GB"/>
        </w:rPr>
        <w:t xml:space="preserve">can </w:t>
      </w:r>
      <w:r w:rsidRPr="00D80AF7">
        <w:rPr>
          <w:rFonts w:asciiTheme="minorHAnsi" w:hAnsiTheme="minorHAnsi"/>
          <w:noProof/>
          <w:sz w:val="22"/>
          <w:szCs w:val="22"/>
          <w:lang w:val="en-GB"/>
        </w:rPr>
        <w:t>be applied</w:t>
      </w:r>
      <w:r w:rsidRPr="00D80AF7">
        <w:rPr>
          <w:rFonts w:asciiTheme="minorHAnsi" w:hAnsiTheme="minorHAnsi"/>
          <w:sz w:val="22"/>
          <w:szCs w:val="22"/>
          <w:lang w:val="en-GB"/>
        </w:rPr>
        <w:t xml:space="preserve"> as</w:t>
      </w:r>
      <w:r w:rsidRPr="00D80AF7">
        <w:rPr>
          <w:rFonts w:asciiTheme="minorHAnsi" w:hAnsiTheme="minorHAnsi"/>
          <w:noProof/>
          <w:sz w:val="22"/>
          <w:szCs w:val="22"/>
          <w:lang w:val="en-GB"/>
        </w:rPr>
        <w:t xml:space="preserve"> semi-empirical</w:t>
      </w:r>
      <w:r w:rsidRPr="00D80AF7">
        <w:rPr>
          <w:rFonts w:asciiTheme="minorHAnsi" w:hAnsiTheme="minorHAnsi"/>
          <w:sz w:val="22"/>
          <w:szCs w:val="22"/>
          <w:lang w:val="en-GB"/>
        </w:rPr>
        <w:t xml:space="preserve"> </w:t>
      </w:r>
      <w:r w:rsidRPr="00E87F18">
        <w:rPr>
          <w:rFonts w:asciiTheme="minorHAnsi" w:hAnsiTheme="minorHAnsi"/>
          <w:sz w:val="22"/>
          <w:szCs w:val="22"/>
          <w:lang w:val="en-GB"/>
        </w:rPr>
        <w:t>criteria</w:t>
      </w:r>
      <w:r>
        <w:rPr>
          <w:rFonts w:asciiTheme="minorHAnsi" w:hAnsiTheme="minorHAnsi"/>
          <w:sz w:val="22"/>
          <w:szCs w:val="22"/>
          <w:lang w:val="en-GB"/>
        </w:rPr>
        <w:t xml:space="preserve">, for the </w:t>
      </w:r>
      <w:r w:rsidRPr="00D80AF7">
        <w:rPr>
          <w:rFonts w:asciiTheme="minorHAnsi" w:hAnsiTheme="minorHAnsi"/>
          <w:sz w:val="22"/>
          <w:szCs w:val="22"/>
          <w:lang w:val="en-GB"/>
        </w:rPr>
        <w:t>prediction</w:t>
      </w:r>
      <w:r>
        <w:rPr>
          <w:rFonts w:asciiTheme="minorHAnsi" w:hAnsiTheme="minorHAnsi"/>
          <w:sz w:val="22"/>
          <w:szCs w:val="22"/>
          <w:lang w:val="en-GB"/>
        </w:rPr>
        <w:t>s</w:t>
      </w:r>
      <w:r w:rsidRPr="00D80AF7">
        <w:rPr>
          <w:rFonts w:asciiTheme="minorHAnsi" w:hAnsiTheme="minorHAnsi"/>
          <w:sz w:val="22"/>
          <w:szCs w:val="22"/>
          <w:lang w:val="en-GB"/>
        </w:rPr>
        <w:t xml:space="preserve"> of mechanical performance</w:t>
      </w:r>
      <w:r>
        <w:rPr>
          <w:rFonts w:asciiTheme="minorHAnsi" w:hAnsiTheme="minorHAnsi"/>
          <w:sz w:val="22"/>
          <w:szCs w:val="22"/>
          <w:lang w:val="en-GB"/>
        </w:rPr>
        <w:t xml:space="preserve"> </w:t>
      </w:r>
      <w:r w:rsidR="006F3327">
        <w:rPr>
          <w:rFonts w:asciiTheme="minorHAnsi" w:hAnsiTheme="minorHAnsi"/>
          <w:sz w:val="22"/>
          <w:szCs w:val="22"/>
          <w:lang w:val="en-GB"/>
        </w:rPr>
        <w:t xml:space="preserve">of </w:t>
      </w:r>
      <w:r w:rsidRPr="00D80AF7">
        <w:rPr>
          <w:rFonts w:asciiTheme="minorHAnsi" w:hAnsiTheme="minorHAnsi"/>
          <w:sz w:val="22"/>
          <w:szCs w:val="22"/>
          <w:lang w:val="en-GB"/>
        </w:rPr>
        <w:t>certain RHEAs</w:t>
      </w:r>
      <w:r>
        <w:rPr>
          <w:rFonts w:asciiTheme="minorHAnsi" w:hAnsiTheme="minorHAnsi"/>
          <w:sz w:val="22"/>
          <w:szCs w:val="22"/>
          <w:lang w:val="en-GB"/>
        </w:rPr>
        <w:t>.</w:t>
      </w:r>
      <w:r w:rsidRPr="00D80AF7">
        <w:rPr>
          <w:rFonts w:asciiTheme="minorHAnsi" w:hAnsiTheme="minorHAnsi"/>
          <w:sz w:val="22"/>
          <w:szCs w:val="22"/>
          <w:lang w:val="en-GB"/>
        </w:rPr>
        <w:t xml:space="preserve"> </w:t>
      </w:r>
      <w:r>
        <w:rPr>
          <w:rFonts w:asciiTheme="minorHAnsi" w:hAnsiTheme="minorHAnsi"/>
          <w:sz w:val="22"/>
          <w:szCs w:val="22"/>
          <w:lang w:val="en-GB"/>
        </w:rPr>
        <w:t>Findings</w:t>
      </w:r>
      <w:r w:rsidRPr="00D80AF7">
        <w:rPr>
          <w:rFonts w:asciiTheme="minorHAnsi" w:hAnsiTheme="minorHAnsi"/>
          <w:sz w:val="22"/>
          <w:szCs w:val="22"/>
          <w:lang w:val="en-GB"/>
        </w:rPr>
        <w:t xml:space="preserve"> from previous </w:t>
      </w:r>
      <w:r w:rsidRPr="00D80AF7">
        <w:rPr>
          <w:rFonts w:asciiTheme="minorHAnsi" w:hAnsiTheme="minorHAnsi"/>
          <w:i/>
          <w:sz w:val="22"/>
          <w:szCs w:val="22"/>
          <w:lang w:val="en-GB"/>
        </w:rPr>
        <w:t>ab</w:t>
      </w:r>
      <w:r>
        <w:rPr>
          <w:rFonts w:asciiTheme="minorHAnsi" w:hAnsiTheme="minorHAnsi"/>
          <w:i/>
          <w:sz w:val="22"/>
          <w:szCs w:val="22"/>
          <w:lang w:val="en-GB"/>
        </w:rPr>
        <w:t xml:space="preserve"> </w:t>
      </w:r>
      <w:r w:rsidRPr="00D80AF7">
        <w:rPr>
          <w:rFonts w:asciiTheme="minorHAnsi" w:hAnsiTheme="minorHAnsi"/>
          <w:i/>
          <w:sz w:val="22"/>
          <w:szCs w:val="22"/>
          <w:lang w:val="en-GB"/>
        </w:rPr>
        <w:t>initio</w:t>
      </w:r>
      <w:r w:rsidRPr="00D80AF7">
        <w:rPr>
          <w:rFonts w:asciiTheme="minorHAnsi" w:hAnsiTheme="minorHAnsi"/>
          <w:sz w:val="22"/>
          <w:szCs w:val="22"/>
          <w:lang w:val="en-GB"/>
        </w:rPr>
        <w:t xml:space="preserve"> investigation</w:t>
      </w:r>
      <w:r>
        <w:rPr>
          <w:rFonts w:asciiTheme="minorHAnsi" w:hAnsiTheme="minorHAnsi"/>
          <w:sz w:val="22"/>
          <w:szCs w:val="22"/>
          <w:lang w:val="en-GB"/>
        </w:rPr>
        <w:t xml:space="preserve">s revealed that </w:t>
      </w:r>
      <w:r w:rsidRPr="00D80AF7">
        <w:rPr>
          <w:rFonts w:asciiTheme="minorHAnsi" w:hAnsiTheme="minorHAnsi"/>
          <w:sz w:val="22"/>
          <w:szCs w:val="22"/>
          <w:lang w:val="en-GB"/>
        </w:rPr>
        <w:t xml:space="preserve">the mechanical performance </w:t>
      </w:r>
      <w:r w:rsidRPr="00C55BAF">
        <w:rPr>
          <w:rFonts w:asciiTheme="minorHAnsi" w:hAnsiTheme="minorHAnsi"/>
          <w:sz w:val="22"/>
          <w:szCs w:val="22"/>
          <w:lang w:val="en-GB"/>
        </w:rPr>
        <w:t xml:space="preserve">of BCC </w:t>
      </w:r>
      <w:r w:rsidRPr="00C55BAF">
        <w:rPr>
          <w:rFonts w:asciiTheme="minorHAnsi" w:hAnsiTheme="minorHAnsi"/>
          <w:sz w:val="22"/>
          <w:szCs w:val="22"/>
          <w:lang w:val="en-GB"/>
        </w:rPr>
        <w:lastRenderedPageBreak/>
        <w:t xml:space="preserve">RHEAs </w:t>
      </w:r>
      <w:r w:rsidRPr="00C55BAF">
        <w:rPr>
          <w:rFonts w:asciiTheme="minorHAnsi" w:hAnsiTheme="minorHAnsi"/>
          <w:noProof/>
          <w:sz w:val="22"/>
          <w:szCs w:val="22"/>
          <w:lang w:val="en-GB"/>
        </w:rPr>
        <w:t>is directly related</w:t>
      </w:r>
      <w:r w:rsidRPr="00C55BAF">
        <w:rPr>
          <w:rFonts w:asciiTheme="minorHAnsi" w:hAnsiTheme="minorHAnsi"/>
          <w:sz w:val="22"/>
          <w:szCs w:val="22"/>
          <w:lang w:val="en-GB"/>
        </w:rPr>
        <w:t xml:space="preserve"> to </w:t>
      </w:r>
      <w:r>
        <w:rPr>
          <w:rFonts w:asciiTheme="minorHAnsi" w:hAnsiTheme="minorHAnsi"/>
          <w:sz w:val="22"/>
          <w:szCs w:val="22"/>
          <w:lang w:val="en-GB"/>
        </w:rPr>
        <w:t>their</w:t>
      </w:r>
      <w:r w:rsidRPr="00C55BAF">
        <w:rPr>
          <w:rFonts w:asciiTheme="minorHAnsi" w:hAnsiTheme="minorHAnsi"/>
          <w:sz w:val="22"/>
          <w:szCs w:val="22"/>
          <w:lang w:val="en-GB"/>
        </w:rPr>
        <w:t xml:space="preserve"> electronic environment</w:t>
      </w:r>
      <w:r>
        <w:rPr>
          <w:rFonts w:asciiTheme="minorHAnsi" w:hAnsiTheme="minorHAnsi"/>
          <w:sz w:val="22"/>
          <w:szCs w:val="22"/>
          <w:lang w:val="en-GB"/>
        </w:rPr>
        <w:t>. This is due to</w:t>
      </w:r>
      <w:r w:rsidRPr="00C55BAF">
        <w:rPr>
          <w:rFonts w:asciiTheme="minorHAnsi" w:hAnsiTheme="minorHAnsi"/>
          <w:sz w:val="22"/>
          <w:szCs w:val="22"/>
          <w:lang w:val="en-GB"/>
        </w:rPr>
        <w:t xml:space="preserve"> the fraction of </w:t>
      </w:r>
      <w:r w:rsidRPr="00C55BAF">
        <w:rPr>
          <w:rFonts w:asciiTheme="minorHAnsi" w:hAnsiTheme="minorHAnsi"/>
          <w:noProof/>
          <w:sz w:val="22"/>
          <w:szCs w:val="22"/>
          <w:lang w:val="en-GB"/>
        </w:rPr>
        <w:t>localis</w:t>
      </w:r>
      <w:r w:rsidR="003611E3">
        <w:rPr>
          <w:rFonts w:asciiTheme="minorHAnsi" w:hAnsiTheme="minorHAnsi"/>
          <w:noProof/>
          <w:sz w:val="22"/>
          <w:szCs w:val="22"/>
          <w:lang w:val="en-GB"/>
        </w:rPr>
        <w:t>ed</w:t>
      </w:r>
      <w:r w:rsidRPr="00C55BAF">
        <w:rPr>
          <w:rFonts w:asciiTheme="minorHAnsi" w:hAnsiTheme="minorHAnsi"/>
          <w:sz w:val="22"/>
          <w:szCs w:val="22"/>
          <w:lang w:val="en-GB"/>
        </w:rPr>
        <w:t xml:space="preserve"> </w:t>
      </w:r>
      <w:r w:rsidRPr="00D80AF7">
        <w:rPr>
          <w:rFonts w:asciiTheme="minorHAnsi" w:hAnsiTheme="minorHAnsi"/>
          <w:sz w:val="22"/>
          <w:szCs w:val="22"/>
          <w:lang w:val="en-GB"/>
        </w:rPr>
        <w:t>bond</w:t>
      </w:r>
      <w:r>
        <w:rPr>
          <w:rFonts w:asciiTheme="minorHAnsi" w:hAnsiTheme="minorHAnsi"/>
          <w:sz w:val="22"/>
          <w:szCs w:val="22"/>
          <w:lang w:val="en-GB"/>
        </w:rPr>
        <w:t>ing,</w:t>
      </w:r>
      <w:r w:rsidRPr="00D80AF7">
        <w:rPr>
          <w:rFonts w:asciiTheme="minorHAnsi" w:hAnsiTheme="minorHAnsi"/>
          <w:sz w:val="22"/>
          <w:szCs w:val="22"/>
          <w:lang w:val="en-GB"/>
        </w:rPr>
        <w:t xml:space="preserve"> which </w:t>
      </w:r>
      <w:r>
        <w:rPr>
          <w:rFonts w:asciiTheme="minorHAnsi" w:hAnsiTheme="minorHAnsi"/>
          <w:sz w:val="22"/>
          <w:szCs w:val="22"/>
          <w:lang w:val="en-GB"/>
        </w:rPr>
        <w:t>may be determined by</w:t>
      </w:r>
      <w:r w:rsidRPr="00D80AF7">
        <w:rPr>
          <w:rFonts w:asciiTheme="minorHAnsi" w:hAnsiTheme="minorHAnsi"/>
          <w:sz w:val="22"/>
          <w:szCs w:val="22"/>
          <w:lang w:val="en-GB"/>
        </w:rPr>
        <w:t xml:space="preserve"> electron density of states</w:t>
      </w:r>
      <w:r>
        <w:rPr>
          <w:rFonts w:asciiTheme="minorHAnsi" w:hAnsiTheme="minorHAnsi"/>
          <w:sz w:val="22"/>
          <w:szCs w:val="22"/>
          <w:lang w:val="en-GB"/>
        </w:rPr>
        <w:t xml:space="preserve"> (DOS)</w:t>
      </w:r>
      <w:r w:rsidRPr="00D80AF7">
        <w:rPr>
          <w:rFonts w:asciiTheme="minorHAnsi" w:hAnsiTheme="minorHAnsi"/>
          <w:noProof/>
          <w:sz w:val="22"/>
          <w:szCs w:val="22"/>
          <w:lang w:val="en-GB"/>
        </w:rPr>
        <w:t xml:space="preserve">, </w:t>
      </w:r>
      <w:r>
        <w:rPr>
          <w:rFonts w:asciiTheme="minorHAnsi" w:hAnsiTheme="minorHAnsi"/>
          <w:noProof/>
          <w:sz w:val="22"/>
          <w:szCs w:val="22"/>
          <w:lang w:val="en-GB"/>
        </w:rPr>
        <w:t>that</w:t>
      </w:r>
      <w:r w:rsidRPr="00D80AF7">
        <w:rPr>
          <w:rFonts w:asciiTheme="minorHAnsi" w:hAnsiTheme="minorHAnsi"/>
          <w:sz w:val="22"/>
          <w:szCs w:val="22"/>
          <w:lang w:val="en-GB"/>
        </w:rPr>
        <w:t xml:space="preserve"> affects the elasticity in RHEAs</w:t>
      </w:r>
      <w:r>
        <w:rPr>
          <w:rFonts w:asciiTheme="minorHAnsi" w:hAnsiTheme="minorHAnsi"/>
          <w:sz w:val="22"/>
          <w:szCs w:val="22"/>
          <w:lang w:val="en-GB"/>
        </w:rPr>
        <w:t xml:space="preserve"> </w:t>
      </w:r>
      <w:r w:rsidRPr="00D80AF7">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{"citationItems":[{"id":"ITEM-1","itemData":{"DOI":"10.1103/PhysRevB.88.085128","ISBN":"0925-8388","ISSN":"10980121","abstract":"First-principles alloy theory predicts that at room temperature the paramagnetic NiCoFeCrAl x high entropy alloys adopt the face centered cubic (fcc) structure for x 0.60 and the body centered cubic (bcc) structure for x 1.23, with an fcc-bcc duplex region in between the two pure phases. The calculated single-and polycrystal elastic parameters exhibit strong composition and crystal structure dependence. Based on the present theoretical findings, it is concluded that alloys around the equimolar NiCoFeCrAl composition have superior mechanical performance as compared to the single-phase regions. DOI: 10.1103/PhysRevB.88.085128 PACS number(s): 62.20.D−, 71.20.Be, 81.05.Bx","author":[{"dropping-particle":"","family":"Tian","given":"Fuyang","non-dropping-particle":"","parse-names":false,"suffix":""},{"dropping-particle":"","family":"Delczeg","given":"Lorand","non-dropping-particle":"","parse-names":false,"suffix":""},{"dropping-particle":"","family":"Chen","given":"Nanxian","non-dropping-particle":"","parse-names":false,"suffix":""},{"dropping-particle":"","family":"Varga","given":"Lajos Karoly","non-dropping-particle":"","parse-names":false,"suffix":""},{"dropping-particle":"","family":"Shen","given":"Jiang","non-dropping-particle":"","parse-names":false,"suffix":""},{"dropping-particle":"","family":"Vitos","given":"Levente","non-dropping-particle":"","parse-names":false,"suffix":""}],"container-title":"Physical Review B - Condensed Matter and Materials Physics","id":"ITEM-1","issued":{"date-parts":[["2013"]]},"title":"Structural stability of NiCoFeCrAlx high-entropy alloy from ab initio theory","type":"article-journal"},"uris":["http://www.mendeley.com/documents/?uuid=c1e19632-36d4-46c1-8cb6-ca5bbe11a590"]},{"id":"ITEM-2","itemData":{"DOI":"10.1016/j.jallcom.2014.01.237","ISBN":"0925-8388","ISSN":"09258388","abstract":"The TiZrVNb and TiZrNbMoVx (x = 0-1.5) high-entropy alloys (HEAs) are single-phase solid solutions having the body centered cubic crystallographic structure. Here we use the ab initio exact muffin-tin orbitals method in combination with the coherent potential approximation to study the equilibrium bulk properties of the above refractory HEAs. We provide a detailed investigation of the effect of alloying elements on the electronic structure and elastic parameters. Our results indicate that vanadium enhances the anisotropy of TiZrNbMoVx. As an application of the present theoretical database, we verify the often quoted correlation between the valence electron concentration (VEC) and the micro-mechanical properties in the case of multi-component alloys. Furthermore, we predict that the present HEAs become elastically isotropic for VEC</w:instrText>
      </w:r>
      <w:r>
        <w:rPr>
          <w:rFonts w:ascii="Cambria Math" w:hAnsi="Cambria Math" w:cs="Cambria Math"/>
          <w:sz w:val="22"/>
          <w:szCs w:val="22"/>
          <w:lang w:val="en-GB"/>
        </w:rPr>
        <w:instrText>∼</w:instrText>
      </w:r>
      <w:r>
        <w:rPr>
          <w:rFonts w:asciiTheme="minorHAnsi" w:hAnsiTheme="minorHAnsi"/>
          <w:sz w:val="22"/>
          <w:szCs w:val="22"/>
          <w:lang w:val="en-GB"/>
        </w:rPr>
        <w:instrText xml:space="preserve">4.72. </w:instrText>
      </w:r>
      <w:r>
        <w:rPr>
          <w:rFonts w:ascii="Calibri" w:hAnsi="Calibri" w:cs="Calibri"/>
          <w:sz w:val="22"/>
          <w:szCs w:val="22"/>
          <w:lang w:val="en-GB"/>
        </w:rPr>
        <w:instrText>©</w:instrText>
      </w:r>
      <w:r>
        <w:rPr>
          <w:rFonts w:asciiTheme="minorHAnsi" w:hAnsiTheme="minorHAnsi"/>
          <w:sz w:val="22"/>
          <w:szCs w:val="22"/>
          <w:lang w:val="en-GB"/>
        </w:rPr>
        <w:instrText xml:space="preserve"> 2014 Elsevier B.V. All rights reserved.","author":[{"dropping-particle":"","family":"Tian","given":"Fuyang","non-dropping-particle":"","parse-names":false,"suffix":""},{"dropping-particle":"","family":"Varga","given":"Lajos Karoly","non-dropping-particle":"","parse-names":false,"suffix":""},{"dropping-particle":"","family":"Chen","given":"Nanxian","non-dropping-particle":"","parse-names":false,"suffix":""},{"dropping-particle":"","family":"Shen","given":"Jiang","non-dropping-particle":"","parse-names":false,"suffix":""},{"dropping-particle":"","family":"Vitos","given":"Levente","non-dropping-particle":"","parse-names":false,"suffix":""}],"container-title":"Journal of Alloys and Compounds","id":"ITEM-2","issued":{"date-parts":[["2014"]]},"title":"Ab initio design of elastically isotropic TiZrNbMoVx high-entropy alloys","type":"article-journal"},"uris":["http://www.mendeley.com/documents/?uuid=11ffa549-45a0-4157-8c75-fd8cfb3af1e0"]},{"id":"ITEM-3","itemData":{"DOI":"10.1088/0953-8984/27/7/075401","ISBN":"0953-8984","ISSN":"1361648X","PMID":"25640032","abstract":"The Al(x)MoNbTiV (x = 0-1.5) high-entropy alloys (HEAs) adopt a single solid-solution phase, having the body centered cubic (bcc) crystal structure. Here we employ the ab initio exact muffin-tin orbitals method in combination with the coherent potential approximation to investigate the equilibrium volume, elastic constants, and polycrystalline elastic moduli of Al(x)MoNbTiV HEAs. A comparison between the ab initio and experimental equilibrium volumes demonstrates the validity and accuracy of the present approach. Our results indicate that Al addition decreases the thermodynamic stability of the bcc structure with respect to face-centered cubic and hexagonal close packed lattices. For the elastically isotropic Al(0.4)MoNbTiV HEAs, the valence electron concentration (VEC) is about 4.82, which is slightly different from VEC </w:instrText>
      </w:r>
      <w:r>
        <w:rPr>
          <w:rFonts w:ascii="Cambria Math" w:hAnsi="Cambria Math" w:cs="Cambria Math"/>
          <w:sz w:val="22"/>
          <w:szCs w:val="22"/>
          <w:lang w:val="en-GB"/>
        </w:rPr>
        <w:instrText>∼</w:instrText>
      </w:r>
      <w:r>
        <w:rPr>
          <w:rFonts w:asciiTheme="minorHAnsi" w:hAnsiTheme="minorHAnsi"/>
          <w:sz w:val="22"/>
          <w:szCs w:val="22"/>
          <w:lang w:val="en-GB"/>
        </w:rPr>
        <w:instrText xml:space="preserve"> 4.72 obtained for the isotropic Gum metals and refractory--HEAs.","author":[{"dropping-particle":"","family":"Cao","given":"Peiyu","non-dropping-particle":"","parse-names":false,"suffix":""},{"dropping-particle":"","family":"Ni","given":"Xiaodong","non-dropping-particle":"","parse-names":false,"suffix":""},{"dropping-particle":"","family":"Tian","given":"Fuyang","non-dropping-particle":"","parse-names":false,"suffix":""},{"dropping-particle":"","family":"Varga","given":"Lajos K.","non-dropping-particle":"","parse-names":false,"suffix":""},{"dropping-particle":"","family":"Vitos","given":"Levente","non-dropping-particle":"","parse-names":false,"suffix":""}],"container-title":"Journal of Physics Condensed Matter","id":"ITEM-3","issued":{"date-parts":[["2015"]]},"title":"Ab initio study of AlxMoNbTiV high-entropy alloys","type":"article-journal"},"uris":["http://www.mendeley.com/documents/?uuid=da9674b8-29c8-4502-aab1-de8d145afb3e"]},{"id":"ITEM-4","itemData":{"DOI":"10.1016/j.commatsci.2015.09.058","ISSN":"09270256","abstract":"The new class of high-entropy alloys (HEAs) materials have shown interesting properties, such as high strength and good ductility. However, HEAs present a great challenge for conventional ab initio calculations and the few available theoretical predictions involve a large degree of uncertainty. An often adopted theoretical tool to study HEAs from first-principles is based on the exact muffin-tin orbitals (EMTO) method in combination with the coherent potentials approximation (CPA), which can handle both chemical and magnetic disorders. Here we assess the performance of EMTO-CPA method in describing the elastic properties of HEAs based on Co, Cr, Fe, Mn, and Ni. We carefully scrutinize the effect of numerical parameters and the impact of various magnetic states on the calculated properties. The theoretical results for the elastic moduli are compared to the available experimental values.","author":[{"dropping-particle":"","family":"Tian","given":"Fuyang","non-dropping-particle":"","parse-names":false,"suffix":""},{"dropping-particle":"","family":"Varga","given":"Lajos Károly","non-dropping-particle":"","parse-names":false,"suffix":""},{"dropping-particle":"","family":"Shen","given":"Jiang","non-dropping-particle":"","parse-names":false,"suffix":""},{"dropping-particle":"","family":"Vitos","given":"Levente","non-dropping-particle":"","parse-names":false,"suffix":""}],"container-title":"Computational Materials Science","id":"ITEM-4","issued":{"date-parts":[["2016"]]},"title":"Calculating elastic constants in high-entropy alloys using the coherent potential approximation: Current issues and errors","type":"article-journal"},"uris":["http://www.mendeley.com/documents/?uuid=f6a80be5-67ce-40b4-8a4f-eb866f4f1f57"]},{"id":"ITEM-5","itemData":{"DOI":"10.1016/j.intermet.2016.12.007","ISBN":"09669795","ISSN":"09669795","abstract":"We use the Hume-Rothery rules and ab initio mixing enthalpies to design novel high entropy alloys composed of late 3d metal (Mn, Fe, Co, Ni, Cu) and CrMoW. Results predict that CrMoW, CrMoWMn, CrMoWCo and CrMoWNi adopt single body-centered cubic (bcc) crystal structure. The ab initio calculations of elastic moduli and ideal strengths indicate that the bcc phase is more stable thermodynamically than the face-centered cubic (fcc) crystal structure for CrMoW, CrMoWMn, CrMoWNi HEAs, but the late 3d elements decreases the mechanical stability of the bcc phase. In particular Ni addition increases the intrinsic ductility and decreases the intrinsic strength of CrMoW alloy.","author":[{"dropping-particle":"","family":"Tian","given":"Fuyang","non-dropping-particle":"","parse-names":false,"suffix":""},{"dropping-particle":"","family":"Varga","given":"Lajos Károly","non-dropping-particle":"","parse-names":false,"suffix":""},{"dropping-particle":"","family":"Vitos","given":"Levente","non-dropping-particle":"","parse-names":false,"suffix":""}],"container-title":"Intermetallics","id":"ITEM-5","issued":{"date-parts":[["2017"]]},"title":"Predicting single phase CrMoWX high entropy alloys from empirical relations in combination with first-principles calculations","type":"article-journal"},"uris":["http://www.mendeley.com/documents/?uuid=d4e3e10e-c87d-416e-80ed-900587e7e5f1"]}],"mendeley":{"formattedCitation":"[10–12,15,16]","plainTextFormattedCitation":"[10–12,15,16]","previouslyFormattedCitation":"[10–12,15,16]"},"properties":{"noteIndex":0},"schema":"https://github.com/citation-style-language/schema/raw/master/csl-citation.json"}</w:instrText>
      </w:r>
      <w:r w:rsidRPr="00D80AF7">
        <w:rPr>
          <w:rFonts w:asciiTheme="minorHAnsi" w:hAnsiTheme="minorHAnsi"/>
          <w:sz w:val="22"/>
          <w:szCs w:val="22"/>
          <w:lang w:val="en-GB"/>
        </w:rPr>
        <w:fldChar w:fldCharType="separate"/>
      </w:r>
      <w:r w:rsidRPr="00C84C26">
        <w:rPr>
          <w:rFonts w:asciiTheme="minorHAnsi" w:hAnsiTheme="minorHAnsi"/>
          <w:noProof/>
          <w:sz w:val="22"/>
          <w:szCs w:val="22"/>
          <w:lang w:val="en-GB"/>
        </w:rPr>
        <w:t>[10–12,15,16]</w:t>
      </w:r>
      <w:r w:rsidRPr="00D80AF7">
        <w:rPr>
          <w:rFonts w:asciiTheme="minorHAnsi" w:hAnsiTheme="minorHAnsi"/>
          <w:sz w:val="22"/>
          <w:szCs w:val="22"/>
          <w:lang w:val="en-GB"/>
        </w:rPr>
        <w:fldChar w:fldCharType="end"/>
      </w:r>
      <w:r w:rsidRPr="00D80AF7">
        <w:rPr>
          <w:rFonts w:asciiTheme="minorHAnsi" w:hAnsiTheme="minorHAnsi"/>
          <w:noProof/>
          <w:sz w:val="22"/>
          <w:szCs w:val="22"/>
          <w:lang w:val="en-GB"/>
        </w:rPr>
        <w:t>. Moreover</w:t>
      </w:r>
      <w:r w:rsidRPr="00D80AF7">
        <w:rPr>
          <w:rFonts w:asciiTheme="minorHAnsi" w:hAnsiTheme="minorHAnsi"/>
          <w:sz w:val="22"/>
          <w:szCs w:val="22"/>
          <w:lang w:val="en-GB"/>
        </w:rPr>
        <w:t xml:space="preserve">, in </w:t>
      </w:r>
      <w:r>
        <w:rPr>
          <w:rFonts w:asciiTheme="minorHAnsi" w:hAnsiTheme="minorHAnsi"/>
          <w:sz w:val="22"/>
          <w:szCs w:val="22"/>
          <w:lang w:val="en-GB"/>
        </w:rPr>
        <w:t xml:space="preserve">the work of </w:t>
      </w:r>
      <w:r w:rsidRPr="00D80AF7">
        <w:rPr>
          <w:rFonts w:asciiTheme="minorHAnsi" w:hAnsiTheme="minorHAnsi"/>
          <w:sz w:val="22"/>
          <w:szCs w:val="22"/>
          <w:lang w:val="en-GB"/>
        </w:rPr>
        <w:t>Dominguez</w:t>
      </w:r>
      <w:r>
        <w:rPr>
          <w:rFonts w:asciiTheme="minorHAnsi" w:hAnsiTheme="minorHAnsi"/>
          <w:sz w:val="22"/>
          <w:szCs w:val="22"/>
          <w:lang w:val="en-GB"/>
        </w:rPr>
        <w:t xml:space="preserve"> </w:t>
      </w:r>
      <w:r w:rsidRPr="00D80AF7">
        <w:rPr>
          <w:rFonts w:asciiTheme="minorHAnsi" w:hAnsiTheme="minorHAnsi"/>
          <w:i/>
          <w:sz w:val="22"/>
          <w:szCs w:val="22"/>
          <w:lang w:val="en-GB"/>
        </w:rPr>
        <w:t>et al.</w:t>
      </w:r>
      <w:r>
        <w:rPr>
          <w:rFonts w:asciiTheme="minorHAnsi" w:hAnsiTheme="minorHAnsi"/>
          <w:sz w:val="22"/>
          <w:szCs w:val="22"/>
          <w:lang w:val="en-GB"/>
        </w:rPr>
        <w:t>,</w:t>
      </w:r>
      <w:r w:rsidRPr="00D80AF7">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{"citationItems":[{"id":"ITEM-1","itemData":{"DOI":"10.1179/1743284715Y.0000000019","ISBN":"0000000019","ISSN":"0267-0836","abstract":"Prediction of the crystalline structure formation of high entropy alloys is addressed in a novel way by applying principal components analysis to their thermodynamic and electronic parameters. In the simplest form, it shows an excellent discrimination between both face and body centred cubic structures when taking into account the valence electron concentration and enthalpy of mixing. Our analysis indicates that there is a stronger correlation between the formation of multiprincipal components alloys andtheseparameters than with entropy. The successfulprediction of amultiphase structure in TiMnFeNi and the discovery of two novel four componentHEAs,MnFeCoNi and TiVMnNb, lends credence to this approach.","author":[{"dropping-particle":"","family":"Domínguez","given":"L. Asensio","non-dropping-particle":"","parse-names":false,"suffix":""},{"dropping-particle":"","family":"Goodall","given":"R.","non-dropping-particle":"","parse-names":false,"suffix":""},{"dropping-particle":"","family":"Todd","given":"I.","non-dropping-particle":"","parse-names":false,"suffix":""}],"container-title":"Materials Science and Technology","id":"ITEM-1","issued":{"date-parts":[["2015"]]},"title":"Prediction and validation of quaternary high entropy alloys using statistical approaches","type":"article-journal"},"uris":["http://www.mendeley.com/documents/?uuid=84d24500-3bb5-48d9-935f-96400e3ff96a"]}],"mendeley":{"formattedCitation":"[17]","plainTextFormattedCitation":"[17]","previouslyFormattedCitation":"[17]"},"properties":{"noteIndex":0},"schema":"https://github.com/citation-style-language/schema/raw/master/csl-citation.json"}</w:instrText>
      </w:r>
      <w:r w:rsidRPr="00D80AF7">
        <w:rPr>
          <w:rFonts w:asciiTheme="minorHAnsi" w:hAnsiTheme="minorHAnsi"/>
          <w:sz w:val="22"/>
          <w:szCs w:val="22"/>
          <w:lang w:val="en-GB"/>
        </w:rPr>
        <w:fldChar w:fldCharType="separate"/>
      </w:r>
      <w:r w:rsidRPr="00C84C26">
        <w:rPr>
          <w:rFonts w:asciiTheme="minorHAnsi" w:hAnsiTheme="minorHAnsi"/>
          <w:noProof/>
          <w:sz w:val="22"/>
          <w:szCs w:val="22"/>
          <w:lang w:val="en-GB"/>
        </w:rPr>
        <w:t>[17]</w:t>
      </w:r>
      <w:r w:rsidRPr="00D80AF7">
        <w:rPr>
          <w:rFonts w:asciiTheme="minorHAnsi" w:hAnsiTheme="minorHAnsi"/>
          <w:sz w:val="22"/>
          <w:szCs w:val="22"/>
          <w:lang w:val="en-GB"/>
        </w:rPr>
        <w:fldChar w:fldCharType="end"/>
      </w:r>
      <w:r>
        <w:rPr>
          <w:rFonts w:asciiTheme="minorHAnsi" w:hAnsiTheme="minorHAnsi"/>
          <w:sz w:val="22"/>
          <w:szCs w:val="22"/>
          <w:lang w:val="en-GB"/>
        </w:rPr>
        <w:t>,</w:t>
      </w:r>
      <w:r w:rsidRPr="00D80AF7">
        <w:rPr>
          <w:rFonts w:asciiTheme="minorHAnsi" w:hAnsiTheme="minorHAnsi"/>
          <w:sz w:val="22"/>
          <w:szCs w:val="22"/>
          <w:lang w:val="en-GB"/>
        </w:rPr>
        <w:t xml:space="preserve"> </w:t>
      </w:r>
      <w:r w:rsidRPr="00D80AF7">
        <w:rPr>
          <w:rFonts w:asciiTheme="minorHAnsi" w:hAnsiTheme="minorHAnsi"/>
          <w:noProof/>
          <w:sz w:val="22"/>
          <w:szCs w:val="22"/>
          <w:lang w:val="en-GB"/>
        </w:rPr>
        <w:t>principal</w:t>
      </w:r>
      <w:r w:rsidRPr="00D80AF7">
        <w:rPr>
          <w:rFonts w:asciiTheme="minorHAnsi" w:hAnsiTheme="minorHAnsi"/>
          <w:sz w:val="22"/>
          <w:szCs w:val="22"/>
          <w:lang w:val="en-GB"/>
        </w:rPr>
        <w:t xml:space="preserve"> component analysis (PCA)</w:t>
      </w:r>
      <w:r>
        <w:rPr>
          <w:rFonts w:asciiTheme="minorHAnsi" w:hAnsiTheme="minorHAnsi"/>
          <w:sz w:val="22"/>
          <w:szCs w:val="22"/>
          <w:lang w:val="en-GB"/>
        </w:rPr>
        <w:t xml:space="preserve"> was used</w:t>
      </w:r>
      <w:r w:rsidRPr="00D80AF7">
        <w:rPr>
          <w:rFonts w:asciiTheme="minorHAnsi" w:hAnsiTheme="minorHAnsi"/>
          <w:sz w:val="22"/>
          <w:szCs w:val="22"/>
          <w:lang w:val="en-GB"/>
        </w:rPr>
        <w:t xml:space="preserve"> to </w:t>
      </w:r>
      <w:r>
        <w:rPr>
          <w:rFonts w:asciiTheme="minorHAnsi" w:hAnsiTheme="minorHAnsi"/>
          <w:sz w:val="22"/>
          <w:szCs w:val="22"/>
          <w:lang w:val="en-GB"/>
        </w:rPr>
        <w:t>obtain</w:t>
      </w:r>
      <w:r w:rsidRPr="00D80AF7">
        <w:rPr>
          <w:rFonts w:asciiTheme="minorHAnsi" w:hAnsiTheme="minorHAnsi"/>
          <w:sz w:val="22"/>
          <w:szCs w:val="22"/>
          <w:lang w:val="en-GB"/>
        </w:rPr>
        <w:t xml:space="preserve"> the </w:t>
      </w:r>
      <w:r w:rsidRPr="00D80AF7">
        <w:rPr>
          <w:rFonts w:asciiTheme="minorHAnsi" w:hAnsiTheme="minorHAnsi"/>
          <w:noProof/>
          <w:sz w:val="22"/>
          <w:szCs w:val="22"/>
          <w:lang w:val="en-GB"/>
        </w:rPr>
        <w:t>most</w:t>
      </w:r>
      <w:r w:rsidRPr="00D80AF7">
        <w:rPr>
          <w:rFonts w:asciiTheme="minorHAnsi" w:hAnsiTheme="minorHAnsi"/>
          <w:sz w:val="22"/>
          <w:szCs w:val="22"/>
          <w:lang w:val="en-GB"/>
        </w:rPr>
        <w:t xml:space="preserve"> effective variables to determine phase formation of HEAs</w:t>
      </w:r>
      <w:r>
        <w:rPr>
          <w:rFonts w:asciiTheme="minorHAnsi" w:hAnsiTheme="minorHAnsi"/>
          <w:sz w:val="22"/>
          <w:szCs w:val="22"/>
          <w:lang w:val="en-GB"/>
        </w:rPr>
        <w:t>. These were reported as</w:t>
      </w:r>
      <w:r w:rsidRPr="00D80AF7">
        <w:rPr>
          <w:rFonts w:asciiTheme="minorHAnsi" w:hAnsiTheme="minorHAnsi"/>
          <w:sz w:val="22"/>
          <w:szCs w:val="22"/>
          <w:lang w:val="en-GB"/>
        </w:rPr>
        <w:t xml:space="preserve"> </w:t>
      </w:r>
      <w:r>
        <w:rPr>
          <w:rFonts w:asciiTheme="minorHAnsi" w:hAnsiTheme="minorHAnsi"/>
          <w:noProof/>
          <w:sz w:val="22"/>
          <w:szCs w:val="22"/>
          <w:lang w:val="en-GB"/>
        </w:rPr>
        <w:t>m</w:t>
      </w:r>
      <w:r w:rsidRPr="00D80AF7">
        <w:rPr>
          <w:rFonts w:asciiTheme="minorHAnsi" w:hAnsiTheme="minorHAnsi"/>
          <w:noProof/>
          <w:sz w:val="22"/>
          <w:szCs w:val="22"/>
          <w:lang w:val="en-GB"/>
        </w:rPr>
        <w:t>ixing</w:t>
      </w:r>
      <w:r w:rsidRPr="00D80AF7">
        <w:rPr>
          <w:rFonts w:asciiTheme="minorHAnsi" w:hAnsiTheme="minorHAnsi"/>
          <w:sz w:val="22"/>
          <w:szCs w:val="22"/>
          <w:lang w:val="en-GB"/>
        </w:rPr>
        <w:t xml:space="preserve"> enthalpy, valence electron concentration (</w:t>
      </w:r>
      <w:r w:rsidRPr="00052536">
        <w:rPr>
          <w:rFonts w:asciiTheme="minorHAnsi" w:hAnsiTheme="minorHAnsi"/>
          <w:i/>
          <w:sz w:val="22"/>
          <w:szCs w:val="22"/>
          <w:lang w:val="en-GB"/>
        </w:rPr>
        <w:t>VEC</w:t>
      </w:r>
      <w:r w:rsidRPr="00D80AF7">
        <w:rPr>
          <w:rFonts w:asciiTheme="minorHAnsi" w:hAnsiTheme="minorHAnsi"/>
          <w:sz w:val="22"/>
          <w:szCs w:val="22"/>
          <w:lang w:val="en-GB"/>
        </w:rPr>
        <w:t>)</w:t>
      </w:r>
      <w:r>
        <w:rPr>
          <w:rFonts w:asciiTheme="minorHAnsi" w:hAnsiTheme="minorHAnsi"/>
          <w:sz w:val="22"/>
          <w:szCs w:val="22"/>
          <w:lang w:val="en-GB"/>
        </w:rPr>
        <w:t xml:space="preserve"> </w:t>
      </w:r>
      <w:r w:rsidRPr="00D80AF7">
        <w:rPr>
          <w:rFonts w:asciiTheme="minorHAnsi" w:hAnsiTheme="minorHAnsi"/>
          <w:sz w:val="22"/>
          <w:szCs w:val="22"/>
          <w:lang w:val="en-GB"/>
        </w:rPr>
        <w:t xml:space="preserve">and electronegativity. </w:t>
      </w:r>
      <w:r>
        <w:rPr>
          <w:rFonts w:asciiTheme="minorHAnsi" w:hAnsiTheme="minorHAnsi"/>
          <w:sz w:val="22"/>
          <w:szCs w:val="22"/>
          <w:lang w:val="en-GB"/>
        </w:rPr>
        <w:t xml:space="preserve">The </w:t>
      </w:r>
      <w:r w:rsidRPr="00D80AF7">
        <w:rPr>
          <w:rFonts w:asciiTheme="minorHAnsi" w:hAnsiTheme="minorHAnsi"/>
          <w:sz w:val="22"/>
          <w:szCs w:val="22"/>
          <w:lang w:val="en-GB"/>
        </w:rPr>
        <w:t xml:space="preserve">mixing enthalpy </w:t>
      </w:r>
      <w:r>
        <w:rPr>
          <w:rFonts w:asciiTheme="minorHAnsi" w:hAnsiTheme="minorHAnsi"/>
          <w:sz w:val="22"/>
          <w:szCs w:val="22"/>
          <w:lang w:val="en-GB"/>
        </w:rPr>
        <w:t>wa</w:t>
      </w:r>
      <w:r w:rsidRPr="00D80AF7">
        <w:rPr>
          <w:rFonts w:asciiTheme="minorHAnsi" w:hAnsiTheme="minorHAnsi"/>
          <w:sz w:val="22"/>
          <w:szCs w:val="22"/>
          <w:lang w:val="en-GB"/>
        </w:rPr>
        <w:t xml:space="preserve">s </w:t>
      </w:r>
      <w:r>
        <w:rPr>
          <w:rFonts w:asciiTheme="minorHAnsi" w:hAnsiTheme="minorHAnsi"/>
          <w:sz w:val="22"/>
          <w:szCs w:val="22"/>
          <w:lang w:val="en-GB"/>
        </w:rPr>
        <w:t>acquired</w:t>
      </w:r>
      <w:r w:rsidRPr="00D80AF7">
        <w:rPr>
          <w:rFonts w:asciiTheme="minorHAnsi" w:hAnsiTheme="minorHAnsi"/>
          <w:sz w:val="22"/>
          <w:szCs w:val="22"/>
          <w:lang w:val="en-GB"/>
        </w:rPr>
        <w:t xml:space="preserve"> b</w:t>
      </w:r>
      <w:r w:rsidRPr="00C55BAF">
        <w:rPr>
          <w:rFonts w:asciiTheme="minorHAnsi" w:hAnsiTheme="minorHAnsi"/>
          <w:sz w:val="22"/>
          <w:szCs w:val="22"/>
          <w:lang w:val="en-GB"/>
        </w:rPr>
        <w:t xml:space="preserve">y using </w:t>
      </w:r>
      <w:r w:rsidR="003611E3">
        <w:rPr>
          <w:rFonts w:asciiTheme="minorHAnsi" w:hAnsiTheme="minorHAnsi"/>
          <w:sz w:val="22"/>
          <w:szCs w:val="22"/>
          <w:lang w:val="en-GB"/>
        </w:rPr>
        <w:t xml:space="preserve">the </w:t>
      </w:r>
      <w:r w:rsidRPr="00C55BAF">
        <w:rPr>
          <w:rFonts w:asciiTheme="minorHAnsi" w:hAnsiTheme="minorHAnsi"/>
          <w:sz w:val="22"/>
          <w:szCs w:val="22"/>
          <w:lang w:val="en-GB"/>
        </w:rPr>
        <w:t xml:space="preserve">Mediema model </w:t>
      </w:r>
      <w:r>
        <w:rPr>
          <w:rFonts w:asciiTheme="minorHAnsi" w:hAnsiTheme="minorHAnsi"/>
          <w:sz w:val="22"/>
          <w:szCs w:val="22"/>
          <w:lang w:val="en-GB"/>
        </w:rPr>
        <w:t>and</w:t>
      </w:r>
      <w:r w:rsidRPr="00C55BAF">
        <w:rPr>
          <w:rFonts w:asciiTheme="minorHAnsi" w:hAnsiTheme="minorHAnsi"/>
          <w:sz w:val="22"/>
          <w:szCs w:val="22"/>
          <w:lang w:val="en-GB"/>
        </w:rPr>
        <w:t xml:space="preserve"> </w:t>
      </w:r>
      <w:r>
        <w:rPr>
          <w:rFonts w:asciiTheme="minorHAnsi" w:hAnsiTheme="minorHAnsi"/>
          <w:sz w:val="22"/>
          <w:szCs w:val="22"/>
          <w:lang w:val="en-GB"/>
        </w:rPr>
        <w:t>involves a</w:t>
      </w:r>
      <w:r w:rsidRPr="00C55BAF">
        <w:rPr>
          <w:rFonts w:asciiTheme="minorHAnsi" w:hAnsiTheme="minorHAnsi"/>
          <w:sz w:val="22"/>
          <w:szCs w:val="22"/>
          <w:lang w:val="en-GB"/>
        </w:rPr>
        <w:t xml:space="preserve"> variety of fusion effect</w:t>
      </w:r>
      <w:r>
        <w:rPr>
          <w:rFonts w:asciiTheme="minorHAnsi" w:hAnsiTheme="minorHAnsi"/>
          <w:sz w:val="22"/>
          <w:szCs w:val="22"/>
          <w:lang w:val="en-GB"/>
        </w:rPr>
        <w:t>s. These</w:t>
      </w:r>
      <w:r w:rsidRPr="00C55BAF">
        <w:rPr>
          <w:rFonts w:asciiTheme="minorHAnsi" w:hAnsiTheme="minorHAnsi"/>
          <w:sz w:val="22"/>
          <w:szCs w:val="22"/>
          <w:lang w:val="en-GB"/>
        </w:rPr>
        <w:t xml:space="preserve"> includ</w:t>
      </w:r>
      <w:r>
        <w:rPr>
          <w:rFonts w:asciiTheme="minorHAnsi" w:hAnsiTheme="minorHAnsi"/>
          <w:sz w:val="22"/>
          <w:szCs w:val="22"/>
          <w:lang w:val="en-GB"/>
        </w:rPr>
        <w:t>e</w:t>
      </w:r>
      <w:r w:rsidRPr="00C55BAF">
        <w:rPr>
          <w:rFonts w:asciiTheme="minorHAnsi" w:hAnsiTheme="minorHAnsi"/>
          <w:sz w:val="22"/>
          <w:szCs w:val="22"/>
          <w:lang w:val="en-GB"/>
        </w:rPr>
        <w:t xml:space="preserve"> volumetric interaction between solute and solvent atoms, electron charge redistribution </w:t>
      </w:r>
      <w:r w:rsidRPr="00D80AF7">
        <w:rPr>
          <w:rFonts w:asciiTheme="minorHAnsi" w:hAnsiTheme="minorHAnsi"/>
          <w:sz w:val="22"/>
          <w:szCs w:val="22"/>
          <w:lang w:val="en-GB"/>
        </w:rPr>
        <w:t xml:space="preserve">at </w:t>
      </w:r>
      <w:r w:rsidR="003611E3">
        <w:rPr>
          <w:rFonts w:asciiTheme="minorHAnsi" w:hAnsiTheme="minorHAnsi"/>
          <w:sz w:val="22"/>
          <w:szCs w:val="22"/>
          <w:lang w:val="en-GB"/>
        </w:rPr>
        <w:t xml:space="preserve">the </w:t>
      </w:r>
      <w:r w:rsidRPr="00D80AF7">
        <w:rPr>
          <w:rFonts w:asciiTheme="minorHAnsi" w:hAnsiTheme="minorHAnsi"/>
          <w:sz w:val="22"/>
          <w:szCs w:val="22"/>
          <w:lang w:val="en-GB"/>
        </w:rPr>
        <w:t xml:space="preserve">Wigner-Seitz radius and total chemical potential change for an </w:t>
      </w:r>
      <w:r w:rsidRPr="00D80AF7">
        <w:rPr>
          <w:rFonts w:asciiTheme="minorHAnsi" w:hAnsiTheme="minorHAnsi"/>
          <w:noProof/>
          <w:sz w:val="22"/>
          <w:szCs w:val="22"/>
          <w:lang w:val="en-GB"/>
        </w:rPr>
        <w:t>electronic</w:t>
      </w:r>
      <w:r w:rsidRPr="00D80AF7">
        <w:rPr>
          <w:rFonts w:asciiTheme="minorHAnsi" w:hAnsiTheme="minorHAnsi"/>
          <w:sz w:val="22"/>
          <w:szCs w:val="22"/>
          <w:lang w:val="en-GB"/>
        </w:rPr>
        <w:t xml:space="preserve"> charge. </w:t>
      </w:r>
      <w:r>
        <w:rPr>
          <w:rFonts w:asciiTheme="minorHAnsi" w:hAnsiTheme="minorHAnsi"/>
          <w:sz w:val="22"/>
          <w:szCs w:val="22"/>
          <w:lang w:val="en-GB"/>
        </w:rPr>
        <w:t>The determination of these variables r</w:t>
      </w:r>
      <w:r w:rsidRPr="00D80AF7">
        <w:rPr>
          <w:rFonts w:asciiTheme="minorHAnsi" w:hAnsiTheme="minorHAnsi"/>
          <w:sz w:val="22"/>
          <w:szCs w:val="22"/>
          <w:lang w:val="en-GB"/>
        </w:rPr>
        <w:t>esult</w:t>
      </w:r>
      <w:r w:rsidR="003611E3">
        <w:rPr>
          <w:rFonts w:asciiTheme="minorHAnsi" w:hAnsiTheme="minorHAnsi"/>
          <w:sz w:val="22"/>
          <w:szCs w:val="22"/>
          <w:lang w:val="en-GB"/>
        </w:rPr>
        <w:t>s</w:t>
      </w:r>
      <w:r w:rsidRPr="00D80AF7">
        <w:rPr>
          <w:rFonts w:asciiTheme="minorHAnsi" w:hAnsiTheme="minorHAnsi"/>
          <w:sz w:val="22"/>
          <w:szCs w:val="22"/>
          <w:lang w:val="en-GB"/>
        </w:rPr>
        <w:t xml:space="preserve"> </w:t>
      </w:r>
      <w:r w:rsidRPr="007C247B">
        <w:rPr>
          <w:rFonts w:asciiTheme="minorHAnsi" w:hAnsiTheme="minorHAnsi"/>
          <w:noProof/>
          <w:sz w:val="22"/>
          <w:szCs w:val="22"/>
          <w:lang w:val="en-GB"/>
        </w:rPr>
        <w:t xml:space="preserve">in </w:t>
      </w:r>
      <w:r>
        <w:rPr>
          <w:rFonts w:asciiTheme="minorHAnsi" w:hAnsiTheme="minorHAnsi"/>
          <w:noProof/>
          <w:sz w:val="22"/>
          <w:szCs w:val="22"/>
          <w:lang w:val="en-GB"/>
        </w:rPr>
        <w:t xml:space="preserve">the </w:t>
      </w:r>
      <w:r w:rsidRPr="007C247B">
        <w:rPr>
          <w:rFonts w:asciiTheme="minorHAnsi" w:hAnsiTheme="minorHAnsi"/>
          <w:noProof/>
          <w:sz w:val="22"/>
          <w:szCs w:val="22"/>
          <w:lang w:val="en-GB"/>
        </w:rPr>
        <w:t>effectiveness</w:t>
      </w:r>
      <w:r w:rsidRPr="00D80AF7">
        <w:rPr>
          <w:rFonts w:asciiTheme="minorHAnsi" w:hAnsiTheme="minorHAnsi"/>
          <w:sz w:val="22"/>
          <w:szCs w:val="22"/>
          <w:lang w:val="en-GB"/>
        </w:rPr>
        <w:t xml:space="preserve"> </w:t>
      </w:r>
      <w:r>
        <w:rPr>
          <w:rFonts w:asciiTheme="minorHAnsi" w:hAnsiTheme="minorHAnsi"/>
          <w:sz w:val="22"/>
          <w:szCs w:val="22"/>
          <w:lang w:val="en-GB"/>
        </w:rPr>
        <w:t>of</w:t>
      </w:r>
      <w:r w:rsidRPr="00D80AF7">
        <w:rPr>
          <w:rFonts w:asciiTheme="minorHAnsi" w:hAnsiTheme="minorHAnsi"/>
          <w:sz w:val="22"/>
          <w:szCs w:val="22"/>
          <w:lang w:val="en-GB"/>
        </w:rPr>
        <w:t xml:space="preserve"> predicting the </w:t>
      </w:r>
      <w:r w:rsidRPr="00D80AF7">
        <w:rPr>
          <w:rFonts w:asciiTheme="minorHAnsi" w:hAnsiTheme="minorHAnsi"/>
          <w:noProof/>
          <w:sz w:val="22"/>
          <w:szCs w:val="22"/>
          <w:lang w:val="en-GB"/>
        </w:rPr>
        <w:t>localisation</w:t>
      </w:r>
      <w:r w:rsidRPr="00D80AF7">
        <w:rPr>
          <w:rFonts w:asciiTheme="minorHAnsi" w:hAnsiTheme="minorHAnsi"/>
          <w:sz w:val="22"/>
          <w:szCs w:val="22"/>
          <w:lang w:val="en-GB"/>
        </w:rPr>
        <w:t xml:space="preserve"> level of </w:t>
      </w:r>
      <w:r w:rsidRPr="00D80AF7">
        <w:rPr>
          <w:rFonts w:asciiTheme="minorHAnsi" w:hAnsiTheme="minorHAnsi"/>
          <w:noProof/>
          <w:sz w:val="22"/>
          <w:szCs w:val="22"/>
          <w:lang w:val="en-GB"/>
        </w:rPr>
        <w:t xml:space="preserve">chemical </w:t>
      </w:r>
      <w:r w:rsidRPr="00D80AF7">
        <w:rPr>
          <w:rFonts w:asciiTheme="minorHAnsi" w:hAnsiTheme="minorHAnsi"/>
          <w:sz w:val="22"/>
          <w:szCs w:val="22"/>
          <w:lang w:val="en-GB"/>
        </w:rPr>
        <w:t>bonding within the material</w:t>
      </w:r>
      <w:r>
        <w:rPr>
          <w:rFonts w:asciiTheme="minorHAnsi" w:hAnsiTheme="minorHAnsi"/>
          <w:sz w:val="22"/>
          <w:szCs w:val="22"/>
          <w:lang w:val="en-GB"/>
        </w:rPr>
        <w:t xml:space="preserve"> </w:t>
      </w:r>
      <w:r w:rsidRPr="00D80AF7">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{"citationItems":[{"id":"ITEM-1","itemData":{"DOI":"10.1016/S1003-6326(13)62557-1","ISBN":"1003-6326","ISSN":"10036326","PMID":"23492734","abstract":"Formation condition of high-entropy alloys with solid solution structure was investigated. Seventeen kinds of the high-entropy alloys with different components were prepared, the influencing factors (the comprehensive atomic radius difference δ, the mixing enthalpy ΔH and the mixing entropy ΔS) of phase composition of the alloys were calcu</w:instrText>
      </w:r>
      <w:r>
        <w:rPr>
          <w:rFonts w:asciiTheme="minorHAnsi" w:hAnsiTheme="minorHAnsi" w:hint="eastAsia"/>
          <w:sz w:val="22"/>
          <w:szCs w:val="22"/>
          <w:lang w:val="en-GB"/>
        </w:rPr>
        <w:instrText xml:space="preserve">lated, and the microstructure and phase compositions of alloys were analyzed by using SEM and XRD. The result shows that only the systems with </w:instrText>
      </w:r>
      <w:r>
        <w:rPr>
          <w:rFonts w:asciiTheme="minorHAnsi" w:hAnsiTheme="minorHAnsi" w:hint="eastAsia"/>
          <w:sz w:val="22"/>
          <w:szCs w:val="22"/>
          <w:lang w:val="en-GB"/>
        </w:rPr>
        <w:instrText>δ≤</w:instrText>
      </w:r>
      <w:r>
        <w:rPr>
          <w:rFonts w:asciiTheme="minorHAnsi" w:hAnsiTheme="minorHAnsi" w:hint="eastAsia"/>
          <w:sz w:val="22"/>
          <w:szCs w:val="22"/>
          <w:lang w:val="en-GB"/>
        </w:rPr>
        <w:instrText xml:space="preserve">2.77 and </w:instrText>
      </w:r>
      <w:r>
        <w:rPr>
          <w:rFonts w:asciiTheme="minorHAnsi" w:hAnsiTheme="minorHAnsi" w:hint="eastAsia"/>
          <w:sz w:val="22"/>
          <w:szCs w:val="22"/>
          <w:lang w:val="en-GB"/>
        </w:rPr>
        <w:instrText>Δ</w:instrText>
      </w:r>
      <w:r>
        <w:rPr>
          <w:rFonts w:asciiTheme="minorHAnsi" w:hAnsiTheme="minorHAnsi" w:hint="eastAsia"/>
          <w:sz w:val="22"/>
          <w:szCs w:val="22"/>
          <w:lang w:val="en-GB"/>
        </w:rPr>
        <w:instrText>H</w:instrText>
      </w:r>
      <w:r>
        <w:rPr>
          <w:rFonts w:asciiTheme="minorHAnsi" w:hAnsiTheme="minorHAnsi" w:hint="eastAsia"/>
          <w:sz w:val="22"/>
          <w:szCs w:val="22"/>
          <w:lang w:val="en-GB"/>
        </w:rPr>
        <w:instrText>≥</w:instrText>
      </w:r>
      <w:r>
        <w:rPr>
          <w:rFonts w:asciiTheme="minorHAnsi" w:hAnsiTheme="minorHAnsi" w:hint="eastAsia"/>
          <w:sz w:val="22"/>
          <w:szCs w:val="22"/>
          <w:lang w:val="en-GB"/>
        </w:rPr>
        <w:instrText>-8.8 kJ/mol will form high entropy alloy with simple solid solution. Otherwise, intermetallic comp</w:instrText>
      </w:r>
      <w:r>
        <w:rPr>
          <w:rFonts w:asciiTheme="minorHAnsi" w:hAnsiTheme="minorHAnsi"/>
          <w:sz w:val="22"/>
          <w:szCs w:val="22"/>
          <w:lang w:val="en-GB"/>
        </w:rPr>
        <w:instrText xml:space="preserve">ounds will exist in the alloys. So, selection of the type of element has important effects on microstructure and properties of high entropy alloys. © 2013 The Nonferrous Metals Society of China.","author":[{"dropping-particle":"","family":"Ren","given":"Ming Xing","non-dropping-particle":"","parse-names":false,"suffix":""},{"dropping-particle":"","family":"Li","given":"Bang Sheng","non-dropping-particle":"","parse-names":false,"suffix":""},{"dropping-particle":"","family":"Fu","given":"Heng Zhi","non-dropping-particle":"","parse-names":false,"suffix":""}],"container-title":"Transactions of Nonferrous Metals Society of China (English Edition)","id":"ITEM-1","issued":{"date-parts":[["2013"]]},"title":"Formation condition of solid solution type high-entropy alloy","type":"article-journal"},"uris":["http://www.mendeley.com/documents/?uuid=c588872f-41ff-4eb7-9971-bc257887de39"]},{"id":"ITEM-2","itemData":{"DOI":"10.1557/jmr.2013.211","ISBN":"0884-2914\\n2044-5326","ISSN":"08842914","abstract":"Grain boundary segregation provides a method for stabilization of nanocrystalline metals - an alloying element that will segregate to the boundaries can lower the grain boundary energy, attenuating the driving force for grain growth. The segregation strength relative to the mixing enthalpy of a binary system determines the propensity for segregation stabilization. This relationship has been codified for the design space of positive enthalpy alloys; unfortunately, quantitative values for the grain boundary segregation enthalpy exist in only very few material systems, hampering the prospect of nanocrystalline alloy design. Here we present a Miedema-type model for estimation of grain boundary segregation enthalpy, with which potential nanocrystalline phase-forming alloys can be rapidly screened. Calculations of the necessary enthalpies are made for </w:instrText>
      </w:r>
      <w:r>
        <w:rPr>
          <w:rFonts w:ascii="Cambria Math" w:hAnsi="Cambria Math" w:cs="Cambria Math"/>
          <w:sz w:val="22"/>
          <w:szCs w:val="22"/>
          <w:lang w:val="en-GB"/>
        </w:rPr>
        <w:instrText>∼</w:instrText>
      </w:r>
      <w:r>
        <w:rPr>
          <w:rFonts w:asciiTheme="minorHAnsi" w:hAnsiTheme="minorHAnsi"/>
          <w:sz w:val="22"/>
          <w:szCs w:val="22"/>
          <w:lang w:val="en-GB"/>
        </w:rPr>
        <w:instrText xml:space="preserve">2500 alloys and used to make predictions about nanocrystalline stability. Copyright </w:instrText>
      </w:r>
      <w:r>
        <w:rPr>
          <w:rFonts w:ascii="Calibri" w:hAnsi="Calibri" w:cs="Calibri"/>
          <w:sz w:val="22"/>
          <w:szCs w:val="22"/>
          <w:lang w:val="en-GB"/>
        </w:rPr>
        <w:instrText>©</w:instrText>
      </w:r>
      <w:r>
        <w:rPr>
          <w:rFonts w:asciiTheme="minorHAnsi" w:hAnsiTheme="minorHAnsi"/>
          <w:sz w:val="22"/>
          <w:szCs w:val="22"/>
          <w:lang w:val="en-GB"/>
        </w:rPr>
        <w:instrText xml:space="preserve"> 2013 Materials Research Society.","author":[{"dropping-particle":"","family":"Murdoch","given":"Heather A.","non-dropping-particle":"","parse-names":false,"suffix":""},{"dropping-particle":"","family":"Schuh","given":"Christopher A.","non-dropping-particle":"","parse-names":false,"suffix":""}],"container-title":"Journal of Materials Research","id":"ITEM-2","issued":{"date-parts":[["2013"]]},"title":"Estimation of grain boundary segregation enthalpy and its role in stable nanocrystalline alloy design","type":"article-journal"},"uris":["http://www.mendeley.com/documents/?uuid=cd7f8cb4-fb93-4a16-a37c-06f244c0ec3c"]}],"mendeley":{"formattedCitation":"[18,19]","plainTextFormattedCitation":"[18,19]","previouslyFormattedCitation":"[18,19]"},"properties":{"noteIndex":0},"schema":"https://github.com/citation-style-language/schema/raw/master/csl-citation.json"}</w:instrText>
      </w:r>
      <w:r w:rsidRPr="00D80AF7">
        <w:rPr>
          <w:rFonts w:asciiTheme="minorHAnsi" w:hAnsiTheme="minorHAnsi"/>
          <w:sz w:val="22"/>
          <w:szCs w:val="22"/>
          <w:lang w:val="en-GB"/>
        </w:rPr>
        <w:fldChar w:fldCharType="separate"/>
      </w:r>
      <w:r w:rsidRPr="000E0445">
        <w:rPr>
          <w:rFonts w:asciiTheme="minorHAnsi" w:hAnsiTheme="minorHAnsi"/>
          <w:noProof/>
          <w:sz w:val="22"/>
          <w:szCs w:val="22"/>
          <w:lang w:val="en-GB"/>
        </w:rPr>
        <w:t>[18,19]</w:t>
      </w:r>
      <w:r w:rsidRPr="00D80AF7">
        <w:rPr>
          <w:rFonts w:asciiTheme="minorHAnsi" w:hAnsiTheme="minorHAnsi"/>
          <w:sz w:val="22"/>
          <w:szCs w:val="22"/>
          <w:lang w:val="en-GB"/>
        </w:rPr>
        <w:fldChar w:fldCharType="end"/>
      </w:r>
      <w:r w:rsidRPr="00D80AF7">
        <w:rPr>
          <w:rFonts w:asciiTheme="minorHAnsi" w:hAnsiTheme="minorHAnsi"/>
          <w:sz w:val="22"/>
          <w:szCs w:val="22"/>
          <w:lang w:val="en-GB"/>
        </w:rPr>
        <w:t xml:space="preserve">. </w:t>
      </w:r>
      <w:r>
        <w:rPr>
          <w:rFonts w:asciiTheme="minorHAnsi" w:hAnsiTheme="minorHAnsi"/>
          <w:noProof/>
          <w:sz w:val="22"/>
          <w:szCs w:val="22"/>
          <w:lang w:val="en-GB"/>
        </w:rPr>
        <w:t>The</w:t>
      </w:r>
      <w:r w:rsidRPr="00D80AF7">
        <w:rPr>
          <w:rFonts w:asciiTheme="minorHAnsi" w:hAnsiTheme="minorHAnsi"/>
          <w:sz w:val="22"/>
          <w:szCs w:val="22"/>
          <w:lang w:val="en-GB"/>
        </w:rPr>
        <w:t xml:space="preserve"> bond </w:t>
      </w:r>
      <w:r w:rsidRPr="00D80AF7">
        <w:rPr>
          <w:rFonts w:asciiTheme="minorHAnsi" w:hAnsiTheme="minorHAnsi"/>
          <w:noProof/>
          <w:sz w:val="22"/>
          <w:szCs w:val="22"/>
          <w:lang w:val="en-GB"/>
        </w:rPr>
        <w:t>localisation</w:t>
      </w:r>
      <w:r w:rsidRPr="00D80AF7">
        <w:rPr>
          <w:rFonts w:asciiTheme="minorHAnsi" w:hAnsiTheme="minorHAnsi"/>
          <w:sz w:val="22"/>
          <w:szCs w:val="22"/>
          <w:lang w:val="en-GB"/>
        </w:rPr>
        <w:t xml:space="preserve"> extent is directly relate</w:t>
      </w:r>
      <w:r>
        <w:rPr>
          <w:rFonts w:asciiTheme="minorHAnsi" w:hAnsiTheme="minorHAnsi"/>
          <w:sz w:val="22"/>
          <w:szCs w:val="22"/>
          <w:lang w:val="en-GB"/>
        </w:rPr>
        <w:t>d</w:t>
      </w:r>
      <w:r w:rsidRPr="00D80AF7">
        <w:rPr>
          <w:rFonts w:asciiTheme="minorHAnsi" w:hAnsiTheme="minorHAnsi"/>
          <w:sz w:val="22"/>
          <w:szCs w:val="22"/>
          <w:lang w:val="en-GB"/>
        </w:rPr>
        <w:t xml:space="preserve"> to the mechanical performance of metallic </w:t>
      </w:r>
      <w:r w:rsidRPr="00D80AF7">
        <w:rPr>
          <w:rFonts w:asciiTheme="minorHAnsi" w:hAnsiTheme="minorHAnsi"/>
          <w:noProof/>
          <w:sz w:val="22"/>
          <w:szCs w:val="22"/>
          <w:lang w:val="en-GB"/>
        </w:rPr>
        <w:t>materials</w:t>
      </w:r>
      <w:r>
        <w:rPr>
          <w:rFonts w:asciiTheme="minorHAnsi" w:hAnsiTheme="minorHAnsi"/>
          <w:sz w:val="22"/>
          <w:szCs w:val="22"/>
          <w:lang w:val="en-GB"/>
        </w:rPr>
        <w:t xml:space="preserve"> and</w:t>
      </w:r>
      <w:r w:rsidRPr="00D80AF7">
        <w:rPr>
          <w:rFonts w:asciiTheme="minorHAnsi" w:hAnsiTheme="minorHAnsi"/>
          <w:sz w:val="22"/>
          <w:szCs w:val="22"/>
          <w:lang w:val="en-GB"/>
        </w:rPr>
        <w:t xml:space="preserve"> a new parameter </w:t>
      </w:r>
      <w:r w:rsidRPr="00D80AF7">
        <w:rPr>
          <w:rFonts w:asciiTheme="minorHAnsi" w:hAnsiTheme="minorHAnsi"/>
          <w:noProof/>
          <w:sz w:val="22"/>
          <w:szCs w:val="22"/>
          <w:lang w:val="en-GB"/>
        </w:rPr>
        <w:t>was proposed</w:t>
      </w:r>
      <w:r w:rsidRPr="00D80AF7">
        <w:rPr>
          <w:rFonts w:asciiTheme="minorHAnsi" w:hAnsiTheme="minorHAnsi"/>
          <w:sz w:val="22"/>
          <w:szCs w:val="22"/>
          <w:lang w:val="en-GB"/>
        </w:rPr>
        <w:t xml:space="preserve"> as a refinement of mixing enthalpy</w:t>
      </w:r>
      <w:r>
        <w:rPr>
          <w:rFonts w:asciiTheme="minorHAnsi" w:hAnsiTheme="minorHAnsi"/>
          <w:sz w:val="22"/>
          <w:szCs w:val="22"/>
          <w:lang w:val="en-GB"/>
        </w:rPr>
        <w:t xml:space="preserve">, in order to </w:t>
      </w:r>
      <w:r>
        <w:rPr>
          <w:rFonts w:asciiTheme="minorHAnsi" w:hAnsiTheme="minorHAnsi" w:hint="eastAsia"/>
          <w:sz w:val="22"/>
          <w:szCs w:val="22"/>
          <w:lang w:val="en-GB"/>
        </w:rPr>
        <w:t>assist</w:t>
      </w:r>
      <w:r>
        <w:rPr>
          <w:rFonts w:asciiTheme="minorHAnsi" w:hAnsiTheme="minorHAnsi"/>
          <w:sz w:val="22"/>
          <w:szCs w:val="22"/>
          <w:lang w:val="en-GB"/>
        </w:rPr>
        <w:t xml:space="preserve"> in the prediction of phase formation</w:t>
      </w:r>
      <w:r w:rsidRPr="00D80AF7">
        <w:rPr>
          <w:rFonts w:asciiTheme="minorHAnsi" w:hAnsiTheme="minorHAnsi"/>
          <w:sz w:val="22"/>
          <w:szCs w:val="22"/>
          <w:lang w:val="en-GB"/>
        </w:rPr>
        <w:t xml:space="preserve"> and mechanical performance of potential HEAs. The method </w:t>
      </w:r>
      <w:r>
        <w:rPr>
          <w:rFonts w:asciiTheme="minorHAnsi" w:hAnsiTheme="minorHAnsi"/>
          <w:sz w:val="22"/>
          <w:szCs w:val="22"/>
          <w:lang w:val="en-GB"/>
        </w:rPr>
        <w:t>was</w:t>
      </w:r>
      <w:r w:rsidRPr="00D80AF7">
        <w:rPr>
          <w:rFonts w:asciiTheme="minorHAnsi" w:hAnsiTheme="minorHAnsi"/>
          <w:sz w:val="22"/>
          <w:szCs w:val="22"/>
          <w:lang w:val="en-GB"/>
        </w:rPr>
        <w:t xml:space="preserve"> also applied through </w:t>
      </w:r>
      <w:r>
        <w:rPr>
          <w:rFonts w:asciiTheme="minorHAnsi" w:hAnsiTheme="minorHAnsi"/>
          <w:sz w:val="22"/>
          <w:szCs w:val="22"/>
          <w:lang w:val="en-GB"/>
        </w:rPr>
        <w:t xml:space="preserve">a </w:t>
      </w:r>
      <w:r w:rsidRPr="00D80AF7">
        <w:rPr>
          <w:rFonts w:asciiTheme="minorHAnsi" w:hAnsiTheme="minorHAnsi"/>
          <w:sz w:val="22"/>
          <w:szCs w:val="22"/>
          <w:lang w:val="en-GB"/>
        </w:rPr>
        <w:t xml:space="preserve">binary formation enthalpy dataset (derived from </w:t>
      </w:r>
      <w:r w:rsidRPr="00ED7740">
        <w:rPr>
          <w:rFonts w:asciiTheme="minorHAnsi" w:hAnsiTheme="minorHAnsi"/>
          <w:i/>
          <w:sz w:val="22"/>
          <w:szCs w:val="22"/>
          <w:lang w:val="en-GB"/>
        </w:rPr>
        <w:t>ab initio</w:t>
      </w:r>
      <w:r w:rsidRPr="00D80AF7">
        <w:rPr>
          <w:rFonts w:asciiTheme="minorHAnsi" w:hAnsiTheme="minorHAnsi"/>
          <w:sz w:val="22"/>
          <w:szCs w:val="22"/>
          <w:lang w:val="en-GB"/>
        </w:rPr>
        <w:t xml:space="preserve"> calculation</w:t>
      </w:r>
      <w:r>
        <w:rPr>
          <w:rFonts w:asciiTheme="minorHAnsi" w:hAnsiTheme="minorHAnsi"/>
          <w:sz w:val="22"/>
          <w:szCs w:val="22"/>
          <w:lang w:val="en-GB"/>
        </w:rPr>
        <w:t>s</w:t>
      </w:r>
      <w:r w:rsidRPr="00D80AF7">
        <w:rPr>
          <w:rFonts w:asciiTheme="minorHAnsi" w:hAnsiTheme="minorHAnsi"/>
          <w:sz w:val="22"/>
          <w:szCs w:val="22"/>
          <w:lang w:val="en-GB"/>
        </w:rPr>
        <w:t xml:space="preserve">) to </w:t>
      </w:r>
      <w:r>
        <w:rPr>
          <w:rFonts w:asciiTheme="minorHAnsi" w:hAnsiTheme="minorHAnsi"/>
          <w:sz w:val="22"/>
          <w:szCs w:val="22"/>
          <w:lang w:val="en-GB"/>
        </w:rPr>
        <w:t>obtain</w:t>
      </w:r>
      <w:r w:rsidRPr="00D80AF7">
        <w:rPr>
          <w:rFonts w:asciiTheme="minorHAnsi" w:hAnsiTheme="minorHAnsi"/>
          <w:sz w:val="22"/>
          <w:szCs w:val="22"/>
          <w:lang w:val="en-GB"/>
        </w:rPr>
        <w:t xml:space="preserve"> a </w:t>
      </w:r>
      <w:r w:rsidRPr="00D80AF7">
        <w:rPr>
          <w:rFonts w:asciiTheme="minorHAnsi" w:hAnsiTheme="minorHAnsi"/>
          <w:noProof/>
          <w:sz w:val="22"/>
          <w:szCs w:val="22"/>
          <w:lang w:val="en-GB"/>
        </w:rPr>
        <w:t>comparison</w:t>
      </w:r>
      <w:r w:rsidRPr="00D80AF7">
        <w:rPr>
          <w:rFonts w:asciiTheme="minorHAnsi" w:hAnsiTheme="minorHAnsi"/>
          <w:sz w:val="22"/>
          <w:szCs w:val="22"/>
          <w:lang w:val="en-GB"/>
        </w:rPr>
        <w:t xml:space="preserve"> with</w:t>
      </w:r>
      <w:r>
        <w:rPr>
          <w:rFonts w:asciiTheme="minorHAnsi" w:hAnsiTheme="minorHAnsi"/>
          <w:sz w:val="22"/>
          <w:szCs w:val="22"/>
          <w:lang w:val="en-GB"/>
        </w:rPr>
        <w:t xml:space="preserve"> the semi-empirical</w:t>
      </w:r>
      <w:r w:rsidRPr="00D80AF7">
        <w:rPr>
          <w:rFonts w:asciiTheme="minorHAnsi" w:hAnsiTheme="minorHAnsi"/>
          <w:sz w:val="22"/>
          <w:szCs w:val="22"/>
          <w:lang w:val="en-GB"/>
        </w:rPr>
        <w:t xml:space="preserve"> mixing enthalpy deviation. By conducting </w:t>
      </w:r>
      <w:r>
        <w:rPr>
          <w:rFonts w:asciiTheme="minorHAnsi" w:hAnsiTheme="minorHAnsi"/>
          <w:sz w:val="22"/>
          <w:szCs w:val="22"/>
          <w:lang w:val="en-GB"/>
        </w:rPr>
        <w:t>a</w:t>
      </w:r>
      <w:r w:rsidRPr="00D80AF7">
        <w:rPr>
          <w:rFonts w:asciiTheme="minorHAnsi" w:hAnsiTheme="minorHAnsi"/>
          <w:sz w:val="22"/>
          <w:szCs w:val="22"/>
          <w:lang w:val="en-GB"/>
        </w:rPr>
        <w:t xml:space="preserve"> biplot of mixing enthalpy and formation enthalpy standard deviation </w:t>
      </w:r>
      <w:r>
        <w:rPr>
          <w:rFonts w:asciiTheme="minorHAnsi" w:hAnsiTheme="minorHAnsi"/>
          <w:sz w:val="22"/>
          <w:szCs w:val="22"/>
          <w:lang w:val="en-GB"/>
        </w:rPr>
        <w:t>against</w:t>
      </w:r>
      <w:r w:rsidRPr="00D80AF7">
        <w:rPr>
          <w:rFonts w:asciiTheme="minorHAnsi" w:hAnsiTheme="minorHAnsi"/>
          <w:sz w:val="22"/>
          <w:szCs w:val="22"/>
          <w:lang w:val="en-GB"/>
        </w:rPr>
        <w:t xml:space="preserve"> </w:t>
      </w:r>
      <w:r w:rsidRPr="00E062D9">
        <w:rPr>
          <w:rFonts w:asciiTheme="minorHAnsi" w:hAnsiTheme="minorHAnsi"/>
          <w:i/>
          <w:sz w:val="22"/>
          <w:szCs w:val="22"/>
          <w:lang w:val="en-GB"/>
        </w:rPr>
        <w:t>VEC</w:t>
      </w:r>
      <w:r w:rsidRPr="00D80AF7">
        <w:rPr>
          <w:rFonts w:asciiTheme="minorHAnsi" w:hAnsiTheme="minorHAnsi"/>
          <w:sz w:val="22"/>
          <w:szCs w:val="22"/>
          <w:lang w:val="en-GB"/>
        </w:rPr>
        <w:t xml:space="preserve">, the </w:t>
      </w:r>
      <w:r>
        <w:rPr>
          <w:rFonts w:asciiTheme="minorHAnsi" w:hAnsiTheme="minorHAnsi"/>
          <w:sz w:val="22"/>
          <w:szCs w:val="22"/>
          <w:lang w:val="en-GB"/>
        </w:rPr>
        <w:t>relationship</w:t>
      </w:r>
      <w:r w:rsidRPr="00D80AF7">
        <w:rPr>
          <w:rFonts w:asciiTheme="minorHAnsi" w:hAnsiTheme="minorHAnsi"/>
          <w:sz w:val="22"/>
          <w:szCs w:val="22"/>
          <w:lang w:val="en-GB"/>
        </w:rPr>
        <w:t xml:space="preserve"> between these parameters and their effects on RHEAs </w:t>
      </w:r>
      <w:r>
        <w:rPr>
          <w:rFonts w:asciiTheme="minorHAnsi" w:hAnsiTheme="minorHAnsi"/>
          <w:sz w:val="22"/>
          <w:szCs w:val="22"/>
          <w:lang w:val="en-GB"/>
        </w:rPr>
        <w:t>phase formation are</w:t>
      </w:r>
      <w:r w:rsidRPr="00D80AF7">
        <w:rPr>
          <w:rFonts w:asciiTheme="minorHAnsi" w:hAnsiTheme="minorHAnsi"/>
          <w:sz w:val="22"/>
          <w:szCs w:val="22"/>
          <w:lang w:val="en-GB"/>
        </w:rPr>
        <w:t xml:space="preserve"> discussed in</w:t>
      </w:r>
      <w:r>
        <w:rPr>
          <w:rFonts w:asciiTheme="minorHAnsi" w:hAnsiTheme="minorHAnsi"/>
          <w:sz w:val="22"/>
          <w:szCs w:val="22"/>
          <w:lang w:val="en-GB"/>
        </w:rPr>
        <w:t xml:space="preserve"> the</w:t>
      </w:r>
      <w:r w:rsidRPr="00D80AF7">
        <w:rPr>
          <w:rFonts w:asciiTheme="minorHAnsi" w:hAnsiTheme="minorHAnsi"/>
          <w:sz w:val="22"/>
          <w:szCs w:val="22"/>
          <w:lang w:val="en-GB"/>
        </w:rPr>
        <w:t xml:space="preserve"> following sections. Two ductile quaternary </w:t>
      </w:r>
      <w:r>
        <w:rPr>
          <w:rFonts w:asciiTheme="minorHAnsi" w:hAnsiTheme="minorHAnsi"/>
          <w:sz w:val="22"/>
          <w:szCs w:val="22"/>
          <w:lang w:val="en-GB"/>
        </w:rPr>
        <w:t>equimolar</w:t>
      </w:r>
      <w:r w:rsidRPr="00D80AF7">
        <w:rPr>
          <w:rFonts w:asciiTheme="minorHAnsi" w:hAnsiTheme="minorHAnsi"/>
          <w:sz w:val="22"/>
          <w:szCs w:val="22"/>
          <w:lang w:val="en-GB"/>
        </w:rPr>
        <w:t xml:space="preserve"> RHEAs </w:t>
      </w:r>
      <w:r w:rsidR="00914C4B">
        <w:rPr>
          <w:rFonts w:asciiTheme="minorHAnsi" w:hAnsiTheme="minorHAnsi"/>
          <w:sz w:val="22"/>
          <w:szCs w:val="22"/>
          <w:lang w:val="en-GB"/>
        </w:rPr>
        <w:t xml:space="preserve">TiZrNbTa and TiZrHfTa </w:t>
      </w:r>
      <w:r w:rsidRPr="00D80AF7">
        <w:rPr>
          <w:rFonts w:asciiTheme="minorHAnsi" w:hAnsiTheme="minorHAnsi"/>
          <w:sz w:val="22"/>
          <w:szCs w:val="22"/>
          <w:lang w:val="en-GB"/>
        </w:rPr>
        <w:t xml:space="preserve">were developed and </w:t>
      </w:r>
      <w:r>
        <w:rPr>
          <w:rFonts w:asciiTheme="minorHAnsi" w:hAnsiTheme="minorHAnsi"/>
          <w:sz w:val="22"/>
          <w:szCs w:val="22"/>
          <w:lang w:val="en-GB"/>
        </w:rPr>
        <w:t>assessed</w:t>
      </w:r>
      <w:r w:rsidRPr="00D80AF7">
        <w:rPr>
          <w:rFonts w:asciiTheme="minorHAnsi" w:hAnsiTheme="minorHAnsi"/>
          <w:sz w:val="22"/>
          <w:szCs w:val="22"/>
          <w:lang w:val="en-GB"/>
        </w:rPr>
        <w:t xml:space="preserve"> by </w:t>
      </w:r>
      <w:r>
        <w:rPr>
          <w:rFonts w:asciiTheme="minorHAnsi" w:hAnsiTheme="minorHAnsi"/>
          <w:sz w:val="22"/>
          <w:szCs w:val="22"/>
          <w:lang w:val="en-GB"/>
        </w:rPr>
        <w:t xml:space="preserve">both </w:t>
      </w:r>
      <w:r w:rsidRPr="00D80AF7">
        <w:rPr>
          <w:rFonts w:asciiTheme="minorHAnsi" w:hAnsiTheme="minorHAnsi"/>
          <w:sz w:val="22"/>
          <w:szCs w:val="22"/>
          <w:lang w:val="en-GB"/>
        </w:rPr>
        <w:t xml:space="preserve">experiments and </w:t>
      </w:r>
      <w:r w:rsidRPr="00D80AF7">
        <w:rPr>
          <w:rFonts w:asciiTheme="minorHAnsi" w:hAnsiTheme="minorHAnsi"/>
          <w:i/>
          <w:sz w:val="22"/>
          <w:szCs w:val="22"/>
          <w:lang w:val="en-GB"/>
        </w:rPr>
        <w:t>ab</w:t>
      </w:r>
      <w:r>
        <w:rPr>
          <w:rFonts w:asciiTheme="minorHAnsi" w:hAnsiTheme="minorHAnsi"/>
          <w:i/>
          <w:sz w:val="22"/>
          <w:szCs w:val="22"/>
          <w:lang w:val="en-GB"/>
        </w:rPr>
        <w:t xml:space="preserve"> </w:t>
      </w:r>
      <w:r w:rsidRPr="00D80AF7">
        <w:rPr>
          <w:rFonts w:asciiTheme="minorHAnsi" w:hAnsiTheme="minorHAnsi"/>
          <w:i/>
          <w:sz w:val="22"/>
          <w:szCs w:val="22"/>
          <w:lang w:val="en-GB"/>
        </w:rPr>
        <w:t>initio</w:t>
      </w:r>
      <w:r w:rsidRPr="00D80AF7">
        <w:rPr>
          <w:rFonts w:asciiTheme="minorHAnsi" w:hAnsiTheme="minorHAnsi"/>
          <w:sz w:val="22"/>
          <w:szCs w:val="22"/>
          <w:lang w:val="en-GB"/>
        </w:rPr>
        <w:t xml:space="preserve"> calculations</w:t>
      </w:r>
      <w:r>
        <w:rPr>
          <w:rFonts w:asciiTheme="minorHAnsi" w:hAnsiTheme="minorHAnsi"/>
          <w:sz w:val="22"/>
          <w:szCs w:val="22"/>
          <w:lang w:val="en-GB"/>
        </w:rPr>
        <w:t>,</w:t>
      </w:r>
      <w:r w:rsidRPr="00D80AF7">
        <w:rPr>
          <w:rFonts w:asciiTheme="minorHAnsi" w:hAnsiTheme="minorHAnsi"/>
          <w:sz w:val="22"/>
          <w:szCs w:val="22"/>
          <w:lang w:val="en-GB"/>
        </w:rPr>
        <w:t xml:space="preserve"> to prove the effectiveness of </w:t>
      </w:r>
      <w:r>
        <w:rPr>
          <w:rFonts w:asciiTheme="minorHAnsi" w:hAnsiTheme="minorHAnsi"/>
          <w:sz w:val="22"/>
          <w:szCs w:val="22"/>
          <w:lang w:val="en-GB"/>
        </w:rPr>
        <w:t xml:space="preserve">this method </w:t>
      </w:r>
      <w:r w:rsidR="005F5862">
        <w:rPr>
          <w:rFonts w:asciiTheme="minorHAnsi" w:hAnsiTheme="minorHAnsi"/>
          <w:sz w:val="22"/>
          <w:szCs w:val="22"/>
          <w:lang w:val="en-GB"/>
        </w:rPr>
        <w:t>in</w:t>
      </w:r>
      <w:r>
        <w:rPr>
          <w:rFonts w:asciiTheme="minorHAnsi" w:hAnsiTheme="minorHAnsi"/>
          <w:sz w:val="22"/>
          <w:szCs w:val="22"/>
          <w:lang w:val="en-GB"/>
        </w:rPr>
        <w:t xml:space="preserve"> predicting </w:t>
      </w:r>
      <w:r w:rsidRPr="00D80AF7">
        <w:rPr>
          <w:rFonts w:asciiTheme="minorHAnsi" w:hAnsiTheme="minorHAnsi"/>
          <w:sz w:val="22"/>
          <w:szCs w:val="22"/>
          <w:lang w:val="en-GB"/>
        </w:rPr>
        <w:t>phase formation</w:t>
      </w:r>
      <w:r>
        <w:rPr>
          <w:rFonts w:asciiTheme="minorHAnsi" w:hAnsiTheme="minorHAnsi"/>
          <w:sz w:val="22"/>
          <w:szCs w:val="22"/>
          <w:lang w:val="en-GB"/>
        </w:rPr>
        <w:t>.</w:t>
      </w:r>
      <w:r w:rsidRPr="00D80AF7">
        <w:rPr>
          <w:rFonts w:asciiTheme="minorHAnsi" w:hAnsiTheme="minorHAnsi"/>
          <w:sz w:val="22"/>
          <w:szCs w:val="22"/>
          <w:lang w:val="en-GB"/>
        </w:rPr>
        <w:t xml:space="preserve"> </w:t>
      </w:r>
    </w:p>
    <w:p w14:paraId="4FA5100A" w14:textId="77777777" w:rsidR="00B145BE" w:rsidRPr="00E062D9" w:rsidRDefault="00B145BE" w:rsidP="00B145BE">
      <w:pPr>
        <w:pStyle w:val="2"/>
        <w:spacing w:after="60" w:line="360" w:lineRule="auto"/>
        <w:rPr>
          <w:rFonts w:asciiTheme="minorHAnsi" w:hAnsiTheme="minorHAnsi"/>
          <w:b/>
          <w:color w:val="auto"/>
          <w:sz w:val="32"/>
          <w:szCs w:val="32"/>
        </w:rPr>
      </w:pPr>
      <w:bookmarkStart w:id="217" w:name="_Toc22052533"/>
      <w:r w:rsidRPr="00E062D9">
        <w:rPr>
          <w:rFonts w:asciiTheme="minorHAnsi" w:hAnsiTheme="minorHAnsi"/>
          <w:b/>
          <w:color w:val="auto"/>
          <w:sz w:val="32"/>
          <w:szCs w:val="32"/>
        </w:rPr>
        <w:t xml:space="preserve">4.2 Analysis of the </w:t>
      </w:r>
      <w:r w:rsidRPr="00E062D9">
        <w:rPr>
          <w:rFonts w:asciiTheme="minorHAnsi" w:hAnsiTheme="minorHAnsi"/>
          <w:b/>
          <w:noProof/>
          <w:color w:val="auto"/>
          <w:sz w:val="32"/>
          <w:szCs w:val="32"/>
        </w:rPr>
        <w:t>relationship</w:t>
      </w:r>
      <w:r w:rsidRPr="00E062D9">
        <w:rPr>
          <w:rFonts w:asciiTheme="minorHAnsi" w:hAnsiTheme="minorHAnsi"/>
          <w:b/>
          <w:color w:val="auto"/>
          <w:sz w:val="32"/>
          <w:szCs w:val="32"/>
        </w:rPr>
        <w:t xml:space="preserve"> between semi-</w:t>
      </w:r>
      <w:r w:rsidRPr="00E062D9">
        <w:rPr>
          <w:rFonts w:asciiTheme="minorHAnsi" w:hAnsiTheme="minorHAnsi"/>
          <w:b/>
          <w:noProof/>
          <w:color w:val="auto"/>
          <w:sz w:val="32"/>
          <w:szCs w:val="32"/>
        </w:rPr>
        <w:t>empirical</w:t>
      </w:r>
      <w:r w:rsidRPr="00E062D9">
        <w:rPr>
          <w:rFonts w:asciiTheme="minorHAnsi" w:hAnsiTheme="minorHAnsi"/>
          <w:b/>
          <w:color w:val="auto"/>
          <w:sz w:val="32"/>
          <w:szCs w:val="32"/>
        </w:rPr>
        <w:t xml:space="preserve"> parameter: Mixing/formation enthalpy standard deviation, </w:t>
      </w:r>
      <w:r w:rsidRPr="00E062D9">
        <w:rPr>
          <w:rFonts w:asciiTheme="minorHAnsi" w:hAnsiTheme="minorHAnsi"/>
          <w:b/>
          <w:i/>
          <w:color w:val="auto"/>
          <w:sz w:val="32"/>
          <w:szCs w:val="32"/>
        </w:rPr>
        <w:t>VEC</w:t>
      </w:r>
      <w:r w:rsidRPr="00E062D9">
        <w:rPr>
          <w:rFonts w:asciiTheme="minorHAnsi" w:hAnsiTheme="minorHAnsi"/>
          <w:b/>
          <w:color w:val="auto"/>
          <w:sz w:val="32"/>
          <w:szCs w:val="32"/>
        </w:rPr>
        <w:t>.</w:t>
      </w:r>
      <w:bookmarkEnd w:id="217"/>
      <w:r w:rsidRPr="00E062D9">
        <w:rPr>
          <w:rFonts w:asciiTheme="minorHAnsi" w:hAnsiTheme="minorHAnsi"/>
          <w:b/>
          <w:color w:val="auto"/>
          <w:sz w:val="32"/>
          <w:szCs w:val="32"/>
        </w:rPr>
        <w:t xml:space="preserve">  </w:t>
      </w:r>
    </w:p>
    <w:p w14:paraId="0A652CD9" w14:textId="0E469799" w:rsidR="00B145BE" w:rsidRDefault="00B145BE" w:rsidP="00B145BE">
      <w:pPr>
        <w:pStyle w:val="Normal1"/>
        <w:spacing w:after="60" w:line="360" w:lineRule="auto"/>
        <w:jc w:val="both"/>
        <w:rPr>
          <w:rFonts w:asciiTheme="minorHAnsi" w:hAnsiTheme="minorHAnsi"/>
          <w:sz w:val="22"/>
          <w:szCs w:val="22"/>
          <w:lang w:val="en-GB"/>
        </w:rPr>
      </w:pPr>
      <w:r w:rsidRPr="00D80AF7">
        <w:rPr>
          <w:rFonts w:asciiTheme="minorHAnsi" w:hAnsiTheme="minorHAnsi"/>
          <w:noProof/>
          <w:sz w:val="22"/>
          <w:szCs w:val="22"/>
          <w:lang w:val="en-GB"/>
        </w:rPr>
        <w:t>Currently,</w:t>
      </w:r>
      <w:r w:rsidRPr="00D80AF7">
        <w:rPr>
          <w:rFonts w:asciiTheme="minorHAnsi" w:hAnsiTheme="minorHAnsi"/>
          <w:sz w:val="22"/>
          <w:szCs w:val="22"/>
          <w:lang w:val="en-GB"/>
        </w:rPr>
        <w:t xml:space="preserve"> to satisfy the </w:t>
      </w:r>
      <w:r>
        <w:rPr>
          <w:rFonts w:asciiTheme="minorHAnsi" w:hAnsiTheme="minorHAnsi"/>
          <w:sz w:val="22"/>
          <w:szCs w:val="22"/>
          <w:lang w:val="en-GB"/>
        </w:rPr>
        <w:t>application requirements and balance cost of production</w:t>
      </w:r>
      <w:r w:rsidRPr="00D80AF7">
        <w:rPr>
          <w:rFonts w:asciiTheme="minorHAnsi" w:hAnsiTheme="minorHAnsi"/>
          <w:sz w:val="22"/>
          <w:szCs w:val="22"/>
          <w:lang w:val="en-GB"/>
        </w:rPr>
        <w:t>, most HEA system</w:t>
      </w:r>
      <w:r>
        <w:rPr>
          <w:rFonts w:asciiTheme="minorHAnsi" w:hAnsiTheme="minorHAnsi"/>
          <w:sz w:val="22"/>
          <w:szCs w:val="22"/>
          <w:lang w:val="en-GB"/>
        </w:rPr>
        <w:t>s</w:t>
      </w:r>
      <w:r w:rsidRPr="00D80AF7">
        <w:rPr>
          <w:rFonts w:asciiTheme="minorHAnsi" w:hAnsiTheme="minorHAnsi"/>
          <w:sz w:val="22"/>
          <w:szCs w:val="22"/>
          <w:lang w:val="en-GB"/>
        </w:rPr>
        <w:t xml:space="preserve"> </w:t>
      </w:r>
      <w:r>
        <w:rPr>
          <w:rFonts w:asciiTheme="minorHAnsi" w:hAnsiTheme="minorHAnsi"/>
          <w:sz w:val="22"/>
          <w:szCs w:val="22"/>
          <w:lang w:val="en-GB"/>
        </w:rPr>
        <w:t>possess alloying</w:t>
      </w:r>
      <w:r w:rsidRPr="00D80AF7">
        <w:rPr>
          <w:rFonts w:asciiTheme="minorHAnsi" w:hAnsiTheme="minorHAnsi"/>
          <w:sz w:val="22"/>
          <w:szCs w:val="22"/>
          <w:lang w:val="en-GB"/>
        </w:rPr>
        <w:t xml:space="preserve"> elements </w:t>
      </w:r>
      <w:r>
        <w:rPr>
          <w:rFonts w:asciiTheme="minorHAnsi" w:hAnsiTheme="minorHAnsi"/>
          <w:sz w:val="22"/>
          <w:szCs w:val="22"/>
          <w:lang w:val="en-GB"/>
        </w:rPr>
        <w:t>including</w:t>
      </w:r>
      <w:r w:rsidRPr="00D80AF7">
        <w:rPr>
          <w:rFonts w:asciiTheme="minorHAnsi" w:hAnsiTheme="minorHAnsi"/>
          <w:sz w:val="22"/>
          <w:szCs w:val="22"/>
          <w:lang w:val="en-GB"/>
        </w:rPr>
        <w:t xml:space="preserve"> Al, Sc, Ti, V, Cr, Mn, Fe, Co, Ni, Cu, Y, Zr, Nb, Mo, Hf, Ta, W, and Re. </w:t>
      </w:r>
      <w:r w:rsidR="008638E1">
        <w:rPr>
          <w:rFonts w:asciiTheme="minorHAnsi" w:hAnsiTheme="minorHAnsi"/>
          <w:sz w:val="22"/>
          <w:szCs w:val="22"/>
          <w:lang w:val="en-GB"/>
        </w:rPr>
        <w:t>Meanwhile, f</w:t>
      </w:r>
      <w:r w:rsidRPr="00D80AF7">
        <w:rPr>
          <w:rFonts w:asciiTheme="minorHAnsi" w:hAnsiTheme="minorHAnsi"/>
          <w:sz w:val="22"/>
          <w:szCs w:val="22"/>
          <w:lang w:val="en-GB"/>
        </w:rPr>
        <w:t>or reinforcement, minor addition</w:t>
      </w:r>
      <w:r>
        <w:rPr>
          <w:rFonts w:asciiTheme="minorHAnsi" w:hAnsiTheme="minorHAnsi"/>
          <w:sz w:val="22"/>
          <w:szCs w:val="22"/>
          <w:lang w:val="en-GB"/>
        </w:rPr>
        <w:t>s</w:t>
      </w:r>
      <w:r w:rsidRPr="00D80AF7">
        <w:rPr>
          <w:rFonts w:asciiTheme="minorHAnsi" w:hAnsiTheme="minorHAnsi"/>
          <w:sz w:val="22"/>
          <w:szCs w:val="22"/>
          <w:lang w:val="en-GB"/>
        </w:rPr>
        <w:t xml:space="preserve"> of Si and C were reported to enable </w:t>
      </w:r>
      <w:r>
        <w:rPr>
          <w:rFonts w:asciiTheme="minorHAnsi" w:hAnsiTheme="minorHAnsi" w:hint="eastAsia"/>
          <w:sz w:val="22"/>
          <w:szCs w:val="22"/>
          <w:lang w:val="en-GB"/>
        </w:rPr>
        <w:t>precipitate</w:t>
      </w:r>
      <w:r w:rsidRPr="00D80AF7">
        <w:rPr>
          <w:rFonts w:asciiTheme="minorHAnsi" w:hAnsiTheme="minorHAnsi"/>
          <w:sz w:val="22"/>
          <w:szCs w:val="22"/>
          <w:lang w:val="en-GB"/>
        </w:rPr>
        <w:t xml:space="preserve"> strengthening and interstitial strengthening</w:t>
      </w:r>
      <w:r>
        <w:rPr>
          <w:rFonts w:asciiTheme="minorHAnsi" w:hAnsiTheme="minorHAnsi"/>
          <w:sz w:val="22"/>
          <w:szCs w:val="22"/>
          <w:lang w:val="en-GB"/>
        </w:rPr>
        <w:t xml:space="preserve"> </w:t>
      </w:r>
      <w:r w:rsidR="008638E1">
        <w:rPr>
          <w:rFonts w:asciiTheme="minorHAnsi" w:hAnsiTheme="minorHAnsi"/>
          <w:sz w:val="22"/>
          <w:szCs w:val="22"/>
          <w:lang w:val="en-GB"/>
        </w:rPr>
        <w:t>in HEAs</w:t>
      </w:r>
      <w:r w:rsidRPr="00D80AF7">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{"citationItems":[{"id":"ITEM-1","itemData":{"DOI":"10.1557/jmr.2018.153","ISSN":"20445326","abstract":"&lt;p&gt; &lt;fig position=\"anchor\"&gt; &lt;graphic href=\"S088429141800153X_figAb\" mime-subtype=\"jpeg\" mimetype=\"image\" position=\"float\" type=\"simple\"/&gt; &lt;/fig&gt; &lt;/p&gt;","author":[{"dropping-particle":"","family":"Senkov","given":"Oleg N.","non-dropping-particle":"","parse-names":false,"suffix":""},{"dropping-particle":"","family":"Miracle","given":"Daniel B.","non-dropping-particle":"","parse-names":false,"suffix":""},{"dropping-particle":"","family":"Chaput","given":"Kevin J.","non-dropping-particle":"","parse-names":false,"suffix":""},{"dropping-particle":"","family":"Couzinie","given":"Jean Philippe","non-dropping-particle":"","parse-names":false,"suffix":""}],"container-title":"Journal of Materials Research","id":"ITEM-1","issued":{"date-parts":[["2018"]]},"title":"Development and exploration of refractory high entropy alloys - A review","type":"article"},"uris":["http://www.mendeley.com/documents/?uuid=d1c52530-7e10-4c3f-af10-ca6979da1712"]}],"mendeley":{"formattedCitation":"[7]","plainTextFormattedCitation":"[7]","previouslyFormattedCitation":"[7]"},"properties":{"noteIndex":0},"schema":"https://github.com/citation-style-language/schema/raw/master/csl-citation.json"}</w:instrText>
      </w:r>
      <w:r w:rsidRPr="00D80AF7">
        <w:rPr>
          <w:rFonts w:asciiTheme="minorHAnsi" w:hAnsiTheme="minorHAnsi"/>
          <w:sz w:val="22"/>
          <w:szCs w:val="22"/>
          <w:lang w:val="en-GB"/>
        </w:rPr>
        <w:fldChar w:fldCharType="separate"/>
      </w:r>
      <w:r w:rsidRPr="00C84C26">
        <w:rPr>
          <w:rFonts w:asciiTheme="minorHAnsi" w:hAnsiTheme="minorHAnsi"/>
          <w:noProof/>
          <w:sz w:val="22"/>
          <w:szCs w:val="22"/>
          <w:lang w:val="en-GB"/>
        </w:rPr>
        <w:t>[7]</w:t>
      </w:r>
      <w:r w:rsidRPr="00D80AF7">
        <w:rPr>
          <w:rFonts w:asciiTheme="minorHAnsi" w:hAnsiTheme="minorHAnsi"/>
          <w:sz w:val="22"/>
          <w:szCs w:val="22"/>
          <w:lang w:val="en-GB"/>
        </w:rPr>
        <w:fldChar w:fldCharType="end"/>
      </w:r>
      <w:r w:rsidRPr="00D80AF7">
        <w:rPr>
          <w:rFonts w:asciiTheme="minorHAnsi" w:hAnsiTheme="minorHAnsi"/>
          <w:sz w:val="22"/>
          <w:szCs w:val="22"/>
          <w:lang w:val="en-GB"/>
        </w:rPr>
        <w:t>. However,</w:t>
      </w:r>
      <w:r>
        <w:rPr>
          <w:rFonts w:asciiTheme="minorHAnsi" w:hAnsiTheme="minorHAnsi"/>
          <w:sz w:val="22"/>
          <w:szCs w:val="22"/>
          <w:lang w:val="en-GB"/>
        </w:rPr>
        <w:t xml:space="preserve"> </w:t>
      </w:r>
      <w:r>
        <w:rPr>
          <w:rFonts w:asciiTheme="minorHAnsi" w:hAnsiTheme="minorHAnsi" w:hint="eastAsia"/>
          <w:sz w:val="22"/>
          <w:szCs w:val="22"/>
          <w:lang w:val="en-GB"/>
        </w:rPr>
        <w:t>in</w:t>
      </w:r>
      <w:r>
        <w:rPr>
          <w:rFonts w:asciiTheme="minorHAnsi" w:hAnsiTheme="minorHAnsi"/>
          <w:sz w:val="22"/>
          <w:szCs w:val="22"/>
          <w:lang w:val="en-GB"/>
        </w:rPr>
        <w:t xml:space="preserve"> </w:t>
      </w:r>
      <w:r w:rsidR="003611E3">
        <w:rPr>
          <w:rFonts w:asciiTheme="minorHAnsi" w:hAnsiTheme="minorHAnsi"/>
          <w:sz w:val="22"/>
          <w:szCs w:val="22"/>
          <w:lang w:val="en-GB"/>
        </w:rPr>
        <w:t xml:space="preserve">the </w:t>
      </w:r>
      <w:r>
        <w:rPr>
          <w:rFonts w:asciiTheme="minorHAnsi" w:hAnsiTheme="minorHAnsi" w:hint="eastAsia"/>
          <w:sz w:val="22"/>
          <w:szCs w:val="22"/>
          <w:lang w:val="en-GB"/>
        </w:rPr>
        <w:t>current</w:t>
      </w:r>
      <w:r>
        <w:rPr>
          <w:rFonts w:asciiTheme="minorHAnsi" w:hAnsiTheme="minorHAnsi"/>
          <w:sz w:val="22"/>
          <w:szCs w:val="22"/>
          <w:lang w:val="en-GB"/>
        </w:rPr>
        <w:t xml:space="preserve"> </w:t>
      </w:r>
      <w:r>
        <w:rPr>
          <w:rFonts w:asciiTheme="minorHAnsi" w:hAnsiTheme="minorHAnsi" w:hint="eastAsia"/>
          <w:sz w:val="22"/>
          <w:szCs w:val="22"/>
          <w:lang w:val="en-GB"/>
        </w:rPr>
        <w:t>work,</w:t>
      </w:r>
      <w:r w:rsidRPr="00D80AF7">
        <w:rPr>
          <w:rFonts w:asciiTheme="minorHAnsi" w:hAnsiTheme="minorHAnsi"/>
          <w:sz w:val="22"/>
          <w:szCs w:val="22"/>
          <w:lang w:val="en-GB"/>
        </w:rPr>
        <w:t xml:space="preserve"> together with </w:t>
      </w:r>
      <w:r>
        <w:rPr>
          <w:rFonts w:asciiTheme="minorHAnsi" w:hAnsiTheme="minorHAnsi"/>
          <w:sz w:val="22"/>
          <w:szCs w:val="22"/>
          <w:lang w:val="en-GB"/>
        </w:rPr>
        <w:t xml:space="preserve">the </w:t>
      </w:r>
      <w:r w:rsidRPr="00D80AF7">
        <w:rPr>
          <w:rFonts w:asciiTheme="minorHAnsi" w:hAnsiTheme="minorHAnsi"/>
          <w:sz w:val="22"/>
          <w:szCs w:val="22"/>
          <w:lang w:val="en-GB"/>
        </w:rPr>
        <w:t xml:space="preserve">rare </w:t>
      </w:r>
      <w:r w:rsidRPr="00D80AF7">
        <w:rPr>
          <w:rFonts w:asciiTheme="minorHAnsi" w:hAnsiTheme="minorHAnsi"/>
          <w:noProof/>
          <w:sz w:val="22"/>
          <w:szCs w:val="22"/>
          <w:lang w:val="en-GB"/>
        </w:rPr>
        <w:t>elements,</w:t>
      </w:r>
      <w:r w:rsidRPr="00D80AF7">
        <w:rPr>
          <w:rFonts w:asciiTheme="minorHAnsi" w:hAnsiTheme="minorHAnsi"/>
          <w:sz w:val="22"/>
          <w:szCs w:val="22"/>
          <w:lang w:val="en-GB"/>
        </w:rPr>
        <w:t xml:space="preserve"> </w:t>
      </w:r>
      <w:r>
        <w:rPr>
          <w:rFonts w:asciiTheme="minorHAnsi" w:hAnsiTheme="minorHAnsi"/>
          <w:sz w:val="22"/>
          <w:szCs w:val="22"/>
          <w:lang w:val="en-GB"/>
        </w:rPr>
        <w:t>to reduce the number of possible HEAs candidates,</w:t>
      </w:r>
      <w:r w:rsidRPr="00D80AF7">
        <w:rPr>
          <w:rFonts w:asciiTheme="minorHAnsi" w:hAnsiTheme="minorHAnsi"/>
          <w:sz w:val="22"/>
          <w:szCs w:val="22"/>
          <w:lang w:val="en-GB"/>
        </w:rPr>
        <w:t xml:space="preserve"> these non-metallic elements </w:t>
      </w:r>
      <w:r>
        <w:rPr>
          <w:rFonts w:asciiTheme="minorHAnsi" w:hAnsiTheme="minorHAnsi"/>
          <w:sz w:val="22"/>
          <w:szCs w:val="22"/>
          <w:lang w:val="en-GB"/>
        </w:rPr>
        <w:t xml:space="preserve">and precious metallic elements </w:t>
      </w:r>
      <w:r w:rsidRPr="00D80AF7">
        <w:rPr>
          <w:rFonts w:asciiTheme="minorHAnsi" w:hAnsiTheme="minorHAnsi"/>
          <w:sz w:val="22"/>
          <w:szCs w:val="22"/>
          <w:lang w:val="en-GB"/>
        </w:rPr>
        <w:t xml:space="preserve">were excluded due to </w:t>
      </w:r>
      <w:r>
        <w:rPr>
          <w:rFonts w:asciiTheme="minorHAnsi" w:hAnsiTheme="minorHAnsi"/>
          <w:sz w:val="22"/>
          <w:szCs w:val="22"/>
          <w:lang w:val="en-GB"/>
        </w:rPr>
        <w:t xml:space="preserve">the </w:t>
      </w:r>
      <w:r w:rsidRPr="007C247B">
        <w:rPr>
          <w:rFonts w:asciiTheme="minorHAnsi" w:hAnsiTheme="minorHAnsi"/>
          <w:noProof/>
          <w:sz w:val="22"/>
          <w:szCs w:val="22"/>
          <w:lang w:val="en-GB"/>
        </w:rPr>
        <w:t>consideration</w:t>
      </w:r>
      <w:r>
        <w:rPr>
          <w:rFonts w:asciiTheme="minorHAnsi" w:hAnsiTheme="minorHAnsi"/>
          <w:noProof/>
          <w:sz w:val="22"/>
          <w:szCs w:val="22"/>
          <w:lang w:val="en-GB"/>
        </w:rPr>
        <w:t>s previously outlined</w:t>
      </w:r>
      <w:r w:rsidRPr="00D80AF7">
        <w:rPr>
          <w:rFonts w:asciiTheme="minorHAnsi" w:hAnsiTheme="minorHAnsi"/>
          <w:sz w:val="22"/>
          <w:szCs w:val="22"/>
          <w:lang w:val="en-GB"/>
        </w:rPr>
        <w:t xml:space="preserve">. </w:t>
      </w:r>
      <w:r>
        <w:rPr>
          <w:rFonts w:asciiTheme="minorHAnsi" w:hAnsiTheme="minorHAnsi"/>
          <w:noProof/>
          <w:sz w:val="22"/>
          <w:szCs w:val="22"/>
          <w:lang w:val="en-GB"/>
        </w:rPr>
        <w:t>With the removal of these elements,</w:t>
      </w:r>
      <w:r w:rsidRPr="00D80AF7">
        <w:rPr>
          <w:rFonts w:asciiTheme="minorHAnsi" w:hAnsiTheme="minorHAnsi"/>
          <w:sz w:val="22"/>
          <w:szCs w:val="22"/>
          <w:lang w:val="en-GB"/>
        </w:rPr>
        <w:t xml:space="preserve"> </w:t>
      </w:r>
      <w:r>
        <w:rPr>
          <w:rFonts w:asciiTheme="minorHAnsi" w:hAnsiTheme="minorHAnsi"/>
          <w:sz w:val="22"/>
          <w:szCs w:val="22"/>
          <w:lang w:val="en-GB"/>
        </w:rPr>
        <w:t xml:space="preserve">the number of </w:t>
      </w:r>
      <w:r w:rsidRPr="00D80AF7">
        <w:rPr>
          <w:rFonts w:asciiTheme="minorHAnsi" w:hAnsiTheme="minorHAnsi"/>
          <w:noProof/>
          <w:sz w:val="22"/>
          <w:szCs w:val="22"/>
          <w:lang w:val="en-GB"/>
        </w:rPr>
        <w:t>possible</w:t>
      </w:r>
      <w:r w:rsidRPr="00D80AF7">
        <w:rPr>
          <w:rFonts w:asciiTheme="minorHAnsi" w:hAnsiTheme="minorHAnsi"/>
          <w:sz w:val="22"/>
          <w:szCs w:val="22"/>
          <w:lang w:val="en-GB"/>
        </w:rPr>
        <w:t xml:space="preserve"> alloy </w:t>
      </w:r>
      <w:r>
        <w:rPr>
          <w:rFonts w:asciiTheme="minorHAnsi" w:hAnsiTheme="minorHAnsi"/>
          <w:sz w:val="22"/>
          <w:szCs w:val="22"/>
          <w:lang w:val="en-GB"/>
        </w:rPr>
        <w:t>combinations is still large</w:t>
      </w:r>
      <w:r w:rsidRPr="00D80AF7">
        <w:rPr>
          <w:rFonts w:asciiTheme="minorHAnsi" w:hAnsiTheme="minorHAnsi"/>
          <w:sz w:val="22"/>
          <w:szCs w:val="22"/>
          <w:lang w:val="en-GB"/>
        </w:rPr>
        <w:t xml:space="preserve">, as four principal component HEAs </w:t>
      </w:r>
      <w:r>
        <w:rPr>
          <w:rFonts w:asciiTheme="minorHAnsi" w:hAnsiTheme="minorHAnsi"/>
          <w:sz w:val="22"/>
          <w:szCs w:val="22"/>
          <w:lang w:val="en-GB"/>
        </w:rPr>
        <w:t>enable</w:t>
      </w:r>
      <w:r w:rsidRPr="00D80AF7">
        <w:rPr>
          <w:rFonts w:asciiTheme="minorHAnsi" w:hAnsiTheme="minorHAnsi"/>
          <w:sz w:val="22"/>
          <w:szCs w:val="22"/>
          <w:lang w:val="en-GB"/>
        </w:rPr>
        <w:t xml:space="preserve"> 2,380 equ</w:t>
      </w:r>
      <w:r>
        <w:rPr>
          <w:rFonts w:asciiTheme="minorHAnsi" w:hAnsiTheme="minorHAnsi"/>
          <w:sz w:val="22"/>
          <w:szCs w:val="22"/>
          <w:lang w:val="en-GB"/>
        </w:rPr>
        <w:t>i</w:t>
      </w:r>
      <w:r w:rsidRPr="00D80AF7">
        <w:rPr>
          <w:rFonts w:asciiTheme="minorHAnsi" w:hAnsiTheme="minorHAnsi"/>
          <w:sz w:val="22"/>
          <w:szCs w:val="22"/>
          <w:lang w:val="en-GB"/>
        </w:rPr>
        <w:t>molar combination</w:t>
      </w:r>
      <w:r>
        <w:rPr>
          <w:rFonts w:asciiTheme="minorHAnsi" w:hAnsiTheme="minorHAnsi"/>
          <w:sz w:val="22"/>
          <w:szCs w:val="22"/>
          <w:lang w:val="en-GB"/>
        </w:rPr>
        <w:t>s; and for</w:t>
      </w:r>
      <w:r w:rsidRPr="00D80AF7">
        <w:rPr>
          <w:rFonts w:asciiTheme="minorHAnsi" w:hAnsiTheme="minorHAnsi"/>
          <w:sz w:val="22"/>
          <w:szCs w:val="22"/>
          <w:lang w:val="en-GB"/>
        </w:rPr>
        <w:t xml:space="preserve"> five </w:t>
      </w:r>
      <w:r w:rsidRPr="00D80AF7">
        <w:rPr>
          <w:rFonts w:asciiTheme="minorHAnsi" w:hAnsiTheme="minorHAnsi"/>
          <w:noProof/>
          <w:sz w:val="22"/>
          <w:szCs w:val="22"/>
          <w:lang w:val="en-GB"/>
        </w:rPr>
        <w:t>components</w:t>
      </w:r>
      <w:r>
        <w:rPr>
          <w:rFonts w:asciiTheme="minorHAnsi" w:hAnsiTheme="minorHAnsi"/>
          <w:noProof/>
          <w:sz w:val="22"/>
          <w:szCs w:val="22"/>
          <w:lang w:val="en-GB"/>
        </w:rPr>
        <w:t>,</w:t>
      </w:r>
      <w:r w:rsidRPr="00D80AF7">
        <w:rPr>
          <w:rFonts w:asciiTheme="minorHAnsi" w:hAnsiTheme="minorHAnsi"/>
          <w:sz w:val="22"/>
          <w:szCs w:val="22"/>
          <w:lang w:val="en-GB"/>
        </w:rPr>
        <w:t xml:space="preserve"> the</w:t>
      </w:r>
      <w:r>
        <w:rPr>
          <w:rFonts w:asciiTheme="minorHAnsi" w:hAnsiTheme="minorHAnsi"/>
          <w:sz w:val="22"/>
          <w:szCs w:val="22"/>
          <w:lang w:val="en-GB"/>
        </w:rPr>
        <w:t>se</w:t>
      </w:r>
      <w:r w:rsidRPr="00D80AF7">
        <w:rPr>
          <w:rFonts w:asciiTheme="minorHAnsi" w:hAnsiTheme="minorHAnsi"/>
          <w:sz w:val="22"/>
          <w:szCs w:val="22"/>
          <w:lang w:val="en-GB"/>
        </w:rPr>
        <w:t xml:space="preserve"> combinations increase to 6,188. To distinguish phase formation and predict mechanical performance of </w:t>
      </w:r>
      <w:r>
        <w:rPr>
          <w:rFonts w:asciiTheme="minorHAnsi" w:hAnsiTheme="minorHAnsi"/>
          <w:sz w:val="22"/>
          <w:szCs w:val="22"/>
          <w:lang w:val="en-GB"/>
        </w:rPr>
        <w:t>candidate</w:t>
      </w:r>
      <w:r w:rsidRPr="00D80AF7">
        <w:rPr>
          <w:rFonts w:asciiTheme="minorHAnsi" w:hAnsiTheme="minorHAnsi"/>
          <w:sz w:val="22"/>
          <w:szCs w:val="22"/>
          <w:lang w:val="en-GB"/>
        </w:rPr>
        <w:t xml:space="preserve"> HEAs, </w:t>
      </w:r>
      <w:r w:rsidRPr="00D80AF7">
        <w:rPr>
          <w:rFonts w:asciiTheme="minorHAnsi" w:hAnsiTheme="minorHAnsi"/>
          <w:noProof/>
          <w:sz w:val="22"/>
          <w:szCs w:val="22"/>
          <w:lang w:val="en-GB"/>
        </w:rPr>
        <w:t>criteria</w:t>
      </w:r>
      <w:r w:rsidRPr="00D80AF7">
        <w:rPr>
          <w:rFonts w:asciiTheme="minorHAnsi" w:hAnsiTheme="minorHAnsi"/>
          <w:sz w:val="22"/>
          <w:szCs w:val="22"/>
          <w:lang w:val="en-GB"/>
        </w:rPr>
        <w:t xml:space="preserve"> </w:t>
      </w:r>
      <w:r w:rsidR="003611E3">
        <w:rPr>
          <w:rFonts w:asciiTheme="minorHAnsi" w:hAnsiTheme="minorHAnsi"/>
          <w:sz w:val="22"/>
          <w:szCs w:val="22"/>
          <w:lang w:val="en-GB"/>
        </w:rPr>
        <w:t>are</w:t>
      </w:r>
      <w:r>
        <w:rPr>
          <w:rFonts w:asciiTheme="minorHAnsi" w:hAnsiTheme="minorHAnsi"/>
          <w:sz w:val="22"/>
          <w:szCs w:val="22"/>
          <w:lang w:val="en-GB"/>
        </w:rPr>
        <w:t xml:space="preserve"> required to</w:t>
      </w:r>
      <w:r w:rsidRPr="00D80AF7">
        <w:rPr>
          <w:rFonts w:asciiTheme="minorHAnsi" w:hAnsiTheme="minorHAnsi"/>
          <w:sz w:val="22"/>
          <w:szCs w:val="22"/>
          <w:lang w:val="en-GB"/>
        </w:rPr>
        <w:t xml:space="preserve"> describe the </w:t>
      </w:r>
      <w:r>
        <w:rPr>
          <w:rFonts w:asciiTheme="minorHAnsi" w:hAnsiTheme="minorHAnsi"/>
          <w:sz w:val="22"/>
          <w:szCs w:val="22"/>
          <w:lang w:val="en-GB"/>
        </w:rPr>
        <w:t xml:space="preserve">extent of </w:t>
      </w:r>
      <w:r w:rsidRPr="00D80AF7">
        <w:rPr>
          <w:rFonts w:asciiTheme="minorHAnsi" w:hAnsiTheme="minorHAnsi"/>
          <w:noProof/>
          <w:sz w:val="22"/>
          <w:szCs w:val="22"/>
          <w:lang w:val="en-GB"/>
        </w:rPr>
        <w:t>localisation</w:t>
      </w:r>
      <w:r w:rsidRPr="00D80AF7">
        <w:rPr>
          <w:rFonts w:asciiTheme="minorHAnsi" w:hAnsiTheme="minorHAnsi"/>
          <w:sz w:val="22"/>
          <w:szCs w:val="22"/>
          <w:lang w:val="en-GB"/>
        </w:rPr>
        <w:t xml:space="preserve"> bonding.</w:t>
      </w:r>
      <w:r>
        <w:rPr>
          <w:rFonts w:asciiTheme="minorHAnsi" w:hAnsiTheme="minorHAnsi"/>
          <w:sz w:val="22"/>
          <w:szCs w:val="22"/>
          <w:lang w:val="en-GB"/>
        </w:rPr>
        <w:t xml:space="preserve"> The Miedema method is based on the </w:t>
      </w:r>
      <w:r w:rsidRPr="007C247B">
        <w:rPr>
          <w:rFonts w:asciiTheme="minorHAnsi" w:hAnsiTheme="minorHAnsi"/>
          <w:noProof/>
          <w:sz w:val="22"/>
          <w:szCs w:val="22"/>
          <w:lang w:val="en-GB"/>
        </w:rPr>
        <w:t>Pauling</w:t>
      </w:r>
      <w:r>
        <w:rPr>
          <w:rFonts w:asciiTheme="minorHAnsi" w:hAnsiTheme="minorHAnsi"/>
          <w:sz w:val="22"/>
          <w:szCs w:val="22"/>
          <w:lang w:val="en-GB"/>
        </w:rPr>
        <w:t xml:space="preserve"> method, whereby formation enthalpy is </w:t>
      </w:r>
      <w:r w:rsidR="003611E3">
        <w:rPr>
          <w:rFonts w:asciiTheme="minorHAnsi" w:hAnsiTheme="minorHAnsi"/>
          <w:sz w:val="22"/>
          <w:szCs w:val="22"/>
          <w:lang w:val="en-GB"/>
        </w:rPr>
        <w:t>taken to be</w:t>
      </w:r>
      <w:r>
        <w:rPr>
          <w:rFonts w:asciiTheme="minorHAnsi" w:hAnsiTheme="minorHAnsi"/>
          <w:sz w:val="22"/>
          <w:szCs w:val="22"/>
          <w:lang w:val="en-GB"/>
        </w:rPr>
        <w:t xml:space="preserve"> proportional to the square of </w:t>
      </w:r>
      <w:r>
        <w:rPr>
          <w:rFonts w:asciiTheme="minorHAnsi" w:hAnsiTheme="minorHAnsi"/>
          <w:sz w:val="22"/>
          <w:szCs w:val="22"/>
          <w:lang w:val="en-GB"/>
        </w:rPr>
        <w:lastRenderedPageBreak/>
        <w:t>electronegativity difference. By taking the electron charge density redistribution at the Wigner-Seitz boundary into consideration, the extent of localisation bonding of a certain alloy system may be determined by the value of mixing enthalpy. This was shown to be effective in predicting the phase formation in binary and ternary alloy system</w:t>
      </w:r>
      <w:r w:rsidR="003611E3">
        <w:rPr>
          <w:rFonts w:asciiTheme="minorHAnsi" w:hAnsiTheme="minorHAnsi"/>
          <w:sz w:val="22"/>
          <w:szCs w:val="22"/>
          <w:lang w:val="en-GB"/>
        </w:rPr>
        <w:t>s</w:t>
      </w:r>
      <w:r>
        <w:rPr>
          <w:rFonts w:asciiTheme="minorHAnsi" w:hAnsiTheme="minorHAnsi"/>
          <w:sz w:val="22"/>
          <w:szCs w:val="22"/>
          <w:lang w:val="en-GB"/>
        </w:rPr>
        <w:t xml:space="preserve"> in</w:t>
      </w:r>
      <w:r w:rsidR="003611E3">
        <w:rPr>
          <w:rFonts w:asciiTheme="minorHAnsi" w:hAnsiTheme="minorHAnsi"/>
          <w:sz w:val="22"/>
          <w:szCs w:val="22"/>
          <w:lang w:val="en-GB"/>
        </w:rPr>
        <w:t xml:space="preserve"> the</w:t>
      </w:r>
      <w:r>
        <w:rPr>
          <w:rFonts w:asciiTheme="minorHAnsi" w:hAnsiTheme="minorHAnsi"/>
          <w:sz w:val="22"/>
          <w:szCs w:val="22"/>
          <w:lang w:val="en-GB"/>
        </w:rPr>
        <w:t xml:space="preserve"> last decades. Moreover, it was extended to predict amorphous phase formation in multi-component bulk metallic glass (BMG). However,</w:t>
      </w:r>
      <w:r w:rsidR="003611E3">
        <w:rPr>
          <w:rFonts w:asciiTheme="minorHAnsi" w:hAnsiTheme="minorHAnsi"/>
          <w:sz w:val="22"/>
          <w:szCs w:val="22"/>
          <w:lang w:val="en-GB"/>
        </w:rPr>
        <w:t xml:space="preserve"> the</w:t>
      </w:r>
      <w:r>
        <w:rPr>
          <w:rFonts w:asciiTheme="minorHAnsi" w:hAnsiTheme="minorHAnsi"/>
          <w:sz w:val="22"/>
          <w:szCs w:val="22"/>
          <w:lang w:val="en-GB"/>
        </w:rPr>
        <w:t xml:space="preserve"> </w:t>
      </w:r>
      <w:r>
        <w:rPr>
          <w:rFonts w:asciiTheme="minorHAnsi" w:hAnsiTheme="minorHAnsi"/>
          <w:noProof/>
          <w:sz w:val="22"/>
          <w:szCs w:val="22"/>
          <w:lang w:val="en-GB"/>
        </w:rPr>
        <w:t>successful application of this method reaches a boundary, due to the contraint on the</w:t>
      </w:r>
      <w:r>
        <w:rPr>
          <w:rFonts w:asciiTheme="minorHAnsi" w:hAnsiTheme="minorHAnsi"/>
          <w:sz w:val="22"/>
          <w:szCs w:val="22"/>
          <w:lang w:val="en-GB"/>
        </w:rPr>
        <w:t xml:space="preserve"> experimental work function used to calculate charge transfer. The </w:t>
      </w:r>
      <w:r w:rsidRPr="007C247B">
        <w:rPr>
          <w:rFonts w:asciiTheme="minorHAnsi" w:hAnsiTheme="minorHAnsi"/>
          <w:noProof/>
          <w:sz w:val="22"/>
          <w:szCs w:val="22"/>
          <w:lang w:val="en-GB"/>
        </w:rPr>
        <w:t>constrain</w:t>
      </w:r>
      <w:r>
        <w:rPr>
          <w:rFonts w:asciiTheme="minorHAnsi" w:hAnsiTheme="minorHAnsi"/>
          <w:noProof/>
          <w:sz w:val="22"/>
          <w:szCs w:val="22"/>
          <w:lang w:val="en-GB"/>
        </w:rPr>
        <w:t>t</w:t>
      </w:r>
      <w:r>
        <w:rPr>
          <w:rFonts w:asciiTheme="minorHAnsi" w:hAnsiTheme="minorHAnsi"/>
          <w:sz w:val="22"/>
          <w:szCs w:val="22"/>
          <w:lang w:val="en-GB"/>
        </w:rPr>
        <w:t xml:space="preserve"> on the experimental work function was summarised as </w:t>
      </w:r>
      <w:r w:rsidR="003611E3">
        <w:rPr>
          <w:rFonts w:asciiTheme="minorHAnsi" w:hAnsiTheme="minorHAnsi"/>
          <w:sz w:val="22"/>
          <w:szCs w:val="22"/>
          <w:lang w:val="en-GB"/>
        </w:rPr>
        <w:t xml:space="preserve">being </w:t>
      </w:r>
      <w:r>
        <w:rPr>
          <w:rFonts w:asciiTheme="minorHAnsi" w:hAnsiTheme="minorHAnsi"/>
          <w:sz w:val="22"/>
          <w:szCs w:val="22"/>
          <w:lang w:val="en-GB"/>
        </w:rPr>
        <w:t xml:space="preserve">a result </w:t>
      </w:r>
      <w:r w:rsidR="003611E3">
        <w:rPr>
          <w:rFonts w:asciiTheme="minorHAnsi" w:hAnsiTheme="minorHAnsi"/>
          <w:sz w:val="22"/>
          <w:szCs w:val="22"/>
          <w:lang w:val="en-GB"/>
        </w:rPr>
        <w:t>of</w:t>
      </w:r>
      <w:r w:rsidRPr="00D80AF7">
        <w:rPr>
          <w:rFonts w:asciiTheme="minorHAnsi" w:hAnsiTheme="minorHAnsi"/>
          <w:sz w:val="22"/>
          <w:szCs w:val="22"/>
          <w:lang w:val="en-GB"/>
        </w:rPr>
        <w:t xml:space="preserve"> the difference</w:t>
      </w:r>
      <w:r>
        <w:rPr>
          <w:rFonts w:asciiTheme="minorHAnsi" w:hAnsiTheme="minorHAnsi"/>
          <w:sz w:val="22"/>
          <w:szCs w:val="22"/>
          <w:lang w:val="en-GB"/>
        </w:rPr>
        <w:t>s</w:t>
      </w:r>
      <w:r w:rsidRPr="00D80AF7">
        <w:rPr>
          <w:rFonts w:asciiTheme="minorHAnsi" w:hAnsiTheme="minorHAnsi"/>
          <w:sz w:val="22"/>
          <w:szCs w:val="22"/>
          <w:lang w:val="en-GB"/>
        </w:rPr>
        <w:t xml:space="preserve"> </w:t>
      </w:r>
      <w:r w:rsidR="003611E3">
        <w:rPr>
          <w:rFonts w:asciiTheme="minorHAnsi" w:hAnsiTheme="minorHAnsi"/>
          <w:sz w:val="22"/>
          <w:szCs w:val="22"/>
          <w:lang w:val="en-GB"/>
        </w:rPr>
        <w:t>in the</w:t>
      </w:r>
      <w:r w:rsidRPr="00D80AF7">
        <w:rPr>
          <w:rFonts w:asciiTheme="minorHAnsi" w:hAnsiTheme="minorHAnsi"/>
          <w:sz w:val="22"/>
          <w:szCs w:val="22"/>
          <w:lang w:val="en-GB"/>
        </w:rPr>
        <w:t xml:space="preserve"> </w:t>
      </w:r>
      <w:r>
        <w:rPr>
          <w:rFonts w:asciiTheme="minorHAnsi" w:hAnsiTheme="minorHAnsi"/>
          <w:sz w:val="22"/>
          <w:szCs w:val="22"/>
          <w:lang w:val="en-GB"/>
        </w:rPr>
        <w:t xml:space="preserve">component’s </w:t>
      </w:r>
      <w:r w:rsidRPr="007C247B">
        <w:rPr>
          <w:rFonts w:asciiTheme="minorHAnsi" w:hAnsiTheme="minorHAnsi"/>
          <w:noProof/>
          <w:sz w:val="22"/>
          <w:szCs w:val="22"/>
          <w:lang w:val="en-GB"/>
        </w:rPr>
        <w:t xml:space="preserve">valence </w:t>
      </w:r>
      <w:r w:rsidRPr="007C247B">
        <w:rPr>
          <w:rFonts w:asciiTheme="minorHAnsi" w:hAnsiTheme="minorHAnsi"/>
          <w:i/>
          <w:noProof/>
          <w:sz w:val="22"/>
          <w:szCs w:val="22"/>
          <w:lang w:val="en-GB"/>
        </w:rPr>
        <w:t>d</w:t>
      </w:r>
      <w:r w:rsidRPr="00D80AF7">
        <w:rPr>
          <w:rFonts w:asciiTheme="minorHAnsi" w:hAnsiTheme="minorHAnsi"/>
          <w:sz w:val="22"/>
          <w:szCs w:val="22"/>
          <w:lang w:val="en-GB"/>
        </w:rPr>
        <w:t>-electrons</w:t>
      </w:r>
      <w:r>
        <w:rPr>
          <w:rFonts w:asciiTheme="minorHAnsi" w:hAnsiTheme="minorHAnsi"/>
          <w:sz w:val="22"/>
          <w:szCs w:val="22"/>
          <w:lang w:val="en-GB"/>
        </w:rPr>
        <w:t>, as reported by</w:t>
      </w:r>
      <w:r w:rsidRPr="00D80AF7">
        <w:rPr>
          <w:rFonts w:asciiTheme="minorHAnsi" w:hAnsiTheme="minorHAnsi"/>
          <w:sz w:val="22"/>
          <w:szCs w:val="22"/>
          <w:lang w:val="en-GB"/>
        </w:rPr>
        <w:t xml:space="preserve"> Pettifor </w:t>
      </w:r>
      <w:r>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{"citationItems":[{"id":"ITEM-1","itemData":{"DOI":"10.1016/S0081-1947(08)60690-6","ISSN":"00811947","abstract":"The chapter presents a quantum-mechanical critique of the Miedema rules for alloy formation. It is stated that although the Miedema model provides very simple and useful rules for alloy formation, the physical concepts upon which it is based find no justification in quantum mechanics. This chapter presents an analysis on the quantum-mechanical origin of the heat of formation of metallic alloys. The chapter begins by discussing the Miedema model, and the failure of the ionic model. The nature of the metallic bond in simple metals and their alloys is presented, within the nearly-free-electron approximation. It is mentioned that although there is a rearrangement of the electronic charge on the formation of an alloy, each atom remains perfectly screened within its new metallic environment, so that the ionic model is not appropriate. The nature of the metallic bond in transition metal alloys is discussed within the tightbinding approximation. The attractive contribution to the heat of formation is identified with the change in bond order which accompanies alloy formation. The chapter also presents a discussion on the significance of the Miedema parameters ϕ</w:instrText>
      </w:r>
      <w:r>
        <w:rPr>
          <w:rFonts w:ascii="Cambria Math" w:hAnsi="Cambria Math" w:cs="Cambria Math"/>
          <w:sz w:val="22"/>
          <w:szCs w:val="22"/>
          <w:lang w:val="en-GB"/>
        </w:rPr>
        <w:instrText>∗</w:instrText>
      </w:r>
      <w:r>
        <w:rPr>
          <w:rFonts w:asciiTheme="minorHAnsi" w:hAnsiTheme="minorHAnsi"/>
          <w:sz w:val="22"/>
          <w:szCs w:val="22"/>
          <w:lang w:val="en-GB"/>
        </w:rPr>
        <w:instrText xml:space="preserve"> and ρM1/3. The energy change involved in the formation of an alloy is very small compared to the cohesive energy which is required to separate the atoms infinitely far apart. © 1987, Academic Press, Inc.","author":[{"dropping-particle":"","family":"Pettifor","given":"D. G.","non-dropping-particle":"","parse-names":false,"suffix":""}],"container-title":"Solid State Physics - Advances in Research and Applications","id":"ITEM-1","issued":{"date-parts":[["1987"]]},"title":"A Quantum-Mechanical Critique of the Miedema Rules for Alloy Formation","type":"article-journal"},"uris":["http://www.mendeley.com/documents/?uuid=71819245-987e-40e1-b3ff-bed7698a6ffd"]}],"mendeley":{"formattedCitation":"[20]","plainTextFormattedCitation":"[20]","previouslyFormattedCitation":"[20]"},"properties":{"noteIndex":0},"schema":"https://github.com/citation-style-language/schema/raw/master/csl-citation.json"}</w:instrText>
      </w:r>
      <w:r>
        <w:rPr>
          <w:rFonts w:asciiTheme="minorHAnsi" w:hAnsiTheme="minorHAnsi"/>
          <w:sz w:val="22"/>
          <w:szCs w:val="22"/>
          <w:lang w:val="en-GB"/>
        </w:rPr>
        <w:fldChar w:fldCharType="separate"/>
      </w:r>
      <w:r w:rsidRPr="000E0445">
        <w:rPr>
          <w:rFonts w:asciiTheme="minorHAnsi" w:hAnsiTheme="minorHAnsi"/>
          <w:noProof/>
          <w:sz w:val="22"/>
          <w:szCs w:val="22"/>
          <w:lang w:val="en-GB"/>
        </w:rPr>
        <w:t>[20]</w:t>
      </w:r>
      <w:r>
        <w:rPr>
          <w:rFonts w:asciiTheme="minorHAnsi" w:hAnsiTheme="minorHAnsi"/>
          <w:sz w:val="22"/>
          <w:szCs w:val="22"/>
          <w:lang w:val="en-GB"/>
        </w:rPr>
        <w:fldChar w:fldCharType="end"/>
      </w:r>
      <w:r>
        <w:rPr>
          <w:rFonts w:asciiTheme="minorHAnsi" w:hAnsiTheme="minorHAnsi"/>
          <w:sz w:val="22"/>
          <w:szCs w:val="22"/>
          <w:lang w:val="en-GB"/>
        </w:rPr>
        <w:t>.</w:t>
      </w:r>
      <w:r w:rsidRPr="00D80AF7">
        <w:rPr>
          <w:rFonts w:asciiTheme="minorHAnsi" w:hAnsiTheme="minorHAnsi"/>
          <w:sz w:val="22"/>
          <w:szCs w:val="22"/>
          <w:lang w:val="en-GB"/>
        </w:rPr>
        <w:t xml:space="preserve"> </w:t>
      </w:r>
      <w:r>
        <w:rPr>
          <w:rFonts w:asciiTheme="minorHAnsi" w:hAnsiTheme="minorHAnsi"/>
          <w:sz w:val="22"/>
          <w:szCs w:val="22"/>
          <w:lang w:val="en-GB"/>
        </w:rPr>
        <w:t>A</w:t>
      </w:r>
      <w:r w:rsidRPr="00D80AF7">
        <w:rPr>
          <w:rFonts w:asciiTheme="minorHAnsi" w:hAnsiTheme="minorHAnsi"/>
          <w:sz w:val="22"/>
          <w:szCs w:val="22"/>
          <w:lang w:val="en-GB"/>
        </w:rPr>
        <w:t xml:space="preserve">pplying </w:t>
      </w:r>
      <w:r>
        <w:rPr>
          <w:rFonts w:asciiTheme="minorHAnsi" w:hAnsiTheme="minorHAnsi"/>
          <w:sz w:val="22"/>
          <w:szCs w:val="22"/>
          <w:lang w:val="en-GB"/>
        </w:rPr>
        <w:t xml:space="preserve">a </w:t>
      </w:r>
      <w:r w:rsidRPr="00D80AF7">
        <w:rPr>
          <w:rFonts w:asciiTheme="minorHAnsi" w:hAnsiTheme="minorHAnsi"/>
          <w:sz w:val="22"/>
          <w:szCs w:val="22"/>
          <w:lang w:val="en-GB"/>
        </w:rPr>
        <w:t xml:space="preserve">tight binding approximation, the phase formation of binary alloys </w:t>
      </w:r>
      <w:r>
        <w:rPr>
          <w:rFonts w:asciiTheme="minorHAnsi" w:hAnsiTheme="minorHAnsi"/>
          <w:sz w:val="22"/>
          <w:szCs w:val="22"/>
          <w:lang w:val="en-GB"/>
        </w:rPr>
        <w:t>is linked</w:t>
      </w:r>
      <w:r w:rsidRPr="00D80AF7">
        <w:rPr>
          <w:rFonts w:asciiTheme="minorHAnsi" w:hAnsiTheme="minorHAnsi"/>
          <w:sz w:val="22"/>
          <w:szCs w:val="22"/>
          <w:lang w:val="en-GB"/>
        </w:rPr>
        <w:t xml:space="preserve"> </w:t>
      </w:r>
      <w:r>
        <w:rPr>
          <w:rFonts w:asciiTheme="minorHAnsi" w:hAnsiTheme="minorHAnsi"/>
          <w:sz w:val="22"/>
          <w:szCs w:val="22"/>
          <w:lang w:val="en-GB"/>
        </w:rPr>
        <w:t xml:space="preserve">to the </w:t>
      </w:r>
      <w:r w:rsidRPr="00D80AF7">
        <w:rPr>
          <w:rFonts w:asciiTheme="minorHAnsi" w:hAnsiTheme="minorHAnsi"/>
          <w:sz w:val="22"/>
          <w:szCs w:val="22"/>
          <w:lang w:val="en-GB"/>
        </w:rPr>
        <w:t xml:space="preserve">deviation </w:t>
      </w:r>
      <w:r>
        <w:rPr>
          <w:rFonts w:asciiTheme="minorHAnsi" w:hAnsiTheme="minorHAnsi"/>
          <w:sz w:val="22"/>
          <w:szCs w:val="22"/>
          <w:lang w:val="en-GB"/>
        </w:rPr>
        <w:t>in</w:t>
      </w:r>
      <w:r w:rsidRPr="00D80AF7">
        <w:rPr>
          <w:rFonts w:asciiTheme="minorHAnsi" w:hAnsiTheme="minorHAnsi"/>
          <w:sz w:val="22"/>
          <w:szCs w:val="22"/>
          <w:lang w:val="en-GB"/>
        </w:rPr>
        <w:t xml:space="preserve"> the ratio between theoretical</w:t>
      </w:r>
      <w:r>
        <w:rPr>
          <w:rFonts w:asciiTheme="minorHAnsi" w:hAnsiTheme="minorHAnsi"/>
          <w:sz w:val="22"/>
          <w:szCs w:val="22"/>
          <w:lang w:val="en-GB"/>
        </w:rPr>
        <w:t>ly</w:t>
      </w:r>
      <w:r w:rsidRPr="00D80AF7">
        <w:rPr>
          <w:rFonts w:asciiTheme="minorHAnsi" w:hAnsiTheme="minorHAnsi"/>
          <w:sz w:val="22"/>
          <w:szCs w:val="22"/>
          <w:lang w:val="en-GB"/>
        </w:rPr>
        <w:t xml:space="preserve"> derived mixing enthalpy</w:t>
      </w:r>
      <w:r>
        <w:rPr>
          <w:rFonts w:asciiTheme="minorHAnsi" w:hAnsiTheme="minorHAnsi"/>
          <w:sz w:val="22"/>
          <w:szCs w:val="22"/>
          <w:lang w:val="en-GB"/>
        </w:rPr>
        <w:t>,</w:t>
      </w:r>
      <w:r w:rsidRPr="00D80AF7">
        <w:rPr>
          <w:rFonts w:asciiTheme="minorHAnsi" w:hAnsiTheme="minorHAnsi"/>
          <w:sz w:val="22"/>
          <w:szCs w:val="22"/>
          <w:lang w:val="en-GB"/>
        </w:rPr>
        <w:t xml:space="preserve"> difference in the </w:t>
      </w:r>
      <w:r w:rsidRPr="009732BD">
        <w:rPr>
          <w:rFonts w:asciiTheme="minorHAnsi" w:hAnsiTheme="minorHAnsi"/>
          <w:sz w:val="22"/>
          <w:szCs w:val="22"/>
          <w:lang w:val="en-GB"/>
        </w:rPr>
        <w:t xml:space="preserve">number of </w:t>
      </w:r>
      <w:r w:rsidRPr="007C247B">
        <w:rPr>
          <w:rFonts w:asciiTheme="minorHAnsi" w:hAnsiTheme="minorHAnsi"/>
          <w:noProof/>
          <w:sz w:val="22"/>
          <w:szCs w:val="22"/>
          <w:lang w:val="en-GB"/>
        </w:rPr>
        <w:t xml:space="preserve">valence </w:t>
      </w:r>
      <w:r w:rsidRPr="007C247B">
        <w:rPr>
          <w:rFonts w:asciiTheme="minorHAnsi" w:hAnsiTheme="minorHAnsi"/>
          <w:i/>
          <w:noProof/>
          <w:sz w:val="22"/>
          <w:szCs w:val="22"/>
          <w:lang w:val="en-GB"/>
        </w:rPr>
        <w:t>d</w:t>
      </w:r>
      <w:r w:rsidRPr="009732BD">
        <w:rPr>
          <w:rFonts w:asciiTheme="minorHAnsi" w:hAnsiTheme="minorHAnsi"/>
          <w:sz w:val="22"/>
          <w:szCs w:val="22"/>
          <w:lang w:val="en-GB"/>
        </w:rPr>
        <w:t xml:space="preserve">-electrons squared and mean </w:t>
      </w:r>
      <w:r w:rsidRPr="007C247B">
        <w:rPr>
          <w:rFonts w:asciiTheme="minorHAnsi" w:hAnsiTheme="minorHAnsi"/>
          <w:noProof/>
          <w:sz w:val="22"/>
          <w:szCs w:val="22"/>
          <w:lang w:val="en-GB"/>
        </w:rPr>
        <w:t>number</w:t>
      </w:r>
      <w:r w:rsidRPr="009732BD">
        <w:rPr>
          <w:rFonts w:asciiTheme="minorHAnsi" w:hAnsiTheme="minorHAnsi"/>
          <w:sz w:val="22"/>
          <w:szCs w:val="22"/>
          <w:lang w:val="en-GB"/>
        </w:rPr>
        <w:t xml:space="preserve"> of </w:t>
      </w:r>
      <w:r w:rsidRPr="007C247B">
        <w:rPr>
          <w:rFonts w:asciiTheme="minorHAnsi" w:hAnsiTheme="minorHAnsi"/>
          <w:noProof/>
          <w:sz w:val="22"/>
          <w:szCs w:val="22"/>
          <w:lang w:val="en-GB"/>
        </w:rPr>
        <w:t xml:space="preserve">valence </w:t>
      </w:r>
      <w:r w:rsidRPr="007C247B">
        <w:rPr>
          <w:rFonts w:asciiTheme="minorHAnsi" w:hAnsiTheme="minorHAnsi"/>
          <w:i/>
          <w:noProof/>
          <w:sz w:val="22"/>
          <w:szCs w:val="22"/>
          <w:lang w:val="en-GB"/>
        </w:rPr>
        <w:t>d</w:t>
      </w:r>
      <w:r w:rsidRPr="00D80AF7">
        <w:rPr>
          <w:rFonts w:asciiTheme="minorHAnsi" w:hAnsiTheme="minorHAnsi"/>
          <w:sz w:val="22"/>
          <w:szCs w:val="22"/>
          <w:lang w:val="en-GB"/>
        </w:rPr>
        <w:t xml:space="preserve">-electrons. </w:t>
      </w:r>
      <w:r>
        <w:rPr>
          <w:rFonts w:asciiTheme="minorHAnsi" w:hAnsiTheme="minorHAnsi"/>
          <w:sz w:val="22"/>
          <w:szCs w:val="22"/>
          <w:lang w:val="en-GB"/>
        </w:rPr>
        <w:t>By</w:t>
      </w:r>
      <w:r w:rsidRPr="00D80AF7">
        <w:rPr>
          <w:rFonts w:asciiTheme="minorHAnsi" w:hAnsiTheme="minorHAnsi"/>
          <w:sz w:val="22"/>
          <w:szCs w:val="22"/>
          <w:lang w:val="en-GB"/>
        </w:rPr>
        <w:t xml:space="preserve"> substitut</w:t>
      </w:r>
      <w:r>
        <w:rPr>
          <w:rFonts w:asciiTheme="minorHAnsi" w:hAnsiTheme="minorHAnsi"/>
          <w:sz w:val="22"/>
          <w:szCs w:val="22"/>
          <w:lang w:val="en-GB"/>
        </w:rPr>
        <w:t>ing</w:t>
      </w:r>
      <w:r w:rsidRPr="00D80AF7">
        <w:rPr>
          <w:rFonts w:asciiTheme="minorHAnsi" w:hAnsiTheme="minorHAnsi"/>
          <w:sz w:val="22"/>
          <w:szCs w:val="22"/>
          <w:lang w:val="en-GB"/>
        </w:rPr>
        <w:t xml:space="preserve"> the mixing enthalpy derived from </w:t>
      </w:r>
      <w:r w:rsidR="003611E3">
        <w:rPr>
          <w:rFonts w:asciiTheme="minorHAnsi" w:hAnsiTheme="minorHAnsi"/>
          <w:sz w:val="22"/>
          <w:szCs w:val="22"/>
          <w:lang w:val="en-GB"/>
        </w:rPr>
        <w:t xml:space="preserve">the </w:t>
      </w:r>
      <w:r w:rsidRPr="00D80AF7">
        <w:rPr>
          <w:rFonts w:asciiTheme="minorHAnsi" w:hAnsiTheme="minorHAnsi"/>
          <w:sz w:val="22"/>
          <w:szCs w:val="22"/>
          <w:lang w:val="en-GB"/>
        </w:rPr>
        <w:t xml:space="preserve">tight binding </w:t>
      </w:r>
      <w:r w:rsidRPr="007C247B">
        <w:rPr>
          <w:rFonts w:asciiTheme="minorHAnsi" w:hAnsiTheme="minorHAnsi"/>
          <w:noProof/>
          <w:sz w:val="22"/>
          <w:szCs w:val="22"/>
          <w:lang w:val="en-GB"/>
        </w:rPr>
        <w:t>appro</w:t>
      </w:r>
      <w:r>
        <w:rPr>
          <w:rFonts w:asciiTheme="minorHAnsi" w:hAnsiTheme="minorHAnsi"/>
          <w:noProof/>
          <w:sz w:val="22"/>
          <w:szCs w:val="22"/>
          <w:lang w:val="en-GB"/>
        </w:rPr>
        <w:t>xim</w:t>
      </w:r>
      <w:r w:rsidRPr="007C247B">
        <w:rPr>
          <w:rFonts w:asciiTheme="minorHAnsi" w:hAnsiTheme="minorHAnsi"/>
          <w:noProof/>
          <w:sz w:val="22"/>
          <w:szCs w:val="22"/>
          <w:lang w:val="en-GB"/>
        </w:rPr>
        <w:t>ation</w:t>
      </w:r>
      <w:r>
        <w:rPr>
          <w:rFonts w:asciiTheme="minorHAnsi" w:hAnsiTheme="minorHAnsi"/>
          <w:noProof/>
          <w:sz w:val="22"/>
          <w:szCs w:val="22"/>
          <w:lang w:val="en-GB"/>
        </w:rPr>
        <w:t xml:space="preserve"> as a variation of</w:t>
      </w:r>
      <w:r w:rsidR="003611E3">
        <w:rPr>
          <w:rFonts w:asciiTheme="minorHAnsi" w:hAnsiTheme="minorHAnsi"/>
          <w:noProof/>
          <w:sz w:val="22"/>
          <w:szCs w:val="22"/>
          <w:lang w:val="en-GB"/>
        </w:rPr>
        <w:t xml:space="preserve"> the</w:t>
      </w:r>
      <w:r>
        <w:rPr>
          <w:rFonts w:asciiTheme="minorHAnsi" w:hAnsiTheme="minorHAnsi"/>
          <w:noProof/>
          <w:sz w:val="22"/>
          <w:szCs w:val="22"/>
          <w:lang w:val="en-GB"/>
        </w:rPr>
        <w:t xml:space="preserve"> </w:t>
      </w:r>
      <w:r w:rsidRPr="000C2EE1">
        <w:rPr>
          <w:rFonts w:asciiTheme="minorHAnsi" w:hAnsiTheme="minorHAnsi"/>
          <w:noProof/>
          <w:sz w:val="22"/>
          <w:szCs w:val="22"/>
          <w:lang w:val="en-GB"/>
        </w:rPr>
        <w:t>average</w:t>
      </w:r>
      <w:r>
        <w:rPr>
          <w:rFonts w:asciiTheme="minorHAnsi" w:hAnsiTheme="minorHAnsi"/>
          <w:noProof/>
          <w:sz w:val="22"/>
          <w:szCs w:val="22"/>
          <w:lang w:val="en-GB"/>
        </w:rPr>
        <w:t xml:space="preserve"> Pauling </w:t>
      </w:r>
      <w:r w:rsidRPr="000C2EE1">
        <w:rPr>
          <w:rFonts w:asciiTheme="minorHAnsi" w:hAnsiTheme="minorHAnsi"/>
          <w:noProof/>
          <w:sz w:val="22"/>
          <w:szCs w:val="22"/>
          <w:lang w:val="en-GB"/>
        </w:rPr>
        <w:t>electronegativity value</w:t>
      </w:r>
      <w:r>
        <w:rPr>
          <w:rFonts w:asciiTheme="minorHAnsi" w:hAnsiTheme="minorHAnsi"/>
          <w:noProof/>
          <w:sz w:val="22"/>
          <w:szCs w:val="22"/>
          <w:lang w:val="en-GB"/>
        </w:rPr>
        <w:t xml:space="preserve"> with a correction factor</w:t>
      </w:r>
      <w:r w:rsidRPr="00D80AF7">
        <w:rPr>
          <w:rFonts w:asciiTheme="minorHAnsi" w:hAnsiTheme="minorHAnsi"/>
          <w:sz w:val="22"/>
          <w:szCs w:val="22"/>
          <w:lang w:val="en-GB"/>
        </w:rPr>
        <w:t xml:space="preserve">, Leong </w:t>
      </w:r>
      <w:r w:rsidRPr="00881435">
        <w:rPr>
          <w:rFonts w:asciiTheme="minorHAnsi" w:hAnsiTheme="minorHAnsi"/>
          <w:i/>
          <w:sz w:val="22"/>
          <w:szCs w:val="22"/>
          <w:lang w:val="en-GB"/>
        </w:rPr>
        <w:t>et al.</w:t>
      </w:r>
      <w:r>
        <w:rPr>
          <w:rFonts w:asciiTheme="minorHAnsi" w:hAnsiTheme="minorHAnsi"/>
          <w:sz w:val="22"/>
          <w:szCs w:val="22"/>
          <w:lang w:val="en-GB"/>
        </w:rPr>
        <w:t xml:space="preserve"> </w:t>
      </w:r>
      <w:r>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{"citationItems":[{"id":"ITEM-1","itemData":{"DOI":"10.1016/j.matchemphys.2017.09.001","ISSN":"02540584","abstract":"Analysis of the applicability of different electronegativity scales (XAllen, XPauling, and XMulliken) as a replacement for the empirical valence electron concentration (VEC) parameter to determine High Entropy Alloy (HEA) solid-solution stability is performed, using statistical methods (via cluster analysis and probability density function). The analysis is conducted on a dataset consisting of 617 entries. The results show that XAllenis better suited to predict solid-solution stability when utilising only one parameter. However, substituting XAllenfor XMullikenoffers better prediction in a biplot with the enthalpy of mixing (ΔH). An analysis of the VEC-ΔH biplot shows that phase separation in the biplots can be attributed to changes in the electronic structure.","author":[{"dropping-particle":"","family":"Leong","given":"Zhaoyuan","non-dropping-particle":"","parse-names":false,"suffix":""},{"dropping-particle":"","family":"Huang","given":"Yuhe","non-dropping-particle":"","parse-names":false,"suffix":""},{"dropping-particle":"","family":"Goodall","given":"Russell","non-dropping-particle":"","parse-names":false,"suffix":""},{"dropping-particle":"","family":"Todd","given":"Iain","non-dropping-particle":"","parse-names":false,"suffix":""}],"container-title":"Materials Chemistry and Physics","id":"ITEM-1","issued":{"date-parts":[["2018"]]},"title":"Electronegativity and enthalpy of mixing biplots for High Entropy Alloy solid solution prediction","type":"article-journal"},"uris":["http://www.mendeley.com/documents/?uuid=462b6ed7-2749-42d0-b81f-0fd257dd4a74"]}],"mendeley":{"formattedCitation":"[21]","plainTextFormattedCitation":"[21]"},"properties":{"noteIndex":0},"schema":"https://github.com/citation-style-language/schema/raw/master/csl-citation.json"}</w:instrText>
      </w:r>
      <w:r>
        <w:rPr>
          <w:rFonts w:asciiTheme="minorHAnsi" w:hAnsiTheme="minorHAnsi"/>
          <w:sz w:val="22"/>
          <w:szCs w:val="22"/>
          <w:lang w:val="en-GB"/>
        </w:rPr>
        <w:fldChar w:fldCharType="separate"/>
      </w:r>
      <w:r w:rsidRPr="005C630B">
        <w:rPr>
          <w:rFonts w:asciiTheme="minorHAnsi" w:hAnsiTheme="minorHAnsi"/>
          <w:noProof/>
          <w:sz w:val="22"/>
          <w:szCs w:val="22"/>
          <w:lang w:val="en-GB"/>
        </w:rPr>
        <w:t>[21]</w:t>
      </w:r>
      <w:r>
        <w:rPr>
          <w:rFonts w:asciiTheme="minorHAnsi" w:hAnsiTheme="minorHAnsi"/>
          <w:sz w:val="22"/>
          <w:szCs w:val="22"/>
          <w:lang w:val="en-GB"/>
        </w:rPr>
        <w:fldChar w:fldCharType="end"/>
      </w:r>
      <w:r>
        <w:rPr>
          <w:rFonts w:asciiTheme="minorHAnsi" w:hAnsiTheme="minorHAnsi"/>
          <w:sz w:val="22"/>
          <w:szCs w:val="22"/>
          <w:lang w:val="en-GB"/>
        </w:rPr>
        <w:t xml:space="preserve"> described</w:t>
      </w:r>
      <w:r w:rsidRPr="00D80AF7">
        <w:rPr>
          <w:rFonts w:asciiTheme="minorHAnsi" w:hAnsiTheme="minorHAnsi"/>
          <w:sz w:val="22"/>
          <w:szCs w:val="22"/>
          <w:lang w:val="en-GB"/>
        </w:rPr>
        <w:t xml:space="preserve"> the success of utili</w:t>
      </w:r>
      <w:r>
        <w:rPr>
          <w:rFonts w:asciiTheme="minorHAnsi" w:hAnsiTheme="minorHAnsi"/>
          <w:sz w:val="22"/>
          <w:szCs w:val="22"/>
          <w:lang w:val="en-GB"/>
        </w:rPr>
        <w:t>s</w:t>
      </w:r>
      <w:r w:rsidRPr="00D80AF7">
        <w:rPr>
          <w:rFonts w:asciiTheme="minorHAnsi" w:hAnsiTheme="minorHAnsi"/>
          <w:sz w:val="22"/>
          <w:szCs w:val="22"/>
          <w:lang w:val="en-GB"/>
        </w:rPr>
        <w:t>ing</w:t>
      </w:r>
      <w:r w:rsidR="003611E3">
        <w:rPr>
          <w:rFonts w:asciiTheme="minorHAnsi" w:hAnsiTheme="minorHAnsi"/>
          <w:sz w:val="22"/>
          <w:szCs w:val="22"/>
          <w:lang w:val="en-GB"/>
        </w:rPr>
        <w:t xml:space="preserve"> a</w:t>
      </w:r>
      <w:r w:rsidRPr="00D80AF7">
        <w:rPr>
          <w:rFonts w:asciiTheme="minorHAnsi" w:hAnsiTheme="minorHAnsi"/>
          <w:sz w:val="22"/>
          <w:szCs w:val="22"/>
          <w:lang w:val="en-GB"/>
        </w:rPr>
        <w:t xml:space="preserve"> mixing enthalpy and </w:t>
      </w:r>
      <w:r w:rsidRPr="00E062D9">
        <w:rPr>
          <w:rFonts w:asciiTheme="minorHAnsi" w:hAnsiTheme="minorHAnsi"/>
          <w:i/>
          <w:sz w:val="22"/>
          <w:szCs w:val="22"/>
          <w:lang w:val="en-GB"/>
        </w:rPr>
        <w:t>VEC</w:t>
      </w:r>
      <w:r w:rsidRPr="00D80AF7">
        <w:rPr>
          <w:rFonts w:asciiTheme="minorHAnsi" w:hAnsiTheme="minorHAnsi"/>
          <w:sz w:val="22"/>
          <w:szCs w:val="22"/>
          <w:lang w:val="en-GB"/>
        </w:rPr>
        <w:t xml:space="preserve"> </w:t>
      </w:r>
      <w:r>
        <w:rPr>
          <w:rFonts w:asciiTheme="minorHAnsi" w:hAnsiTheme="minorHAnsi"/>
          <w:sz w:val="22"/>
          <w:szCs w:val="22"/>
          <w:lang w:val="en-GB"/>
        </w:rPr>
        <w:t xml:space="preserve">biplot </w:t>
      </w:r>
      <w:r w:rsidRPr="00D80AF7">
        <w:rPr>
          <w:rFonts w:asciiTheme="minorHAnsi" w:hAnsiTheme="minorHAnsi"/>
          <w:sz w:val="22"/>
          <w:szCs w:val="22"/>
          <w:lang w:val="en-GB"/>
        </w:rPr>
        <w:t xml:space="preserve">in </w:t>
      </w:r>
      <w:r>
        <w:rPr>
          <w:rFonts w:asciiTheme="minorHAnsi" w:hAnsiTheme="minorHAnsi"/>
          <w:sz w:val="22"/>
          <w:szCs w:val="22"/>
          <w:lang w:val="en-GB"/>
        </w:rPr>
        <w:t xml:space="preserve">the </w:t>
      </w:r>
      <w:r w:rsidRPr="007C247B">
        <w:rPr>
          <w:rFonts w:asciiTheme="minorHAnsi" w:hAnsiTheme="minorHAnsi"/>
          <w:noProof/>
          <w:sz w:val="22"/>
          <w:szCs w:val="22"/>
          <w:lang w:val="en-GB"/>
        </w:rPr>
        <w:t>prediction</w:t>
      </w:r>
      <w:r w:rsidRPr="00D80AF7">
        <w:rPr>
          <w:rFonts w:asciiTheme="minorHAnsi" w:hAnsiTheme="minorHAnsi"/>
          <w:sz w:val="22"/>
          <w:szCs w:val="22"/>
          <w:lang w:val="en-GB"/>
        </w:rPr>
        <w:t xml:space="preserve"> of phase formation in HEAs. </w:t>
      </w:r>
      <w:r>
        <w:rPr>
          <w:rFonts w:asciiTheme="minorHAnsi" w:hAnsiTheme="minorHAnsi"/>
          <w:sz w:val="22"/>
          <w:szCs w:val="22"/>
          <w:lang w:val="en-GB"/>
        </w:rPr>
        <w:t xml:space="preserve">Based on previous work </w:t>
      </w:r>
      <w:r w:rsidRPr="00D80AF7">
        <w:rPr>
          <w:rFonts w:asciiTheme="minorHAnsi" w:hAnsiTheme="minorHAnsi"/>
          <w:sz w:val="22"/>
          <w:szCs w:val="22"/>
          <w:lang w:val="en-GB"/>
        </w:rPr>
        <w:t xml:space="preserve">regarding the influence </w:t>
      </w:r>
      <w:r>
        <w:rPr>
          <w:rFonts w:asciiTheme="minorHAnsi" w:hAnsiTheme="minorHAnsi"/>
          <w:sz w:val="22"/>
          <w:szCs w:val="22"/>
          <w:lang w:val="en-GB"/>
        </w:rPr>
        <w:t>of</w:t>
      </w:r>
      <w:r w:rsidRPr="00D80AF7">
        <w:rPr>
          <w:rFonts w:asciiTheme="minorHAnsi" w:hAnsiTheme="minorHAnsi"/>
          <w:sz w:val="22"/>
          <w:szCs w:val="22"/>
          <w:lang w:val="en-GB"/>
        </w:rPr>
        <w:t xml:space="preserve"> mixing enthalpy </w:t>
      </w:r>
      <w:r w:rsidR="009E1CED">
        <w:rPr>
          <w:rFonts w:asciiTheme="minorHAnsi" w:hAnsiTheme="minorHAnsi"/>
          <w:sz w:val="22"/>
          <w:szCs w:val="22"/>
          <w:lang w:val="en-GB"/>
        </w:rPr>
        <w:t>on</w:t>
      </w:r>
      <w:r>
        <w:rPr>
          <w:rFonts w:asciiTheme="minorHAnsi" w:hAnsiTheme="minorHAnsi"/>
          <w:sz w:val="22"/>
          <w:szCs w:val="22"/>
          <w:lang w:val="en-GB"/>
        </w:rPr>
        <w:t xml:space="preserve"> the </w:t>
      </w:r>
      <w:r w:rsidRPr="007C247B">
        <w:rPr>
          <w:rFonts w:asciiTheme="minorHAnsi" w:hAnsiTheme="minorHAnsi"/>
          <w:noProof/>
          <w:sz w:val="22"/>
          <w:szCs w:val="22"/>
          <w:lang w:val="en-GB"/>
        </w:rPr>
        <w:t>prediction</w:t>
      </w:r>
      <w:r>
        <w:rPr>
          <w:rFonts w:asciiTheme="minorHAnsi" w:hAnsiTheme="minorHAnsi"/>
          <w:sz w:val="22"/>
          <w:szCs w:val="22"/>
          <w:lang w:val="en-GB"/>
        </w:rPr>
        <w:t xml:space="preserve"> of</w:t>
      </w:r>
      <w:r w:rsidRPr="00D80AF7">
        <w:rPr>
          <w:rFonts w:asciiTheme="minorHAnsi" w:hAnsiTheme="minorHAnsi"/>
          <w:sz w:val="22"/>
          <w:szCs w:val="22"/>
          <w:lang w:val="en-GB"/>
        </w:rPr>
        <w:t xml:space="preserve"> phase formation of HEAs</w:t>
      </w:r>
      <w:r>
        <w:rPr>
          <w:rFonts w:asciiTheme="minorHAnsi" w:hAnsiTheme="minorHAnsi"/>
          <w:sz w:val="22"/>
          <w:szCs w:val="22"/>
          <w:lang w:val="en-GB"/>
        </w:rPr>
        <w:t xml:space="preserve">, the outcome was to minimise the effect of this term and refine the accuracy </w:t>
      </w:r>
      <w:r w:rsidR="009E1CED">
        <w:rPr>
          <w:rFonts w:asciiTheme="minorHAnsi" w:hAnsiTheme="minorHAnsi"/>
          <w:sz w:val="22"/>
          <w:szCs w:val="22"/>
          <w:lang w:val="en-GB"/>
        </w:rPr>
        <w:t>of</w:t>
      </w:r>
      <w:r>
        <w:rPr>
          <w:rFonts w:asciiTheme="minorHAnsi" w:hAnsiTheme="minorHAnsi"/>
          <w:sz w:val="22"/>
          <w:szCs w:val="22"/>
          <w:lang w:val="en-GB"/>
        </w:rPr>
        <w:t xml:space="preserve"> the prediction of phase formation for HEAs. Thus, focusing on the mixing enthalpy, to represent the overall localisation extent of the system</w:t>
      </w:r>
      <w:r w:rsidDel="00DF2E70">
        <w:rPr>
          <w:rFonts w:asciiTheme="minorHAnsi" w:hAnsiTheme="minorHAnsi"/>
          <w:sz w:val="22"/>
          <w:szCs w:val="22"/>
          <w:lang w:val="en-GB"/>
        </w:rPr>
        <w:t xml:space="preserve"> </w:t>
      </w:r>
      <w:r>
        <w:rPr>
          <w:rFonts w:asciiTheme="minorHAnsi" w:hAnsiTheme="minorHAnsi"/>
          <w:sz w:val="22"/>
          <w:szCs w:val="22"/>
          <w:lang w:val="en-GB"/>
        </w:rPr>
        <w:t xml:space="preserve">the mixing enthalpy deviation is taken into consideration. </w:t>
      </w:r>
    </w:p>
    <w:p w14:paraId="667632CF" w14:textId="77777777" w:rsidR="00B145BE" w:rsidRPr="00D80AF7" w:rsidRDefault="00B145BE" w:rsidP="00B145BE">
      <w:pPr>
        <w:pStyle w:val="Normal1"/>
        <w:spacing w:after="120" w:line="360" w:lineRule="auto"/>
        <w:jc w:val="both"/>
        <w:rPr>
          <w:rFonts w:asciiTheme="minorHAnsi" w:hAnsiTheme="minorHAnsi"/>
          <w:sz w:val="22"/>
          <w:szCs w:val="22"/>
          <w:lang w:val="en-GB"/>
        </w:rPr>
      </w:pPr>
      <w:r w:rsidRPr="00D80AF7">
        <w:rPr>
          <w:rFonts w:asciiTheme="minorHAnsi" w:hAnsiTheme="minorHAnsi"/>
          <w:sz w:val="22"/>
          <w:szCs w:val="22"/>
          <w:lang w:val="en-GB"/>
        </w:rPr>
        <w:t xml:space="preserve">In </w:t>
      </w:r>
      <w:r>
        <w:rPr>
          <w:rFonts w:asciiTheme="minorHAnsi" w:hAnsiTheme="minorHAnsi"/>
          <w:sz w:val="22"/>
          <w:szCs w:val="22"/>
          <w:lang w:val="en-GB"/>
        </w:rPr>
        <w:t xml:space="preserve">the </w:t>
      </w:r>
      <w:r w:rsidRPr="00D80AF7">
        <w:rPr>
          <w:rFonts w:asciiTheme="minorHAnsi" w:hAnsiTheme="minorHAnsi"/>
          <w:sz w:val="22"/>
          <w:szCs w:val="22"/>
          <w:lang w:val="en-GB"/>
        </w:rPr>
        <w:t xml:space="preserve">current work, to </w:t>
      </w:r>
      <w:r>
        <w:rPr>
          <w:rFonts w:asciiTheme="minorHAnsi" w:hAnsiTheme="minorHAnsi"/>
          <w:sz w:val="22"/>
          <w:szCs w:val="22"/>
          <w:lang w:val="en-GB"/>
        </w:rPr>
        <w:t xml:space="preserve">concisely </w:t>
      </w:r>
      <w:r w:rsidRPr="00D80AF7">
        <w:rPr>
          <w:rFonts w:asciiTheme="minorHAnsi" w:hAnsiTheme="minorHAnsi"/>
          <w:sz w:val="22"/>
          <w:szCs w:val="22"/>
          <w:lang w:val="en-GB"/>
        </w:rPr>
        <w:t xml:space="preserve">evaluate the electronic environment of the potential HEA candidates and further investigate the influence of mixing enthalpy deviation on </w:t>
      </w:r>
      <w:r>
        <w:rPr>
          <w:rFonts w:asciiTheme="minorHAnsi" w:hAnsiTheme="minorHAnsi"/>
          <w:sz w:val="22"/>
          <w:szCs w:val="22"/>
          <w:lang w:val="en-GB"/>
        </w:rPr>
        <w:t xml:space="preserve">the mechanical performance of the HEAs investigated, </w:t>
      </w:r>
      <w:r w:rsidRPr="00D80AF7">
        <w:rPr>
          <w:rFonts w:asciiTheme="minorHAnsi" w:hAnsiTheme="minorHAnsi"/>
          <w:sz w:val="22"/>
          <w:szCs w:val="22"/>
          <w:lang w:val="en-GB"/>
        </w:rPr>
        <w:t xml:space="preserve">a new parameter </w:t>
      </w:r>
      <w:r>
        <w:rPr>
          <w:rFonts w:asciiTheme="minorHAnsi" w:hAnsiTheme="minorHAnsi"/>
          <w:sz w:val="22"/>
          <w:szCs w:val="22"/>
          <w:lang w:val="en-GB"/>
        </w:rPr>
        <w:t xml:space="preserve">called </w:t>
      </w:r>
      <w:r w:rsidRPr="00D80AF7">
        <w:rPr>
          <w:rFonts w:asciiTheme="minorHAnsi" w:hAnsiTheme="minorHAnsi"/>
          <w:sz w:val="22"/>
          <w:szCs w:val="22"/>
          <w:lang w:val="en-GB"/>
        </w:rPr>
        <w:t>enthalpy standard deviation</w:t>
      </w:r>
      <w:r>
        <w:rPr>
          <w:rFonts w:asciiTheme="minorHAnsi" w:hAnsiTheme="minorHAnsi"/>
          <w:sz w:val="22"/>
          <w:szCs w:val="22"/>
          <w:lang w:val="en-GB"/>
        </w:rPr>
        <w:t xml:space="preserve"> (</w:t>
      </w:r>
      <m:oMath>
        <m:r>
          <w:rPr>
            <w:rFonts w:ascii="Cambria Math" w:hAnsi="Cambria Math"/>
            <w:sz w:val="22"/>
            <w:szCs w:val="22"/>
            <w:lang w:val="en-GB"/>
          </w:rPr>
          <m:t>σ</m:t>
        </m:r>
      </m:oMath>
      <w:r>
        <w:rPr>
          <w:rFonts w:asciiTheme="minorHAnsi" w:hAnsiTheme="minorHAnsi"/>
          <w:sz w:val="22"/>
          <w:szCs w:val="22"/>
          <w:lang w:val="en-GB"/>
        </w:rPr>
        <w:t xml:space="preserve">) was determined. This parameter was used </w:t>
      </w:r>
      <w:r w:rsidRPr="00D80AF7">
        <w:rPr>
          <w:rFonts w:asciiTheme="minorHAnsi" w:hAnsiTheme="minorHAnsi"/>
          <w:sz w:val="22"/>
          <w:szCs w:val="22"/>
          <w:lang w:val="en-GB"/>
        </w:rPr>
        <w:t xml:space="preserve">to describe the </w:t>
      </w:r>
      <w:r>
        <w:rPr>
          <w:rFonts w:asciiTheme="minorHAnsi" w:hAnsiTheme="minorHAnsi"/>
          <w:sz w:val="22"/>
          <w:szCs w:val="22"/>
          <w:lang w:val="en-GB"/>
        </w:rPr>
        <w:t xml:space="preserve">extent of </w:t>
      </w:r>
      <w:r w:rsidRPr="00D80AF7">
        <w:rPr>
          <w:rFonts w:asciiTheme="minorHAnsi" w:hAnsiTheme="minorHAnsi"/>
          <w:sz w:val="22"/>
          <w:szCs w:val="22"/>
          <w:lang w:val="en-GB"/>
        </w:rPr>
        <w:t xml:space="preserve">bonding </w:t>
      </w:r>
      <w:r w:rsidRPr="00D80AF7">
        <w:rPr>
          <w:rFonts w:asciiTheme="minorHAnsi" w:hAnsiTheme="minorHAnsi"/>
          <w:noProof/>
          <w:sz w:val="22"/>
          <w:szCs w:val="22"/>
          <w:lang w:val="en-GB"/>
        </w:rPr>
        <w:t>localisation</w:t>
      </w:r>
      <w:r w:rsidRPr="00D80AF7">
        <w:rPr>
          <w:rFonts w:asciiTheme="minorHAnsi" w:hAnsiTheme="minorHAnsi"/>
          <w:sz w:val="22"/>
          <w:szCs w:val="22"/>
          <w:lang w:val="en-GB"/>
        </w:rPr>
        <w:t xml:space="preserve"> of HEA candidates, as:</w:t>
      </w:r>
    </w:p>
    <w:p w14:paraId="5F880EF5" w14:textId="66CD2791" w:rsidR="00B145BE" w:rsidRDefault="00B145BE" w:rsidP="00B145BE">
      <w:pPr>
        <w:pStyle w:val="Normal1"/>
        <w:spacing w:after="120" w:line="360" w:lineRule="auto"/>
        <w:jc w:val="right"/>
        <w:rPr>
          <w:rFonts w:asciiTheme="minorHAnsi" w:hAnsiTheme="minorHAnsi"/>
          <w:sz w:val="22"/>
          <w:szCs w:val="22"/>
          <w:lang w:val="en-GB"/>
        </w:rPr>
      </w:pPr>
      <m:oMath>
        <m:r>
          <w:rPr>
            <w:rFonts w:ascii="Cambria Math" w:hAnsi="Cambria Math"/>
            <w:sz w:val="22"/>
            <w:szCs w:val="22"/>
            <w:lang w:val="en-GB"/>
          </w:rPr>
          <m:t>σ</m:t>
        </m:r>
        <m:r>
          <m:rPr>
            <m:sty m:val="p"/>
          </m:rPr>
          <w:rPr>
            <w:rFonts w:ascii="Cambria Math" w:hAnsi="Cambria Math"/>
            <w:sz w:val="22"/>
            <w:szCs w:val="22"/>
            <w:lang w:val="en-GB"/>
          </w:rPr>
          <m:t>=</m:t>
        </m:r>
        <m:rad>
          <m:radPr>
            <m:degHide m:val="1"/>
            <m:ctrlPr>
              <w:rPr>
                <w:rFonts w:ascii="Cambria Math" w:hAnsi="Cambria Math"/>
                <w:sz w:val="22"/>
                <w:szCs w:val="22"/>
                <w:lang w:val="en-GB"/>
              </w:rPr>
            </m:ctrlPr>
          </m:radPr>
          <m:deg/>
          <m:e>
            <m:f>
              <m:fPr>
                <m:ctrlPr>
                  <w:rPr>
                    <w:rFonts w:ascii="Cambria Math" w:hAnsi="Cambria Math"/>
                    <w:i/>
                    <w:sz w:val="22"/>
                    <w:szCs w:val="22"/>
                    <w:lang w:val="en-GB"/>
                  </w:rPr>
                </m:ctrlPr>
              </m:fPr>
              <m:num>
                <m:nary>
                  <m:naryPr>
                    <m:chr m:val="∑"/>
                    <m:limLoc m:val="subSup"/>
                    <m:ctrlPr>
                      <w:rPr>
                        <w:rFonts w:ascii="Cambria Math" w:hAnsi="Cambria Math"/>
                        <w:i/>
                        <w:sz w:val="22"/>
                        <w:szCs w:val="22"/>
                        <w:lang w:val="en-GB"/>
                      </w:rPr>
                    </m:ctrlPr>
                  </m:naryPr>
                  <m:sub>
                    <m:r>
                      <w:rPr>
                        <w:rFonts w:ascii="Cambria Math" w:hAnsi="Cambria Math"/>
                        <w:sz w:val="22"/>
                        <w:szCs w:val="22"/>
                        <w:lang w:val="en-GB"/>
                      </w:rPr>
                      <m:t>i=1</m:t>
                    </m:r>
                  </m:sub>
                  <m:sup>
                    <m:r>
                      <w:rPr>
                        <w:rFonts w:ascii="Cambria Math" w:hAnsi="Cambria Math"/>
                        <w:sz w:val="22"/>
                        <w:szCs w:val="22"/>
                        <w:lang w:val="en-GB"/>
                      </w:rPr>
                      <m:t>n</m:t>
                    </m:r>
                  </m:sup>
                  <m:e>
                    <m:r>
                      <w:rPr>
                        <w:rFonts w:ascii="Cambria Math" w:hAnsi="Cambria Math"/>
                        <w:sz w:val="22"/>
                        <w:szCs w:val="22"/>
                        <w:lang w:val="en-GB"/>
                      </w:rPr>
                      <m:t>(</m:t>
                    </m:r>
                    <m:sSub>
                      <m:sSubPr>
                        <m:ctrlPr>
                          <w:rPr>
                            <w:rFonts w:ascii="Cambria Math" w:hAnsi="Cambria Math"/>
                            <w:i/>
                            <w:sz w:val="22"/>
                            <w:szCs w:val="22"/>
                            <w:lang w:val="en-GB"/>
                          </w:rPr>
                        </m:ctrlPr>
                      </m:sSubPr>
                      <m:e>
                        <m:r>
                          <w:rPr>
                            <w:rFonts w:ascii="Cambria Math" w:hAnsi="Cambria Math"/>
                            <w:sz w:val="22"/>
                            <w:szCs w:val="22"/>
                            <w:lang w:val="en-GB"/>
                          </w:rPr>
                          <m:t>H</m:t>
                        </m:r>
                      </m:e>
                      <m:sub>
                        <m:r>
                          <w:rPr>
                            <w:rFonts w:ascii="Cambria Math" w:hAnsi="Cambria Math"/>
                            <w:sz w:val="22"/>
                            <w:szCs w:val="22"/>
                            <w:lang w:val="en-GB"/>
                          </w:rPr>
                          <m:t>i</m:t>
                        </m:r>
                      </m:sub>
                    </m:sSub>
                    <m:r>
                      <w:rPr>
                        <w:rFonts w:ascii="Cambria Math" w:hAnsi="Cambria Math"/>
                        <w:sz w:val="22"/>
                        <w:szCs w:val="22"/>
                        <w:lang w:val="en-GB"/>
                      </w:rPr>
                      <m:t>-</m:t>
                    </m:r>
                    <m:acc>
                      <m:accPr>
                        <m:chr m:val="̅"/>
                        <m:ctrlPr>
                          <w:rPr>
                            <w:rFonts w:ascii="Cambria Math" w:hAnsi="Cambria Math"/>
                            <w:i/>
                            <w:sz w:val="22"/>
                            <w:szCs w:val="22"/>
                            <w:lang w:val="en-GB"/>
                          </w:rPr>
                        </m:ctrlPr>
                      </m:accPr>
                      <m:e>
                        <m:r>
                          <w:rPr>
                            <w:rFonts w:ascii="Cambria Math" w:hAnsi="Cambria Math"/>
                            <w:sz w:val="22"/>
                            <w:szCs w:val="22"/>
                            <w:lang w:val="en-GB"/>
                          </w:rPr>
                          <m:t>H</m:t>
                        </m:r>
                      </m:e>
                    </m:acc>
                    <m:sSup>
                      <m:sSupPr>
                        <m:ctrlPr>
                          <w:rPr>
                            <w:rFonts w:ascii="Cambria Math" w:hAnsi="Cambria Math"/>
                            <w:i/>
                            <w:sz w:val="22"/>
                            <w:szCs w:val="22"/>
                            <w:lang w:val="en-GB"/>
                          </w:rPr>
                        </m:ctrlPr>
                      </m:sSupPr>
                      <m:e>
                        <m:r>
                          <w:rPr>
                            <w:rFonts w:ascii="Cambria Math" w:hAnsi="Cambria Math"/>
                            <w:sz w:val="22"/>
                            <w:szCs w:val="22"/>
                            <w:lang w:val="en-GB"/>
                          </w:rPr>
                          <m:t>)</m:t>
                        </m:r>
                      </m:e>
                      <m:sup>
                        <m:r>
                          <w:rPr>
                            <w:rFonts w:ascii="Cambria Math" w:hAnsi="Cambria Math"/>
                            <w:sz w:val="22"/>
                            <w:szCs w:val="22"/>
                            <w:lang w:val="en-GB"/>
                          </w:rPr>
                          <m:t>2</m:t>
                        </m:r>
                      </m:sup>
                    </m:sSup>
                  </m:e>
                </m:nary>
              </m:num>
              <m:den>
                <m:r>
                  <w:rPr>
                    <w:rFonts w:ascii="Cambria Math" w:hAnsi="Cambria Math"/>
                    <w:sz w:val="22"/>
                    <w:szCs w:val="22"/>
                    <w:lang w:val="en-GB"/>
                  </w:rPr>
                  <m:t>n-1</m:t>
                </m:r>
              </m:den>
            </m:f>
          </m:e>
        </m:rad>
      </m:oMath>
      <w:r w:rsidRPr="00D80AF7">
        <w:rPr>
          <w:rFonts w:asciiTheme="minorHAnsi" w:hAnsiTheme="minorHAnsi"/>
          <w:sz w:val="22"/>
          <w:szCs w:val="22"/>
          <w:lang w:val="en-GB"/>
        </w:rPr>
        <w:t xml:space="preserve">                </w:t>
      </w:r>
      <w:r w:rsidR="00854A0C">
        <w:rPr>
          <w:rFonts w:asciiTheme="minorHAnsi" w:hAnsiTheme="minorHAnsi"/>
          <w:sz w:val="22"/>
          <w:szCs w:val="22"/>
          <w:lang w:val="en-GB"/>
        </w:rPr>
        <w:t xml:space="preserve">                                     </w:t>
      </w:r>
      <w:r w:rsidRPr="00D80AF7">
        <w:rPr>
          <w:rFonts w:asciiTheme="minorHAnsi" w:hAnsiTheme="minorHAnsi"/>
          <w:sz w:val="22"/>
          <w:szCs w:val="22"/>
          <w:lang w:val="en-GB"/>
        </w:rPr>
        <w:t xml:space="preserve">              (1)                                      </w:t>
      </w:r>
    </w:p>
    <w:p w14:paraId="3E80B517" w14:textId="453280C7" w:rsidR="00B145BE" w:rsidRDefault="003611E3" w:rsidP="00B145BE">
      <w:pPr>
        <w:pStyle w:val="Normal1"/>
        <w:spacing w:after="60" w:line="360" w:lineRule="auto"/>
        <w:jc w:val="both"/>
        <w:rPr>
          <w:rFonts w:asciiTheme="minorHAnsi" w:hAnsiTheme="minorHAnsi"/>
          <w:sz w:val="22"/>
          <w:szCs w:val="22"/>
          <w:lang w:val="en-GB"/>
        </w:rPr>
      </w:pPr>
      <w:r>
        <w:rPr>
          <w:rFonts w:asciiTheme="minorHAnsi" w:hAnsiTheme="minorHAnsi"/>
          <w:sz w:val="22"/>
          <w:szCs w:val="22"/>
          <w:lang w:val="en-GB"/>
        </w:rPr>
        <w:t>w</w:t>
      </w:r>
      <w:r w:rsidR="00B145BE">
        <w:rPr>
          <w:rFonts w:asciiTheme="minorHAnsi" w:hAnsiTheme="minorHAnsi"/>
          <w:sz w:val="22"/>
          <w:szCs w:val="22"/>
          <w:lang w:val="en-GB"/>
        </w:rPr>
        <w:t>here</w:t>
      </w:r>
      <w:r w:rsidR="00B145BE" w:rsidRPr="00D80AF7">
        <w:rPr>
          <w:rFonts w:asciiTheme="minorHAnsi" w:hAnsiTheme="minorHAnsi"/>
          <w:sz w:val="22"/>
          <w:szCs w:val="22"/>
          <w:lang w:val="en-GB"/>
        </w:rPr>
        <w:t xml:space="preserve">, </w:t>
      </w:r>
      <w:r w:rsidR="00B145BE" w:rsidRPr="00D80AF7">
        <w:rPr>
          <w:rFonts w:asciiTheme="minorHAnsi" w:hAnsiTheme="minorHAnsi"/>
          <w:i/>
          <w:sz w:val="22"/>
          <w:szCs w:val="22"/>
          <w:lang w:val="en-GB"/>
        </w:rPr>
        <w:t>n</w:t>
      </w:r>
      <w:r w:rsidR="00B145BE" w:rsidRPr="00D80AF7">
        <w:rPr>
          <w:rFonts w:asciiTheme="minorHAnsi" w:hAnsiTheme="minorHAnsi"/>
          <w:sz w:val="22"/>
          <w:szCs w:val="22"/>
          <w:lang w:val="en-GB"/>
        </w:rPr>
        <w:t xml:space="preserve"> is the number of binary combinations of principal components, </w:t>
      </w:r>
      <m:oMath>
        <m:sSub>
          <m:sSubPr>
            <m:ctrlPr>
              <w:rPr>
                <w:rFonts w:ascii="Cambria Math" w:hAnsi="Cambria Math"/>
                <w:i/>
                <w:sz w:val="22"/>
                <w:szCs w:val="22"/>
                <w:lang w:val="en-GB"/>
              </w:rPr>
            </m:ctrlPr>
          </m:sSubPr>
          <m:e>
            <m:r>
              <w:rPr>
                <w:rFonts w:ascii="Cambria Math" w:hAnsi="Cambria Math"/>
                <w:sz w:val="22"/>
                <w:szCs w:val="22"/>
                <w:lang w:val="en-GB"/>
              </w:rPr>
              <m:t>H</m:t>
            </m:r>
          </m:e>
          <m:sub>
            <m:r>
              <w:rPr>
                <w:rFonts w:ascii="Cambria Math" w:hAnsi="Cambria Math"/>
                <w:sz w:val="22"/>
                <w:szCs w:val="22"/>
                <w:lang w:val="en-GB"/>
              </w:rPr>
              <m:t>i</m:t>
            </m:r>
          </m:sub>
        </m:sSub>
      </m:oMath>
      <w:r w:rsidR="00B145BE" w:rsidRPr="00D80AF7">
        <w:rPr>
          <w:rFonts w:asciiTheme="minorHAnsi" w:hAnsiTheme="minorHAnsi"/>
          <w:sz w:val="22"/>
          <w:szCs w:val="22"/>
          <w:lang w:val="en-GB"/>
        </w:rPr>
        <w:t xml:space="preserve"> is the mixing/formation enthalpy value of</w:t>
      </w:r>
      <w:r w:rsidR="009E1CED">
        <w:rPr>
          <w:rFonts w:asciiTheme="minorHAnsi" w:hAnsiTheme="minorHAnsi"/>
          <w:sz w:val="22"/>
          <w:szCs w:val="22"/>
          <w:lang w:val="en-GB"/>
        </w:rPr>
        <w:t xml:space="preserve"> the</w:t>
      </w:r>
      <w:r w:rsidR="00B145BE" w:rsidRPr="00D80AF7">
        <w:rPr>
          <w:rFonts w:asciiTheme="minorHAnsi" w:hAnsiTheme="minorHAnsi"/>
          <w:sz w:val="22"/>
          <w:szCs w:val="22"/>
          <w:lang w:val="en-GB"/>
        </w:rPr>
        <w:t xml:space="preserve"> </w:t>
      </w:r>
      <w:r w:rsidR="00B145BE">
        <w:rPr>
          <w:rFonts w:asciiTheme="minorHAnsi" w:hAnsiTheme="minorHAnsi"/>
          <w:i/>
          <w:sz w:val="22"/>
          <w:szCs w:val="22"/>
          <w:lang w:val="en-GB"/>
        </w:rPr>
        <w:t>i</w:t>
      </w:r>
      <w:r w:rsidR="00B145BE" w:rsidRPr="00881435">
        <w:rPr>
          <w:rFonts w:asciiTheme="minorHAnsi" w:hAnsiTheme="minorHAnsi"/>
          <w:sz w:val="22"/>
          <w:szCs w:val="22"/>
          <w:vertAlign w:val="superscript"/>
          <w:lang w:val="en-GB"/>
        </w:rPr>
        <w:t>th</w:t>
      </w:r>
      <w:r w:rsidR="00B145BE" w:rsidRPr="00D80AF7">
        <w:rPr>
          <w:rFonts w:asciiTheme="minorHAnsi" w:hAnsiTheme="minorHAnsi"/>
          <w:sz w:val="22"/>
          <w:szCs w:val="22"/>
          <w:lang w:val="en-GB"/>
        </w:rPr>
        <w:t xml:space="preserve"> binary element combination and </w:t>
      </w:r>
      <m:oMath>
        <m:acc>
          <m:accPr>
            <m:chr m:val="̅"/>
            <m:ctrlPr>
              <w:rPr>
                <w:rFonts w:ascii="Cambria Math" w:hAnsi="Cambria Math"/>
                <w:i/>
                <w:sz w:val="22"/>
                <w:szCs w:val="22"/>
                <w:lang w:val="en-GB"/>
              </w:rPr>
            </m:ctrlPr>
          </m:accPr>
          <m:e>
            <m:r>
              <w:rPr>
                <w:rFonts w:ascii="Cambria Math" w:hAnsi="Cambria Math"/>
                <w:sz w:val="22"/>
                <w:szCs w:val="22"/>
                <w:lang w:val="en-GB"/>
              </w:rPr>
              <m:t>H</m:t>
            </m:r>
          </m:e>
        </m:acc>
      </m:oMath>
      <w:r w:rsidR="00B145BE" w:rsidRPr="00D80AF7">
        <w:rPr>
          <w:rFonts w:asciiTheme="minorHAnsi" w:hAnsiTheme="minorHAnsi"/>
          <w:sz w:val="22"/>
          <w:szCs w:val="22"/>
          <w:lang w:val="en-GB"/>
        </w:rPr>
        <w:t xml:space="preserve"> is</w:t>
      </w:r>
      <w:r w:rsidR="009E1CED">
        <w:rPr>
          <w:rFonts w:asciiTheme="minorHAnsi" w:hAnsiTheme="minorHAnsi"/>
          <w:sz w:val="22"/>
          <w:szCs w:val="22"/>
          <w:lang w:val="en-GB"/>
        </w:rPr>
        <w:t xml:space="preserve"> the</w:t>
      </w:r>
      <w:r w:rsidR="00B145BE" w:rsidRPr="00D80AF7">
        <w:rPr>
          <w:rFonts w:asciiTheme="minorHAnsi" w:hAnsiTheme="minorHAnsi"/>
          <w:sz w:val="22"/>
          <w:szCs w:val="22"/>
          <w:lang w:val="en-GB"/>
        </w:rPr>
        <w:t xml:space="preserve"> mean mixing/formation enthalpy value among </w:t>
      </w:r>
      <w:r w:rsidR="00B145BE" w:rsidRPr="00D66B74">
        <w:rPr>
          <w:rFonts w:asciiTheme="minorHAnsi" w:hAnsiTheme="minorHAnsi"/>
          <w:i/>
          <w:sz w:val="22"/>
          <w:szCs w:val="22"/>
          <w:lang w:val="en-GB"/>
        </w:rPr>
        <w:t>n</w:t>
      </w:r>
      <w:r w:rsidR="00B145BE" w:rsidRPr="00D80AF7">
        <w:rPr>
          <w:rFonts w:asciiTheme="minorHAnsi" w:hAnsiTheme="minorHAnsi"/>
          <w:sz w:val="22"/>
          <w:szCs w:val="22"/>
          <w:lang w:val="en-GB"/>
        </w:rPr>
        <w:t xml:space="preserve"> combinations. By substitut</w:t>
      </w:r>
      <w:r w:rsidR="00B145BE">
        <w:rPr>
          <w:rFonts w:asciiTheme="minorHAnsi" w:hAnsiTheme="minorHAnsi"/>
          <w:sz w:val="22"/>
          <w:szCs w:val="22"/>
          <w:lang w:val="en-GB"/>
        </w:rPr>
        <w:t xml:space="preserve">ion of </w:t>
      </w:r>
      <w:r w:rsidR="00B145BE" w:rsidRPr="00D80AF7">
        <w:rPr>
          <w:rFonts w:asciiTheme="minorHAnsi" w:hAnsiTheme="minorHAnsi"/>
          <w:sz w:val="22"/>
          <w:szCs w:val="22"/>
          <w:lang w:val="en-GB"/>
        </w:rPr>
        <w:t xml:space="preserve">mixing enthalpy or formation enthalpy </w:t>
      </w:r>
      <w:r w:rsidR="00B145BE">
        <w:rPr>
          <w:rFonts w:asciiTheme="minorHAnsi" w:hAnsiTheme="minorHAnsi"/>
          <w:sz w:val="22"/>
          <w:szCs w:val="22"/>
          <w:lang w:val="en-GB"/>
        </w:rPr>
        <w:t xml:space="preserve">values </w:t>
      </w:r>
      <w:r w:rsidR="00B145BE" w:rsidRPr="00D80AF7">
        <w:rPr>
          <w:rFonts w:asciiTheme="minorHAnsi" w:hAnsiTheme="minorHAnsi"/>
          <w:sz w:val="22"/>
          <w:szCs w:val="22"/>
          <w:lang w:val="en-GB"/>
        </w:rPr>
        <w:t xml:space="preserve">into </w:t>
      </w:r>
      <w:r w:rsidR="00B145BE" w:rsidRPr="009732BD">
        <w:rPr>
          <w:rFonts w:asciiTheme="minorHAnsi" w:hAnsiTheme="minorHAnsi"/>
          <w:i/>
          <w:sz w:val="22"/>
          <w:szCs w:val="22"/>
          <w:lang w:val="en-GB"/>
        </w:rPr>
        <w:t>eq</w:t>
      </w:r>
      <w:r w:rsidR="00B145BE" w:rsidRPr="00D80AF7">
        <w:rPr>
          <w:rFonts w:asciiTheme="minorHAnsi" w:hAnsiTheme="minorHAnsi"/>
          <w:sz w:val="22"/>
          <w:szCs w:val="22"/>
          <w:lang w:val="en-GB"/>
        </w:rPr>
        <w:t>.</w:t>
      </w:r>
      <w:r w:rsidR="00B145BE" w:rsidRPr="00881435">
        <w:rPr>
          <w:rFonts w:asciiTheme="minorHAnsi" w:hAnsiTheme="minorHAnsi"/>
          <w:i/>
          <w:sz w:val="22"/>
          <w:szCs w:val="22"/>
          <w:lang w:val="en-GB"/>
        </w:rPr>
        <w:t xml:space="preserve"> 1</w:t>
      </w:r>
      <w:r w:rsidR="00B145BE">
        <w:rPr>
          <w:rFonts w:asciiTheme="minorHAnsi" w:hAnsiTheme="minorHAnsi"/>
          <w:sz w:val="22"/>
          <w:szCs w:val="22"/>
          <w:lang w:val="en-GB"/>
        </w:rPr>
        <w:t>,</w:t>
      </w:r>
      <w:r w:rsidR="00B145BE" w:rsidRPr="00D80AF7">
        <w:rPr>
          <w:rFonts w:asciiTheme="minorHAnsi" w:hAnsiTheme="minorHAnsi"/>
          <w:sz w:val="22"/>
          <w:szCs w:val="22"/>
          <w:lang w:val="en-GB"/>
        </w:rPr>
        <w:t xml:space="preserve"> the overall deviation</w:t>
      </w:r>
      <w:r w:rsidR="00B145BE">
        <w:rPr>
          <w:rFonts w:asciiTheme="minorHAnsi" w:hAnsiTheme="minorHAnsi"/>
          <w:sz w:val="22"/>
          <w:szCs w:val="22"/>
          <w:lang w:val="en-GB"/>
        </w:rPr>
        <w:t xml:space="preserve"> in the</w:t>
      </w:r>
      <w:r w:rsidR="00B145BE" w:rsidRPr="00D80AF7">
        <w:rPr>
          <w:rFonts w:asciiTheme="minorHAnsi" w:hAnsiTheme="minorHAnsi"/>
          <w:sz w:val="22"/>
          <w:szCs w:val="22"/>
          <w:lang w:val="en-GB"/>
        </w:rPr>
        <w:t xml:space="preserve"> extent of bonding locali</w:t>
      </w:r>
      <w:r w:rsidR="00B145BE">
        <w:rPr>
          <w:rFonts w:asciiTheme="minorHAnsi" w:hAnsiTheme="minorHAnsi"/>
          <w:sz w:val="22"/>
          <w:szCs w:val="22"/>
          <w:lang w:val="en-GB"/>
        </w:rPr>
        <w:t>s</w:t>
      </w:r>
      <w:r w:rsidR="00B145BE" w:rsidRPr="00D80AF7">
        <w:rPr>
          <w:rFonts w:asciiTheme="minorHAnsi" w:hAnsiTheme="minorHAnsi"/>
          <w:sz w:val="22"/>
          <w:szCs w:val="22"/>
          <w:lang w:val="en-GB"/>
        </w:rPr>
        <w:t xml:space="preserve">ation is </w:t>
      </w:r>
      <w:r w:rsidR="00B145BE">
        <w:rPr>
          <w:rFonts w:asciiTheme="minorHAnsi" w:hAnsiTheme="minorHAnsi"/>
          <w:sz w:val="22"/>
          <w:szCs w:val="22"/>
          <w:lang w:val="en-GB"/>
        </w:rPr>
        <w:t xml:space="preserve">calculated by the value of </w:t>
      </w:r>
      <m:oMath>
        <m:r>
          <w:rPr>
            <w:rFonts w:ascii="Cambria Math" w:hAnsi="Cambria Math"/>
            <w:sz w:val="22"/>
            <w:szCs w:val="22"/>
            <w:lang w:val="en-GB"/>
          </w:rPr>
          <m:t>σ</m:t>
        </m:r>
      </m:oMath>
      <w:r w:rsidR="00B145BE" w:rsidRPr="00D80AF7">
        <w:rPr>
          <w:rFonts w:asciiTheme="minorHAnsi" w:hAnsiTheme="minorHAnsi"/>
          <w:sz w:val="22"/>
          <w:szCs w:val="22"/>
          <w:lang w:val="en-GB"/>
        </w:rPr>
        <w:t>.</w:t>
      </w:r>
      <w:r w:rsidR="00B145BE">
        <w:rPr>
          <w:rFonts w:asciiTheme="minorHAnsi" w:hAnsiTheme="minorHAnsi"/>
          <w:sz w:val="22"/>
          <w:szCs w:val="22"/>
          <w:lang w:val="en-GB"/>
        </w:rPr>
        <w:t xml:space="preserve"> </w:t>
      </w:r>
      <w:r w:rsidR="00B145BE">
        <w:rPr>
          <w:rFonts w:asciiTheme="minorHAnsi" w:hAnsiTheme="minorHAnsi"/>
          <w:noProof/>
          <w:sz w:val="22"/>
          <w:szCs w:val="22"/>
          <w:lang w:val="en-GB"/>
        </w:rPr>
        <w:t>T</w:t>
      </w:r>
      <w:r w:rsidR="00B145BE" w:rsidRPr="007C247B">
        <w:rPr>
          <w:rFonts w:asciiTheme="minorHAnsi" w:hAnsiTheme="minorHAnsi"/>
          <w:noProof/>
          <w:sz w:val="22"/>
          <w:szCs w:val="22"/>
          <w:lang w:val="en-GB"/>
        </w:rPr>
        <w:t>h</w:t>
      </w:r>
      <w:r w:rsidR="00B145BE">
        <w:rPr>
          <w:rFonts w:asciiTheme="minorHAnsi" w:hAnsiTheme="minorHAnsi"/>
          <w:sz w:val="22"/>
          <w:szCs w:val="22"/>
          <w:lang w:val="en-GB"/>
        </w:rPr>
        <w:t>e difference of mixing enthalpy within every two components in current equimolar HEAs sys</w:t>
      </w:r>
      <w:r w:rsidR="00B145BE" w:rsidRPr="007C247B">
        <w:rPr>
          <w:rFonts w:asciiTheme="minorHAnsi" w:hAnsiTheme="minorHAnsi"/>
          <w:noProof/>
          <w:sz w:val="22"/>
          <w:szCs w:val="22"/>
          <w:lang w:val="en-GB"/>
        </w:rPr>
        <w:t>tem</w:t>
      </w:r>
      <w:r w:rsidR="00B145BE">
        <w:rPr>
          <w:rFonts w:asciiTheme="minorHAnsi" w:hAnsiTheme="minorHAnsi"/>
          <w:noProof/>
          <w:sz w:val="22"/>
          <w:szCs w:val="22"/>
          <w:lang w:val="en-GB"/>
        </w:rPr>
        <w:t>s,</w:t>
      </w:r>
      <w:r w:rsidR="00B145BE">
        <w:rPr>
          <w:rFonts w:asciiTheme="minorHAnsi" w:hAnsiTheme="minorHAnsi"/>
          <w:sz w:val="22"/>
          <w:szCs w:val="22"/>
          <w:lang w:val="en-GB"/>
        </w:rPr>
        <w:t xml:space="preserve"> refers to the difference in electronegativity which direct</w:t>
      </w:r>
      <w:r>
        <w:rPr>
          <w:rFonts w:asciiTheme="minorHAnsi" w:hAnsiTheme="minorHAnsi"/>
          <w:sz w:val="22"/>
          <w:szCs w:val="22"/>
          <w:lang w:val="en-GB"/>
        </w:rPr>
        <w:t>ly</w:t>
      </w:r>
      <w:r w:rsidR="00B145BE">
        <w:rPr>
          <w:rFonts w:asciiTheme="minorHAnsi" w:hAnsiTheme="minorHAnsi"/>
          <w:sz w:val="22"/>
          <w:szCs w:val="22"/>
          <w:lang w:val="en-GB"/>
        </w:rPr>
        <w:t xml:space="preserve"> determines the type of bonding involved. By judging the mixing enthalpy </w:t>
      </w:r>
      <w:r w:rsidR="00B145BE" w:rsidRPr="00BE4C9D">
        <w:rPr>
          <w:rFonts w:asciiTheme="minorHAnsi" w:hAnsiTheme="minorHAnsi"/>
          <w:sz w:val="22"/>
          <w:szCs w:val="22"/>
          <w:lang w:val="en-GB"/>
        </w:rPr>
        <w:t>dispersion</w:t>
      </w:r>
      <w:r w:rsidR="00B145BE">
        <w:rPr>
          <w:rFonts w:asciiTheme="minorHAnsi" w:hAnsiTheme="minorHAnsi"/>
          <w:sz w:val="22"/>
          <w:szCs w:val="22"/>
          <w:lang w:val="en-GB"/>
        </w:rPr>
        <w:t xml:space="preserve"> in the system, the extent of localisation bonding can be approximately determined. A hig</w:t>
      </w:r>
      <w:r w:rsidR="00B145BE" w:rsidRPr="007C247B">
        <w:rPr>
          <w:rFonts w:asciiTheme="minorHAnsi" w:hAnsiTheme="minorHAnsi"/>
          <w:noProof/>
          <w:sz w:val="22"/>
          <w:szCs w:val="22"/>
          <w:lang w:val="en-GB"/>
        </w:rPr>
        <w:t>her de</w:t>
      </w:r>
      <w:r w:rsidR="00B145BE">
        <w:rPr>
          <w:rFonts w:asciiTheme="minorHAnsi" w:hAnsiTheme="minorHAnsi"/>
          <w:sz w:val="22"/>
          <w:szCs w:val="22"/>
          <w:lang w:val="en-GB"/>
        </w:rPr>
        <w:t xml:space="preserve">gree of mixing enthalpy </w:t>
      </w:r>
      <w:r w:rsidR="00B145BE" w:rsidRPr="00BE4C9D">
        <w:rPr>
          <w:rFonts w:asciiTheme="minorHAnsi" w:hAnsiTheme="minorHAnsi"/>
          <w:sz w:val="22"/>
          <w:szCs w:val="22"/>
          <w:lang w:val="en-GB"/>
        </w:rPr>
        <w:t>dispersion</w:t>
      </w:r>
      <w:r w:rsidR="00B145BE">
        <w:rPr>
          <w:rFonts w:asciiTheme="minorHAnsi" w:hAnsiTheme="minorHAnsi"/>
          <w:sz w:val="22"/>
          <w:szCs w:val="22"/>
          <w:lang w:val="en-GB"/>
        </w:rPr>
        <w:t xml:space="preserve"> results in a more localised electronic environment, </w:t>
      </w:r>
      <w:r w:rsidR="00B145BE" w:rsidRPr="007C247B">
        <w:rPr>
          <w:rFonts w:asciiTheme="minorHAnsi" w:hAnsiTheme="minorHAnsi"/>
          <w:noProof/>
          <w:sz w:val="22"/>
          <w:szCs w:val="22"/>
          <w:lang w:val="en-GB"/>
        </w:rPr>
        <w:t>to</w:t>
      </w:r>
      <w:r w:rsidR="00B145BE">
        <w:rPr>
          <w:rFonts w:asciiTheme="minorHAnsi" w:hAnsiTheme="minorHAnsi"/>
          <w:sz w:val="22"/>
          <w:szCs w:val="22"/>
          <w:lang w:val="en-GB"/>
        </w:rPr>
        <w:t xml:space="preserve"> attract </w:t>
      </w:r>
      <w:r w:rsidR="00B145BE">
        <w:rPr>
          <w:rFonts w:asciiTheme="minorHAnsi" w:hAnsiTheme="minorHAnsi"/>
          <w:sz w:val="22"/>
          <w:szCs w:val="22"/>
          <w:lang w:val="en-GB"/>
        </w:rPr>
        <w:lastRenderedPageBreak/>
        <w:t>electrons to form complex phases (intermetallic phases) rather than simple phases (solid solution phase</w:t>
      </w:r>
      <w:r w:rsidR="009E1CED">
        <w:rPr>
          <w:rFonts w:asciiTheme="minorHAnsi" w:hAnsiTheme="minorHAnsi"/>
          <w:sz w:val="22"/>
          <w:szCs w:val="22"/>
          <w:lang w:val="en-GB"/>
        </w:rPr>
        <w:t>s</w:t>
      </w:r>
      <w:r w:rsidR="00B145BE">
        <w:rPr>
          <w:rFonts w:asciiTheme="minorHAnsi" w:hAnsiTheme="minorHAnsi"/>
          <w:sz w:val="22"/>
          <w:szCs w:val="22"/>
          <w:lang w:val="en-GB"/>
        </w:rPr>
        <w:t xml:space="preserve">) </w:t>
      </w:r>
      <w:r w:rsidR="00B145BE">
        <w:rPr>
          <w:rFonts w:asciiTheme="minorHAnsi" w:hAnsiTheme="minorHAnsi"/>
          <w:sz w:val="22"/>
          <w:szCs w:val="22"/>
          <w:lang w:val="en-GB"/>
        </w:rPr>
        <w:fldChar w:fldCharType="begin" w:fldLock="1"/>
      </w:r>
      <w:r w:rsidR="00B145BE">
        <w:rPr>
          <w:rFonts w:asciiTheme="minorHAnsi" w:hAnsiTheme="minorHAnsi"/>
          <w:sz w:val="22"/>
          <w:szCs w:val="22"/>
          <w:lang w:val="en-GB"/>
        </w:rPr>
        <w:instrText>ADDIN CSL_CITATION {"citationItems":[{"id":"ITEM-1","itemData":{"DOI":"10.1016/0370-1573(74)90029-5","ISSN":"03701573","abstract":"This paper gives a review of the theory of noninteracting electrons in a static disordered lattice. The introductory section gives a brief survey of the main aspects of the problem and of its relevance to the physics of amorphous and disordered crystalline solids. The second section is concerned with the methods which can be used to find the density of states, both in the main part of the band, where the coherent potential approximation can be used, and in the tail of the band, where other methods must be used. The third section gives a survey of the theory of localization. There is a detailed discussion of the qualitative differences between localized and extended states which enable a sharp distinction to be made between them. There is a brief survey of the theory of one-dimensional systems and of the percolation problem, and then the Anderson model and its self-consistent modification are discussed. There is also a discussion of numerical work on the Anderson model and the use of path-integral methods. In the final section a tentative theory is proposed to combine various features of the problem which have been revealed by some of the different approaches. © 1974.","author":[{"dropping-particle":"","family":"Thouless","given":"D. J.","non-dropping-particle":"","parse-names":false,"suffix":""}],"container-title":"Physics Reports","id":"ITEM-1","issued":{"date-parts":[["1974"]]},"title":"Electrons in disordered systems and the theory of localization","type":"article-journal"},"uris":["http://www.mendeley.com/documents/?uuid=65cd22a6-c0d6-4519-8f76-7671e4154b43"]},{"id":"ITEM-2","itemData":{"DOI":"10.1002/anie.199420691","ISSN":"15213773","abstract":"Many forms of chemical bonding are exhibited by Al in intermetallic and Zintl phases. This is revealed by the calculation of the electron localization function for the series Al, CaAl2, SrAl2, BA14, CaAl2Si2, and Si. With this pro</w:instrText>
      </w:r>
      <w:r w:rsidR="00B145BE">
        <w:rPr>
          <w:rFonts w:asciiTheme="minorHAnsi" w:hAnsiTheme="minorHAnsi" w:hint="eastAsia"/>
          <w:sz w:val="22"/>
          <w:szCs w:val="22"/>
          <w:lang w:val="en-GB"/>
        </w:rPr>
        <w:instrText>cedure it is possible to distinguish clearly between metallic, covalent multicenter, and homo</w:instrText>
      </w:r>
      <w:r w:rsidR="00B145BE">
        <w:rPr>
          <w:rFonts w:asciiTheme="minorHAnsi" w:hAnsiTheme="minorHAnsi" w:hint="eastAsia"/>
          <w:sz w:val="22"/>
          <w:szCs w:val="22"/>
          <w:lang w:val="en-GB"/>
        </w:rPr>
        <w:instrText>‐</w:instrText>
      </w:r>
      <w:r w:rsidR="00B145BE">
        <w:rPr>
          <w:rFonts w:asciiTheme="minorHAnsi" w:hAnsiTheme="minorHAnsi" w:hint="eastAsia"/>
          <w:sz w:val="22"/>
          <w:szCs w:val="22"/>
          <w:lang w:val="en-GB"/>
        </w:rPr>
        <w:instrText xml:space="preserve"> and hetero</w:instrText>
      </w:r>
      <w:r w:rsidR="00B145BE">
        <w:rPr>
          <w:rFonts w:asciiTheme="minorHAnsi" w:hAnsiTheme="minorHAnsi" w:hint="eastAsia"/>
          <w:sz w:val="22"/>
          <w:szCs w:val="22"/>
          <w:lang w:val="en-GB"/>
        </w:rPr>
        <w:instrText>‐</w:instrText>
      </w:r>
      <w:r w:rsidR="00B145BE">
        <w:rPr>
          <w:rFonts w:asciiTheme="minorHAnsi" w:hAnsiTheme="minorHAnsi" w:hint="eastAsia"/>
          <w:sz w:val="22"/>
          <w:szCs w:val="22"/>
          <w:lang w:val="en-GB"/>
        </w:rPr>
        <w:instrText>nuclear single bonding. Copyright © 1994 by VCH Verlagsgesellschaft mbH, Germany","author":[{"dropping-particle":"","family":"Häussermann","given":"U</w:instrText>
      </w:r>
      <w:r w:rsidR="00B145BE">
        <w:rPr>
          <w:rFonts w:asciiTheme="minorHAnsi" w:hAnsiTheme="minorHAnsi"/>
          <w:sz w:val="22"/>
          <w:szCs w:val="22"/>
          <w:lang w:val="en-GB"/>
        </w:rPr>
        <w:instrText>lrich","non-dropping-particle":"","parse-names":false,"suffix":""},{"dropping-particle":"","family":"Wengert","given":"Steffen","non-dropping-particle":"","parse-names":false,"suffix":""},{"dropping-particle":"","family":"Hofmann","given":"Patrick","non-dropping-particle":"","parse-names":false,"suffix":""},{"dropping-particle":"","family":"Savin","given":"Andreas","non-dropping-particle":"","parse-names":false,"suffix":""},{"dropping-particle":"","family":"Jepsen","given":"Ove","non-dropping-particle":"","parse-names":false,"suffix":""},{"dropping-particle":"","family":"Nesper","given":"Reinhard","non-dropping-particle":"","parse-names":false,"suffix":""}],"container-title":"Angewandte Chemie International Edition in English","id":"ITEM-2","issued":{"date-parts":[["1994"]]},"title":"Localization of Electrons in Intermetallic Phases Containing Aluminum","type":"article-journal"},"uris":["http://www.mendeley.com/documents/?uuid=3ae756f0-7433-4b2b-820f-92778635be4a"]},{"id":"ITEM-3","itemData":{"DOI":"10.1016/S0966-9795(99)00040-0","ISBN":"0966-9795","ISSN":"09669795","abstract":"Binding energy curves for the 4d transition metal TM aluminides TMAl with respect to 12 different AB-structure types have been computed using the full-potential linear muffin-tin orbitals (FP-LMTO) method within local-density-functional approximation (LDA). Combining with our previous calculations for the 3d TMAl, we find that the observed ground state structures are predicted correctly for all the AB transition metal aluminides including the low-temperature monoclinic C2/m phase of CuAl. Moreover, the B32 phase is predicted to be the most stable amongst competing metastable phases for CrAl, MoAl, TcAl, whereas for VAl and NbAl the most stable phases are L10and Ω, respectively. The calculated heats for formation are in good agreement with available experimental data. The critical roles played by the average number of valence electrons per atom and the angular character of the valence orbitals are emphasized in explaining the struct</w:instrText>
      </w:r>
      <w:r w:rsidR="00B145BE">
        <w:rPr>
          <w:rFonts w:asciiTheme="minorHAnsi" w:hAnsiTheme="minorHAnsi" w:hint="eastAsia"/>
          <w:sz w:val="22"/>
          <w:szCs w:val="22"/>
          <w:lang w:val="en-GB"/>
        </w:rPr>
        <w:instrText xml:space="preserve">ural phase stability across the TMAl series. In particular, it is shown that the structural trend going from B2 (bcc-like) </w:instrText>
      </w:r>
      <w:r w:rsidR="00B145BE">
        <w:rPr>
          <w:rFonts w:asciiTheme="minorHAnsi" w:hAnsiTheme="minorHAnsi" w:hint="eastAsia"/>
          <w:sz w:val="22"/>
          <w:szCs w:val="22"/>
          <w:lang w:val="en-GB"/>
        </w:rPr>
        <w:instrText>→</w:instrText>
      </w:r>
      <w:r w:rsidR="00B145BE">
        <w:rPr>
          <w:rFonts w:asciiTheme="minorHAnsi" w:hAnsiTheme="minorHAnsi" w:hint="eastAsia"/>
          <w:sz w:val="22"/>
          <w:szCs w:val="22"/>
          <w:lang w:val="en-GB"/>
        </w:rPr>
        <w:instrText xml:space="preserve"> L10(fcc-like) </w:instrText>
      </w:r>
      <w:r w:rsidR="00B145BE">
        <w:rPr>
          <w:rFonts w:asciiTheme="minorHAnsi" w:hAnsiTheme="minorHAnsi" w:hint="eastAsia"/>
          <w:sz w:val="22"/>
          <w:szCs w:val="22"/>
          <w:lang w:val="en-GB"/>
        </w:rPr>
        <w:instrText>→</w:instrText>
      </w:r>
      <w:r w:rsidR="00B145BE">
        <w:rPr>
          <w:rFonts w:asciiTheme="minorHAnsi" w:hAnsiTheme="minorHAnsi" w:hint="eastAsia"/>
          <w:sz w:val="22"/>
          <w:szCs w:val="22"/>
          <w:lang w:val="en-GB"/>
        </w:rPr>
        <w:instrText xml:space="preserve"> B19 (hcp-like) </w:instrText>
      </w:r>
      <w:r w:rsidR="00B145BE">
        <w:rPr>
          <w:rFonts w:asciiTheme="minorHAnsi" w:hAnsiTheme="minorHAnsi" w:hint="eastAsia"/>
          <w:sz w:val="22"/>
          <w:szCs w:val="22"/>
          <w:lang w:val="en-GB"/>
        </w:rPr>
        <w:instrText>→</w:instrText>
      </w:r>
      <w:r w:rsidR="00B145BE">
        <w:rPr>
          <w:rFonts w:asciiTheme="minorHAnsi" w:hAnsiTheme="minorHAnsi" w:hint="eastAsia"/>
          <w:sz w:val="22"/>
          <w:szCs w:val="22"/>
          <w:lang w:val="en-GB"/>
        </w:rPr>
        <w:instrText xml:space="preserve"> B2 as a function of electron concentration, can be understood from a band structure energy analys</w:instrText>
      </w:r>
      <w:r w:rsidR="00B145BE">
        <w:rPr>
          <w:rFonts w:asciiTheme="minorHAnsi" w:hAnsiTheme="minorHAnsi"/>
          <w:sz w:val="22"/>
          <w:szCs w:val="22"/>
          <w:lang w:val="en-GB"/>
        </w:rPr>
        <w:instrText>is. The calculated electronic structure for all the stable phases of both the 3d and 4d TMAl demonstrates a correlation between structural stability and the shape of the density of states due to the strong directional bonding between the sp(Al) and d(TM) orbitals. Finally, the elastic moduli have been computed for all observed ground states of TMAl with new results for ScAl and RhAl (in the B2 structure), YAl and ZrAl (in the B33 structure) and for PdAl (in the B20 structure).","author":[{"dropping-particle":"","family":"Nguyen-Manh","given":"D.","non-dropping-particle":"","parse-names":false,"suffix":""},{"dropping-particle":"","family":"Pettifor","given":"D. G.","non-dropping-particle":"","parse-names":false,"suffix":""}],"container-title":"Intermetallics","id":"ITEM-3","issued":{"date-parts":[["1999"]]},"title":"Electronic structure, phase stability and elastic moduli of AB transition metal aluminides","type":"article-journal"},"uris":["http://www.mendeley.com/documents/?uuid=e8bf4acf-79c3-46ae-82e5-9c340a6f7906"]}],"mendeley":{"formattedCitation":"[22–24]","plainTextFormattedCitation":"[22–24]","previouslyFormattedCitation":"[21–23]"},"properties":{"noteIndex":0},"schema":"https://github.com/citation-style-language/schema/raw/master/csl-citation.json"}</w:instrText>
      </w:r>
      <w:r w:rsidR="00B145BE">
        <w:rPr>
          <w:rFonts w:asciiTheme="minorHAnsi" w:hAnsiTheme="minorHAnsi"/>
          <w:sz w:val="22"/>
          <w:szCs w:val="22"/>
          <w:lang w:val="en-GB"/>
        </w:rPr>
        <w:fldChar w:fldCharType="separate"/>
      </w:r>
      <w:r w:rsidR="00B145BE" w:rsidRPr="005C630B">
        <w:rPr>
          <w:rFonts w:asciiTheme="minorHAnsi" w:hAnsiTheme="minorHAnsi"/>
          <w:noProof/>
          <w:sz w:val="22"/>
          <w:szCs w:val="22"/>
          <w:lang w:val="en-GB"/>
        </w:rPr>
        <w:t>[22–24]</w:t>
      </w:r>
      <w:r w:rsidR="00B145BE">
        <w:rPr>
          <w:rFonts w:asciiTheme="minorHAnsi" w:hAnsiTheme="minorHAnsi"/>
          <w:sz w:val="22"/>
          <w:szCs w:val="22"/>
          <w:lang w:val="en-GB"/>
        </w:rPr>
        <w:fldChar w:fldCharType="end"/>
      </w:r>
      <w:r w:rsidR="00B145BE">
        <w:rPr>
          <w:rFonts w:asciiTheme="minorHAnsi" w:hAnsiTheme="minorHAnsi"/>
          <w:sz w:val="22"/>
          <w:szCs w:val="22"/>
          <w:lang w:val="en-GB"/>
        </w:rPr>
        <w:t xml:space="preserve">. Considering previous work where </w:t>
      </w:r>
      <w:r w:rsidR="00B145BE" w:rsidRPr="00881435">
        <w:rPr>
          <w:rFonts w:asciiTheme="minorHAnsi" w:hAnsiTheme="minorHAnsi"/>
          <w:i/>
          <w:sz w:val="22"/>
          <w:szCs w:val="22"/>
          <w:lang w:val="en-GB"/>
        </w:rPr>
        <w:t>VEC</w:t>
      </w:r>
      <w:r w:rsidR="00B145BE">
        <w:rPr>
          <w:rFonts w:asciiTheme="minorHAnsi" w:hAnsiTheme="minorHAnsi"/>
          <w:sz w:val="22"/>
          <w:szCs w:val="22"/>
          <w:lang w:val="en-GB"/>
        </w:rPr>
        <w:t xml:space="preserve"> was used to predict phase formation in HEAs, utilising both empirical and quantum-mechanics methods, the lat</w:t>
      </w:r>
      <w:r w:rsidR="009E1CED">
        <w:rPr>
          <w:rFonts w:asciiTheme="minorHAnsi" w:hAnsiTheme="minorHAnsi"/>
          <w:sz w:val="22"/>
          <w:szCs w:val="22"/>
          <w:lang w:val="en-GB"/>
        </w:rPr>
        <w:t>t</w:t>
      </w:r>
      <w:r w:rsidR="00B145BE">
        <w:rPr>
          <w:rFonts w:asciiTheme="minorHAnsi" w:hAnsiTheme="minorHAnsi"/>
          <w:sz w:val="22"/>
          <w:szCs w:val="22"/>
          <w:lang w:val="en-GB"/>
        </w:rPr>
        <w:t xml:space="preserve">er showed a higher precision in determining phase formation through the simulation of electronic environment </w:t>
      </w:r>
      <w:r w:rsidR="00B145BE">
        <w:rPr>
          <w:rFonts w:asciiTheme="minorHAnsi" w:hAnsiTheme="minorHAnsi"/>
          <w:sz w:val="22"/>
          <w:szCs w:val="22"/>
          <w:lang w:val="en-GB"/>
        </w:rPr>
        <w:fldChar w:fldCharType="begin" w:fldLock="1"/>
      </w:r>
      <w:r w:rsidR="00B145BE">
        <w:rPr>
          <w:rFonts w:asciiTheme="minorHAnsi" w:hAnsiTheme="minorHAnsi"/>
          <w:sz w:val="22"/>
          <w:szCs w:val="22"/>
          <w:lang w:val="en-GB"/>
        </w:rPr>
        <w:instrText>ADDIN CSL_CITATION {"citationItems":[{"id":"ITEM-1","itemData":{"DOI":"10.1038/srep39803","ISBN":"2045-2322 (Electronic)\r2045-2322 (Linking)","ISSN":"20452322","PMID":"28059106","abstract":"The Effect of Electronic Structure on the Phases Present in High Entropy Alloys","author":[{"dropping-particle":"","family":"Leong","given":"Zhaoyuan","non-dropping-particle":"","parse-names":false,"suffix":""},{"dropping-particle":"","family":"Wróbel","given":"Jan S.","non-dropping-particle":"","parse-names":false,"suffix":""},{"dropping-particle":"","family":"Dudarev","given":"Sergei L.","non-dropping-particle":"","parse-names":false,"suffix":""},{"dropping-particle":"","family":"Goodall","given":"Russell","non-dropping-particle":"","parse-names":false,"suffix":""},{"dropping-particle":"","family":"Todd","given":"Iain","non-dropping-particle":"","parse-names":false,"suffix":""},{"dropping-particle":"","family":"Nguyen-Manh","given":"Duc","non-dropping-particle":"","parse-names":false,"suffix":""}],"container-title":"Scientific Reports","id":"ITEM-1","issued":{"date-parts":[["2017"]]},"title":"The Effect of Electronic Structure on the Phases Present in High Entropy Alloys","type":"article-journal"},"uris":["http://www.mendeley.com/documents/?uuid=9a74995c-5cfe-4fc6-b1cb-6438ea951f18"]}],"mendeley":{"formattedCitation":"[25]","plainTextFormattedCitation":"[25]","previouslyFormattedCitation":"[24]"},"properties":{"noteIndex":0},"schema":"https://github.com/citation-style-language/schema/raw/master/csl-citation.json"}</w:instrText>
      </w:r>
      <w:r w:rsidR="00B145BE">
        <w:rPr>
          <w:rFonts w:asciiTheme="minorHAnsi" w:hAnsiTheme="minorHAnsi"/>
          <w:sz w:val="22"/>
          <w:szCs w:val="22"/>
          <w:lang w:val="en-GB"/>
        </w:rPr>
        <w:fldChar w:fldCharType="separate"/>
      </w:r>
      <w:r w:rsidR="00B145BE" w:rsidRPr="005C630B">
        <w:rPr>
          <w:rFonts w:asciiTheme="minorHAnsi" w:hAnsiTheme="minorHAnsi"/>
          <w:noProof/>
          <w:sz w:val="22"/>
          <w:szCs w:val="22"/>
          <w:lang w:val="en-GB"/>
        </w:rPr>
        <w:t>[25]</w:t>
      </w:r>
      <w:r w:rsidR="00B145BE">
        <w:rPr>
          <w:rFonts w:asciiTheme="minorHAnsi" w:hAnsiTheme="minorHAnsi"/>
          <w:sz w:val="22"/>
          <w:szCs w:val="22"/>
          <w:lang w:val="en-GB"/>
        </w:rPr>
        <w:fldChar w:fldCharType="end"/>
      </w:r>
      <w:r w:rsidR="00B145BE">
        <w:rPr>
          <w:rFonts w:asciiTheme="minorHAnsi" w:hAnsiTheme="minorHAnsi"/>
          <w:sz w:val="22"/>
          <w:szCs w:val="22"/>
          <w:lang w:val="en-GB"/>
        </w:rPr>
        <w:t>. Accordingly, b</w:t>
      </w:r>
      <w:r w:rsidR="00B145BE" w:rsidRPr="00D80AF7">
        <w:rPr>
          <w:rFonts w:asciiTheme="minorHAnsi" w:hAnsiTheme="minorHAnsi"/>
          <w:sz w:val="22"/>
          <w:szCs w:val="22"/>
          <w:lang w:val="en-GB"/>
        </w:rPr>
        <w:t>oth classical mixing enthalpy</w:t>
      </w:r>
      <w:r w:rsidR="00B145BE">
        <w:rPr>
          <w:rFonts w:asciiTheme="minorHAnsi" w:hAnsiTheme="minorHAnsi"/>
          <w:sz w:val="22"/>
          <w:szCs w:val="22"/>
          <w:lang w:val="en-GB"/>
        </w:rPr>
        <w:t xml:space="preserve"> derived from the Miedema model </w:t>
      </w:r>
      <w:r w:rsidR="00B145BE">
        <w:rPr>
          <w:rFonts w:asciiTheme="minorHAnsi" w:hAnsiTheme="minorHAnsi"/>
          <w:sz w:val="22"/>
          <w:szCs w:val="22"/>
          <w:lang w:val="en-GB"/>
        </w:rPr>
        <w:fldChar w:fldCharType="begin" w:fldLock="1"/>
      </w:r>
      <w:r w:rsidR="00B145BE">
        <w:rPr>
          <w:rFonts w:asciiTheme="minorHAnsi" w:hAnsiTheme="minorHAnsi"/>
          <w:sz w:val="22"/>
          <w:szCs w:val="22"/>
          <w:lang w:val="en-GB"/>
        </w:rPr>
        <w:instrText>ADDIN CSL_CITATION {"citationItems":[{"id":"ITEM-1","itemData":{"DOI":"10.2320/matertrans.46.2817","ISSN":"1345-9678","abstract":"Bulk metallic glasses (BMGs) have been classified according to the atomic size difference, heat of mixing (ΔHmix) and period of the constituent elements in the periodic table. The BMGs discovered to date are classified into seven groups on the basis of a previous result by Inoue. The seven groups are as follows: (G-I) ETM/Ln-LTM/BM-Al/Ga, (G-II) ETM/Ln-LTM/BM-Metalloid, (G-III) Al/Ga-LTM/BM-Metalloid, (G-IV) IIA-ETM/Ln-LTM/BM, (G-V) LTM/BM-Metalloid, (G-VI) ETM/Ln-LTM/BM and (G-VII) IIA-LTM/BM, where ETM, Ln, LTM, BM and IIA refer to early transition, lanthanide, late transition, group IIIB-IVB and group IIA-group metals, respectively. The main alloying element of ternary G-I, G-V and G-VII, ternary G-II and G-IV, and ternary G-VI BMGs is the largest, intermediate and smallest atomic radius compared to the other alloying elements, respectively. The main alloying element of ternary BMGs belonging to G-I, G-V, G-VI and G-VII is an element in the atomic pair with the largest and negative value of ΔH mix (ΔHL.N. mix), while the main element of ternary BMGs belonging to G-II and G-IV is independent of the atomic pair with ΔHL.N. mix. The characteristics of the main element derived for the ternary BMGs are directly applicable to multicomponent BMGs belonging to G-I, G-II, G-IV (Mg-based BMGs), G-V and G-VII. The main element can be the larger-sized element in the atomic pair with ΔH L.N. mix or in the same group as the other elements for multicomponent BMGs belonging to G-III, G-IV (Be-containing Zr-based BMG) and G-VI. The main element of BMGs belonging to G-VI tends to change from the element with the smallest atomic radius in a ternary system to an element with a relatively large atomic size in a multicomponent system. The change is due to an increase in glass-forming ability through multicomponent alloying of BMGs belonging to G-VI. The results of the classification of BMGs obtained in the present study are important for further development of BMGs, with the results providing a road map for the development of new BMG compositions. © 2005 The Japan Institute of Metals.","author":[{"dropping-particle":"","family":"Takeuchi","given":"Akira","non-dropping-particle":"","parse-names":false,"suffix":""},{"dropping-particle":"","family":"Inoue","given":"Akihisa","non-dropping-particle":"","parse-names":false,"suffix":""}],"container-title":"MATERIALS TRANSACTIONS","id":"ITEM-1","issued":{"date-parts":[["2006"]]},"title":"Classification of Bulk Metallic Glasses by Atomic Size Difference, Heat of Mixing and Period of Constituent Elements and Its Application to Characterization of the Main Alloying Element","type":"article-journal"},"uris":["http://www.mendeley.com/documents/?uuid=128a42d8-66ff-4f53-834f-9334b0dd9873"]}],"mendeley":{"formattedCitation":"[26]","plainTextFormattedCitation":"[26]","previouslyFormattedCitation":"[25]"},"properties":{"noteIndex":0},"schema":"https://github.com/citation-style-language/schema/raw/master/csl-citation.json"}</w:instrText>
      </w:r>
      <w:r w:rsidR="00B145BE">
        <w:rPr>
          <w:rFonts w:asciiTheme="minorHAnsi" w:hAnsiTheme="minorHAnsi"/>
          <w:sz w:val="22"/>
          <w:szCs w:val="22"/>
          <w:lang w:val="en-GB"/>
        </w:rPr>
        <w:fldChar w:fldCharType="separate"/>
      </w:r>
      <w:r w:rsidR="00B145BE" w:rsidRPr="005C630B">
        <w:rPr>
          <w:rFonts w:asciiTheme="minorHAnsi" w:hAnsiTheme="minorHAnsi"/>
          <w:noProof/>
          <w:sz w:val="22"/>
          <w:szCs w:val="22"/>
          <w:lang w:val="en-GB"/>
        </w:rPr>
        <w:t>[26]</w:t>
      </w:r>
      <w:r w:rsidR="00B145BE">
        <w:rPr>
          <w:rFonts w:asciiTheme="minorHAnsi" w:hAnsiTheme="minorHAnsi"/>
          <w:sz w:val="22"/>
          <w:szCs w:val="22"/>
          <w:lang w:val="en-GB"/>
        </w:rPr>
        <w:fldChar w:fldCharType="end"/>
      </w:r>
      <w:r w:rsidR="00B145BE" w:rsidRPr="00D80AF7">
        <w:rPr>
          <w:rFonts w:asciiTheme="minorHAnsi" w:hAnsiTheme="minorHAnsi"/>
          <w:sz w:val="22"/>
          <w:szCs w:val="22"/>
          <w:lang w:val="en-GB"/>
        </w:rPr>
        <w:t xml:space="preserve"> and </w:t>
      </w:r>
      <w:r w:rsidR="00B145BE" w:rsidRPr="00D80AF7">
        <w:rPr>
          <w:rFonts w:asciiTheme="minorHAnsi" w:hAnsiTheme="minorHAnsi"/>
          <w:i/>
          <w:sz w:val="22"/>
          <w:szCs w:val="22"/>
          <w:lang w:val="en-GB"/>
        </w:rPr>
        <w:t>ab</w:t>
      </w:r>
      <w:r w:rsidR="00B145BE">
        <w:rPr>
          <w:rFonts w:asciiTheme="minorHAnsi" w:hAnsiTheme="minorHAnsi"/>
          <w:i/>
          <w:sz w:val="22"/>
          <w:szCs w:val="22"/>
          <w:lang w:val="en-GB"/>
        </w:rPr>
        <w:t xml:space="preserve"> </w:t>
      </w:r>
      <w:r w:rsidR="00B145BE" w:rsidRPr="00D80AF7">
        <w:rPr>
          <w:rFonts w:asciiTheme="minorHAnsi" w:hAnsiTheme="minorHAnsi"/>
          <w:i/>
          <w:sz w:val="22"/>
          <w:szCs w:val="22"/>
          <w:lang w:val="en-GB"/>
        </w:rPr>
        <w:t>initio</w:t>
      </w:r>
      <w:r w:rsidR="00B145BE" w:rsidRPr="00D80AF7">
        <w:rPr>
          <w:rFonts w:asciiTheme="minorHAnsi" w:hAnsiTheme="minorHAnsi"/>
          <w:sz w:val="22"/>
          <w:szCs w:val="22"/>
          <w:lang w:val="en-GB"/>
        </w:rPr>
        <w:t xml:space="preserve"> formation enthalpy dataset</w:t>
      </w:r>
      <w:r w:rsidR="00B145BE">
        <w:rPr>
          <w:rFonts w:asciiTheme="minorHAnsi" w:hAnsiTheme="minorHAnsi"/>
          <w:sz w:val="22"/>
          <w:szCs w:val="22"/>
          <w:lang w:val="en-GB"/>
        </w:rPr>
        <w:t xml:space="preserve"> </w:t>
      </w:r>
      <w:r w:rsidR="00B145BE">
        <w:rPr>
          <w:rFonts w:asciiTheme="minorHAnsi" w:hAnsiTheme="minorHAnsi"/>
          <w:sz w:val="22"/>
          <w:szCs w:val="22"/>
          <w:lang w:val="en-GB"/>
        </w:rPr>
        <w:fldChar w:fldCharType="begin" w:fldLock="1"/>
      </w:r>
      <w:r w:rsidR="00B145BE">
        <w:rPr>
          <w:rFonts w:asciiTheme="minorHAnsi" w:hAnsiTheme="minorHAnsi"/>
          <w:sz w:val="22"/>
          <w:szCs w:val="22"/>
          <w:lang w:val="en-GB"/>
        </w:rPr>
        <w:instrText>ADDIN CSL_CITATION {"citationItems":[{"id":"ITEM-1","itemData":{"DOI":"10.1103/PhysRevX.5.011041","ISBN":"2166-3831","ISSN":"21603308","PMID":"26415623","abstract":"High-entropy alloys constitute a new class of materials whose very existence poses fundamental questions regarding the physical principles underlying their unusual phase stability. Originally thought to be stabilized by the large entropy of mixing associated with their large number of components (five or more), these alloys have attracted attention for their potential applications. Yet, no model capable of robustly predicting which combinations of elements will form a single phase currently exists. Here, we propose a model that, through the use of high-throughput computation of the enthalpies of formation of binary compounds, predicts specific combinations of elements most likely to form single-phase, highentropy alloys. The model correctly identifies all known single-phase alloys while rejecting similar elemental combinations that are known to form an alloy comprising multiple phases. In addition, we predict numerous potential single-phase alloy compositions and provide three tables with the ten most likely five-, six-, and seven-component single-phase alloys to guide experimental searches.","author":[{"dropping-particle":"","family":"Troparevsky","given":"M. Claudia","non-dropping-particle":"","parse-names":false,"suffix":""},{"dropping-particle":"","family":"Morris","given":"James R.","non-dropping-particle":"","parse-names":false,"suffix":""},{"dropping-particle":"","family":"Kent","given":"Paul R.C.","non-dropping-particle":"","parse-names":false,"suffix":""},{"dropping-particle":"","family":"Lupini","given":"Andrew R.","non-dropping-particle":"","parse-names":false,"suffix":""},{"dropping-particle":"","family":"Stocks","given":"G. Malcolm","non-dropping-particle":"","parse-names":false,"suffix":""}],"container-title":"Physical Review X","id":"ITEM-1","issued":{"date-parts":[["2015"]]},"title":"Criteria for predicting the formation of single-phase high-entropy alloys","type":"article-journal"},"uris":["http://www.mendeley.com/documents/?uuid=be3ecf1c-f694-4665-bdb9-4e77d8166e6c"]}],"mendeley":{"formattedCitation":"[27]","plainTextFormattedCitation":"[27]","previouslyFormattedCitation":"[26]"},"properties":{"noteIndex":0},"schema":"https://github.com/citation-style-language/schema/raw/master/csl-citation.json"}</w:instrText>
      </w:r>
      <w:r w:rsidR="00B145BE">
        <w:rPr>
          <w:rFonts w:asciiTheme="minorHAnsi" w:hAnsiTheme="minorHAnsi"/>
          <w:sz w:val="22"/>
          <w:szCs w:val="22"/>
          <w:lang w:val="en-GB"/>
        </w:rPr>
        <w:fldChar w:fldCharType="separate"/>
      </w:r>
      <w:r w:rsidR="00B145BE" w:rsidRPr="005C630B">
        <w:rPr>
          <w:rFonts w:asciiTheme="minorHAnsi" w:hAnsiTheme="minorHAnsi"/>
          <w:noProof/>
          <w:sz w:val="22"/>
          <w:szCs w:val="22"/>
          <w:lang w:val="en-GB"/>
        </w:rPr>
        <w:t>[27]</w:t>
      </w:r>
      <w:r w:rsidR="00B145BE">
        <w:rPr>
          <w:rFonts w:asciiTheme="minorHAnsi" w:hAnsiTheme="minorHAnsi"/>
          <w:sz w:val="22"/>
          <w:szCs w:val="22"/>
          <w:lang w:val="en-GB"/>
        </w:rPr>
        <w:fldChar w:fldCharType="end"/>
      </w:r>
      <w:r w:rsidR="00B145BE" w:rsidRPr="00D80AF7">
        <w:rPr>
          <w:rFonts w:asciiTheme="minorHAnsi" w:hAnsiTheme="minorHAnsi"/>
          <w:sz w:val="22"/>
          <w:szCs w:val="22"/>
          <w:lang w:val="en-GB"/>
        </w:rPr>
        <w:t xml:space="preserve"> were substitute</w:t>
      </w:r>
      <w:r w:rsidR="009E1CED">
        <w:rPr>
          <w:rFonts w:asciiTheme="minorHAnsi" w:hAnsiTheme="minorHAnsi"/>
          <w:sz w:val="22"/>
          <w:szCs w:val="22"/>
          <w:lang w:val="en-GB"/>
        </w:rPr>
        <w:t>d</w:t>
      </w:r>
      <w:r w:rsidR="00B145BE" w:rsidRPr="00D80AF7">
        <w:rPr>
          <w:rFonts w:asciiTheme="minorHAnsi" w:hAnsiTheme="minorHAnsi"/>
          <w:sz w:val="22"/>
          <w:szCs w:val="22"/>
          <w:lang w:val="en-GB"/>
        </w:rPr>
        <w:t xml:space="preserve"> into </w:t>
      </w:r>
      <w:r w:rsidR="00B145BE" w:rsidRPr="00284BE3">
        <w:rPr>
          <w:rFonts w:asciiTheme="minorHAnsi" w:hAnsiTheme="minorHAnsi"/>
          <w:i/>
          <w:sz w:val="22"/>
          <w:szCs w:val="22"/>
          <w:lang w:val="en-GB"/>
        </w:rPr>
        <w:t>eq</w:t>
      </w:r>
      <w:r w:rsidR="00B145BE" w:rsidRPr="00D80AF7">
        <w:rPr>
          <w:rFonts w:asciiTheme="minorHAnsi" w:hAnsiTheme="minorHAnsi"/>
          <w:sz w:val="22"/>
          <w:szCs w:val="22"/>
          <w:lang w:val="en-GB"/>
        </w:rPr>
        <w:t>.</w:t>
      </w:r>
      <w:r w:rsidR="00B145BE">
        <w:rPr>
          <w:rFonts w:asciiTheme="minorHAnsi" w:hAnsiTheme="minorHAnsi"/>
          <w:sz w:val="22"/>
          <w:szCs w:val="22"/>
          <w:lang w:val="en-GB"/>
        </w:rPr>
        <w:t xml:space="preserve"> </w:t>
      </w:r>
      <w:r w:rsidR="00B145BE" w:rsidRPr="00D80AF7">
        <w:rPr>
          <w:rFonts w:asciiTheme="minorHAnsi" w:hAnsiTheme="minorHAnsi"/>
          <w:sz w:val="22"/>
          <w:szCs w:val="22"/>
          <w:lang w:val="en-GB"/>
        </w:rPr>
        <w:t xml:space="preserve">1 to </w:t>
      </w:r>
      <w:r w:rsidR="00B145BE">
        <w:rPr>
          <w:rFonts w:asciiTheme="minorHAnsi" w:hAnsiTheme="minorHAnsi"/>
          <w:sz w:val="22"/>
          <w:szCs w:val="22"/>
          <w:lang w:val="en-GB"/>
        </w:rPr>
        <w:t xml:space="preserve">compare </w:t>
      </w:r>
      <w:r w:rsidR="00B145BE">
        <w:rPr>
          <w:rFonts w:asciiTheme="minorHAnsi" w:hAnsiTheme="minorHAnsi"/>
          <w:noProof/>
          <w:sz w:val="22"/>
          <w:szCs w:val="22"/>
          <w:lang w:val="en-GB"/>
        </w:rPr>
        <w:t>the</w:t>
      </w:r>
      <w:r w:rsidR="00B145BE" w:rsidRPr="00D80AF7">
        <w:rPr>
          <w:rFonts w:asciiTheme="minorHAnsi" w:hAnsiTheme="minorHAnsi"/>
          <w:sz w:val="22"/>
          <w:szCs w:val="22"/>
          <w:lang w:val="en-GB"/>
        </w:rPr>
        <w:t xml:space="preserve"> classical Miedema model and high throughput first principal</w:t>
      </w:r>
      <w:r w:rsidR="00B145BE">
        <w:rPr>
          <w:rFonts w:asciiTheme="minorHAnsi" w:hAnsiTheme="minorHAnsi"/>
          <w:sz w:val="22"/>
          <w:szCs w:val="22"/>
          <w:lang w:val="en-GB"/>
        </w:rPr>
        <w:t>s</w:t>
      </w:r>
      <w:r w:rsidR="00B145BE" w:rsidRPr="00D80AF7">
        <w:rPr>
          <w:rFonts w:asciiTheme="minorHAnsi" w:hAnsiTheme="minorHAnsi"/>
          <w:sz w:val="22"/>
          <w:szCs w:val="22"/>
          <w:lang w:val="en-GB"/>
        </w:rPr>
        <w:t xml:space="preserve"> method in predicting </w:t>
      </w:r>
      <w:r w:rsidR="00B145BE">
        <w:rPr>
          <w:rFonts w:asciiTheme="minorHAnsi" w:hAnsiTheme="minorHAnsi"/>
          <w:sz w:val="22"/>
          <w:szCs w:val="22"/>
          <w:lang w:val="en-GB"/>
        </w:rPr>
        <w:t xml:space="preserve">the </w:t>
      </w:r>
      <w:r w:rsidR="00B145BE" w:rsidRPr="00D80AF7">
        <w:rPr>
          <w:rFonts w:asciiTheme="minorHAnsi" w:hAnsiTheme="minorHAnsi"/>
          <w:sz w:val="22"/>
          <w:szCs w:val="22"/>
          <w:lang w:val="en-GB"/>
        </w:rPr>
        <w:t>ele</w:t>
      </w:r>
      <w:r w:rsidR="00B145BE" w:rsidRPr="00D80AF7">
        <w:rPr>
          <w:rFonts w:asciiTheme="minorHAnsi" w:hAnsiTheme="minorHAnsi"/>
          <w:noProof/>
          <w:sz w:val="22"/>
          <w:szCs w:val="22"/>
          <w:lang w:val="en-GB"/>
        </w:rPr>
        <w:t>ctronic en</w:t>
      </w:r>
      <w:r w:rsidR="00B145BE" w:rsidRPr="00D80AF7">
        <w:rPr>
          <w:rFonts w:asciiTheme="minorHAnsi" w:hAnsiTheme="minorHAnsi"/>
          <w:sz w:val="22"/>
          <w:szCs w:val="22"/>
          <w:lang w:val="en-GB"/>
        </w:rPr>
        <w:t xml:space="preserve">vironment of potential HEAs systems. In </w:t>
      </w:r>
      <w:r w:rsidR="00B145BE">
        <w:rPr>
          <w:rFonts w:asciiTheme="minorHAnsi" w:hAnsiTheme="minorHAnsi"/>
          <w:sz w:val="22"/>
          <w:szCs w:val="22"/>
          <w:lang w:val="en-GB"/>
        </w:rPr>
        <w:t>F</w:t>
      </w:r>
      <w:r w:rsidR="00B145BE" w:rsidRPr="00D80AF7">
        <w:rPr>
          <w:rFonts w:asciiTheme="minorHAnsi" w:hAnsiTheme="minorHAnsi"/>
          <w:sz w:val="22"/>
          <w:szCs w:val="22"/>
          <w:lang w:val="en-GB"/>
        </w:rPr>
        <w:t>ig.</w:t>
      </w:r>
      <w:r w:rsidR="00B145BE">
        <w:rPr>
          <w:rFonts w:asciiTheme="minorHAnsi" w:hAnsiTheme="minorHAnsi"/>
          <w:sz w:val="22"/>
          <w:szCs w:val="22"/>
          <w:lang w:val="en-GB"/>
        </w:rPr>
        <w:t xml:space="preserve"> 4-</w:t>
      </w:r>
      <w:r w:rsidR="00B145BE" w:rsidRPr="00D80AF7">
        <w:rPr>
          <w:rFonts w:asciiTheme="minorHAnsi" w:hAnsiTheme="minorHAnsi"/>
          <w:sz w:val="22"/>
          <w:szCs w:val="22"/>
          <w:lang w:val="en-GB"/>
        </w:rPr>
        <w:t>1</w:t>
      </w:r>
      <w:r w:rsidR="00B145BE">
        <w:rPr>
          <w:rFonts w:asciiTheme="minorHAnsi" w:hAnsiTheme="minorHAnsi"/>
          <w:sz w:val="22"/>
          <w:szCs w:val="22"/>
          <w:lang w:val="en-GB"/>
        </w:rPr>
        <w:t>(a-b),</w:t>
      </w:r>
      <w:r w:rsidR="00B145BE" w:rsidRPr="00D80AF7">
        <w:rPr>
          <w:rFonts w:asciiTheme="minorHAnsi" w:hAnsiTheme="minorHAnsi"/>
          <w:sz w:val="22"/>
          <w:szCs w:val="22"/>
          <w:lang w:val="en-GB"/>
        </w:rPr>
        <w:t xml:space="preserve"> </w:t>
      </w:r>
      <w:r w:rsidR="00B145BE">
        <w:rPr>
          <w:rFonts w:asciiTheme="minorHAnsi" w:hAnsiTheme="minorHAnsi"/>
          <w:sz w:val="22"/>
          <w:szCs w:val="22"/>
          <w:lang w:val="en-GB"/>
        </w:rPr>
        <w:t xml:space="preserve">the biplots of </w:t>
      </w:r>
      <w:r w:rsidR="00B145BE" w:rsidRPr="00D80AF7">
        <w:rPr>
          <w:rFonts w:asciiTheme="minorHAnsi" w:hAnsiTheme="minorHAnsi"/>
          <w:sz w:val="22"/>
          <w:szCs w:val="22"/>
          <w:lang w:val="en-GB"/>
        </w:rPr>
        <w:t>mixing</w:t>
      </w:r>
      <w:r w:rsidR="00B145BE">
        <w:rPr>
          <w:rFonts w:asciiTheme="minorHAnsi" w:hAnsiTheme="minorHAnsi"/>
          <w:sz w:val="22"/>
          <w:szCs w:val="22"/>
          <w:lang w:val="en-GB"/>
        </w:rPr>
        <w:t xml:space="preserve"> enthalpy</w:t>
      </w:r>
      <w:r w:rsidR="00B145BE" w:rsidRPr="00D80AF7">
        <w:rPr>
          <w:rFonts w:asciiTheme="minorHAnsi" w:hAnsiTheme="minorHAnsi"/>
          <w:sz w:val="22"/>
          <w:szCs w:val="22"/>
          <w:lang w:val="en-GB"/>
        </w:rPr>
        <w:t xml:space="preserve"> deviation</w:t>
      </w:r>
      <w:r w:rsidR="00B145BE">
        <w:rPr>
          <w:rFonts w:asciiTheme="minorHAnsi" w:hAnsiTheme="minorHAnsi"/>
          <w:sz w:val="22"/>
          <w:szCs w:val="22"/>
          <w:lang w:val="en-GB"/>
        </w:rPr>
        <w:t xml:space="preserve"> (</w:t>
      </w:r>
      <m:oMath>
        <m:sSub>
          <m:sSubPr>
            <m:ctrlPr>
              <w:rPr>
                <w:rFonts w:ascii="Cambria Math" w:hAnsi="Cambria Math" w:cstheme="minorHAnsi"/>
                <w:i/>
                <w:sz w:val="20"/>
                <w:szCs w:val="20"/>
                <w:lang w:val="en-GB"/>
              </w:rPr>
            </m:ctrlPr>
          </m:sSubPr>
          <m:e>
            <m:r>
              <w:rPr>
                <w:rFonts w:ascii="Cambria Math" w:hAnsi="Cambria Math" w:cstheme="minorHAnsi"/>
                <w:sz w:val="20"/>
                <w:szCs w:val="20"/>
                <w:lang w:val="en-GB"/>
              </w:rPr>
              <m:t>σ</m:t>
            </m:r>
          </m:e>
          <m:sub>
            <m:r>
              <w:rPr>
                <w:rFonts w:ascii="Cambria Math" w:hAnsi="Cambria Math" w:cstheme="minorHAnsi"/>
                <w:sz w:val="20"/>
                <w:szCs w:val="20"/>
                <w:lang w:val="en-GB"/>
              </w:rPr>
              <m:t>∆</m:t>
            </m:r>
            <m:sSub>
              <m:sSubPr>
                <m:ctrlPr>
                  <w:rPr>
                    <w:rFonts w:ascii="Cambria Math" w:hAnsi="Cambria Math" w:cstheme="minorHAnsi"/>
                    <w:i/>
                    <w:sz w:val="20"/>
                    <w:szCs w:val="20"/>
                    <w:lang w:val="en-GB"/>
                  </w:rPr>
                </m:ctrlPr>
              </m:sSubPr>
              <m:e>
                <m:r>
                  <w:rPr>
                    <w:rFonts w:ascii="Cambria Math" w:hAnsi="Cambria Math" w:cstheme="minorHAnsi"/>
                    <w:sz w:val="20"/>
                    <w:szCs w:val="20"/>
                    <w:lang w:val="en-GB"/>
                  </w:rPr>
                  <m:t>H</m:t>
                </m:r>
              </m:e>
              <m:sub>
                <m:r>
                  <w:rPr>
                    <w:rFonts w:ascii="Cambria Math" w:hAnsi="Cambria Math" w:cstheme="minorHAnsi"/>
                    <w:sz w:val="20"/>
                    <w:szCs w:val="20"/>
                    <w:lang w:val="en-GB"/>
                  </w:rPr>
                  <m:t>mixing</m:t>
                </m:r>
              </m:sub>
            </m:sSub>
          </m:sub>
        </m:sSub>
      </m:oMath>
      <w:r w:rsidR="00B145BE">
        <w:rPr>
          <w:rFonts w:asciiTheme="minorHAnsi" w:hAnsiTheme="minorHAnsi"/>
          <w:sz w:val="22"/>
          <w:szCs w:val="22"/>
          <w:lang w:val="en-GB"/>
        </w:rPr>
        <w:t>) and formation enthalpy deviation (</w:t>
      </w:r>
      <m:oMath>
        <m:sSub>
          <m:sSubPr>
            <m:ctrlPr>
              <w:rPr>
                <w:rFonts w:ascii="Cambria Math" w:hAnsi="Cambria Math" w:cstheme="minorHAnsi"/>
                <w:i/>
                <w:sz w:val="20"/>
                <w:szCs w:val="20"/>
                <w:lang w:val="en-GB"/>
              </w:rPr>
            </m:ctrlPr>
          </m:sSubPr>
          <m:e>
            <m:r>
              <w:rPr>
                <w:rFonts w:ascii="Cambria Math" w:hAnsi="Cambria Math" w:cstheme="minorHAnsi"/>
                <w:sz w:val="20"/>
                <w:szCs w:val="20"/>
                <w:lang w:val="en-GB"/>
              </w:rPr>
              <m:t>σ</m:t>
            </m:r>
          </m:e>
          <m:sub>
            <m:r>
              <w:rPr>
                <w:rFonts w:ascii="Cambria Math" w:hAnsi="Cambria Math" w:cstheme="minorHAnsi"/>
                <w:sz w:val="20"/>
                <w:szCs w:val="20"/>
                <w:lang w:val="en-GB"/>
              </w:rPr>
              <m:t>∆</m:t>
            </m:r>
            <m:sSub>
              <m:sSubPr>
                <m:ctrlPr>
                  <w:rPr>
                    <w:rFonts w:ascii="Cambria Math" w:hAnsi="Cambria Math" w:cstheme="minorHAnsi"/>
                    <w:i/>
                    <w:sz w:val="20"/>
                    <w:szCs w:val="20"/>
                    <w:lang w:val="en-GB"/>
                  </w:rPr>
                </m:ctrlPr>
              </m:sSubPr>
              <m:e>
                <m:r>
                  <w:rPr>
                    <w:rFonts w:ascii="Cambria Math" w:hAnsi="Cambria Math" w:cstheme="minorHAnsi"/>
                    <w:sz w:val="20"/>
                    <w:szCs w:val="20"/>
                    <w:lang w:val="en-GB"/>
                  </w:rPr>
                  <m:t>H</m:t>
                </m:r>
              </m:e>
              <m:sub>
                <m:r>
                  <w:rPr>
                    <w:rFonts w:ascii="Cambria Math" w:hAnsi="Cambria Math" w:cstheme="minorHAnsi"/>
                    <w:sz w:val="20"/>
                    <w:szCs w:val="20"/>
                    <w:lang w:val="en-GB"/>
                  </w:rPr>
                  <m:t>formation</m:t>
                </m:r>
              </m:sub>
            </m:sSub>
          </m:sub>
        </m:sSub>
      </m:oMath>
      <w:r w:rsidR="00B145BE">
        <w:rPr>
          <w:rFonts w:asciiTheme="minorHAnsi" w:hAnsiTheme="minorHAnsi"/>
          <w:sz w:val="22"/>
          <w:szCs w:val="22"/>
          <w:lang w:val="en-GB"/>
        </w:rPr>
        <w:t>)</w:t>
      </w:r>
      <w:r w:rsidR="00B145BE" w:rsidRPr="00D80AF7">
        <w:rPr>
          <w:rFonts w:asciiTheme="minorHAnsi" w:hAnsiTheme="minorHAnsi"/>
          <w:sz w:val="22"/>
          <w:szCs w:val="22"/>
          <w:lang w:val="en-GB"/>
        </w:rPr>
        <w:t xml:space="preserve"> against </w:t>
      </w:r>
      <w:r w:rsidR="00B145BE" w:rsidRPr="00D66B74">
        <w:rPr>
          <w:rFonts w:asciiTheme="minorHAnsi" w:hAnsiTheme="minorHAnsi"/>
          <w:i/>
          <w:sz w:val="22"/>
          <w:szCs w:val="22"/>
          <w:lang w:val="en-GB"/>
        </w:rPr>
        <w:t>VEC</w:t>
      </w:r>
      <w:r w:rsidR="00B145BE" w:rsidRPr="00D80AF7">
        <w:rPr>
          <w:rFonts w:asciiTheme="minorHAnsi" w:hAnsiTheme="minorHAnsi"/>
          <w:sz w:val="22"/>
          <w:szCs w:val="22"/>
          <w:lang w:val="en-GB"/>
        </w:rPr>
        <w:t xml:space="preserve"> were </w:t>
      </w:r>
      <w:r w:rsidR="00B145BE">
        <w:rPr>
          <w:rFonts w:asciiTheme="minorHAnsi" w:hAnsiTheme="minorHAnsi"/>
          <w:sz w:val="22"/>
          <w:szCs w:val="22"/>
          <w:lang w:val="en-GB"/>
        </w:rPr>
        <w:t>constructed</w:t>
      </w:r>
      <w:r w:rsidR="00B145BE" w:rsidRPr="00D80AF7">
        <w:rPr>
          <w:rFonts w:asciiTheme="minorHAnsi" w:hAnsiTheme="minorHAnsi"/>
          <w:sz w:val="22"/>
          <w:szCs w:val="22"/>
          <w:lang w:val="en-GB"/>
        </w:rPr>
        <w:t xml:space="preserve"> to clarify the phase formation of 65 reported equal-atomic HEAs. </w:t>
      </w:r>
      <w:r w:rsidR="00B145BE">
        <w:rPr>
          <w:rFonts w:asciiTheme="minorHAnsi" w:hAnsiTheme="minorHAnsi"/>
          <w:sz w:val="22"/>
          <w:szCs w:val="22"/>
          <w:lang w:val="en-GB"/>
        </w:rPr>
        <w:t>It is evident that</w:t>
      </w:r>
      <w:r w:rsidR="00B145BE" w:rsidRPr="00D80AF7">
        <w:rPr>
          <w:rFonts w:asciiTheme="minorHAnsi" w:hAnsiTheme="minorHAnsi"/>
          <w:noProof/>
          <w:sz w:val="22"/>
          <w:szCs w:val="22"/>
          <w:lang w:val="en-GB"/>
        </w:rPr>
        <w:t xml:space="preserve"> th</w:t>
      </w:r>
      <w:r w:rsidR="00B145BE" w:rsidRPr="00D80AF7">
        <w:rPr>
          <w:rFonts w:asciiTheme="minorHAnsi" w:hAnsiTheme="minorHAnsi"/>
          <w:sz w:val="22"/>
          <w:szCs w:val="22"/>
          <w:lang w:val="en-GB"/>
        </w:rPr>
        <w:t xml:space="preserve">e simple solid solution BCC phase of </w:t>
      </w:r>
      <w:r w:rsidR="00B145BE">
        <w:rPr>
          <w:rFonts w:asciiTheme="minorHAnsi" w:hAnsiTheme="minorHAnsi"/>
          <w:sz w:val="22"/>
          <w:szCs w:val="22"/>
          <w:lang w:val="en-GB"/>
        </w:rPr>
        <w:t>RHEAs</w:t>
      </w:r>
      <w:r w:rsidR="00B145BE" w:rsidRPr="00D80AF7">
        <w:rPr>
          <w:rFonts w:asciiTheme="minorHAnsi" w:hAnsiTheme="minorHAnsi"/>
          <w:sz w:val="22"/>
          <w:szCs w:val="22"/>
          <w:lang w:val="en-GB"/>
        </w:rPr>
        <w:t xml:space="preserve"> is concentrated </w:t>
      </w:r>
      <w:r w:rsidR="00B145BE">
        <w:rPr>
          <w:rFonts w:asciiTheme="minorHAnsi" w:hAnsiTheme="minorHAnsi"/>
          <w:sz w:val="22"/>
          <w:szCs w:val="22"/>
          <w:lang w:val="en-GB"/>
        </w:rPr>
        <w:t>at the</w:t>
      </w:r>
      <w:r w:rsidR="00B145BE" w:rsidRPr="00D80AF7">
        <w:rPr>
          <w:rFonts w:asciiTheme="minorHAnsi" w:hAnsiTheme="minorHAnsi"/>
          <w:sz w:val="22"/>
          <w:szCs w:val="22"/>
          <w:lang w:val="en-GB"/>
        </w:rPr>
        <w:t xml:space="preserve"> low enthalpy deviation zone between 4</w:t>
      </w:r>
      <w:r w:rsidR="00B145BE">
        <w:rPr>
          <w:rFonts w:asciiTheme="minorHAnsi" w:hAnsiTheme="minorHAnsi"/>
          <w:sz w:val="22"/>
          <w:szCs w:val="22"/>
          <w:lang w:val="en-GB"/>
        </w:rPr>
        <w:t xml:space="preserve"> </w:t>
      </w:r>
      <w:r w:rsidR="00B145BE" w:rsidRPr="00D80AF7">
        <w:rPr>
          <w:rFonts w:asciiTheme="minorHAnsi" w:hAnsiTheme="minorHAnsi"/>
          <w:sz w:val="22"/>
          <w:szCs w:val="22"/>
          <w:lang w:val="en-GB"/>
        </w:rPr>
        <w:t>&lt;</w:t>
      </w:r>
      <w:r w:rsidR="00B145BE">
        <w:rPr>
          <w:rFonts w:asciiTheme="minorHAnsi" w:hAnsiTheme="minorHAnsi"/>
          <w:sz w:val="22"/>
          <w:szCs w:val="22"/>
          <w:lang w:val="en-GB"/>
        </w:rPr>
        <w:t xml:space="preserve"> </w:t>
      </w:r>
      <w:r w:rsidR="00B145BE" w:rsidRPr="00E062D9">
        <w:rPr>
          <w:rFonts w:asciiTheme="minorHAnsi" w:hAnsiTheme="minorHAnsi"/>
          <w:i/>
          <w:sz w:val="22"/>
          <w:szCs w:val="22"/>
          <w:lang w:val="en-GB"/>
        </w:rPr>
        <w:t>VEC</w:t>
      </w:r>
      <w:r w:rsidR="00B145BE">
        <w:rPr>
          <w:rFonts w:asciiTheme="minorHAnsi" w:hAnsiTheme="minorHAnsi"/>
          <w:sz w:val="22"/>
          <w:szCs w:val="22"/>
          <w:lang w:val="en-GB"/>
        </w:rPr>
        <w:t xml:space="preserve"> </w:t>
      </w:r>
      <w:r w:rsidR="00B145BE" w:rsidRPr="00D80AF7">
        <w:rPr>
          <w:rFonts w:asciiTheme="minorHAnsi" w:hAnsiTheme="minorHAnsi"/>
          <w:sz w:val="22"/>
          <w:szCs w:val="22"/>
          <w:lang w:val="en-GB"/>
        </w:rPr>
        <w:t>&lt;</w:t>
      </w:r>
      <w:r w:rsidR="00B145BE">
        <w:rPr>
          <w:rFonts w:asciiTheme="minorHAnsi" w:hAnsiTheme="minorHAnsi"/>
          <w:sz w:val="22"/>
          <w:szCs w:val="22"/>
          <w:lang w:val="en-GB"/>
        </w:rPr>
        <w:t xml:space="preserve"> </w:t>
      </w:r>
      <w:r w:rsidR="00B145BE" w:rsidRPr="00D80AF7">
        <w:rPr>
          <w:rFonts w:asciiTheme="minorHAnsi" w:hAnsiTheme="minorHAnsi"/>
          <w:sz w:val="22"/>
          <w:szCs w:val="22"/>
          <w:lang w:val="en-GB"/>
        </w:rPr>
        <w:t>5.5 for both</w:t>
      </w:r>
      <w:r w:rsidR="009E1CED">
        <w:rPr>
          <w:rFonts w:asciiTheme="minorHAnsi" w:hAnsiTheme="minorHAnsi"/>
          <w:sz w:val="22"/>
          <w:szCs w:val="22"/>
          <w:lang w:val="en-GB"/>
        </w:rPr>
        <w:t xml:space="preserve"> the</w:t>
      </w:r>
      <w:r w:rsidR="00B145BE" w:rsidRPr="00D80AF7">
        <w:rPr>
          <w:rFonts w:asciiTheme="minorHAnsi" w:hAnsiTheme="minorHAnsi"/>
          <w:sz w:val="22"/>
          <w:szCs w:val="22"/>
          <w:lang w:val="en-GB"/>
        </w:rPr>
        <w:t xml:space="preserve"> mixing and formation enthalpy dataset</w:t>
      </w:r>
      <w:r w:rsidR="009E1CED">
        <w:rPr>
          <w:rFonts w:asciiTheme="minorHAnsi" w:hAnsiTheme="minorHAnsi"/>
          <w:sz w:val="22"/>
          <w:szCs w:val="22"/>
          <w:lang w:val="en-GB"/>
        </w:rPr>
        <w:t>s</w:t>
      </w:r>
      <w:r w:rsidR="00B145BE">
        <w:rPr>
          <w:rFonts w:asciiTheme="minorHAnsi" w:hAnsiTheme="minorHAnsi"/>
          <w:sz w:val="22"/>
          <w:szCs w:val="22"/>
          <w:lang w:val="en-GB"/>
        </w:rPr>
        <w:t>. F</w:t>
      </w:r>
      <w:r w:rsidR="00B145BE" w:rsidRPr="00D80AF7">
        <w:rPr>
          <w:rFonts w:asciiTheme="minorHAnsi" w:hAnsiTheme="minorHAnsi"/>
          <w:sz w:val="22"/>
          <w:szCs w:val="22"/>
          <w:lang w:val="en-GB"/>
        </w:rPr>
        <w:t>or simple solid solution FCC 3</w:t>
      </w:r>
      <w:r w:rsidR="00B145BE" w:rsidRPr="00D66B74">
        <w:rPr>
          <w:rFonts w:asciiTheme="minorHAnsi" w:hAnsiTheme="minorHAnsi"/>
          <w:i/>
          <w:sz w:val="22"/>
          <w:szCs w:val="22"/>
          <w:lang w:val="en-GB"/>
        </w:rPr>
        <w:t>d</w:t>
      </w:r>
      <w:r w:rsidR="00B145BE" w:rsidRPr="00D80AF7">
        <w:rPr>
          <w:rFonts w:asciiTheme="minorHAnsi" w:hAnsiTheme="minorHAnsi"/>
          <w:sz w:val="22"/>
          <w:szCs w:val="22"/>
          <w:lang w:val="en-GB"/>
        </w:rPr>
        <w:t xml:space="preserve"> transition group HEAs</w:t>
      </w:r>
      <w:r w:rsidR="00B145BE">
        <w:rPr>
          <w:rFonts w:asciiTheme="minorHAnsi" w:hAnsiTheme="minorHAnsi"/>
          <w:sz w:val="22"/>
          <w:szCs w:val="22"/>
          <w:lang w:val="en-GB"/>
        </w:rPr>
        <w:t>,</w:t>
      </w:r>
      <w:r w:rsidR="00B145BE" w:rsidRPr="00D80AF7">
        <w:rPr>
          <w:rFonts w:asciiTheme="minorHAnsi" w:hAnsiTheme="minorHAnsi"/>
          <w:sz w:val="22"/>
          <w:szCs w:val="22"/>
          <w:lang w:val="en-GB"/>
        </w:rPr>
        <w:t xml:space="preserve"> the range </w:t>
      </w:r>
      <w:r w:rsidR="00B145BE">
        <w:rPr>
          <w:rFonts w:asciiTheme="minorHAnsi" w:hAnsiTheme="minorHAnsi"/>
          <w:sz w:val="22"/>
          <w:szCs w:val="22"/>
          <w:lang w:val="en-GB"/>
        </w:rPr>
        <w:t>was</w:t>
      </w:r>
      <w:r w:rsidR="00B145BE" w:rsidRPr="00D80AF7">
        <w:rPr>
          <w:rFonts w:asciiTheme="minorHAnsi" w:hAnsiTheme="minorHAnsi"/>
          <w:sz w:val="22"/>
          <w:szCs w:val="22"/>
          <w:lang w:val="en-GB"/>
        </w:rPr>
        <w:t xml:space="preserve"> 7.6</w:t>
      </w:r>
      <w:r w:rsidR="00B145BE">
        <w:rPr>
          <w:rFonts w:asciiTheme="minorHAnsi" w:hAnsiTheme="minorHAnsi"/>
          <w:sz w:val="22"/>
          <w:szCs w:val="22"/>
          <w:lang w:val="en-GB"/>
        </w:rPr>
        <w:t xml:space="preserve"> </w:t>
      </w:r>
      <w:r w:rsidR="00B145BE" w:rsidRPr="00D80AF7">
        <w:rPr>
          <w:rFonts w:asciiTheme="minorHAnsi" w:hAnsiTheme="minorHAnsi"/>
          <w:sz w:val="22"/>
          <w:szCs w:val="22"/>
          <w:lang w:val="en-GB"/>
        </w:rPr>
        <w:t>&lt;</w:t>
      </w:r>
      <w:r w:rsidR="00B145BE">
        <w:rPr>
          <w:rFonts w:asciiTheme="minorHAnsi" w:hAnsiTheme="minorHAnsi"/>
          <w:sz w:val="22"/>
          <w:szCs w:val="22"/>
          <w:lang w:val="en-GB"/>
        </w:rPr>
        <w:t xml:space="preserve"> </w:t>
      </w:r>
      <w:r w:rsidR="00B145BE" w:rsidRPr="00E062D9">
        <w:rPr>
          <w:rFonts w:asciiTheme="minorHAnsi" w:hAnsiTheme="minorHAnsi"/>
          <w:i/>
          <w:sz w:val="22"/>
          <w:szCs w:val="22"/>
          <w:lang w:val="en-GB"/>
        </w:rPr>
        <w:t>VEC</w:t>
      </w:r>
      <w:r w:rsidR="00B145BE">
        <w:rPr>
          <w:rFonts w:asciiTheme="minorHAnsi" w:hAnsiTheme="minorHAnsi"/>
          <w:sz w:val="22"/>
          <w:szCs w:val="22"/>
          <w:lang w:val="en-GB"/>
        </w:rPr>
        <w:t xml:space="preserve"> </w:t>
      </w:r>
      <w:r w:rsidR="00B145BE" w:rsidRPr="00D80AF7">
        <w:rPr>
          <w:rFonts w:asciiTheme="minorHAnsi" w:hAnsiTheme="minorHAnsi"/>
          <w:sz w:val="22"/>
          <w:szCs w:val="22"/>
          <w:lang w:val="en-GB"/>
        </w:rPr>
        <w:t>&lt;</w:t>
      </w:r>
      <w:r w:rsidR="00B145BE">
        <w:rPr>
          <w:rFonts w:asciiTheme="minorHAnsi" w:hAnsiTheme="minorHAnsi"/>
          <w:sz w:val="22"/>
          <w:szCs w:val="22"/>
          <w:lang w:val="en-GB"/>
        </w:rPr>
        <w:t xml:space="preserve"> </w:t>
      </w:r>
      <w:r w:rsidR="00B145BE" w:rsidRPr="00D80AF7">
        <w:rPr>
          <w:rFonts w:asciiTheme="minorHAnsi" w:hAnsiTheme="minorHAnsi"/>
          <w:sz w:val="22"/>
          <w:szCs w:val="22"/>
          <w:lang w:val="en-GB"/>
        </w:rPr>
        <w:t xml:space="preserve">9.5. </w:t>
      </w:r>
      <w:r w:rsidR="00B145BE">
        <w:rPr>
          <w:rFonts w:asciiTheme="minorHAnsi" w:hAnsiTheme="minorHAnsi"/>
          <w:sz w:val="22"/>
          <w:szCs w:val="22"/>
          <w:lang w:val="en-GB"/>
        </w:rPr>
        <w:t>Noteworthy,</w:t>
      </w:r>
      <w:r w:rsidR="00B145BE" w:rsidRPr="00D80AF7">
        <w:rPr>
          <w:rFonts w:asciiTheme="minorHAnsi" w:hAnsiTheme="minorHAnsi"/>
          <w:sz w:val="22"/>
          <w:szCs w:val="22"/>
          <w:lang w:val="en-GB"/>
        </w:rPr>
        <w:t xml:space="preserve"> for both refractory HEAs and </w:t>
      </w:r>
      <w:r w:rsidR="00B145BE" w:rsidRPr="00D66B74">
        <w:rPr>
          <w:rFonts w:asciiTheme="minorHAnsi" w:hAnsiTheme="minorHAnsi"/>
          <w:sz w:val="22"/>
          <w:szCs w:val="22"/>
          <w:lang w:val="en-GB"/>
        </w:rPr>
        <w:t>3</w:t>
      </w:r>
      <w:r w:rsidR="00B145BE" w:rsidRPr="00D80AF7">
        <w:rPr>
          <w:rFonts w:asciiTheme="minorHAnsi" w:hAnsiTheme="minorHAnsi"/>
          <w:i/>
          <w:sz w:val="22"/>
          <w:szCs w:val="22"/>
          <w:lang w:val="en-GB"/>
        </w:rPr>
        <w:t>d</w:t>
      </w:r>
      <w:r w:rsidR="00B145BE" w:rsidRPr="00D80AF7">
        <w:rPr>
          <w:rFonts w:asciiTheme="minorHAnsi" w:hAnsiTheme="minorHAnsi"/>
          <w:sz w:val="22"/>
          <w:szCs w:val="22"/>
          <w:lang w:val="en-GB"/>
        </w:rPr>
        <w:t xml:space="preserve"> transition HEAs, </w:t>
      </w:r>
      <w:r w:rsidR="00B145BE">
        <w:rPr>
          <w:rFonts w:asciiTheme="minorHAnsi" w:hAnsiTheme="minorHAnsi"/>
          <w:sz w:val="22"/>
          <w:szCs w:val="22"/>
          <w:lang w:val="en-GB"/>
        </w:rPr>
        <w:t>regardless of the</w:t>
      </w:r>
      <w:r w:rsidR="00B145BE" w:rsidRPr="00D80AF7">
        <w:rPr>
          <w:rFonts w:asciiTheme="minorHAnsi" w:hAnsiTheme="minorHAnsi"/>
          <w:sz w:val="22"/>
          <w:szCs w:val="22"/>
          <w:lang w:val="en-GB"/>
        </w:rPr>
        <w:t xml:space="preserve"> lattice structure, the simple solid solution phase </w:t>
      </w:r>
      <w:r w:rsidR="00B145BE">
        <w:rPr>
          <w:rFonts w:asciiTheme="minorHAnsi" w:hAnsiTheme="minorHAnsi"/>
          <w:sz w:val="22"/>
          <w:szCs w:val="22"/>
          <w:lang w:val="en-GB"/>
        </w:rPr>
        <w:t>had a preference</w:t>
      </w:r>
      <w:r w:rsidR="00B145BE" w:rsidRPr="00D80AF7">
        <w:rPr>
          <w:rFonts w:asciiTheme="minorHAnsi" w:hAnsiTheme="minorHAnsi"/>
          <w:sz w:val="22"/>
          <w:szCs w:val="22"/>
          <w:lang w:val="en-GB"/>
        </w:rPr>
        <w:t xml:space="preserve"> to form in </w:t>
      </w:r>
      <w:r w:rsidR="00B145BE">
        <w:rPr>
          <w:rFonts w:asciiTheme="minorHAnsi" w:hAnsiTheme="minorHAnsi"/>
          <w:sz w:val="22"/>
          <w:szCs w:val="22"/>
          <w:lang w:val="en-GB"/>
        </w:rPr>
        <w:t xml:space="preserve">the </w:t>
      </w:r>
      <w:r w:rsidR="00B145BE" w:rsidRPr="00D80AF7">
        <w:rPr>
          <w:rFonts w:asciiTheme="minorHAnsi" w:hAnsiTheme="minorHAnsi"/>
          <w:sz w:val="22"/>
          <w:szCs w:val="22"/>
          <w:lang w:val="en-GB"/>
        </w:rPr>
        <w:t>low mixing/formation enthalpy deviation zone</w:t>
      </w:r>
      <w:r w:rsidR="00B145BE">
        <w:rPr>
          <w:rFonts w:asciiTheme="minorHAnsi" w:hAnsiTheme="minorHAnsi"/>
          <w:sz w:val="22"/>
          <w:szCs w:val="22"/>
          <w:lang w:val="en-GB"/>
        </w:rPr>
        <w:t xml:space="preserve"> </w:t>
      </w:r>
      <w:r w:rsidR="00B145BE" w:rsidRPr="00D80AF7">
        <w:rPr>
          <w:rFonts w:asciiTheme="minorHAnsi" w:hAnsiTheme="minorHAnsi"/>
          <w:sz w:val="22"/>
          <w:szCs w:val="22"/>
          <w:lang w:val="en-GB"/>
        </w:rPr>
        <w:t>which indicate</w:t>
      </w:r>
      <w:r w:rsidR="00B145BE">
        <w:rPr>
          <w:rFonts w:asciiTheme="minorHAnsi" w:hAnsiTheme="minorHAnsi"/>
          <w:sz w:val="22"/>
          <w:szCs w:val="22"/>
          <w:lang w:val="en-GB"/>
        </w:rPr>
        <w:t>d</w:t>
      </w:r>
      <w:r w:rsidR="00B145BE" w:rsidRPr="00D80AF7">
        <w:rPr>
          <w:rFonts w:asciiTheme="minorHAnsi" w:hAnsiTheme="minorHAnsi"/>
          <w:sz w:val="22"/>
          <w:szCs w:val="22"/>
          <w:lang w:val="en-GB"/>
        </w:rPr>
        <w:t xml:space="preserve"> the mixing/formation enthalpy deviation </w:t>
      </w:r>
      <w:r w:rsidR="00B145BE">
        <w:rPr>
          <w:rFonts w:asciiTheme="minorHAnsi" w:hAnsiTheme="minorHAnsi"/>
          <w:sz w:val="22"/>
          <w:szCs w:val="22"/>
          <w:lang w:val="en-GB"/>
        </w:rPr>
        <w:t>was</w:t>
      </w:r>
      <w:r w:rsidR="00B145BE" w:rsidRPr="00D80AF7">
        <w:rPr>
          <w:rFonts w:asciiTheme="minorHAnsi" w:hAnsiTheme="minorHAnsi"/>
          <w:sz w:val="22"/>
          <w:szCs w:val="22"/>
          <w:lang w:val="en-GB"/>
        </w:rPr>
        <w:t xml:space="preserve"> helpful in clarifying the formation of solid solution phases and complex intermetallic phases</w:t>
      </w:r>
      <w:r w:rsidR="00B145BE">
        <w:rPr>
          <w:rFonts w:asciiTheme="minorHAnsi" w:hAnsiTheme="minorHAnsi"/>
          <w:sz w:val="22"/>
          <w:szCs w:val="22"/>
          <w:lang w:val="en-GB"/>
        </w:rPr>
        <w:t xml:space="preserve">. </w:t>
      </w:r>
      <w:r w:rsidR="00B5794E">
        <w:rPr>
          <w:rFonts w:asciiTheme="minorHAnsi" w:hAnsiTheme="minorHAnsi"/>
          <w:sz w:val="22"/>
          <w:szCs w:val="22"/>
          <w:lang w:val="en-GB"/>
        </w:rPr>
        <w:t>Meanwhile</w:t>
      </w:r>
      <w:r w:rsidR="00B145BE">
        <w:rPr>
          <w:rFonts w:asciiTheme="minorHAnsi" w:hAnsiTheme="minorHAnsi"/>
          <w:sz w:val="22"/>
          <w:szCs w:val="22"/>
          <w:lang w:val="en-GB"/>
        </w:rPr>
        <w:t>, in</w:t>
      </w:r>
      <w:r w:rsidR="009E1CED">
        <w:rPr>
          <w:rFonts w:asciiTheme="minorHAnsi" w:hAnsiTheme="minorHAnsi"/>
          <w:sz w:val="22"/>
          <w:szCs w:val="22"/>
          <w:lang w:val="en-GB"/>
        </w:rPr>
        <w:t xml:space="preserve"> the</w:t>
      </w:r>
      <w:r w:rsidR="00B145BE">
        <w:rPr>
          <w:rFonts w:asciiTheme="minorHAnsi" w:hAnsiTheme="minorHAnsi"/>
          <w:sz w:val="22"/>
          <w:szCs w:val="22"/>
          <w:lang w:val="en-GB"/>
        </w:rPr>
        <w:t xml:space="preserve"> bottom panel of Fig.4-1 (a-b) a smoothed probability density distribution (PDF) function of the distribution of mixing enthalpy deviation and formation enthalpy deviation were calculated </w:t>
      </w:r>
      <w:r w:rsidR="009E1CED">
        <w:rPr>
          <w:rFonts w:asciiTheme="minorHAnsi" w:hAnsiTheme="minorHAnsi"/>
          <w:sz w:val="22"/>
          <w:szCs w:val="22"/>
          <w:lang w:val="en-GB"/>
        </w:rPr>
        <w:t>using</w:t>
      </w:r>
      <w:r w:rsidR="00B145BE">
        <w:rPr>
          <w:rFonts w:asciiTheme="minorHAnsi" w:hAnsiTheme="minorHAnsi"/>
          <w:sz w:val="22"/>
          <w:szCs w:val="22"/>
          <w:lang w:val="en-GB"/>
        </w:rPr>
        <w:t xml:space="preserve"> ‘Kernel mixture Distribution function’ by MATLAB following the expression: </w:t>
      </w:r>
    </w:p>
    <w:p w14:paraId="6AAFF8D0" w14:textId="4B3466B3" w:rsidR="00B145BE" w:rsidRDefault="00077961" w:rsidP="00B145BE">
      <w:pPr>
        <w:pStyle w:val="Normal1"/>
        <w:spacing w:after="60" w:line="360" w:lineRule="auto"/>
        <w:jc w:val="right"/>
        <w:rPr>
          <w:rFonts w:asciiTheme="minorHAnsi" w:hAnsiTheme="minorHAnsi"/>
          <w:sz w:val="22"/>
          <w:szCs w:val="22"/>
          <w:lang w:val="en-GB"/>
        </w:rPr>
      </w:pPr>
      <m:oMath>
        <m:sSub>
          <m:sSubPr>
            <m:ctrlPr>
              <w:rPr>
                <w:rFonts w:ascii="Cambria Math" w:hAnsi="Cambria Math"/>
                <w:sz w:val="22"/>
                <w:szCs w:val="22"/>
                <w:lang w:val="en-GB"/>
              </w:rPr>
            </m:ctrlPr>
          </m:sSubPr>
          <m:e>
            <m:acc>
              <m:accPr>
                <m:ctrlPr>
                  <w:rPr>
                    <w:rFonts w:ascii="Cambria Math" w:hAnsi="Cambria Math"/>
                    <w:sz w:val="22"/>
                    <w:szCs w:val="22"/>
                    <w:lang w:val="en-GB"/>
                  </w:rPr>
                </m:ctrlPr>
              </m:accPr>
              <m:e>
                <m:r>
                  <w:rPr>
                    <w:rFonts w:ascii="Cambria Math" w:hAnsi="Cambria Math"/>
                    <w:sz w:val="22"/>
                    <w:szCs w:val="22"/>
                    <w:lang w:val="en-GB"/>
                  </w:rPr>
                  <m:t>f</m:t>
                </m:r>
              </m:e>
            </m:acc>
          </m:e>
          <m:sub>
            <m:r>
              <w:rPr>
                <w:rFonts w:ascii="Cambria Math" w:hAnsi="Cambria Math"/>
                <w:sz w:val="22"/>
                <w:szCs w:val="22"/>
                <w:lang w:val="en-GB"/>
              </w:rPr>
              <m:t>h</m:t>
            </m:r>
          </m:sub>
        </m:sSub>
        <m:d>
          <m:dPr>
            <m:ctrlPr>
              <w:rPr>
                <w:rFonts w:ascii="Cambria Math" w:hAnsi="Cambria Math"/>
                <w:i/>
                <w:sz w:val="22"/>
                <w:szCs w:val="22"/>
                <w:lang w:val="en-GB"/>
              </w:rPr>
            </m:ctrlPr>
          </m:dPr>
          <m:e>
            <m:r>
              <w:rPr>
                <w:rFonts w:ascii="Cambria Math" w:hAnsi="Cambria Math"/>
                <w:sz w:val="22"/>
                <w:szCs w:val="22"/>
                <w:lang w:val="en-GB"/>
              </w:rPr>
              <m:t>x</m:t>
            </m:r>
          </m:e>
        </m:d>
        <m:r>
          <w:rPr>
            <w:rFonts w:ascii="Cambria Math" w:hAnsi="Cambria Math"/>
            <w:sz w:val="22"/>
            <w:szCs w:val="22"/>
            <w:lang w:val="en-GB"/>
          </w:rPr>
          <m:t>=</m:t>
        </m:r>
        <m:f>
          <m:fPr>
            <m:ctrlPr>
              <w:rPr>
                <w:rFonts w:ascii="Cambria Math" w:hAnsi="Cambria Math"/>
                <w:i/>
                <w:sz w:val="22"/>
                <w:szCs w:val="22"/>
                <w:lang w:val="en-GB"/>
              </w:rPr>
            </m:ctrlPr>
          </m:fPr>
          <m:num>
            <m:r>
              <w:rPr>
                <w:rFonts w:ascii="Cambria Math" w:hAnsi="Cambria Math"/>
                <w:sz w:val="22"/>
                <w:szCs w:val="22"/>
                <w:lang w:val="en-GB"/>
              </w:rPr>
              <m:t>1</m:t>
            </m:r>
          </m:num>
          <m:den>
            <m:r>
              <w:rPr>
                <w:rFonts w:ascii="Cambria Math" w:hAnsi="Cambria Math"/>
                <w:sz w:val="22"/>
                <w:szCs w:val="22"/>
                <w:lang w:val="en-GB"/>
              </w:rPr>
              <m:t>nh</m:t>
            </m:r>
          </m:den>
        </m:f>
        <m:nary>
          <m:naryPr>
            <m:chr m:val="∑"/>
            <m:limLoc m:val="undOvr"/>
            <m:ctrlPr>
              <w:rPr>
                <w:rFonts w:ascii="Cambria Math" w:hAnsi="Cambria Math"/>
                <w:i/>
                <w:sz w:val="22"/>
                <w:szCs w:val="22"/>
                <w:lang w:val="en-GB"/>
              </w:rPr>
            </m:ctrlPr>
          </m:naryPr>
          <m:sub>
            <m:r>
              <w:rPr>
                <w:rFonts w:ascii="Cambria Math" w:hAnsi="Cambria Math"/>
                <w:sz w:val="22"/>
                <w:szCs w:val="22"/>
                <w:lang w:val="en-GB"/>
              </w:rPr>
              <m:t>i=1</m:t>
            </m:r>
          </m:sub>
          <m:sup>
            <m:r>
              <w:rPr>
                <w:rFonts w:ascii="Cambria Math" w:hAnsi="Cambria Math"/>
                <w:sz w:val="22"/>
                <w:szCs w:val="22"/>
                <w:lang w:val="en-GB"/>
              </w:rPr>
              <m:t>n</m:t>
            </m:r>
          </m:sup>
          <m:e>
            <m:r>
              <w:rPr>
                <w:rFonts w:ascii="Cambria Math" w:hAnsi="Cambria Math"/>
                <w:sz w:val="22"/>
                <w:szCs w:val="22"/>
                <w:lang w:val="en-GB"/>
              </w:rPr>
              <m:t>K(</m:t>
            </m:r>
            <m:f>
              <m:fPr>
                <m:ctrlPr>
                  <w:rPr>
                    <w:rFonts w:ascii="Cambria Math" w:hAnsi="Cambria Math"/>
                    <w:i/>
                    <w:sz w:val="22"/>
                    <w:szCs w:val="22"/>
                    <w:lang w:val="en-GB"/>
                  </w:rPr>
                </m:ctrlPr>
              </m:fPr>
              <m:num>
                <m:r>
                  <w:rPr>
                    <w:rFonts w:ascii="Cambria Math" w:hAnsi="Cambria Math"/>
                    <w:sz w:val="22"/>
                    <w:szCs w:val="22"/>
                    <w:lang w:val="en-GB"/>
                  </w:rPr>
                  <m:t>x-</m:t>
                </m:r>
                <m:sSub>
                  <m:sSubPr>
                    <m:ctrlPr>
                      <w:rPr>
                        <w:rFonts w:ascii="Cambria Math" w:hAnsi="Cambria Math"/>
                        <w:i/>
                        <w:sz w:val="22"/>
                        <w:szCs w:val="22"/>
                        <w:lang w:val="en-GB"/>
                      </w:rPr>
                    </m:ctrlPr>
                  </m:sSubPr>
                  <m:e>
                    <m:r>
                      <w:rPr>
                        <w:rFonts w:ascii="Cambria Math" w:hAnsi="Cambria Math"/>
                        <w:sz w:val="22"/>
                        <w:szCs w:val="22"/>
                        <w:lang w:val="en-GB"/>
                      </w:rPr>
                      <m:t>x</m:t>
                    </m:r>
                  </m:e>
                  <m:sub>
                    <m:r>
                      <w:rPr>
                        <w:rFonts w:ascii="Cambria Math" w:hAnsi="Cambria Math"/>
                        <w:sz w:val="22"/>
                        <w:szCs w:val="22"/>
                        <w:lang w:val="en-GB"/>
                      </w:rPr>
                      <m:t>i</m:t>
                    </m:r>
                  </m:sub>
                </m:sSub>
              </m:num>
              <m:den>
                <m:r>
                  <w:rPr>
                    <w:rFonts w:ascii="Cambria Math" w:hAnsi="Cambria Math"/>
                    <w:sz w:val="22"/>
                    <w:szCs w:val="22"/>
                    <w:lang w:val="en-GB"/>
                  </w:rPr>
                  <m:t>h</m:t>
                </m:r>
              </m:den>
            </m:f>
            <m:r>
              <w:rPr>
                <w:rFonts w:ascii="Cambria Math" w:hAnsi="Cambria Math"/>
                <w:sz w:val="22"/>
                <w:szCs w:val="22"/>
                <w:lang w:val="en-GB"/>
              </w:rPr>
              <m:t>)</m:t>
            </m:r>
          </m:e>
        </m:nary>
      </m:oMath>
      <w:r w:rsidR="00B145BE">
        <w:rPr>
          <w:rFonts w:asciiTheme="minorHAnsi" w:hAnsiTheme="minorHAnsi"/>
          <w:sz w:val="22"/>
          <w:szCs w:val="22"/>
          <w:lang w:val="en-GB"/>
        </w:rPr>
        <w:t xml:space="preserve">           </w:t>
      </w:r>
      <w:r w:rsidR="00854A0C">
        <w:rPr>
          <w:rFonts w:asciiTheme="minorHAnsi" w:hAnsiTheme="minorHAnsi"/>
          <w:sz w:val="22"/>
          <w:szCs w:val="22"/>
          <w:lang w:val="en-GB"/>
        </w:rPr>
        <w:t xml:space="preserve">                                  </w:t>
      </w:r>
      <w:r w:rsidR="00B145BE">
        <w:rPr>
          <w:rFonts w:asciiTheme="minorHAnsi" w:hAnsiTheme="minorHAnsi"/>
          <w:sz w:val="22"/>
          <w:szCs w:val="22"/>
          <w:lang w:val="en-GB"/>
        </w:rPr>
        <w:t xml:space="preserve">             (1)                                                             </w:t>
      </w:r>
    </w:p>
    <w:p w14:paraId="7BE94303" w14:textId="5B1BECE0" w:rsidR="00B145BE" w:rsidRDefault="00B5794E" w:rsidP="00B145BE">
      <w:pPr>
        <w:pStyle w:val="Normal1"/>
        <w:spacing w:after="60" w:line="360" w:lineRule="auto"/>
        <w:jc w:val="both"/>
        <w:rPr>
          <w:rFonts w:asciiTheme="minorHAnsi" w:hAnsiTheme="minorHAnsi"/>
          <w:sz w:val="22"/>
          <w:szCs w:val="22"/>
          <w:lang w:val="en-GB"/>
        </w:rPr>
      </w:pPr>
      <w:r>
        <w:rPr>
          <w:rFonts w:asciiTheme="minorHAnsi" w:hAnsiTheme="minorHAnsi"/>
          <w:sz w:val="22"/>
          <w:szCs w:val="22"/>
          <w:lang w:val="en-GB"/>
        </w:rPr>
        <w:t>w</w:t>
      </w:r>
      <w:r w:rsidR="00B145BE">
        <w:rPr>
          <w:rFonts w:asciiTheme="minorHAnsi" w:hAnsiTheme="minorHAnsi"/>
          <w:sz w:val="22"/>
          <w:szCs w:val="22"/>
          <w:lang w:val="en-GB"/>
        </w:rPr>
        <w:t xml:space="preserve">here </w:t>
      </w:r>
      <w:r w:rsidR="00B145BE" w:rsidRPr="00E74B13">
        <w:rPr>
          <w:rFonts w:asciiTheme="minorHAnsi" w:hAnsiTheme="minorHAnsi"/>
          <w:b/>
          <w:bCs/>
          <w:i/>
          <w:iCs/>
          <w:sz w:val="22"/>
          <w:szCs w:val="22"/>
          <w:lang w:val="en-GB"/>
        </w:rPr>
        <w:t>x</w:t>
      </w:r>
      <w:r w:rsidR="00B145BE">
        <w:rPr>
          <w:rFonts w:asciiTheme="minorHAnsi" w:hAnsiTheme="minorHAnsi"/>
          <w:sz w:val="22"/>
          <w:szCs w:val="22"/>
          <w:vertAlign w:val="subscript"/>
          <w:lang w:val="en-GB"/>
        </w:rPr>
        <w:t>1~n</w:t>
      </w:r>
      <w:r w:rsidR="00B145BE">
        <w:rPr>
          <w:rFonts w:asciiTheme="minorHAnsi" w:hAnsiTheme="minorHAnsi"/>
          <w:sz w:val="22"/>
          <w:szCs w:val="22"/>
          <w:lang w:val="en-GB"/>
        </w:rPr>
        <w:t xml:space="preserve"> are random data from a</w:t>
      </w:r>
      <w:r>
        <w:rPr>
          <w:rFonts w:asciiTheme="minorHAnsi" w:hAnsiTheme="minorHAnsi"/>
          <w:sz w:val="22"/>
          <w:szCs w:val="22"/>
          <w:lang w:val="en-GB"/>
        </w:rPr>
        <w:t>n</w:t>
      </w:r>
      <w:r w:rsidR="00B145BE">
        <w:rPr>
          <w:rFonts w:asciiTheme="minorHAnsi" w:hAnsiTheme="minorHAnsi"/>
          <w:sz w:val="22"/>
          <w:szCs w:val="22"/>
          <w:lang w:val="en-GB"/>
        </w:rPr>
        <w:t xml:space="preserve"> </w:t>
      </w:r>
      <w:r>
        <w:rPr>
          <w:rFonts w:asciiTheme="minorHAnsi" w:hAnsiTheme="minorHAnsi"/>
          <w:sz w:val="22"/>
          <w:szCs w:val="22"/>
          <w:lang w:val="en-GB"/>
        </w:rPr>
        <w:t>un</w:t>
      </w:r>
      <w:r w:rsidR="00B145BE">
        <w:rPr>
          <w:rFonts w:asciiTheme="minorHAnsi" w:hAnsiTheme="minorHAnsi"/>
          <w:sz w:val="22"/>
          <w:szCs w:val="22"/>
          <w:lang w:val="en-GB"/>
        </w:rPr>
        <w:t xml:space="preserve">known distribution, </w:t>
      </w:r>
      <w:r w:rsidR="00B145BE" w:rsidRPr="00490D98">
        <w:rPr>
          <w:rFonts w:asciiTheme="minorHAnsi" w:hAnsiTheme="minorHAnsi"/>
          <w:i/>
          <w:iCs/>
          <w:sz w:val="22"/>
          <w:szCs w:val="22"/>
          <w:lang w:val="en-GB"/>
        </w:rPr>
        <w:t>n</w:t>
      </w:r>
      <w:r w:rsidR="00B145BE">
        <w:rPr>
          <w:rFonts w:asciiTheme="minorHAnsi" w:hAnsiTheme="minorHAnsi"/>
          <w:sz w:val="22"/>
          <w:szCs w:val="22"/>
          <w:lang w:val="en-GB"/>
        </w:rPr>
        <w:t xml:space="preserve"> is the data size while </w:t>
      </w:r>
      <w:r w:rsidR="00B145BE" w:rsidRPr="00E74B13">
        <w:rPr>
          <w:rFonts w:asciiTheme="minorHAnsi" w:hAnsiTheme="minorHAnsi"/>
          <w:b/>
          <w:bCs/>
          <w:i/>
          <w:iCs/>
          <w:sz w:val="22"/>
          <w:szCs w:val="22"/>
          <w:lang w:val="en-GB"/>
        </w:rPr>
        <w:t>K</w:t>
      </w:r>
      <w:r w:rsidR="00B145BE">
        <w:rPr>
          <w:rFonts w:asciiTheme="minorHAnsi" w:hAnsiTheme="minorHAnsi"/>
          <w:sz w:val="22"/>
          <w:szCs w:val="22"/>
          <w:lang w:val="en-GB"/>
        </w:rPr>
        <w:t xml:space="preserve"> is </w:t>
      </w:r>
      <w:r w:rsidR="009E1CED">
        <w:rPr>
          <w:rFonts w:asciiTheme="minorHAnsi" w:hAnsiTheme="minorHAnsi"/>
          <w:sz w:val="22"/>
          <w:szCs w:val="22"/>
          <w:lang w:val="en-GB"/>
        </w:rPr>
        <w:t xml:space="preserve">the </w:t>
      </w:r>
      <w:r w:rsidR="00B145BE">
        <w:rPr>
          <w:rFonts w:asciiTheme="minorHAnsi" w:hAnsiTheme="minorHAnsi"/>
          <w:sz w:val="22"/>
          <w:szCs w:val="22"/>
          <w:lang w:val="en-GB"/>
        </w:rPr>
        <w:t xml:space="preserve">Kernel smoothing function, and </w:t>
      </w:r>
      <w:r w:rsidR="00B145BE" w:rsidRPr="00E74B13">
        <w:rPr>
          <w:rFonts w:asciiTheme="minorHAnsi" w:hAnsiTheme="minorHAnsi"/>
          <w:b/>
          <w:bCs/>
          <w:i/>
          <w:iCs/>
          <w:sz w:val="22"/>
          <w:szCs w:val="22"/>
          <w:lang w:val="en-GB"/>
        </w:rPr>
        <w:t>h</w:t>
      </w:r>
      <w:r w:rsidR="00B145BE">
        <w:rPr>
          <w:rFonts w:asciiTheme="minorHAnsi" w:hAnsiTheme="minorHAnsi"/>
          <w:sz w:val="22"/>
          <w:szCs w:val="22"/>
          <w:lang w:val="en-GB"/>
        </w:rPr>
        <w:t xml:space="preserve"> is the bandwidth which is estimated by mean of Sliverman’s normal distribution approximation as:</w:t>
      </w:r>
    </w:p>
    <w:p w14:paraId="3EBCC92B" w14:textId="0DB47EF6" w:rsidR="00B145BE" w:rsidRPr="00A216CD" w:rsidRDefault="00B145BE" w:rsidP="00B145BE">
      <w:pPr>
        <w:pStyle w:val="Normal1"/>
        <w:spacing w:after="60" w:line="360" w:lineRule="auto"/>
        <w:jc w:val="right"/>
        <w:rPr>
          <w:rFonts w:asciiTheme="minorHAnsi" w:hAnsiTheme="minorHAnsi"/>
          <w:sz w:val="22"/>
          <w:szCs w:val="22"/>
          <w:lang w:val="en-GB"/>
        </w:rPr>
      </w:pPr>
      <m:oMath>
        <m:r>
          <w:rPr>
            <w:rFonts w:ascii="Cambria Math" w:hAnsi="Cambria Math"/>
            <w:sz w:val="22"/>
            <w:szCs w:val="22"/>
            <w:vertAlign w:val="subscript"/>
            <w:lang w:val="en-GB"/>
          </w:rPr>
          <m:t>h</m:t>
        </m:r>
        <m:r>
          <m:rPr>
            <m:sty m:val="p"/>
          </m:rPr>
          <w:rPr>
            <w:rFonts w:ascii="Cambria Math" w:hAnsi="Cambria Math"/>
            <w:sz w:val="22"/>
            <w:szCs w:val="22"/>
            <w:lang w:val="en-GB"/>
          </w:rPr>
          <m:t xml:space="preserve">=1.06 </m:t>
        </m:r>
        <m:acc>
          <m:accPr>
            <m:ctrlPr>
              <w:rPr>
                <w:rFonts w:ascii="Cambria Math" w:hAnsi="Cambria Math"/>
                <w:sz w:val="22"/>
                <w:szCs w:val="22"/>
                <w:lang w:val="en-GB"/>
              </w:rPr>
            </m:ctrlPr>
          </m:accPr>
          <m:e>
            <m:r>
              <w:rPr>
                <w:rFonts w:ascii="Cambria Math" w:hAnsi="Cambria Math"/>
                <w:sz w:val="22"/>
                <w:szCs w:val="22"/>
                <w:lang w:val="en-GB"/>
              </w:rPr>
              <m:t>σ</m:t>
            </m:r>
          </m:e>
        </m:acc>
        <m:sSup>
          <m:sSupPr>
            <m:ctrlPr>
              <w:rPr>
                <w:rFonts w:ascii="Cambria Math" w:hAnsi="Cambria Math"/>
                <w:i/>
                <w:sz w:val="22"/>
                <w:szCs w:val="22"/>
                <w:lang w:val="en-GB"/>
              </w:rPr>
            </m:ctrlPr>
          </m:sSupPr>
          <m:e>
            <m:r>
              <w:rPr>
                <w:rFonts w:ascii="Cambria Math" w:hAnsi="Cambria Math"/>
                <w:sz w:val="22"/>
                <w:szCs w:val="22"/>
                <w:lang w:val="en-GB"/>
              </w:rPr>
              <m:t>n</m:t>
            </m:r>
          </m:e>
          <m:sup>
            <m:r>
              <w:rPr>
                <w:rFonts w:ascii="Cambria Math" w:hAnsi="Cambria Math"/>
                <w:sz w:val="22"/>
                <w:szCs w:val="22"/>
                <w:lang w:val="en-GB"/>
              </w:rPr>
              <m:t>-0.2</m:t>
            </m:r>
          </m:sup>
        </m:sSup>
      </m:oMath>
      <w:r>
        <w:rPr>
          <w:rFonts w:asciiTheme="minorHAnsi" w:hAnsiTheme="minorHAnsi"/>
          <w:sz w:val="22"/>
          <w:szCs w:val="22"/>
          <w:lang w:val="en-GB"/>
        </w:rPr>
        <w:t xml:space="preserve">           </w:t>
      </w:r>
      <w:r w:rsidR="00854A0C">
        <w:rPr>
          <w:rFonts w:asciiTheme="minorHAnsi" w:hAnsiTheme="minorHAnsi"/>
          <w:sz w:val="22"/>
          <w:szCs w:val="22"/>
          <w:lang w:val="en-GB"/>
        </w:rPr>
        <w:t xml:space="preserve">                                      </w:t>
      </w:r>
      <w:r>
        <w:rPr>
          <w:rFonts w:asciiTheme="minorHAnsi" w:hAnsiTheme="minorHAnsi"/>
          <w:sz w:val="22"/>
          <w:szCs w:val="22"/>
          <w:lang w:val="en-GB"/>
        </w:rPr>
        <w:t xml:space="preserve">               (2)                                                                    </w:t>
      </w:r>
    </w:p>
    <w:p w14:paraId="6B7E52DB" w14:textId="54D5E71E" w:rsidR="00B145BE" w:rsidRDefault="00B145BE" w:rsidP="00B145BE">
      <w:pPr>
        <w:pStyle w:val="Normal1"/>
        <w:spacing w:after="60" w:line="360" w:lineRule="auto"/>
        <w:jc w:val="both"/>
        <w:rPr>
          <w:rFonts w:asciiTheme="minorHAnsi" w:hAnsiTheme="minorHAnsi"/>
          <w:sz w:val="22"/>
          <w:szCs w:val="22"/>
          <w:lang w:val="en-GB"/>
        </w:rPr>
      </w:pPr>
      <w:r>
        <w:rPr>
          <w:rFonts w:asciiTheme="minorHAnsi" w:hAnsiTheme="minorHAnsi"/>
          <w:sz w:val="22"/>
          <w:szCs w:val="22"/>
          <w:lang w:val="en-GB"/>
        </w:rPr>
        <w:t xml:space="preserve">where </w:t>
      </w:r>
      <m:oMath>
        <m:acc>
          <m:accPr>
            <m:ctrlPr>
              <w:rPr>
                <w:rFonts w:ascii="Cambria Math" w:hAnsi="Cambria Math"/>
                <w:sz w:val="22"/>
                <w:szCs w:val="22"/>
                <w:lang w:val="en-GB"/>
              </w:rPr>
            </m:ctrlPr>
          </m:accPr>
          <m:e>
            <m:r>
              <w:rPr>
                <w:rFonts w:ascii="Cambria Math" w:hAnsi="Cambria Math"/>
                <w:sz w:val="22"/>
                <w:szCs w:val="22"/>
                <w:lang w:val="en-GB"/>
              </w:rPr>
              <m:t>σ</m:t>
            </m:r>
          </m:e>
        </m:acc>
      </m:oMath>
      <w:r>
        <w:rPr>
          <w:rFonts w:asciiTheme="minorHAnsi" w:hAnsiTheme="minorHAnsi"/>
          <w:sz w:val="22"/>
          <w:szCs w:val="22"/>
          <w:lang w:val="en-GB"/>
        </w:rPr>
        <w:t xml:space="preserve"> is the standard deviation of the dataset. The calculated bandwidth for </w:t>
      </w:r>
      <w:r w:rsidR="009E1CED">
        <w:rPr>
          <w:rFonts w:asciiTheme="minorHAnsi" w:hAnsiTheme="minorHAnsi"/>
          <w:sz w:val="22"/>
          <w:szCs w:val="22"/>
          <w:lang w:val="en-GB"/>
        </w:rPr>
        <w:t xml:space="preserve">the </w:t>
      </w:r>
      <w:r>
        <w:rPr>
          <w:rFonts w:asciiTheme="minorHAnsi" w:hAnsiTheme="minorHAnsi"/>
          <w:sz w:val="22"/>
          <w:szCs w:val="22"/>
          <w:lang w:val="en-GB"/>
        </w:rPr>
        <w:t>mixing enthalpy deviation and formation enthalpy deviation were determined as 2.0978 and 38.4 respectively. In the two PDF landscape</w:t>
      </w:r>
      <w:r w:rsidR="009E1CED">
        <w:rPr>
          <w:rFonts w:asciiTheme="minorHAnsi" w:hAnsiTheme="minorHAnsi"/>
          <w:sz w:val="22"/>
          <w:szCs w:val="22"/>
          <w:lang w:val="en-GB"/>
        </w:rPr>
        <w:t>s</w:t>
      </w:r>
      <w:r>
        <w:rPr>
          <w:rFonts w:asciiTheme="minorHAnsi" w:hAnsiTheme="minorHAnsi"/>
          <w:sz w:val="22"/>
          <w:szCs w:val="22"/>
          <w:lang w:val="en-GB"/>
        </w:rPr>
        <w:t xml:space="preserve"> exhibited in Figure. 4-1(a-b) bottom panel, the PDF </w:t>
      </w:r>
      <w:r w:rsidRPr="00A216CD">
        <w:rPr>
          <w:rFonts w:asciiTheme="minorHAnsi" w:hAnsiTheme="minorHAnsi"/>
          <w:sz w:val="22"/>
          <w:szCs w:val="22"/>
          <w:lang w:val="en-GB"/>
        </w:rPr>
        <w:t xml:space="preserve">determined independently of </w:t>
      </w:r>
      <w:r w:rsidRPr="00490D98">
        <w:rPr>
          <w:rFonts w:asciiTheme="minorHAnsi" w:hAnsiTheme="minorHAnsi"/>
          <w:i/>
          <w:iCs/>
          <w:sz w:val="22"/>
          <w:szCs w:val="22"/>
          <w:lang w:val="en-GB"/>
        </w:rPr>
        <w:t>VEC</w:t>
      </w:r>
      <w:r w:rsidRPr="00A216CD">
        <w:rPr>
          <w:rFonts w:asciiTheme="minorHAnsi" w:hAnsiTheme="minorHAnsi"/>
          <w:sz w:val="22"/>
          <w:szCs w:val="22"/>
          <w:lang w:val="en-GB"/>
        </w:rPr>
        <w:t xml:space="preserve">, </w:t>
      </w:r>
      <w:r>
        <w:rPr>
          <w:rFonts w:asciiTheme="minorHAnsi" w:hAnsiTheme="minorHAnsi"/>
          <w:sz w:val="22"/>
          <w:szCs w:val="22"/>
          <w:lang w:val="en-GB"/>
        </w:rPr>
        <w:t xml:space="preserve">the simple solid solution FCC phase and BCC phase HEAs distributions </w:t>
      </w:r>
      <w:r w:rsidRPr="00A216CD">
        <w:rPr>
          <w:rFonts w:asciiTheme="minorHAnsi" w:hAnsiTheme="minorHAnsi"/>
          <w:sz w:val="22"/>
          <w:szCs w:val="22"/>
          <w:lang w:val="en-GB"/>
        </w:rPr>
        <w:t>exhibit</w:t>
      </w:r>
      <w:r w:rsidR="009E1CED">
        <w:rPr>
          <w:rFonts w:asciiTheme="minorHAnsi" w:hAnsiTheme="minorHAnsi"/>
          <w:sz w:val="22"/>
          <w:szCs w:val="22"/>
          <w:lang w:val="en-GB"/>
        </w:rPr>
        <w:t>ed</w:t>
      </w:r>
      <w:r>
        <w:rPr>
          <w:rFonts w:asciiTheme="minorHAnsi" w:hAnsiTheme="minorHAnsi"/>
          <w:sz w:val="22"/>
          <w:szCs w:val="22"/>
          <w:lang w:val="en-GB"/>
        </w:rPr>
        <w:t xml:space="preserve"> </w:t>
      </w:r>
      <w:r w:rsidRPr="00A216CD">
        <w:rPr>
          <w:rFonts w:asciiTheme="minorHAnsi" w:hAnsiTheme="minorHAnsi"/>
          <w:sz w:val="22"/>
          <w:szCs w:val="22"/>
          <w:lang w:val="en-GB"/>
        </w:rPr>
        <w:t>significant overlap</w:t>
      </w:r>
      <w:r>
        <w:rPr>
          <w:rFonts w:asciiTheme="minorHAnsi" w:hAnsiTheme="minorHAnsi"/>
          <w:sz w:val="22"/>
          <w:szCs w:val="22"/>
          <w:lang w:val="en-GB"/>
        </w:rPr>
        <w:t xml:space="preserve"> and partially overlapped with the distribution area of the complex intermetallic phases HEAs</w:t>
      </w:r>
      <w:r w:rsidRPr="00A216CD">
        <w:rPr>
          <w:rFonts w:asciiTheme="minorHAnsi" w:hAnsiTheme="minorHAnsi"/>
          <w:sz w:val="22"/>
          <w:szCs w:val="22"/>
          <w:lang w:val="en-GB"/>
        </w:rPr>
        <w:t xml:space="preserve">. </w:t>
      </w:r>
      <w:r>
        <w:rPr>
          <w:rFonts w:asciiTheme="minorHAnsi" w:hAnsiTheme="minorHAnsi"/>
          <w:sz w:val="22"/>
          <w:szCs w:val="22"/>
          <w:lang w:val="en-GB"/>
        </w:rPr>
        <w:t>In comparison with the PDF-mixing enthalpy deviation landscape, in the PDF-formation enthalpy deviation biplot, the highlighted simple solid solution phase (FCC and BCC) HEAs distribution is more concentrated and only ha</w:t>
      </w:r>
      <w:r w:rsidR="009E1CED">
        <w:rPr>
          <w:rFonts w:asciiTheme="minorHAnsi" w:hAnsiTheme="minorHAnsi"/>
          <w:sz w:val="22"/>
          <w:szCs w:val="22"/>
          <w:lang w:val="en-GB"/>
        </w:rPr>
        <w:t>s</w:t>
      </w:r>
      <w:r>
        <w:rPr>
          <w:rFonts w:asciiTheme="minorHAnsi" w:hAnsiTheme="minorHAnsi"/>
          <w:sz w:val="22"/>
          <w:szCs w:val="22"/>
          <w:lang w:val="en-GB"/>
        </w:rPr>
        <w:t xml:space="preserve"> limited overlapped area with the complex intermetallic HEAs distribution area</w:t>
      </w:r>
      <w:r w:rsidR="009E1CED">
        <w:rPr>
          <w:rFonts w:asciiTheme="minorHAnsi" w:hAnsiTheme="minorHAnsi"/>
          <w:sz w:val="22"/>
          <w:szCs w:val="22"/>
          <w:lang w:val="en-GB"/>
        </w:rPr>
        <w:t>s</w:t>
      </w:r>
      <w:r>
        <w:rPr>
          <w:rFonts w:asciiTheme="minorHAnsi" w:hAnsiTheme="minorHAnsi"/>
          <w:sz w:val="22"/>
          <w:szCs w:val="22"/>
          <w:lang w:val="en-GB"/>
        </w:rPr>
        <w:t>. S</w:t>
      </w:r>
      <w:r w:rsidRPr="00A216CD">
        <w:rPr>
          <w:rFonts w:asciiTheme="minorHAnsi" w:hAnsiTheme="minorHAnsi"/>
          <w:sz w:val="22"/>
          <w:szCs w:val="22"/>
          <w:lang w:val="en-GB"/>
        </w:rPr>
        <w:t xml:space="preserve">howing the </w:t>
      </w:r>
      <w:r>
        <w:rPr>
          <w:rFonts w:asciiTheme="minorHAnsi" w:hAnsiTheme="minorHAnsi"/>
          <w:sz w:val="22"/>
          <w:szCs w:val="22"/>
          <w:lang w:val="en-GB"/>
        </w:rPr>
        <w:lastRenderedPageBreak/>
        <w:t>formation enthalpy deviation value is more effective in determining phase complexity of HEAs</w:t>
      </w:r>
      <w:r w:rsidR="009E1CED">
        <w:rPr>
          <w:rFonts w:asciiTheme="minorHAnsi" w:hAnsiTheme="minorHAnsi"/>
          <w:sz w:val="22"/>
          <w:szCs w:val="22"/>
          <w:lang w:val="en-GB"/>
        </w:rPr>
        <w:t>,</w:t>
      </w:r>
      <w:r>
        <w:rPr>
          <w:rFonts w:asciiTheme="minorHAnsi" w:hAnsiTheme="minorHAnsi"/>
          <w:sz w:val="22"/>
          <w:szCs w:val="22"/>
          <w:lang w:val="en-GB"/>
        </w:rPr>
        <w:t xml:space="preserve"> which in turn proved the ab-initio simulation is more effective as a method to optimise the precision of </w:t>
      </w:r>
      <w:r w:rsidR="009E1CED">
        <w:rPr>
          <w:rFonts w:asciiTheme="minorHAnsi" w:hAnsiTheme="minorHAnsi"/>
          <w:sz w:val="22"/>
          <w:szCs w:val="22"/>
          <w:lang w:val="en-GB"/>
        </w:rPr>
        <w:t xml:space="preserve">the </w:t>
      </w:r>
      <w:r>
        <w:rPr>
          <w:rFonts w:asciiTheme="minorHAnsi" w:hAnsiTheme="minorHAnsi"/>
          <w:sz w:val="22"/>
          <w:szCs w:val="22"/>
          <w:lang w:val="en-GB"/>
        </w:rPr>
        <w:t>empirical method. Overall, with the boundary between complex intermetallic phase</w:t>
      </w:r>
      <w:r w:rsidR="009E1CED">
        <w:rPr>
          <w:rFonts w:asciiTheme="minorHAnsi" w:hAnsiTheme="minorHAnsi"/>
          <w:sz w:val="22"/>
          <w:szCs w:val="22"/>
          <w:lang w:val="en-GB"/>
        </w:rPr>
        <w:t>s</w:t>
      </w:r>
      <w:r>
        <w:rPr>
          <w:rFonts w:asciiTheme="minorHAnsi" w:hAnsiTheme="minorHAnsi"/>
          <w:sz w:val="22"/>
          <w:szCs w:val="22"/>
          <w:lang w:val="en-GB"/>
        </w:rPr>
        <w:t xml:space="preserve"> and simple solid solution phase</w:t>
      </w:r>
      <w:r w:rsidR="009E1CED">
        <w:rPr>
          <w:rFonts w:asciiTheme="minorHAnsi" w:hAnsiTheme="minorHAnsi"/>
          <w:sz w:val="22"/>
          <w:szCs w:val="22"/>
          <w:lang w:val="en-GB"/>
        </w:rPr>
        <w:t>s</w:t>
      </w:r>
      <w:r>
        <w:rPr>
          <w:rFonts w:asciiTheme="minorHAnsi" w:hAnsiTheme="minorHAnsi"/>
          <w:sz w:val="22"/>
          <w:szCs w:val="22"/>
          <w:lang w:val="en-GB"/>
        </w:rPr>
        <w:t xml:space="preserve"> </w:t>
      </w:r>
      <w:r w:rsidR="009E1CED">
        <w:rPr>
          <w:rFonts w:asciiTheme="minorHAnsi" w:hAnsiTheme="minorHAnsi"/>
          <w:sz w:val="22"/>
          <w:szCs w:val="22"/>
          <w:lang w:val="en-GB"/>
        </w:rPr>
        <w:t xml:space="preserve">being </w:t>
      </w:r>
      <w:r>
        <w:rPr>
          <w:rFonts w:asciiTheme="minorHAnsi" w:hAnsiTheme="minorHAnsi"/>
          <w:sz w:val="22"/>
          <w:szCs w:val="22"/>
          <w:lang w:val="en-GB"/>
        </w:rPr>
        <w:t>5.94 for mixing enthalpy deviation and 104.7 for formation enthalpy deviation, both</w:t>
      </w:r>
      <w:r w:rsidR="000E7230">
        <w:rPr>
          <w:rFonts w:asciiTheme="minorHAnsi" w:hAnsiTheme="minorHAnsi"/>
          <w:sz w:val="22"/>
          <w:szCs w:val="22"/>
          <w:lang w:val="en-GB"/>
        </w:rPr>
        <w:t xml:space="preserve"> the</w:t>
      </w:r>
      <w:r>
        <w:rPr>
          <w:rFonts w:asciiTheme="minorHAnsi" w:hAnsiTheme="minorHAnsi"/>
          <w:sz w:val="22"/>
          <w:szCs w:val="22"/>
          <w:lang w:val="en-GB"/>
        </w:rPr>
        <w:t xml:space="preserve"> PDF of mixing and formation enthalpy deviation map</w:t>
      </w:r>
      <w:r w:rsidR="009E1CED">
        <w:rPr>
          <w:rFonts w:asciiTheme="minorHAnsi" w:hAnsiTheme="minorHAnsi"/>
          <w:sz w:val="22"/>
          <w:szCs w:val="22"/>
          <w:lang w:val="en-GB"/>
        </w:rPr>
        <w:t>s</w:t>
      </w:r>
      <w:r>
        <w:rPr>
          <w:rFonts w:asciiTheme="minorHAnsi" w:hAnsiTheme="minorHAnsi"/>
          <w:sz w:val="22"/>
          <w:szCs w:val="22"/>
          <w:lang w:val="en-GB"/>
        </w:rPr>
        <w:t xml:space="preserve"> showing obvious discrimination </w:t>
      </w:r>
      <w:r w:rsidR="000E7230">
        <w:rPr>
          <w:rFonts w:asciiTheme="minorHAnsi" w:hAnsiTheme="minorHAnsi"/>
          <w:sz w:val="22"/>
          <w:szCs w:val="22"/>
          <w:lang w:val="en-GB"/>
        </w:rPr>
        <w:t>between</w:t>
      </w:r>
      <w:r>
        <w:rPr>
          <w:rFonts w:asciiTheme="minorHAnsi" w:hAnsiTheme="minorHAnsi"/>
          <w:sz w:val="22"/>
          <w:szCs w:val="22"/>
          <w:lang w:val="en-GB"/>
        </w:rPr>
        <w:t xml:space="preserve"> simple solid solution and complex intermetallic phases. </w:t>
      </w:r>
      <w:r w:rsidRPr="00D80AF7">
        <w:rPr>
          <w:rFonts w:asciiTheme="minorHAnsi" w:hAnsiTheme="minorHAnsi"/>
          <w:sz w:val="22"/>
          <w:szCs w:val="22"/>
          <w:lang w:val="en-GB"/>
        </w:rPr>
        <w:t xml:space="preserve">This </w:t>
      </w:r>
      <w:r>
        <w:rPr>
          <w:rFonts w:asciiTheme="minorHAnsi" w:hAnsiTheme="minorHAnsi"/>
          <w:sz w:val="22"/>
          <w:szCs w:val="22"/>
          <w:lang w:val="en-GB"/>
        </w:rPr>
        <w:t xml:space="preserve">is in agreement with </w:t>
      </w:r>
      <w:r>
        <w:rPr>
          <w:rFonts w:asciiTheme="minorHAnsi" w:hAnsiTheme="minorHAnsi" w:hint="eastAsia"/>
          <w:sz w:val="22"/>
          <w:szCs w:val="22"/>
          <w:lang w:val="en-GB"/>
        </w:rPr>
        <w:t>the</w:t>
      </w:r>
      <w:r w:rsidRPr="00D80AF7">
        <w:rPr>
          <w:rFonts w:asciiTheme="minorHAnsi" w:hAnsiTheme="minorHAnsi"/>
          <w:sz w:val="22"/>
          <w:szCs w:val="22"/>
          <w:lang w:val="en-GB"/>
        </w:rPr>
        <w:t xml:space="preserve"> pre</w:t>
      </w:r>
      <w:r w:rsidRPr="007C247B">
        <w:rPr>
          <w:rFonts w:asciiTheme="minorHAnsi" w:hAnsiTheme="minorHAnsi"/>
          <w:noProof/>
          <w:sz w:val="22"/>
          <w:szCs w:val="22"/>
          <w:lang w:val="en-GB"/>
        </w:rPr>
        <w:t>vious di</w:t>
      </w:r>
      <w:r w:rsidRPr="00D80AF7">
        <w:rPr>
          <w:rFonts w:asciiTheme="minorHAnsi" w:hAnsiTheme="minorHAnsi"/>
          <w:sz w:val="22"/>
          <w:szCs w:val="22"/>
          <w:lang w:val="en-GB"/>
        </w:rPr>
        <w:t xml:space="preserve">scussion </w:t>
      </w:r>
      <w:r>
        <w:rPr>
          <w:rFonts w:asciiTheme="minorHAnsi" w:hAnsiTheme="minorHAnsi"/>
          <w:sz w:val="22"/>
          <w:szCs w:val="22"/>
          <w:lang w:val="en-GB"/>
        </w:rPr>
        <w:t>that described</w:t>
      </w:r>
      <w:r w:rsidRPr="00D80AF7">
        <w:rPr>
          <w:rFonts w:asciiTheme="minorHAnsi" w:hAnsiTheme="minorHAnsi"/>
          <w:sz w:val="22"/>
          <w:szCs w:val="22"/>
          <w:lang w:val="en-GB"/>
        </w:rPr>
        <w:t xml:space="preserve"> the potential of using mixing/formation enthalpy as</w:t>
      </w:r>
      <w:r>
        <w:rPr>
          <w:rFonts w:asciiTheme="minorHAnsi" w:hAnsiTheme="minorHAnsi"/>
          <w:sz w:val="22"/>
          <w:szCs w:val="22"/>
          <w:lang w:val="en-GB"/>
        </w:rPr>
        <w:t xml:space="preserve"> </w:t>
      </w:r>
      <w:r w:rsidRPr="00D80AF7">
        <w:rPr>
          <w:rFonts w:asciiTheme="minorHAnsi" w:hAnsiTheme="minorHAnsi"/>
          <w:sz w:val="22"/>
          <w:szCs w:val="22"/>
          <w:lang w:val="en-GB"/>
        </w:rPr>
        <w:t>an emp</w:t>
      </w:r>
      <w:r w:rsidRPr="00D80AF7">
        <w:rPr>
          <w:rFonts w:asciiTheme="minorHAnsi" w:hAnsiTheme="minorHAnsi"/>
          <w:noProof/>
          <w:sz w:val="22"/>
          <w:szCs w:val="22"/>
          <w:lang w:val="en-GB"/>
        </w:rPr>
        <w:t>irical pa</w:t>
      </w:r>
      <w:r w:rsidRPr="00D80AF7">
        <w:rPr>
          <w:rFonts w:asciiTheme="minorHAnsi" w:hAnsiTheme="minorHAnsi"/>
          <w:sz w:val="22"/>
          <w:szCs w:val="22"/>
          <w:lang w:val="en-GB"/>
        </w:rPr>
        <w:t>rameter to predict the bond locali</w:t>
      </w:r>
      <w:r>
        <w:rPr>
          <w:rFonts w:asciiTheme="minorHAnsi" w:hAnsiTheme="minorHAnsi"/>
          <w:sz w:val="22"/>
          <w:szCs w:val="22"/>
          <w:lang w:val="en-GB"/>
        </w:rPr>
        <w:t>s</w:t>
      </w:r>
      <w:r w:rsidRPr="00D80AF7">
        <w:rPr>
          <w:rFonts w:asciiTheme="minorHAnsi" w:hAnsiTheme="minorHAnsi"/>
          <w:sz w:val="22"/>
          <w:szCs w:val="22"/>
          <w:lang w:val="en-GB"/>
        </w:rPr>
        <w:t xml:space="preserve">ation extent of HEAs candidates. </w:t>
      </w:r>
    </w:p>
    <w:p w14:paraId="683D8C66" w14:textId="77777777" w:rsidR="00B145BE" w:rsidRPr="00486118" w:rsidRDefault="00B145BE" w:rsidP="00B145BE">
      <w:pPr>
        <w:pStyle w:val="Normal1"/>
        <w:spacing w:after="120" w:line="360" w:lineRule="auto"/>
        <w:jc w:val="center"/>
        <w:rPr>
          <w:rFonts w:asciiTheme="minorHAnsi" w:hAnsiTheme="minorHAnsi"/>
          <w:sz w:val="22"/>
          <w:szCs w:val="22"/>
          <w:lang w:val="en-GB"/>
        </w:rPr>
      </w:pPr>
      <w:r w:rsidRPr="00E74B13">
        <w:rPr>
          <w:noProof/>
          <w:lang w:val="en-GB"/>
        </w:rPr>
        <w:drawing>
          <wp:inline distT="0" distB="0" distL="0" distR="0" wp14:anchorId="7139CFB5" wp14:editId="51E23A87">
            <wp:extent cx="4301655" cy="4486863"/>
            <wp:effectExtent l="0" t="0" r="3810" b="9525"/>
            <wp:docPr id="226" name="图片 23" descr="图片包含 文字, 地图&#10;&#10;描述已自动生成">
              <a:extLst xmlns:a="http://schemas.openxmlformats.org/drawingml/2006/main">
                <a:ext uri="{FF2B5EF4-FFF2-40B4-BE49-F238E27FC236}">
                  <a16:creationId xmlns:a16="http://schemas.microsoft.com/office/drawing/2014/main" id="{D7181CD1-BA39-4BAC-9442-389B37271E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图片包含 文字, 地图&#10;&#10;描述已自动生成">
                      <a:extLst>
                        <a:ext uri="{FF2B5EF4-FFF2-40B4-BE49-F238E27FC236}">
                          <a16:creationId xmlns:a16="http://schemas.microsoft.com/office/drawing/2014/main" id="{D7181CD1-BA39-4BAC-9442-389B37271EB0}"/>
                        </a:ext>
                      </a:extLst>
                    </pic:cNvPr>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4322474" cy="4508578"/>
                    </a:xfrm>
                    <a:prstGeom prst="rect">
                      <a:avLst/>
                    </a:prstGeom>
                  </pic:spPr>
                </pic:pic>
              </a:graphicData>
            </a:graphic>
          </wp:inline>
        </w:drawing>
      </w:r>
    </w:p>
    <w:p w14:paraId="1C40142D" w14:textId="5B394B7C" w:rsidR="00B145BE" w:rsidRPr="00D80AF7" w:rsidRDefault="00B145BE" w:rsidP="00B145BE">
      <w:pPr>
        <w:pStyle w:val="Normal1"/>
        <w:spacing w:after="60" w:line="360" w:lineRule="auto"/>
        <w:jc w:val="both"/>
        <w:rPr>
          <w:rFonts w:asciiTheme="minorHAnsi" w:hAnsiTheme="minorHAnsi"/>
          <w:sz w:val="20"/>
          <w:szCs w:val="20"/>
          <w:lang w:val="en-GB"/>
        </w:rPr>
      </w:pPr>
      <w:bookmarkStart w:id="218" w:name="_Toc7364587"/>
      <w:bookmarkStart w:id="219" w:name="_Toc39312701"/>
      <w:r w:rsidRPr="00D80AF7">
        <w:rPr>
          <w:rFonts w:asciiTheme="minorHAnsi" w:hAnsiTheme="minorHAnsi"/>
          <w:b/>
          <w:sz w:val="20"/>
          <w:szCs w:val="20"/>
          <w:lang w:val="en-GB"/>
        </w:rPr>
        <w:t>Figure</w:t>
      </w:r>
      <w:r>
        <w:rPr>
          <w:rFonts w:asciiTheme="minorHAnsi" w:hAnsiTheme="minorHAnsi"/>
          <w:b/>
          <w:sz w:val="20"/>
          <w:szCs w:val="20"/>
          <w:lang w:val="en-GB"/>
        </w:rPr>
        <w:t xml:space="preserve"> 4-</w:t>
      </w:r>
      <w:r w:rsidRPr="00EC6DE1">
        <w:rPr>
          <w:rFonts w:asciiTheme="minorHAnsi" w:hAnsiTheme="minorHAnsi"/>
          <w:b/>
          <w:sz w:val="20"/>
        </w:rPr>
        <w:fldChar w:fldCharType="begin"/>
      </w:r>
      <w:r w:rsidRPr="00EC6DE1">
        <w:rPr>
          <w:rFonts w:asciiTheme="minorHAnsi" w:hAnsiTheme="minorHAnsi"/>
          <w:b/>
          <w:sz w:val="20"/>
        </w:rPr>
        <w:instrText xml:space="preserve"> SEQ Figure \* ARABIC </w:instrText>
      </w:r>
      <w:r w:rsidRPr="00EC6DE1">
        <w:rPr>
          <w:rFonts w:asciiTheme="minorHAnsi" w:hAnsiTheme="minorHAnsi"/>
          <w:b/>
          <w:sz w:val="20"/>
        </w:rPr>
        <w:fldChar w:fldCharType="separate"/>
      </w:r>
      <w:r>
        <w:rPr>
          <w:rFonts w:asciiTheme="minorHAnsi" w:hAnsiTheme="minorHAnsi"/>
          <w:b/>
          <w:noProof/>
          <w:sz w:val="20"/>
        </w:rPr>
        <w:t>1</w:t>
      </w:r>
      <w:r w:rsidRPr="00EC6DE1">
        <w:rPr>
          <w:rFonts w:asciiTheme="minorHAnsi" w:hAnsiTheme="minorHAnsi"/>
          <w:b/>
          <w:sz w:val="20"/>
        </w:rPr>
        <w:fldChar w:fldCharType="end"/>
      </w:r>
      <w:r w:rsidRPr="00D80AF7">
        <w:rPr>
          <w:rFonts w:asciiTheme="minorHAnsi" w:hAnsiTheme="minorHAnsi"/>
          <w:sz w:val="20"/>
          <w:szCs w:val="20"/>
          <w:lang w:val="en-GB"/>
        </w:rPr>
        <w:t xml:space="preserve"> (</w:t>
      </w:r>
      <w:r w:rsidRPr="00D80AF7">
        <w:rPr>
          <w:rFonts w:asciiTheme="minorHAnsi" w:hAnsiTheme="minorHAnsi"/>
          <w:b/>
          <w:sz w:val="20"/>
          <w:szCs w:val="20"/>
          <w:lang w:val="en-GB"/>
        </w:rPr>
        <w:t>a</w:t>
      </w:r>
      <w:r w:rsidRPr="00D80AF7">
        <w:rPr>
          <w:rFonts w:asciiTheme="minorHAnsi" w:hAnsiTheme="minorHAnsi"/>
          <w:sz w:val="20"/>
          <w:szCs w:val="20"/>
          <w:lang w:val="en-GB"/>
        </w:rPr>
        <w:t xml:space="preserve">) </w:t>
      </w:r>
      <w:r>
        <w:rPr>
          <w:rFonts w:asciiTheme="minorHAnsi" w:hAnsiTheme="minorHAnsi"/>
          <w:sz w:val="20"/>
          <w:szCs w:val="20"/>
          <w:lang w:val="en-GB"/>
        </w:rPr>
        <w:t>b</w:t>
      </w:r>
      <w:r w:rsidRPr="00D80AF7">
        <w:rPr>
          <w:rFonts w:asciiTheme="minorHAnsi" w:hAnsiTheme="minorHAnsi"/>
          <w:sz w:val="20"/>
          <w:szCs w:val="20"/>
          <w:lang w:val="en-GB"/>
        </w:rPr>
        <w:t xml:space="preserve">iplot of mixing enthalpy deviation towards </w:t>
      </w:r>
      <w:r w:rsidRPr="00E062D9">
        <w:rPr>
          <w:rFonts w:asciiTheme="minorHAnsi" w:hAnsiTheme="minorHAnsi"/>
          <w:i/>
          <w:sz w:val="20"/>
          <w:szCs w:val="20"/>
          <w:lang w:val="en-GB"/>
        </w:rPr>
        <w:t>VEC</w:t>
      </w:r>
      <w:r>
        <w:rPr>
          <w:rFonts w:asciiTheme="minorHAnsi" w:hAnsiTheme="minorHAnsi"/>
          <w:sz w:val="20"/>
          <w:szCs w:val="20"/>
          <w:lang w:val="en-GB"/>
        </w:rPr>
        <w:t>; bottom panel is PDF of BCC, FCC, intermetallic and Al contained HEAs.</w:t>
      </w:r>
      <w:r w:rsidRPr="00D80AF7">
        <w:rPr>
          <w:rFonts w:asciiTheme="minorHAnsi" w:hAnsiTheme="minorHAnsi"/>
          <w:sz w:val="20"/>
          <w:szCs w:val="20"/>
          <w:lang w:val="en-GB"/>
        </w:rPr>
        <w:t xml:space="preserve"> (</w:t>
      </w:r>
      <w:r w:rsidRPr="00D80AF7">
        <w:rPr>
          <w:rFonts w:asciiTheme="minorHAnsi" w:hAnsiTheme="minorHAnsi"/>
          <w:b/>
          <w:sz w:val="20"/>
          <w:szCs w:val="20"/>
          <w:lang w:val="en-GB"/>
        </w:rPr>
        <w:t>b</w:t>
      </w:r>
      <w:r w:rsidRPr="00D80AF7">
        <w:rPr>
          <w:rFonts w:asciiTheme="minorHAnsi" w:hAnsiTheme="minorHAnsi"/>
          <w:sz w:val="20"/>
          <w:szCs w:val="20"/>
          <w:lang w:val="en-GB"/>
        </w:rPr>
        <w:t xml:space="preserve">) biplot of formation enthalpy deviation towards </w:t>
      </w:r>
      <w:r w:rsidRPr="00E062D9">
        <w:rPr>
          <w:rFonts w:asciiTheme="minorHAnsi" w:hAnsiTheme="minorHAnsi"/>
          <w:i/>
          <w:sz w:val="20"/>
          <w:szCs w:val="20"/>
          <w:lang w:val="en-GB"/>
        </w:rPr>
        <w:t>VEC</w:t>
      </w:r>
      <w:r>
        <w:rPr>
          <w:rFonts w:asciiTheme="minorHAnsi" w:hAnsiTheme="minorHAnsi"/>
          <w:sz w:val="20"/>
          <w:szCs w:val="20"/>
          <w:lang w:val="en-GB"/>
        </w:rPr>
        <w:t>; bottom panel is PDF of BCC, FCC, intermetallic and Al contained HEAs.</w:t>
      </w:r>
      <w:r w:rsidRPr="00D80AF7">
        <w:rPr>
          <w:rFonts w:asciiTheme="minorHAnsi" w:hAnsiTheme="minorHAnsi"/>
          <w:sz w:val="20"/>
          <w:szCs w:val="20"/>
          <w:lang w:val="en-GB"/>
        </w:rPr>
        <w:t xml:space="preserve"> (</w:t>
      </w:r>
      <w:r w:rsidRPr="00D80AF7">
        <w:rPr>
          <w:rFonts w:asciiTheme="minorHAnsi" w:hAnsiTheme="minorHAnsi"/>
          <w:b/>
          <w:sz w:val="20"/>
          <w:szCs w:val="20"/>
          <w:lang w:val="en-GB"/>
        </w:rPr>
        <w:t>c</w:t>
      </w:r>
      <w:r w:rsidRPr="00D80AF7">
        <w:rPr>
          <w:rFonts w:asciiTheme="minorHAnsi" w:hAnsiTheme="minorHAnsi"/>
          <w:sz w:val="20"/>
          <w:szCs w:val="20"/>
          <w:lang w:val="en-GB"/>
        </w:rPr>
        <w:t>)</w:t>
      </w:r>
      <w:r>
        <w:rPr>
          <w:rFonts w:asciiTheme="minorHAnsi" w:hAnsiTheme="minorHAnsi"/>
          <w:sz w:val="20"/>
          <w:szCs w:val="20"/>
          <w:lang w:val="en-GB"/>
        </w:rPr>
        <w:t xml:space="preserve"> </w:t>
      </w:r>
      <w:r w:rsidRPr="00D80AF7">
        <w:rPr>
          <w:rFonts w:asciiTheme="minorHAnsi" w:hAnsiTheme="minorHAnsi"/>
          <w:sz w:val="20"/>
          <w:szCs w:val="20"/>
          <w:lang w:val="en-GB"/>
        </w:rPr>
        <w:t>biplot of mixing enthalpy deviation against deformation</w:t>
      </w:r>
      <w:r>
        <w:rPr>
          <w:rFonts w:asciiTheme="minorHAnsi" w:hAnsiTheme="minorHAnsi"/>
          <w:sz w:val="20"/>
          <w:szCs w:val="20"/>
          <w:lang w:val="en-GB"/>
        </w:rPr>
        <w:t xml:space="preserve"> during compression testing</w:t>
      </w:r>
      <w:r w:rsidRPr="00D80AF7">
        <w:rPr>
          <w:rFonts w:asciiTheme="minorHAnsi" w:hAnsiTheme="minorHAnsi"/>
          <w:sz w:val="20"/>
          <w:szCs w:val="20"/>
          <w:lang w:val="en-GB"/>
        </w:rPr>
        <w:t xml:space="preserve"> (</w:t>
      </w:r>
      <w:r>
        <w:rPr>
          <w:rFonts w:asciiTheme="minorHAnsi" w:hAnsiTheme="minorHAnsi"/>
          <w:sz w:val="20"/>
          <w:szCs w:val="20"/>
          <w:lang w:val="en-GB"/>
        </w:rPr>
        <w:t>RHEAs</w:t>
      </w:r>
      <w:r w:rsidRPr="00D80AF7">
        <w:rPr>
          <w:rFonts w:asciiTheme="minorHAnsi" w:hAnsiTheme="minorHAnsi" w:cstheme="minorHAnsi"/>
          <w:sz w:val="20"/>
          <w:szCs w:val="20"/>
          <w:lang w:val="en-GB"/>
        </w:rPr>
        <w:t xml:space="preserve"> test</w:t>
      </w:r>
      <w:r>
        <w:rPr>
          <w:rFonts w:asciiTheme="minorHAnsi" w:hAnsiTheme="minorHAnsi" w:cstheme="minorHAnsi"/>
          <w:sz w:val="20"/>
          <w:szCs w:val="20"/>
          <w:lang w:val="en-GB"/>
        </w:rPr>
        <w:t>ed</w:t>
      </w:r>
      <w:r w:rsidRPr="00D80AF7">
        <w:rPr>
          <w:rFonts w:asciiTheme="minorHAnsi" w:hAnsiTheme="minorHAnsi" w:cstheme="minorHAnsi"/>
          <w:sz w:val="20"/>
          <w:szCs w:val="20"/>
          <w:lang w:val="en-GB"/>
        </w:rPr>
        <w:t xml:space="preserve"> until</w:t>
      </w:r>
      <w:r w:rsidRPr="00D80AF7">
        <w:rPr>
          <w:rFonts w:asciiTheme="minorHAnsi" w:hAnsiTheme="minorHAnsi"/>
          <w:sz w:val="20"/>
          <w:szCs w:val="20"/>
          <w:lang w:val="en-GB"/>
        </w:rPr>
        <w:t xml:space="preserve"> failure</w:t>
      </w:r>
      <w:r w:rsidRPr="00D80AF7">
        <w:rPr>
          <w:rFonts w:asciiTheme="minorHAnsi" w:hAnsiTheme="minorHAnsi" w:cstheme="minorHAnsi"/>
          <w:sz w:val="20"/>
          <w:szCs w:val="20"/>
          <w:lang w:val="en-GB"/>
        </w:rPr>
        <w:t>)</w:t>
      </w:r>
      <w:r w:rsidRPr="00D80AF7">
        <w:rPr>
          <w:rFonts w:asciiTheme="minorHAnsi" w:hAnsiTheme="minorHAnsi"/>
          <w:sz w:val="20"/>
          <w:szCs w:val="20"/>
          <w:lang w:val="en-GB"/>
        </w:rPr>
        <w:t xml:space="preserve"> </w:t>
      </w:r>
      <w:r>
        <w:rPr>
          <w:rFonts w:asciiTheme="minorHAnsi" w:hAnsiTheme="minorHAnsi"/>
          <w:sz w:val="20"/>
          <w:szCs w:val="20"/>
          <w:lang w:val="en-GB"/>
        </w:rPr>
        <w:t xml:space="preserve">and </w:t>
      </w:r>
      <w:r w:rsidRPr="00D80AF7">
        <w:rPr>
          <w:rFonts w:asciiTheme="minorHAnsi" w:hAnsiTheme="minorHAnsi"/>
          <w:sz w:val="20"/>
          <w:szCs w:val="20"/>
          <w:lang w:val="en-GB"/>
        </w:rPr>
        <w:t>deformation</w:t>
      </w:r>
      <w:r>
        <w:rPr>
          <w:rFonts w:asciiTheme="minorHAnsi" w:hAnsiTheme="minorHAnsi"/>
          <w:sz w:val="20"/>
          <w:szCs w:val="20"/>
          <w:lang w:val="en-GB"/>
        </w:rPr>
        <w:t xml:space="preserve"> during </w:t>
      </w:r>
      <w:r w:rsidRPr="00D80AF7">
        <w:rPr>
          <w:rFonts w:asciiTheme="minorHAnsi" w:hAnsiTheme="minorHAnsi"/>
          <w:sz w:val="20"/>
          <w:szCs w:val="20"/>
          <w:lang w:val="en-GB"/>
        </w:rPr>
        <w:t>tensile test</w:t>
      </w:r>
      <w:r>
        <w:rPr>
          <w:rFonts w:asciiTheme="minorHAnsi" w:hAnsiTheme="minorHAnsi"/>
          <w:sz w:val="20"/>
          <w:szCs w:val="20"/>
          <w:lang w:val="en-GB"/>
        </w:rPr>
        <w:t>ing</w:t>
      </w:r>
      <w:r w:rsidRPr="00D80AF7">
        <w:rPr>
          <w:rFonts w:asciiTheme="minorHAnsi" w:hAnsiTheme="minorHAnsi"/>
          <w:sz w:val="20"/>
          <w:szCs w:val="20"/>
          <w:lang w:val="en-GB"/>
        </w:rPr>
        <w:t xml:space="preserve"> (3</w:t>
      </w:r>
      <w:r w:rsidRPr="00D66B74">
        <w:rPr>
          <w:rFonts w:asciiTheme="minorHAnsi" w:hAnsiTheme="minorHAnsi"/>
          <w:i/>
          <w:sz w:val="20"/>
          <w:szCs w:val="20"/>
          <w:lang w:val="en-GB"/>
        </w:rPr>
        <w:t>d</w:t>
      </w:r>
      <w:r w:rsidRPr="00D80AF7">
        <w:rPr>
          <w:rFonts w:asciiTheme="minorHAnsi" w:hAnsiTheme="minorHAnsi"/>
          <w:sz w:val="20"/>
          <w:szCs w:val="20"/>
          <w:lang w:val="en-GB"/>
        </w:rPr>
        <w:t xml:space="preserve"> transition HEAs test</w:t>
      </w:r>
      <w:r>
        <w:rPr>
          <w:rFonts w:asciiTheme="minorHAnsi" w:hAnsiTheme="minorHAnsi"/>
          <w:sz w:val="20"/>
          <w:szCs w:val="20"/>
          <w:lang w:val="en-GB"/>
        </w:rPr>
        <w:t>ed</w:t>
      </w:r>
      <w:r w:rsidRPr="00D80AF7">
        <w:rPr>
          <w:rFonts w:asciiTheme="minorHAnsi" w:hAnsiTheme="minorHAnsi"/>
          <w:sz w:val="20"/>
          <w:szCs w:val="20"/>
          <w:lang w:val="en-GB"/>
        </w:rPr>
        <w:t xml:space="preserve"> until failure)</w:t>
      </w:r>
      <w:r>
        <w:rPr>
          <w:rFonts w:asciiTheme="minorHAnsi" w:hAnsiTheme="minorHAnsi"/>
          <w:sz w:val="20"/>
          <w:szCs w:val="20"/>
          <w:lang w:val="en-GB"/>
        </w:rPr>
        <w:t>; and</w:t>
      </w:r>
      <w:r w:rsidRPr="00D80AF7">
        <w:rPr>
          <w:rFonts w:asciiTheme="minorHAnsi" w:hAnsiTheme="minorHAnsi" w:cstheme="minorHAnsi"/>
          <w:sz w:val="20"/>
          <w:szCs w:val="20"/>
          <w:lang w:val="en-GB"/>
        </w:rPr>
        <w:t xml:space="preserve"> (</w:t>
      </w:r>
      <w:r w:rsidRPr="00D80AF7">
        <w:rPr>
          <w:rFonts w:asciiTheme="minorHAnsi" w:hAnsiTheme="minorHAnsi" w:cstheme="minorHAnsi"/>
          <w:b/>
          <w:sz w:val="20"/>
          <w:szCs w:val="20"/>
          <w:lang w:val="en-GB"/>
        </w:rPr>
        <w:t>d</w:t>
      </w:r>
      <w:r w:rsidRPr="00D80AF7">
        <w:rPr>
          <w:rFonts w:asciiTheme="minorHAnsi" w:hAnsiTheme="minorHAnsi" w:cstheme="minorHAnsi"/>
          <w:sz w:val="20"/>
          <w:szCs w:val="20"/>
          <w:lang w:val="en-GB"/>
        </w:rPr>
        <w:t>)</w:t>
      </w:r>
      <w:r w:rsidRPr="00D80AF7">
        <w:rPr>
          <w:rFonts w:asciiTheme="minorHAnsi" w:hAnsiTheme="minorHAnsi"/>
          <w:sz w:val="20"/>
          <w:szCs w:val="20"/>
          <w:lang w:val="en-GB"/>
        </w:rPr>
        <w:t xml:space="preserve"> biplot of formation enthalpy deviation against deformation </w:t>
      </w:r>
      <w:r>
        <w:rPr>
          <w:rFonts w:asciiTheme="minorHAnsi" w:hAnsiTheme="minorHAnsi"/>
          <w:sz w:val="20"/>
          <w:szCs w:val="20"/>
          <w:lang w:val="en-GB"/>
        </w:rPr>
        <w:t xml:space="preserve">during compression testing </w:t>
      </w:r>
      <w:r w:rsidRPr="00D80AF7">
        <w:rPr>
          <w:rFonts w:asciiTheme="minorHAnsi" w:hAnsiTheme="minorHAnsi"/>
          <w:sz w:val="20"/>
          <w:szCs w:val="20"/>
          <w:lang w:val="en-GB"/>
        </w:rPr>
        <w:t>(</w:t>
      </w:r>
      <w:r>
        <w:rPr>
          <w:rFonts w:asciiTheme="minorHAnsi" w:hAnsiTheme="minorHAnsi"/>
          <w:sz w:val="20"/>
          <w:szCs w:val="20"/>
          <w:lang w:val="en-GB"/>
        </w:rPr>
        <w:t>R</w:t>
      </w:r>
      <w:r w:rsidRPr="00D80AF7">
        <w:rPr>
          <w:rFonts w:asciiTheme="minorHAnsi" w:hAnsiTheme="minorHAnsi" w:cstheme="minorHAnsi"/>
          <w:sz w:val="20"/>
          <w:szCs w:val="20"/>
          <w:lang w:val="en-GB"/>
        </w:rPr>
        <w:t>HEAs test</w:t>
      </w:r>
      <w:r>
        <w:rPr>
          <w:rFonts w:asciiTheme="minorHAnsi" w:hAnsiTheme="minorHAnsi" w:cstheme="minorHAnsi"/>
          <w:sz w:val="20"/>
          <w:szCs w:val="20"/>
          <w:lang w:val="en-GB"/>
        </w:rPr>
        <w:t>ed</w:t>
      </w:r>
      <w:r w:rsidRPr="00D80AF7">
        <w:rPr>
          <w:rFonts w:asciiTheme="minorHAnsi" w:hAnsiTheme="minorHAnsi" w:cstheme="minorHAnsi"/>
          <w:sz w:val="20"/>
          <w:szCs w:val="20"/>
          <w:lang w:val="en-GB"/>
        </w:rPr>
        <w:t xml:space="preserve"> until</w:t>
      </w:r>
      <w:r w:rsidRPr="00D80AF7">
        <w:rPr>
          <w:rFonts w:asciiTheme="minorHAnsi" w:hAnsiTheme="minorHAnsi"/>
          <w:sz w:val="20"/>
          <w:szCs w:val="20"/>
          <w:lang w:val="en-GB"/>
        </w:rPr>
        <w:t xml:space="preserve"> failure</w:t>
      </w:r>
      <w:r w:rsidRPr="00D80AF7">
        <w:rPr>
          <w:rFonts w:asciiTheme="minorHAnsi" w:hAnsiTheme="minorHAnsi" w:cstheme="minorHAnsi"/>
          <w:sz w:val="20"/>
          <w:szCs w:val="20"/>
          <w:lang w:val="en-GB"/>
        </w:rPr>
        <w:t>)</w:t>
      </w:r>
      <w:r w:rsidRPr="00D80AF7">
        <w:rPr>
          <w:rFonts w:asciiTheme="minorHAnsi" w:hAnsiTheme="minorHAnsi"/>
          <w:sz w:val="20"/>
          <w:szCs w:val="20"/>
          <w:lang w:val="en-GB"/>
        </w:rPr>
        <w:t xml:space="preserve"> deformation</w:t>
      </w:r>
      <w:r>
        <w:rPr>
          <w:rFonts w:asciiTheme="minorHAnsi" w:hAnsiTheme="minorHAnsi"/>
          <w:sz w:val="20"/>
          <w:szCs w:val="20"/>
          <w:lang w:val="en-GB"/>
        </w:rPr>
        <w:t xml:space="preserve"> during </w:t>
      </w:r>
      <w:r w:rsidRPr="00D80AF7">
        <w:rPr>
          <w:rFonts w:asciiTheme="minorHAnsi" w:hAnsiTheme="minorHAnsi"/>
          <w:sz w:val="20"/>
          <w:szCs w:val="20"/>
          <w:lang w:val="en-GB"/>
        </w:rPr>
        <w:t>tensile test</w:t>
      </w:r>
      <w:r>
        <w:rPr>
          <w:rFonts w:asciiTheme="minorHAnsi" w:hAnsiTheme="minorHAnsi"/>
          <w:sz w:val="20"/>
          <w:szCs w:val="20"/>
          <w:lang w:val="en-GB"/>
        </w:rPr>
        <w:t>ing</w:t>
      </w:r>
      <w:r w:rsidRPr="00D80AF7">
        <w:rPr>
          <w:rFonts w:asciiTheme="minorHAnsi" w:hAnsiTheme="minorHAnsi"/>
          <w:sz w:val="20"/>
          <w:szCs w:val="20"/>
          <w:lang w:val="en-GB"/>
        </w:rPr>
        <w:t xml:space="preserve"> (3</w:t>
      </w:r>
      <w:r w:rsidRPr="00D66B74">
        <w:rPr>
          <w:rFonts w:asciiTheme="minorHAnsi" w:hAnsiTheme="minorHAnsi"/>
          <w:i/>
          <w:sz w:val="20"/>
          <w:szCs w:val="20"/>
          <w:lang w:val="en-GB"/>
        </w:rPr>
        <w:t>d</w:t>
      </w:r>
      <w:r w:rsidRPr="00D80AF7">
        <w:rPr>
          <w:rFonts w:asciiTheme="minorHAnsi" w:hAnsiTheme="minorHAnsi"/>
          <w:sz w:val="20"/>
          <w:szCs w:val="20"/>
          <w:lang w:val="en-GB"/>
        </w:rPr>
        <w:t xml:space="preserve"> transition HEAs test</w:t>
      </w:r>
      <w:r>
        <w:rPr>
          <w:rFonts w:asciiTheme="minorHAnsi" w:hAnsiTheme="minorHAnsi"/>
          <w:sz w:val="20"/>
          <w:szCs w:val="20"/>
          <w:lang w:val="en-GB"/>
        </w:rPr>
        <w:t xml:space="preserve">ed </w:t>
      </w:r>
      <w:r w:rsidRPr="00D80AF7">
        <w:rPr>
          <w:rFonts w:asciiTheme="minorHAnsi" w:hAnsiTheme="minorHAnsi"/>
          <w:sz w:val="20"/>
          <w:szCs w:val="20"/>
          <w:lang w:val="en-GB"/>
        </w:rPr>
        <w:t>until failure)</w:t>
      </w:r>
      <w:bookmarkEnd w:id="218"/>
      <w:r>
        <w:rPr>
          <w:rFonts w:asciiTheme="minorHAnsi" w:hAnsiTheme="minorHAnsi"/>
          <w:sz w:val="20"/>
          <w:szCs w:val="20"/>
          <w:lang w:val="en-GB"/>
        </w:rPr>
        <w:t>.</w:t>
      </w:r>
      <w:bookmarkEnd w:id="219"/>
      <w:r w:rsidRPr="00D80AF7">
        <w:rPr>
          <w:rFonts w:asciiTheme="minorHAnsi" w:hAnsiTheme="minorHAnsi"/>
          <w:b/>
          <w:sz w:val="20"/>
          <w:szCs w:val="20"/>
          <w:lang w:val="en-GB"/>
        </w:rPr>
        <w:t xml:space="preserve"> </w:t>
      </w:r>
    </w:p>
    <w:p w14:paraId="6152C422" w14:textId="3D8334F9" w:rsidR="00B145BE" w:rsidRPr="00D80AF7" w:rsidRDefault="00B145BE" w:rsidP="00B145BE">
      <w:pPr>
        <w:pStyle w:val="Normal1"/>
        <w:spacing w:afterLines="60" w:after="144" w:line="360" w:lineRule="auto"/>
        <w:jc w:val="both"/>
        <w:rPr>
          <w:rFonts w:asciiTheme="minorHAnsi" w:hAnsiTheme="minorHAnsi"/>
          <w:sz w:val="22"/>
          <w:szCs w:val="22"/>
          <w:lang w:val="en-GB"/>
        </w:rPr>
      </w:pPr>
      <w:r>
        <w:rPr>
          <w:rFonts w:asciiTheme="minorHAnsi" w:hAnsiTheme="minorHAnsi"/>
          <w:noProof/>
          <w:sz w:val="22"/>
          <w:szCs w:val="22"/>
          <w:lang w:val="en-GB"/>
        </w:rPr>
        <w:lastRenderedPageBreak/>
        <w:t xml:space="preserve">When comparing </w:t>
      </w:r>
      <w:r w:rsidRPr="00D80AF7">
        <w:rPr>
          <w:rFonts w:asciiTheme="minorHAnsi" w:eastAsia="等线" w:hAnsiTheme="minorHAnsi" w:cstheme="minorHAnsi"/>
          <w:i/>
          <w:sz w:val="22"/>
          <w:szCs w:val="22"/>
          <w:lang w:val="en-GB"/>
        </w:rPr>
        <w:t>σ</w:t>
      </w:r>
      <w:r>
        <w:rPr>
          <w:rFonts w:asciiTheme="minorHAnsi" w:eastAsia="等线" w:hAnsiTheme="minorHAnsi" w:cstheme="minorHAnsi"/>
          <w:sz w:val="22"/>
          <w:szCs w:val="22"/>
          <w:lang w:val="en-GB"/>
        </w:rPr>
        <w:t xml:space="preserve"> with </w:t>
      </w:r>
      <w:r w:rsidRPr="00DC7879">
        <w:rPr>
          <w:rFonts w:asciiTheme="minorHAnsi" w:eastAsia="等线" w:hAnsiTheme="minorHAnsi" w:cstheme="minorHAnsi"/>
          <w:i/>
          <w:sz w:val="22"/>
          <w:szCs w:val="22"/>
          <w:lang w:val="en-GB"/>
        </w:rPr>
        <w:t>VEC</w:t>
      </w:r>
      <w:r>
        <w:rPr>
          <w:rFonts w:asciiTheme="minorHAnsi" w:eastAsia="等线" w:hAnsiTheme="minorHAnsi" w:cstheme="minorHAnsi"/>
          <w:sz w:val="22"/>
          <w:szCs w:val="22"/>
          <w:lang w:val="en-GB"/>
        </w:rPr>
        <w:t xml:space="preserve">, it appears </w:t>
      </w:r>
      <w:r w:rsidRPr="00DC7879">
        <w:rPr>
          <w:rFonts w:asciiTheme="minorHAnsi" w:eastAsia="等线" w:hAnsiTheme="minorHAnsi" w:cstheme="minorHAnsi"/>
          <w:i/>
          <w:sz w:val="22"/>
          <w:szCs w:val="22"/>
          <w:lang w:val="en-GB"/>
        </w:rPr>
        <w:t>VEC</w:t>
      </w:r>
      <w:r>
        <w:rPr>
          <w:rFonts w:asciiTheme="minorHAnsi" w:eastAsia="等线" w:hAnsiTheme="minorHAnsi" w:cstheme="minorHAnsi"/>
          <w:sz w:val="22"/>
          <w:szCs w:val="22"/>
          <w:lang w:val="en-GB"/>
        </w:rPr>
        <w:t xml:space="preserve"> is more useful in</w:t>
      </w:r>
      <w:r w:rsidRPr="00D80AF7">
        <w:rPr>
          <w:rFonts w:asciiTheme="minorHAnsi" w:hAnsiTheme="minorHAnsi" w:cstheme="minorHAnsi"/>
          <w:sz w:val="22"/>
          <w:szCs w:val="22"/>
          <w:lang w:val="en-GB"/>
        </w:rPr>
        <w:t xml:space="preserve"> </w:t>
      </w:r>
      <w:r w:rsidRPr="00D80AF7">
        <w:rPr>
          <w:rFonts w:asciiTheme="minorHAnsi" w:hAnsiTheme="minorHAnsi"/>
          <w:sz w:val="22"/>
          <w:szCs w:val="22"/>
          <w:lang w:val="en-GB"/>
        </w:rPr>
        <w:t>predict</w:t>
      </w:r>
      <w:r>
        <w:rPr>
          <w:rFonts w:asciiTheme="minorHAnsi" w:hAnsiTheme="minorHAnsi"/>
          <w:sz w:val="22"/>
          <w:szCs w:val="22"/>
          <w:lang w:val="en-GB"/>
        </w:rPr>
        <w:t>ing</w:t>
      </w:r>
      <w:r w:rsidRPr="00D80AF7">
        <w:rPr>
          <w:rFonts w:asciiTheme="minorHAnsi" w:hAnsiTheme="minorHAnsi"/>
          <w:sz w:val="22"/>
          <w:szCs w:val="22"/>
          <w:lang w:val="en-GB"/>
        </w:rPr>
        <w:t xml:space="preserve"> the overall lattice structure </w:t>
      </w:r>
      <w:r>
        <w:rPr>
          <w:rFonts w:asciiTheme="minorHAnsi" w:hAnsiTheme="minorHAnsi"/>
          <w:sz w:val="22"/>
          <w:szCs w:val="22"/>
          <w:lang w:val="en-GB"/>
        </w:rPr>
        <w:t>formation</w:t>
      </w:r>
      <w:r w:rsidRPr="00D80AF7">
        <w:rPr>
          <w:rFonts w:asciiTheme="minorHAnsi" w:hAnsiTheme="minorHAnsi"/>
          <w:sz w:val="22"/>
          <w:szCs w:val="22"/>
          <w:lang w:val="en-GB"/>
        </w:rPr>
        <w:t xml:space="preserve"> in </w:t>
      </w:r>
      <w:r>
        <w:rPr>
          <w:rFonts w:asciiTheme="minorHAnsi" w:hAnsiTheme="minorHAnsi"/>
          <w:sz w:val="22"/>
          <w:szCs w:val="22"/>
          <w:lang w:val="en-GB"/>
        </w:rPr>
        <w:t>F</w:t>
      </w:r>
      <w:r w:rsidRPr="00D80AF7">
        <w:rPr>
          <w:rFonts w:asciiTheme="minorHAnsi" w:hAnsiTheme="minorHAnsi"/>
          <w:sz w:val="22"/>
          <w:szCs w:val="22"/>
          <w:lang w:val="en-GB"/>
        </w:rPr>
        <w:t>ig.</w:t>
      </w:r>
      <w:r>
        <w:rPr>
          <w:rFonts w:asciiTheme="minorHAnsi" w:hAnsiTheme="minorHAnsi"/>
          <w:sz w:val="22"/>
          <w:szCs w:val="22"/>
          <w:lang w:val="en-GB"/>
        </w:rPr>
        <w:t xml:space="preserve"> 4-</w:t>
      </w:r>
      <w:r w:rsidRPr="00D80AF7">
        <w:rPr>
          <w:rFonts w:asciiTheme="minorHAnsi" w:hAnsiTheme="minorHAnsi"/>
          <w:sz w:val="22"/>
          <w:szCs w:val="22"/>
          <w:lang w:val="en-GB"/>
        </w:rPr>
        <w:t>1</w:t>
      </w:r>
      <w:r>
        <w:rPr>
          <w:rFonts w:asciiTheme="minorHAnsi" w:hAnsiTheme="minorHAnsi"/>
          <w:sz w:val="22"/>
          <w:szCs w:val="22"/>
          <w:lang w:val="en-GB"/>
        </w:rPr>
        <w:t>(</w:t>
      </w:r>
      <w:r w:rsidRPr="00D80AF7">
        <w:rPr>
          <w:rFonts w:asciiTheme="minorHAnsi" w:hAnsiTheme="minorHAnsi"/>
          <w:sz w:val="22"/>
          <w:szCs w:val="22"/>
          <w:lang w:val="en-GB"/>
        </w:rPr>
        <w:t>a-b</w:t>
      </w:r>
      <w:r>
        <w:rPr>
          <w:rFonts w:asciiTheme="minorHAnsi" w:hAnsiTheme="minorHAnsi"/>
          <w:sz w:val="22"/>
          <w:szCs w:val="22"/>
          <w:lang w:val="en-GB"/>
        </w:rPr>
        <w:t>)</w:t>
      </w:r>
      <w:r w:rsidRPr="00D80AF7">
        <w:rPr>
          <w:rFonts w:asciiTheme="minorHAnsi" w:hAnsiTheme="minorHAnsi"/>
          <w:sz w:val="22"/>
          <w:szCs w:val="22"/>
          <w:lang w:val="en-GB"/>
        </w:rPr>
        <w:t xml:space="preserve">. </w:t>
      </w:r>
      <w:r>
        <w:rPr>
          <w:rFonts w:asciiTheme="minorHAnsi" w:hAnsiTheme="minorHAnsi"/>
          <w:sz w:val="22"/>
          <w:szCs w:val="22"/>
          <w:lang w:val="en-GB"/>
        </w:rPr>
        <w:t xml:space="preserve">In Fig. 4-1(a-b), the </w:t>
      </w:r>
      <w:r w:rsidRPr="00D80AF7">
        <w:rPr>
          <w:rFonts w:asciiTheme="minorHAnsi" w:hAnsiTheme="minorHAnsi"/>
          <w:sz w:val="22"/>
          <w:szCs w:val="22"/>
          <w:lang w:val="en-GB"/>
        </w:rPr>
        <w:t xml:space="preserve">distribution of </w:t>
      </w:r>
      <w:r w:rsidRPr="00D80AF7">
        <w:rPr>
          <w:rFonts w:asciiTheme="minorHAnsi" w:hAnsiTheme="minorHAnsi"/>
          <w:noProof/>
          <w:sz w:val="22"/>
          <w:szCs w:val="22"/>
          <w:lang w:val="en-GB"/>
        </w:rPr>
        <w:t>simple</w:t>
      </w:r>
      <w:r w:rsidRPr="00D80AF7">
        <w:rPr>
          <w:rFonts w:asciiTheme="minorHAnsi" w:hAnsiTheme="minorHAnsi"/>
          <w:sz w:val="22"/>
          <w:szCs w:val="22"/>
          <w:lang w:val="en-GB"/>
        </w:rPr>
        <w:t xml:space="preserve"> solid solutio</w:t>
      </w:r>
      <w:r>
        <w:rPr>
          <w:rFonts w:asciiTheme="minorHAnsi" w:hAnsiTheme="minorHAnsi"/>
          <w:sz w:val="22"/>
          <w:szCs w:val="22"/>
          <w:lang w:val="en-GB"/>
        </w:rPr>
        <w:t>n</w:t>
      </w:r>
      <w:r w:rsidR="00340ABD">
        <w:rPr>
          <w:rFonts w:asciiTheme="minorHAnsi" w:hAnsiTheme="minorHAnsi"/>
          <w:sz w:val="22"/>
          <w:szCs w:val="22"/>
          <w:lang w:val="en-GB"/>
        </w:rPr>
        <w:t>s</w:t>
      </w:r>
      <w:r w:rsidRPr="00D80AF7">
        <w:rPr>
          <w:rFonts w:asciiTheme="minorHAnsi" w:hAnsiTheme="minorHAnsi"/>
          <w:sz w:val="22"/>
          <w:szCs w:val="22"/>
          <w:lang w:val="en-GB"/>
        </w:rPr>
        <w:t xml:space="preserve"> and </w:t>
      </w:r>
      <w:r w:rsidRPr="00D80AF7">
        <w:rPr>
          <w:rFonts w:asciiTheme="minorHAnsi" w:hAnsiTheme="minorHAnsi"/>
          <w:noProof/>
          <w:sz w:val="22"/>
          <w:szCs w:val="22"/>
          <w:lang w:val="en-GB"/>
        </w:rPr>
        <w:t>complex</w:t>
      </w:r>
      <w:r w:rsidRPr="00D80AF7">
        <w:rPr>
          <w:rFonts w:asciiTheme="minorHAnsi" w:hAnsiTheme="minorHAnsi"/>
          <w:sz w:val="22"/>
          <w:szCs w:val="22"/>
          <w:lang w:val="en-GB"/>
        </w:rPr>
        <w:t xml:space="preserve"> </w:t>
      </w:r>
      <w:r w:rsidRPr="00331FE9">
        <w:rPr>
          <w:rFonts w:asciiTheme="minorHAnsi" w:hAnsiTheme="minorHAnsi"/>
          <w:noProof/>
          <w:sz w:val="22"/>
          <w:szCs w:val="22"/>
          <w:lang w:val="en-GB"/>
        </w:rPr>
        <w:t>interme</w:t>
      </w:r>
      <w:r>
        <w:rPr>
          <w:rFonts w:asciiTheme="minorHAnsi" w:hAnsiTheme="minorHAnsi"/>
          <w:sz w:val="22"/>
          <w:szCs w:val="22"/>
          <w:lang w:val="en-GB"/>
        </w:rPr>
        <w:t>tallic</w:t>
      </w:r>
      <w:r w:rsidRPr="00D80AF7">
        <w:rPr>
          <w:rFonts w:asciiTheme="minorHAnsi" w:hAnsiTheme="minorHAnsi"/>
          <w:sz w:val="22"/>
          <w:szCs w:val="22"/>
          <w:lang w:val="en-GB"/>
        </w:rPr>
        <w:t xml:space="preserve"> phases </w:t>
      </w:r>
      <w:r w:rsidR="00340ABD">
        <w:rPr>
          <w:rFonts w:asciiTheme="minorHAnsi" w:hAnsiTheme="minorHAnsi"/>
          <w:sz w:val="22"/>
          <w:szCs w:val="22"/>
          <w:lang w:val="en-GB"/>
        </w:rPr>
        <w:t>may</w:t>
      </w:r>
      <w:r>
        <w:rPr>
          <w:rFonts w:asciiTheme="minorHAnsi" w:hAnsiTheme="minorHAnsi"/>
          <w:sz w:val="22"/>
          <w:szCs w:val="22"/>
          <w:lang w:val="en-GB"/>
        </w:rPr>
        <w:t xml:space="preserve"> be more evident in Fig. 4-1(b), where</w:t>
      </w:r>
      <w:r w:rsidRPr="00D80AF7">
        <w:rPr>
          <w:rFonts w:asciiTheme="minorHAnsi" w:hAnsiTheme="minorHAnsi"/>
          <w:sz w:val="22"/>
          <w:szCs w:val="22"/>
          <w:lang w:val="en-GB"/>
        </w:rPr>
        <w:t xml:space="preserve"> formation enthalpy deviation</w:t>
      </w:r>
      <w:r>
        <w:rPr>
          <w:rFonts w:asciiTheme="minorHAnsi" w:hAnsiTheme="minorHAnsi"/>
          <w:sz w:val="22"/>
          <w:szCs w:val="22"/>
          <w:lang w:val="en-GB"/>
        </w:rPr>
        <w:t xml:space="preserve"> was derived by</w:t>
      </w:r>
      <w:r w:rsidRPr="00D80AF7">
        <w:rPr>
          <w:rFonts w:asciiTheme="minorHAnsi" w:hAnsiTheme="minorHAnsi"/>
          <w:sz w:val="22"/>
          <w:szCs w:val="22"/>
          <w:lang w:val="en-GB"/>
        </w:rPr>
        <w:t xml:space="preserve"> </w:t>
      </w:r>
      <w:r w:rsidRPr="00331FE9">
        <w:rPr>
          <w:rFonts w:asciiTheme="minorHAnsi" w:hAnsiTheme="minorHAnsi"/>
          <w:i/>
          <w:noProof/>
          <w:sz w:val="22"/>
          <w:szCs w:val="22"/>
          <w:lang w:val="en-GB"/>
        </w:rPr>
        <w:t>ab</w:t>
      </w:r>
      <w:r>
        <w:rPr>
          <w:rFonts w:asciiTheme="minorHAnsi" w:hAnsiTheme="minorHAnsi"/>
          <w:i/>
          <w:noProof/>
          <w:sz w:val="22"/>
          <w:szCs w:val="22"/>
          <w:lang w:val="en-GB"/>
        </w:rPr>
        <w:t xml:space="preserve"> </w:t>
      </w:r>
      <w:r w:rsidRPr="00331FE9">
        <w:rPr>
          <w:rFonts w:asciiTheme="minorHAnsi" w:hAnsiTheme="minorHAnsi"/>
          <w:i/>
          <w:noProof/>
          <w:sz w:val="22"/>
          <w:szCs w:val="22"/>
          <w:lang w:val="en-GB"/>
        </w:rPr>
        <w:t>initio</w:t>
      </w:r>
      <w:r w:rsidRPr="00D80AF7">
        <w:rPr>
          <w:rFonts w:asciiTheme="minorHAnsi" w:hAnsiTheme="minorHAnsi"/>
          <w:sz w:val="22"/>
          <w:szCs w:val="22"/>
          <w:lang w:val="en-GB"/>
        </w:rPr>
        <w:t xml:space="preserve"> </w:t>
      </w:r>
      <w:r>
        <w:rPr>
          <w:rFonts w:asciiTheme="minorHAnsi" w:hAnsiTheme="minorHAnsi"/>
          <w:sz w:val="22"/>
          <w:szCs w:val="22"/>
          <w:lang w:val="en-GB"/>
        </w:rPr>
        <w:t>method</w:t>
      </w:r>
      <w:r w:rsidR="00340ABD">
        <w:rPr>
          <w:rFonts w:asciiTheme="minorHAnsi" w:hAnsiTheme="minorHAnsi"/>
          <w:sz w:val="22"/>
          <w:szCs w:val="22"/>
          <w:lang w:val="en-GB"/>
        </w:rPr>
        <w:t>s</w:t>
      </w:r>
      <w:r>
        <w:rPr>
          <w:rFonts w:asciiTheme="minorHAnsi" w:hAnsiTheme="minorHAnsi"/>
          <w:sz w:val="22"/>
          <w:szCs w:val="22"/>
          <w:lang w:val="en-GB"/>
        </w:rPr>
        <w:t>, in comparison with</w:t>
      </w:r>
      <w:r w:rsidRPr="00D80AF7">
        <w:rPr>
          <w:rFonts w:asciiTheme="minorHAnsi" w:hAnsiTheme="minorHAnsi"/>
          <w:sz w:val="22"/>
          <w:szCs w:val="22"/>
          <w:lang w:val="en-GB"/>
        </w:rPr>
        <w:t xml:space="preserve"> </w:t>
      </w:r>
      <w:r>
        <w:rPr>
          <w:rFonts w:asciiTheme="minorHAnsi" w:hAnsiTheme="minorHAnsi"/>
          <w:sz w:val="22"/>
          <w:szCs w:val="22"/>
          <w:lang w:val="en-GB"/>
        </w:rPr>
        <w:t>Fig. 4-1(a) where the</w:t>
      </w:r>
      <w:r w:rsidRPr="00D80AF7">
        <w:rPr>
          <w:rFonts w:asciiTheme="minorHAnsi" w:hAnsiTheme="minorHAnsi"/>
          <w:sz w:val="22"/>
          <w:szCs w:val="22"/>
          <w:lang w:val="en-GB"/>
        </w:rPr>
        <w:t xml:space="preserve"> mixing enthalpy </w:t>
      </w:r>
      <w:r>
        <w:rPr>
          <w:rFonts w:asciiTheme="minorHAnsi" w:hAnsiTheme="minorHAnsi"/>
          <w:sz w:val="22"/>
          <w:szCs w:val="22"/>
          <w:lang w:val="en-GB"/>
        </w:rPr>
        <w:t>deviation was determined by the</w:t>
      </w:r>
      <w:r w:rsidRPr="00D80AF7">
        <w:rPr>
          <w:rFonts w:asciiTheme="minorHAnsi" w:hAnsiTheme="minorHAnsi"/>
          <w:sz w:val="22"/>
          <w:szCs w:val="22"/>
          <w:lang w:val="en-GB"/>
        </w:rPr>
        <w:t xml:space="preserve"> empirical </w:t>
      </w:r>
      <w:r w:rsidRPr="00D80AF7">
        <w:rPr>
          <w:rFonts w:asciiTheme="minorHAnsi" w:hAnsiTheme="minorHAnsi"/>
          <w:noProof/>
          <w:sz w:val="22"/>
          <w:szCs w:val="22"/>
          <w:lang w:val="en-GB"/>
        </w:rPr>
        <w:t>Miedema</w:t>
      </w:r>
      <w:r w:rsidRPr="00D80AF7">
        <w:rPr>
          <w:rFonts w:asciiTheme="minorHAnsi" w:hAnsiTheme="minorHAnsi"/>
          <w:sz w:val="22"/>
          <w:szCs w:val="22"/>
          <w:lang w:val="en-GB"/>
        </w:rPr>
        <w:t xml:space="preserve"> model</w:t>
      </w:r>
      <w:r>
        <w:rPr>
          <w:rFonts w:asciiTheme="minorHAnsi" w:hAnsiTheme="minorHAnsi"/>
          <w:sz w:val="22"/>
          <w:szCs w:val="22"/>
          <w:lang w:val="en-GB"/>
        </w:rPr>
        <w:t xml:space="preserve">. </w:t>
      </w:r>
      <w:r>
        <w:rPr>
          <w:rFonts w:asciiTheme="minorHAnsi" w:hAnsiTheme="minorHAnsi"/>
          <w:noProof/>
          <w:sz w:val="22"/>
          <w:szCs w:val="22"/>
          <w:lang w:val="en-GB"/>
        </w:rPr>
        <w:t>As the</w:t>
      </w:r>
      <w:r w:rsidRPr="00D80AF7">
        <w:rPr>
          <w:rFonts w:asciiTheme="minorHAnsi" w:hAnsiTheme="minorHAnsi"/>
          <w:sz w:val="22"/>
          <w:szCs w:val="22"/>
          <w:lang w:val="en-GB"/>
        </w:rPr>
        <w:t xml:space="preserve"> </w:t>
      </w:r>
      <w:r>
        <w:rPr>
          <w:rFonts w:asciiTheme="minorHAnsi" w:hAnsiTheme="minorHAnsi"/>
          <w:sz w:val="22"/>
          <w:szCs w:val="22"/>
          <w:lang w:val="en-GB"/>
        </w:rPr>
        <w:t xml:space="preserve">extent of </w:t>
      </w:r>
      <w:r w:rsidRPr="00D80AF7">
        <w:rPr>
          <w:rFonts w:asciiTheme="minorHAnsi" w:hAnsiTheme="minorHAnsi"/>
          <w:sz w:val="22"/>
          <w:szCs w:val="22"/>
          <w:lang w:val="en-GB"/>
        </w:rPr>
        <w:t xml:space="preserve">bond </w:t>
      </w:r>
      <w:r w:rsidRPr="00D80AF7">
        <w:rPr>
          <w:rFonts w:asciiTheme="minorHAnsi" w:hAnsiTheme="minorHAnsi"/>
          <w:noProof/>
          <w:sz w:val="22"/>
          <w:szCs w:val="22"/>
          <w:lang w:val="en-GB"/>
        </w:rPr>
        <w:t>localisation</w:t>
      </w:r>
      <w:r w:rsidRPr="00D80AF7">
        <w:rPr>
          <w:rFonts w:asciiTheme="minorHAnsi" w:hAnsiTheme="minorHAnsi"/>
          <w:sz w:val="22"/>
          <w:szCs w:val="22"/>
          <w:lang w:val="en-GB"/>
        </w:rPr>
        <w:t xml:space="preserve"> directly influence</w:t>
      </w:r>
      <w:r>
        <w:rPr>
          <w:rFonts w:asciiTheme="minorHAnsi" w:hAnsiTheme="minorHAnsi"/>
          <w:sz w:val="22"/>
          <w:szCs w:val="22"/>
          <w:lang w:val="en-GB"/>
        </w:rPr>
        <w:t>s</w:t>
      </w:r>
      <w:r w:rsidRPr="00D80AF7">
        <w:rPr>
          <w:rFonts w:asciiTheme="minorHAnsi" w:hAnsiTheme="minorHAnsi"/>
          <w:sz w:val="22"/>
          <w:szCs w:val="22"/>
          <w:lang w:val="en-GB"/>
        </w:rPr>
        <w:t xml:space="preserve"> the mechanical performance of certain HEAs, 24 compositions </w:t>
      </w:r>
      <w:r>
        <w:rPr>
          <w:rFonts w:asciiTheme="minorHAnsi" w:hAnsiTheme="minorHAnsi"/>
          <w:sz w:val="22"/>
          <w:szCs w:val="22"/>
          <w:lang w:val="en-GB"/>
        </w:rPr>
        <w:t xml:space="preserve">(from the original 65) </w:t>
      </w:r>
      <w:r w:rsidRPr="00D80AF7">
        <w:rPr>
          <w:rFonts w:asciiTheme="minorHAnsi" w:hAnsiTheme="minorHAnsi"/>
          <w:sz w:val="22"/>
          <w:szCs w:val="22"/>
          <w:lang w:val="en-GB"/>
        </w:rPr>
        <w:t xml:space="preserve">with their </w:t>
      </w:r>
      <w:r w:rsidRPr="00D80AF7">
        <w:rPr>
          <w:rFonts w:asciiTheme="minorHAnsi" w:hAnsiTheme="minorHAnsi"/>
          <w:noProof/>
          <w:sz w:val="22"/>
          <w:szCs w:val="22"/>
          <w:lang w:val="en-GB"/>
        </w:rPr>
        <w:t>mechanical</w:t>
      </w:r>
      <w:r w:rsidRPr="00D80AF7">
        <w:rPr>
          <w:rFonts w:asciiTheme="minorHAnsi" w:hAnsiTheme="minorHAnsi"/>
          <w:sz w:val="22"/>
          <w:szCs w:val="22"/>
          <w:lang w:val="en-GB"/>
        </w:rPr>
        <w:t xml:space="preserve"> performance data </w:t>
      </w:r>
      <w:r>
        <w:rPr>
          <w:rFonts w:asciiTheme="minorHAnsi" w:hAnsiTheme="minorHAnsi"/>
          <w:sz w:val="22"/>
          <w:szCs w:val="22"/>
          <w:lang w:val="en-GB"/>
        </w:rPr>
        <w:t>are</w:t>
      </w:r>
      <w:r w:rsidRPr="00D80AF7">
        <w:rPr>
          <w:rFonts w:asciiTheme="minorHAnsi" w:hAnsiTheme="minorHAnsi"/>
          <w:sz w:val="22"/>
          <w:szCs w:val="22"/>
          <w:lang w:val="en-GB"/>
        </w:rPr>
        <w:t xml:space="preserve"> further </w:t>
      </w:r>
      <w:r w:rsidRPr="00D80AF7">
        <w:rPr>
          <w:rFonts w:asciiTheme="minorHAnsi" w:hAnsiTheme="minorHAnsi"/>
          <w:noProof/>
          <w:sz w:val="22"/>
          <w:szCs w:val="22"/>
          <w:lang w:val="en-GB"/>
        </w:rPr>
        <w:t>analysed</w:t>
      </w:r>
      <w:r>
        <w:rPr>
          <w:rFonts w:asciiTheme="minorHAnsi" w:hAnsiTheme="minorHAnsi"/>
          <w:noProof/>
          <w:sz w:val="22"/>
          <w:szCs w:val="22"/>
          <w:lang w:val="en-GB"/>
        </w:rPr>
        <w:t xml:space="preserve"> in order to</w:t>
      </w:r>
      <w:r w:rsidRPr="00D80AF7">
        <w:rPr>
          <w:rFonts w:asciiTheme="minorHAnsi" w:hAnsiTheme="minorHAnsi"/>
          <w:sz w:val="22"/>
          <w:szCs w:val="22"/>
          <w:lang w:val="en-GB"/>
        </w:rPr>
        <w:t xml:space="preserve"> distinguish the effect</w:t>
      </w:r>
      <w:r>
        <w:rPr>
          <w:rFonts w:asciiTheme="minorHAnsi" w:hAnsiTheme="minorHAnsi"/>
          <w:sz w:val="22"/>
          <w:szCs w:val="22"/>
          <w:lang w:val="en-GB"/>
        </w:rPr>
        <w:t>s</w:t>
      </w:r>
      <w:r w:rsidRPr="00D80AF7">
        <w:rPr>
          <w:rFonts w:asciiTheme="minorHAnsi" w:hAnsiTheme="minorHAnsi"/>
          <w:sz w:val="22"/>
          <w:szCs w:val="22"/>
          <w:lang w:val="en-GB"/>
        </w:rPr>
        <w:t xml:space="preserve"> of mixing/formation enthalpy deviation in mechanical performance</w:t>
      </w:r>
      <w:r>
        <w:rPr>
          <w:rFonts w:asciiTheme="minorHAnsi" w:hAnsiTheme="minorHAnsi"/>
          <w:sz w:val="22"/>
          <w:szCs w:val="22"/>
          <w:lang w:val="en-GB"/>
        </w:rPr>
        <w:t xml:space="preserve"> of HEAs</w:t>
      </w:r>
      <w:r w:rsidRPr="00D80AF7">
        <w:rPr>
          <w:rFonts w:asciiTheme="minorHAnsi" w:hAnsiTheme="minorHAnsi"/>
          <w:sz w:val="22"/>
          <w:szCs w:val="22"/>
          <w:lang w:val="en-GB"/>
        </w:rPr>
        <w:t xml:space="preserve">. In </w:t>
      </w:r>
      <w:r>
        <w:rPr>
          <w:rFonts w:asciiTheme="minorHAnsi" w:hAnsiTheme="minorHAnsi"/>
          <w:sz w:val="22"/>
          <w:szCs w:val="22"/>
          <w:lang w:val="en-GB"/>
        </w:rPr>
        <w:t>F</w:t>
      </w:r>
      <w:r w:rsidRPr="00D80AF7">
        <w:rPr>
          <w:rFonts w:asciiTheme="minorHAnsi" w:hAnsiTheme="minorHAnsi"/>
          <w:sz w:val="22"/>
          <w:szCs w:val="22"/>
          <w:lang w:val="en-GB"/>
        </w:rPr>
        <w:t>ig.</w:t>
      </w:r>
      <w:r>
        <w:rPr>
          <w:rFonts w:asciiTheme="minorHAnsi" w:hAnsiTheme="minorHAnsi"/>
          <w:sz w:val="22"/>
          <w:szCs w:val="22"/>
          <w:lang w:val="en-GB"/>
        </w:rPr>
        <w:t xml:space="preserve"> 4-</w:t>
      </w:r>
      <w:r w:rsidRPr="00D80AF7">
        <w:rPr>
          <w:rFonts w:asciiTheme="minorHAnsi" w:hAnsiTheme="minorHAnsi"/>
          <w:sz w:val="22"/>
          <w:szCs w:val="22"/>
          <w:lang w:val="en-GB"/>
        </w:rPr>
        <w:t>1</w:t>
      </w:r>
      <w:r>
        <w:rPr>
          <w:rFonts w:asciiTheme="minorHAnsi" w:hAnsiTheme="minorHAnsi"/>
          <w:sz w:val="22"/>
          <w:szCs w:val="22"/>
          <w:lang w:val="en-GB"/>
        </w:rPr>
        <w:t>(</w:t>
      </w:r>
      <w:r w:rsidRPr="00D80AF7">
        <w:rPr>
          <w:rFonts w:asciiTheme="minorHAnsi" w:hAnsiTheme="minorHAnsi"/>
          <w:sz w:val="22"/>
          <w:szCs w:val="22"/>
          <w:lang w:val="en-GB"/>
        </w:rPr>
        <w:t>c-d</w:t>
      </w:r>
      <w:r>
        <w:rPr>
          <w:rFonts w:asciiTheme="minorHAnsi" w:hAnsiTheme="minorHAnsi"/>
          <w:sz w:val="22"/>
          <w:szCs w:val="22"/>
          <w:lang w:val="en-GB"/>
        </w:rPr>
        <w:t>)</w:t>
      </w:r>
      <w:r w:rsidRPr="00D80AF7">
        <w:rPr>
          <w:rFonts w:asciiTheme="minorHAnsi" w:hAnsiTheme="minorHAnsi"/>
          <w:sz w:val="22"/>
          <w:szCs w:val="22"/>
          <w:lang w:val="en-GB"/>
        </w:rPr>
        <w:t xml:space="preserve"> biplot</w:t>
      </w:r>
      <w:r>
        <w:rPr>
          <w:rFonts w:asciiTheme="minorHAnsi" w:hAnsiTheme="minorHAnsi"/>
          <w:sz w:val="22"/>
          <w:szCs w:val="22"/>
          <w:lang w:val="en-GB"/>
        </w:rPr>
        <w:t>s</w:t>
      </w:r>
      <w:r w:rsidRPr="00D80AF7">
        <w:rPr>
          <w:rFonts w:asciiTheme="minorHAnsi" w:hAnsiTheme="minorHAnsi"/>
          <w:sz w:val="22"/>
          <w:szCs w:val="22"/>
          <w:lang w:val="en-GB"/>
        </w:rPr>
        <w:t xml:space="preserve"> of </w:t>
      </w:r>
      <w:r>
        <w:rPr>
          <w:rFonts w:asciiTheme="minorHAnsi" w:hAnsiTheme="minorHAnsi"/>
          <w:sz w:val="22"/>
          <w:szCs w:val="22"/>
          <w:lang w:val="en-GB"/>
        </w:rPr>
        <w:t xml:space="preserve">the </w:t>
      </w:r>
      <w:r>
        <w:rPr>
          <w:rFonts w:asciiTheme="minorHAnsi" w:hAnsiTheme="minorHAnsi"/>
          <w:noProof/>
          <w:sz w:val="22"/>
          <w:szCs w:val="22"/>
          <w:lang w:val="en-GB"/>
        </w:rPr>
        <w:t>compressive strain deformation</w:t>
      </w:r>
      <w:r w:rsidRPr="00D80AF7">
        <w:rPr>
          <w:rFonts w:asciiTheme="minorHAnsi" w:hAnsiTheme="minorHAnsi"/>
          <w:sz w:val="22"/>
          <w:szCs w:val="22"/>
          <w:lang w:val="en-GB"/>
        </w:rPr>
        <w:t xml:space="preserve"> against mixing/formation enthalpy deviation were </w:t>
      </w:r>
      <w:r>
        <w:rPr>
          <w:rFonts w:asciiTheme="minorHAnsi" w:hAnsiTheme="minorHAnsi"/>
          <w:sz w:val="22"/>
          <w:szCs w:val="22"/>
          <w:lang w:val="en-GB"/>
        </w:rPr>
        <w:t>constructed</w:t>
      </w:r>
      <w:r w:rsidRPr="00D80AF7">
        <w:rPr>
          <w:rFonts w:asciiTheme="minorHAnsi" w:hAnsiTheme="minorHAnsi"/>
          <w:sz w:val="22"/>
          <w:szCs w:val="22"/>
          <w:lang w:val="en-GB"/>
        </w:rPr>
        <w:t xml:space="preserve"> </w:t>
      </w:r>
      <w:r>
        <w:rPr>
          <w:rFonts w:asciiTheme="minorHAnsi" w:hAnsiTheme="minorHAnsi"/>
          <w:sz w:val="22"/>
          <w:szCs w:val="22"/>
          <w:lang w:val="en-GB"/>
        </w:rPr>
        <w:t>for</w:t>
      </w:r>
      <w:r w:rsidRPr="00D80AF7">
        <w:rPr>
          <w:rFonts w:asciiTheme="minorHAnsi" w:hAnsiTheme="minorHAnsi"/>
          <w:sz w:val="22"/>
          <w:szCs w:val="22"/>
          <w:lang w:val="en-GB"/>
        </w:rPr>
        <w:t xml:space="preserve"> 19 </w:t>
      </w:r>
      <w:r>
        <w:rPr>
          <w:rFonts w:asciiTheme="minorHAnsi" w:hAnsiTheme="minorHAnsi"/>
          <w:sz w:val="22"/>
          <w:szCs w:val="22"/>
          <w:lang w:val="en-GB"/>
        </w:rPr>
        <w:t>R</w:t>
      </w:r>
      <w:r w:rsidRPr="00D80AF7">
        <w:rPr>
          <w:rFonts w:asciiTheme="minorHAnsi" w:hAnsiTheme="minorHAnsi"/>
          <w:sz w:val="22"/>
          <w:szCs w:val="22"/>
          <w:lang w:val="en-GB"/>
        </w:rPr>
        <w:t xml:space="preserve">HEAs and </w:t>
      </w:r>
      <w:r>
        <w:rPr>
          <w:rFonts w:asciiTheme="minorHAnsi" w:hAnsiTheme="minorHAnsi"/>
          <w:sz w:val="22"/>
          <w:szCs w:val="22"/>
          <w:lang w:val="en-GB"/>
        </w:rPr>
        <w:t>5</w:t>
      </w:r>
      <w:r w:rsidRPr="00D80AF7">
        <w:rPr>
          <w:rFonts w:asciiTheme="minorHAnsi" w:hAnsiTheme="minorHAnsi"/>
          <w:sz w:val="22"/>
          <w:szCs w:val="22"/>
          <w:lang w:val="en-GB"/>
        </w:rPr>
        <w:t xml:space="preserve"> 3d transition HEAs. As discussed </w:t>
      </w:r>
      <w:r w:rsidRPr="00D80AF7">
        <w:rPr>
          <w:rFonts w:asciiTheme="minorHAnsi" w:hAnsiTheme="minorHAnsi"/>
          <w:noProof/>
          <w:sz w:val="22"/>
          <w:szCs w:val="22"/>
          <w:lang w:val="en-GB"/>
        </w:rPr>
        <w:t>previously</w:t>
      </w:r>
      <w:r w:rsidRPr="00D80AF7">
        <w:rPr>
          <w:rFonts w:asciiTheme="minorHAnsi" w:hAnsiTheme="minorHAnsi"/>
          <w:sz w:val="22"/>
          <w:szCs w:val="22"/>
          <w:lang w:val="en-GB"/>
        </w:rPr>
        <w:t xml:space="preserve">, elastic isotropy is very important in </w:t>
      </w:r>
      <w:r w:rsidRPr="00D80AF7">
        <w:rPr>
          <w:rFonts w:asciiTheme="minorHAnsi" w:hAnsiTheme="minorHAnsi"/>
          <w:noProof/>
          <w:sz w:val="22"/>
          <w:szCs w:val="22"/>
          <w:lang w:val="en-GB"/>
        </w:rPr>
        <w:t>determining</w:t>
      </w:r>
      <w:r w:rsidRPr="00D80AF7">
        <w:rPr>
          <w:rFonts w:asciiTheme="minorHAnsi" w:hAnsiTheme="minorHAnsi"/>
          <w:sz w:val="22"/>
          <w:szCs w:val="22"/>
          <w:lang w:val="en-GB"/>
        </w:rPr>
        <w:t xml:space="preserve"> </w:t>
      </w:r>
      <w:r>
        <w:rPr>
          <w:rFonts w:asciiTheme="minorHAnsi" w:hAnsiTheme="minorHAnsi"/>
          <w:sz w:val="22"/>
          <w:szCs w:val="22"/>
          <w:lang w:val="en-GB"/>
        </w:rPr>
        <w:t xml:space="preserve">the </w:t>
      </w:r>
      <w:r w:rsidRPr="00D80AF7">
        <w:rPr>
          <w:rFonts w:asciiTheme="minorHAnsi" w:hAnsiTheme="minorHAnsi"/>
          <w:sz w:val="22"/>
          <w:szCs w:val="22"/>
          <w:lang w:val="en-GB"/>
        </w:rPr>
        <w:t>mechanical performance</w:t>
      </w:r>
      <w:r w:rsidRPr="00760D4E">
        <w:rPr>
          <w:rFonts w:asciiTheme="minorHAnsi" w:hAnsiTheme="minorHAnsi"/>
          <w:sz w:val="22"/>
          <w:szCs w:val="22"/>
          <w:lang w:val="en-GB"/>
        </w:rPr>
        <w:t xml:space="preserve"> </w:t>
      </w:r>
      <w:r>
        <w:rPr>
          <w:rFonts w:asciiTheme="minorHAnsi" w:hAnsiTheme="minorHAnsi"/>
          <w:sz w:val="22"/>
          <w:szCs w:val="22"/>
          <w:lang w:val="en-GB"/>
        </w:rPr>
        <w:t xml:space="preserve">of </w:t>
      </w:r>
      <w:r w:rsidRPr="00D80AF7">
        <w:rPr>
          <w:rFonts w:asciiTheme="minorHAnsi" w:hAnsiTheme="minorHAnsi"/>
          <w:sz w:val="22"/>
          <w:szCs w:val="22"/>
          <w:lang w:val="en-GB"/>
        </w:rPr>
        <w:t>HEAs</w:t>
      </w:r>
      <w:r w:rsidRPr="00D80AF7">
        <w:rPr>
          <w:rFonts w:asciiTheme="minorHAnsi" w:hAnsiTheme="minorHAnsi"/>
          <w:noProof/>
          <w:sz w:val="22"/>
          <w:szCs w:val="22"/>
          <w:lang w:val="en-GB"/>
        </w:rPr>
        <w:t>. Thus</w:t>
      </w:r>
      <w:r>
        <w:rPr>
          <w:rFonts w:asciiTheme="minorHAnsi" w:hAnsiTheme="minorHAnsi"/>
          <w:noProof/>
          <w:sz w:val="22"/>
          <w:szCs w:val="22"/>
          <w:lang w:val="en-GB"/>
        </w:rPr>
        <w:t>,</w:t>
      </w:r>
      <w:r w:rsidRPr="00D80AF7">
        <w:rPr>
          <w:rFonts w:asciiTheme="minorHAnsi" w:hAnsiTheme="minorHAnsi"/>
          <w:sz w:val="22"/>
          <w:szCs w:val="22"/>
          <w:lang w:val="en-GB"/>
        </w:rPr>
        <w:t xml:space="preserve"> HEA</w:t>
      </w:r>
      <w:r>
        <w:rPr>
          <w:rFonts w:asciiTheme="minorHAnsi" w:hAnsiTheme="minorHAnsi"/>
          <w:sz w:val="22"/>
          <w:szCs w:val="22"/>
          <w:lang w:val="en-GB"/>
        </w:rPr>
        <w:t>s</w:t>
      </w:r>
      <w:r w:rsidRPr="00D80AF7">
        <w:rPr>
          <w:rFonts w:asciiTheme="minorHAnsi" w:hAnsiTheme="minorHAnsi"/>
          <w:sz w:val="22"/>
          <w:szCs w:val="22"/>
          <w:lang w:val="en-GB"/>
        </w:rPr>
        <w:t xml:space="preserve"> with low </w:t>
      </w:r>
      <w:r w:rsidRPr="00D80AF7">
        <w:rPr>
          <w:rFonts w:asciiTheme="minorHAnsi" w:hAnsiTheme="minorHAnsi"/>
          <w:noProof/>
          <w:sz w:val="22"/>
          <w:szCs w:val="22"/>
          <w:lang w:val="en-GB"/>
        </w:rPr>
        <w:t>localised</w:t>
      </w:r>
      <w:r w:rsidRPr="00D80AF7">
        <w:rPr>
          <w:rFonts w:asciiTheme="minorHAnsi" w:hAnsiTheme="minorHAnsi"/>
          <w:sz w:val="22"/>
          <w:szCs w:val="22"/>
          <w:lang w:val="en-GB"/>
        </w:rPr>
        <w:t xml:space="preserve"> bonding electric structure</w:t>
      </w:r>
      <w:r w:rsidR="00340ABD">
        <w:rPr>
          <w:rFonts w:asciiTheme="minorHAnsi" w:hAnsiTheme="minorHAnsi"/>
          <w:sz w:val="22"/>
          <w:szCs w:val="22"/>
          <w:lang w:val="en-GB"/>
        </w:rPr>
        <w:t>s</w:t>
      </w:r>
      <w:r w:rsidRPr="00D80AF7">
        <w:rPr>
          <w:rFonts w:asciiTheme="minorHAnsi" w:hAnsiTheme="minorHAnsi"/>
          <w:sz w:val="22"/>
          <w:szCs w:val="22"/>
          <w:lang w:val="en-GB"/>
        </w:rPr>
        <w:t xml:space="preserve"> may </w:t>
      </w:r>
      <w:r>
        <w:rPr>
          <w:rFonts w:asciiTheme="minorHAnsi" w:hAnsiTheme="minorHAnsi"/>
          <w:sz w:val="22"/>
          <w:szCs w:val="22"/>
          <w:lang w:val="en-GB"/>
        </w:rPr>
        <w:t>have a preference</w:t>
      </w:r>
      <w:r w:rsidRPr="00D80AF7">
        <w:rPr>
          <w:rFonts w:asciiTheme="minorHAnsi" w:hAnsiTheme="minorHAnsi"/>
          <w:sz w:val="22"/>
          <w:szCs w:val="22"/>
          <w:lang w:val="en-GB"/>
        </w:rPr>
        <w:t xml:space="preserve"> to form a more </w:t>
      </w:r>
      <w:r w:rsidRPr="00D80AF7">
        <w:rPr>
          <w:rFonts w:asciiTheme="minorHAnsi" w:hAnsiTheme="minorHAnsi"/>
          <w:noProof/>
          <w:sz w:val="22"/>
          <w:szCs w:val="22"/>
          <w:lang w:val="en-GB"/>
        </w:rPr>
        <w:t>ductile</w:t>
      </w:r>
      <w:r w:rsidRPr="00D80AF7">
        <w:rPr>
          <w:rFonts w:asciiTheme="minorHAnsi" w:hAnsiTheme="minorHAnsi"/>
          <w:sz w:val="22"/>
          <w:szCs w:val="22"/>
          <w:lang w:val="en-GB"/>
        </w:rPr>
        <w:t xml:space="preserve"> material</w:t>
      </w:r>
      <w:r>
        <w:rPr>
          <w:rFonts w:asciiTheme="minorHAnsi" w:hAnsiTheme="minorHAnsi"/>
          <w:sz w:val="22"/>
          <w:szCs w:val="22"/>
          <w:lang w:val="en-GB"/>
        </w:rPr>
        <w:t>, in comparison with</w:t>
      </w:r>
      <w:r w:rsidRPr="00D80AF7">
        <w:rPr>
          <w:rFonts w:asciiTheme="minorHAnsi" w:hAnsiTheme="minorHAnsi"/>
          <w:sz w:val="22"/>
          <w:szCs w:val="22"/>
          <w:lang w:val="en-GB"/>
        </w:rPr>
        <w:t xml:space="preserve"> HEAs </w:t>
      </w:r>
      <w:r>
        <w:rPr>
          <w:rFonts w:asciiTheme="minorHAnsi" w:hAnsiTheme="minorHAnsi"/>
          <w:sz w:val="22"/>
          <w:szCs w:val="22"/>
          <w:lang w:val="en-GB"/>
        </w:rPr>
        <w:t>possessing</w:t>
      </w:r>
      <w:r w:rsidRPr="00D80AF7">
        <w:rPr>
          <w:rFonts w:asciiTheme="minorHAnsi" w:hAnsiTheme="minorHAnsi"/>
          <w:sz w:val="22"/>
          <w:szCs w:val="22"/>
          <w:lang w:val="en-GB"/>
        </w:rPr>
        <w:t xml:space="preserve"> high </w:t>
      </w:r>
      <w:r w:rsidRPr="00D80AF7">
        <w:rPr>
          <w:rFonts w:asciiTheme="minorHAnsi" w:hAnsiTheme="minorHAnsi"/>
          <w:noProof/>
          <w:sz w:val="22"/>
          <w:szCs w:val="22"/>
          <w:lang w:val="en-GB"/>
        </w:rPr>
        <w:t>localised</w:t>
      </w:r>
      <w:r w:rsidRPr="00D80AF7">
        <w:rPr>
          <w:rFonts w:asciiTheme="minorHAnsi" w:hAnsiTheme="minorHAnsi"/>
          <w:sz w:val="22"/>
          <w:szCs w:val="22"/>
          <w:lang w:val="en-GB"/>
        </w:rPr>
        <w:t xml:space="preserve"> bonding </w:t>
      </w:r>
      <w:r w:rsidRPr="00D80AF7">
        <w:rPr>
          <w:rFonts w:asciiTheme="minorHAnsi" w:hAnsiTheme="minorHAnsi"/>
          <w:noProof/>
          <w:sz w:val="22"/>
          <w:szCs w:val="22"/>
          <w:lang w:val="en-GB"/>
        </w:rPr>
        <w:t>electronic</w:t>
      </w:r>
      <w:r w:rsidRPr="00D80AF7">
        <w:rPr>
          <w:rFonts w:asciiTheme="minorHAnsi" w:hAnsiTheme="minorHAnsi"/>
          <w:sz w:val="22"/>
          <w:szCs w:val="22"/>
          <w:lang w:val="en-GB"/>
        </w:rPr>
        <w:t xml:space="preserve"> structure</w:t>
      </w:r>
      <w:r w:rsidR="00340ABD">
        <w:rPr>
          <w:rFonts w:asciiTheme="minorHAnsi" w:hAnsiTheme="minorHAnsi"/>
          <w:sz w:val="22"/>
          <w:szCs w:val="22"/>
          <w:lang w:val="en-GB"/>
        </w:rPr>
        <w:t>s</w:t>
      </w:r>
      <w:r>
        <w:rPr>
          <w:rFonts w:asciiTheme="minorHAnsi" w:hAnsiTheme="minorHAnsi"/>
          <w:sz w:val="22"/>
          <w:szCs w:val="22"/>
          <w:lang w:val="en-GB"/>
        </w:rPr>
        <w:t xml:space="preserve"> </w:t>
      </w:r>
      <w:r>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{"citationItems":[{"id":"ITEM-1","itemData":{"DOI":"10.1016/j.jallcom.2014.01.237","ISBN":"0925-8388","ISSN":"09258388","abstract":"The TiZrVNb and TiZrNbMoVx (x = 0-1.5) high-entropy alloys (HEAs) are single-phase solid solutions having the body centered cubic crystallographic structure. Here we use the ab initio exact muffin-tin orbitals method in combination with the coherent potential approximation to study the equilibrium bulk properties of the above refractory HEAs. We provide a detailed investigation of the effect of alloying elements on the electronic structure and elastic parameters. Our results indicate that vanadium enhances the anisotropy of TiZrNbMoVx. As an application of the present theoretical database, we verify the often quoted correlation between the valence electron concentration (VEC) and the micro-mechanical properties in the case of multi-component alloys. Furthermore, we predict that the present HEAs become elastically isotropic for VEC</w:instrText>
      </w:r>
      <w:r>
        <w:rPr>
          <w:rFonts w:ascii="Cambria Math" w:hAnsi="Cambria Math" w:cs="Cambria Math"/>
          <w:sz w:val="22"/>
          <w:szCs w:val="22"/>
          <w:lang w:val="en-GB"/>
        </w:rPr>
        <w:instrText>∼</w:instrText>
      </w:r>
      <w:r>
        <w:rPr>
          <w:rFonts w:asciiTheme="minorHAnsi" w:hAnsiTheme="minorHAnsi"/>
          <w:sz w:val="22"/>
          <w:szCs w:val="22"/>
          <w:lang w:val="en-GB"/>
        </w:rPr>
        <w:instrText xml:space="preserve">4.72. </w:instrText>
      </w:r>
      <w:r>
        <w:rPr>
          <w:rFonts w:ascii="Calibri" w:hAnsi="Calibri" w:cs="Calibri"/>
          <w:sz w:val="22"/>
          <w:szCs w:val="22"/>
          <w:lang w:val="en-GB"/>
        </w:rPr>
        <w:instrText>©</w:instrText>
      </w:r>
      <w:r>
        <w:rPr>
          <w:rFonts w:asciiTheme="minorHAnsi" w:hAnsiTheme="minorHAnsi"/>
          <w:sz w:val="22"/>
          <w:szCs w:val="22"/>
          <w:lang w:val="en-GB"/>
        </w:rPr>
        <w:instrText xml:space="preserve"> 2014 Elsevier B.V. All rights reserved.","author":[{"dropping-particle":"","family":"Tian","given":"Fuyang","non-dropping-particle":"","parse-names":false,"suffix":""},{"dropping-particle":"","family":"Varga","given":"Lajos Karoly","non-dropping-particle":"","parse-names":false,"suffix":""},{"dropping-particle":"","family":"Chen","given":"Nanxian","non-dropping-particle":"","parse-names":false,"suffix":""},{"dropping-particle":"","family":"Shen","given":"Jiang","non-dropping-particle":"","parse-names":false,"suffix":""},{"dropping-particle":"","family":"Vitos","given":"Levente","non-dropping-particle":"","parse-names":false,"suffix":""}],"container-title":"Journal of Alloys and Compounds","id":"ITEM-1","issued":{"date-parts":[["2014"]]},"title":"Ab initio design of elastically isotropic TiZrNbMoVx high-entropy alloys","type":"article-journal"},"uris":["http://www.mendeley.com/documents/?uuid=11ffa549-45a0-4157-8c75-fd8cfb3af1e0"]}],"mendeley":{"formattedCitation":"[11]","plainTextFormattedCitation":"[11]","previouslyFormattedCitation":"[11]"},"properties":{"noteIndex":0},"schema":"https://github.com/citation-style-language/schema/raw/master/csl-citation.json"}</w:instrText>
      </w:r>
      <w:r>
        <w:rPr>
          <w:rFonts w:asciiTheme="minorHAnsi" w:hAnsiTheme="minorHAnsi"/>
          <w:sz w:val="22"/>
          <w:szCs w:val="22"/>
          <w:lang w:val="en-GB"/>
        </w:rPr>
        <w:fldChar w:fldCharType="separate"/>
      </w:r>
      <w:r w:rsidRPr="00C84C26">
        <w:rPr>
          <w:rFonts w:asciiTheme="minorHAnsi" w:hAnsiTheme="minorHAnsi"/>
          <w:noProof/>
          <w:sz w:val="22"/>
          <w:szCs w:val="22"/>
          <w:lang w:val="en-GB"/>
        </w:rPr>
        <w:t>[11]</w:t>
      </w:r>
      <w:r>
        <w:rPr>
          <w:rFonts w:asciiTheme="minorHAnsi" w:hAnsiTheme="minorHAnsi"/>
          <w:sz w:val="22"/>
          <w:szCs w:val="22"/>
          <w:lang w:val="en-GB"/>
        </w:rPr>
        <w:fldChar w:fldCharType="end"/>
      </w:r>
      <w:r w:rsidRPr="00D80AF7">
        <w:rPr>
          <w:rFonts w:asciiTheme="minorHAnsi" w:hAnsiTheme="minorHAnsi"/>
          <w:sz w:val="22"/>
          <w:szCs w:val="22"/>
          <w:lang w:val="en-GB"/>
        </w:rPr>
        <w:t xml:space="preserve">. </w:t>
      </w:r>
      <w:r>
        <w:rPr>
          <w:rFonts w:asciiTheme="minorHAnsi" w:hAnsiTheme="minorHAnsi"/>
          <w:sz w:val="22"/>
          <w:szCs w:val="22"/>
          <w:lang w:val="en-GB"/>
        </w:rPr>
        <w:t>As observed in</w:t>
      </w:r>
      <w:r w:rsidRPr="00D80AF7">
        <w:rPr>
          <w:rFonts w:asciiTheme="minorHAnsi" w:hAnsiTheme="minorHAnsi"/>
          <w:sz w:val="22"/>
          <w:szCs w:val="22"/>
          <w:lang w:val="en-GB"/>
        </w:rPr>
        <w:t xml:space="preserve"> </w:t>
      </w:r>
      <w:r>
        <w:rPr>
          <w:rFonts w:asciiTheme="minorHAnsi" w:hAnsiTheme="minorHAnsi"/>
          <w:sz w:val="22"/>
          <w:szCs w:val="22"/>
          <w:lang w:val="en-GB"/>
        </w:rPr>
        <w:t>F</w:t>
      </w:r>
      <w:r w:rsidRPr="00D80AF7">
        <w:rPr>
          <w:rFonts w:asciiTheme="minorHAnsi" w:hAnsiTheme="minorHAnsi"/>
          <w:sz w:val="22"/>
          <w:szCs w:val="22"/>
          <w:lang w:val="en-GB"/>
        </w:rPr>
        <w:t>ig.</w:t>
      </w:r>
      <w:r>
        <w:rPr>
          <w:rFonts w:asciiTheme="minorHAnsi" w:hAnsiTheme="minorHAnsi"/>
          <w:sz w:val="22"/>
          <w:szCs w:val="22"/>
          <w:lang w:val="en-GB"/>
        </w:rPr>
        <w:t xml:space="preserve"> 4-</w:t>
      </w:r>
      <w:r w:rsidRPr="00D80AF7">
        <w:rPr>
          <w:rFonts w:asciiTheme="minorHAnsi" w:hAnsiTheme="minorHAnsi"/>
          <w:sz w:val="22"/>
          <w:szCs w:val="22"/>
          <w:lang w:val="en-GB"/>
        </w:rPr>
        <w:t>1</w:t>
      </w:r>
      <w:r>
        <w:rPr>
          <w:rFonts w:asciiTheme="minorHAnsi" w:hAnsiTheme="minorHAnsi"/>
          <w:sz w:val="22"/>
          <w:szCs w:val="22"/>
          <w:lang w:val="en-GB"/>
        </w:rPr>
        <w:t>(</w:t>
      </w:r>
      <w:r w:rsidRPr="00D80AF7">
        <w:rPr>
          <w:rFonts w:asciiTheme="minorHAnsi" w:hAnsiTheme="minorHAnsi"/>
          <w:sz w:val="22"/>
          <w:szCs w:val="22"/>
          <w:lang w:val="en-GB"/>
        </w:rPr>
        <w:t>c-d</w:t>
      </w:r>
      <w:r>
        <w:rPr>
          <w:rFonts w:asciiTheme="minorHAnsi" w:hAnsiTheme="minorHAnsi"/>
          <w:sz w:val="22"/>
          <w:szCs w:val="22"/>
          <w:lang w:val="en-GB"/>
        </w:rPr>
        <w:t xml:space="preserve">), the overall </w:t>
      </w:r>
      <w:r w:rsidRPr="00D80AF7">
        <w:rPr>
          <w:rFonts w:asciiTheme="minorHAnsi" w:hAnsiTheme="minorHAnsi"/>
          <w:sz w:val="22"/>
          <w:szCs w:val="22"/>
          <w:lang w:val="en-GB"/>
        </w:rPr>
        <w:t>trend</w:t>
      </w:r>
      <w:r>
        <w:rPr>
          <w:rFonts w:asciiTheme="minorHAnsi" w:hAnsiTheme="minorHAnsi"/>
          <w:sz w:val="22"/>
          <w:szCs w:val="22"/>
          <w:lang w:val="en-GB"/>
        </w:rPr>
        <w:t>s</w:t>
      </w:r>
      <w:r w:rsidRPr="00D80AF7">
        <w:rPr>
          <w:rFonts w:asciiTheme="minorHAnsi" w:hAnsiTheme="minorHAnsi"/>
          <w:sz w:val="22"/>
          <w:szCs w:val="22"/>
          <w:lang w:val="en-GB"/>
        </w:rPr>
        <w:t xml:space="preserve"> </w:t>
      </w:r>
      <w:r>
        <w:rPr>
          <w:rFonts w:asciiTheme="minorHAnsi" w:hAnsiTheme="minorHAnsi"/>
          <w:sz w:val="22"/>
          <w:szCs w:val="22"/>
          <w:lang w:val="en-GB"/>
        </w:rPr>
        <w:t xml:space="preserve">show that HEAs possessing </w:t>
      </w:r>
      <w:r w:rsidRPr="00D80AF7">
        <w:rPr>
          <w:rFonts w:asciiTheme="minorHAnsi" w:hAnsiTheme="minorHAnsi"/>
          <w:sz w:val="22"/>
          <w:szCs w:val="22"/>
          <w:lang w:val="en-GB"/>
        </w:rPr>
        <w:t>low mixing/formation enthalpy</w:t>
      </w:r>
      <w:r>
        <w:rPr>
          <w:rFonts w:asciiTheme="minorHAnsi" w:hAnsiTheme="minorHAnsi"/>
          <w:sz w:val="22"/>
          <w:szCs w:val="22"/>
          <w:lang w:val="en-GB"/>
        </w:rPr>
        <w:t xml:space="preserve"> deviation</w:t>
      </w:r>
      <w:r w:rsidRPr="00D80AF7">
        <w:rPr>
          <w:rFonts w:asciiTheme="minorHAnsi" w:hAnsiTheme="minorHAnsi"/>
          <w:sz w:val="22"/>
          <w:szCs w:val="22"/>
          <w:lang w:val="en-GB"/>
        </w:rPr>
        <w:t xml:space="preserve"> </w:t>
      </w:r>
      <w:r>
        <w:rPr>
          <w:rFonts w:asciiTheme="minorHAnsi" w:hAnsiTheme="minorHAnsi"/>
          <w:sz w:val="22"/>
          <w:szCs w:val="22"/>
          <w:lang w:val="en-GB"/>
        </w:rPr>
        <w:t>have greater</w:t>
      </w:r>
      <w:r w:rsidRPr="00D80AF7">
        <w:rPr>
          <w:rFonts w:asciiTheme="minorHAnsi" w:hAnsiTheme="minorHAnsi"/>
          <w:sz w:val="22"/>
          <w:szCs w:val="22"/>
          <w:lang w:val="en-GB"/>
        </w:rPr>
        <w:t xml:space="preserve"> ductil</w:t>
      </w:r>
      <w:r w:rsidR="00340ABD">
        <w:rPr>
          <w:rFonts w:asciiTheme="minorHAnsi" w:hAnsiTheme="minorHAnsi"/>
          <w:sz w:val="22"/>
          <w:szCs w:val="22"/>
          <w:lang w:val="en-GB"/>
        </w:rPr>
        <w:t>ity</w:t>
      </w:r>
      <w:r>
        <w:rPr>
          <w:rFonts w:asciiTheme="minorHAnsi" w:hAnsiTheme="minorHAnsi"/>
          <w:sz w:val="22"/>
          <w:szCs w:val="22"/>
          <w:lang w:val="en-GB"/>
        </w:rPr>
        <w:t>.</w:t>
      </w:r>
      <w:r w:rsidRPr="00D80AF7">
        <w:rPr>
          <w:rFonts w:asciiTheme="minorHAnsi" w:hAnsiTheme="minorHAnsi"/>
          <w:sz w:val="22"/>
          <w:szCs w:val="22"/>
          <w:lang w:val="en-GB"/>
        </w:rPr>
        <w:t xml:space="preserve"> </w:t>
      </w:r>
      <w:r w:rsidRPr="00165F79">
        <w:rPr>
          <w:rFonts w:asciiTheme="minorHAnsi" w:hAnsiTheme="minorHAnsi"/>
          <w:color w:val="000000" w:themeColor="text1"/>
          <w:sz w:val="22"/>
          <w:szCs w:val="22"/>
          <w:lang w:val="en-GB"/>
        </w:rPr>
        <w:t xml:space="preserve">Although this criterion is useful, it is thought that there are other parameters interplaying which contribute to the observed trends and current enthalpy deviation can only be applied as </w:t>
      </w:r>
      <w:r w:rsidR="00340ABD">
        <w:rPr>
          <w:rFonts w:asciiTheme="minorHAnsi" w:hAnsiTheme="minorHAnsi"/>
          <w:color w:val="000000" w:themeColor="text1"/>
          <w:sz w:val="22"/>
          <w:szCs w:val="22"/>
          <w:lang w:val="en-GB"/>
        </w:rPr>
        <w:t xml:space="preserve">a </w:t>
      </w:r>
      <w:r w:rsidRPr="00165F79">
        <w:rPr>
          <w:rFonts w:asciiTheme="minorHAnsi" w:hAnsiTheme="minorHAnsi"/>
          <w:color w:val="000000" w:themeColor="text1"/>
          <w:sz w:val="22"/>
          <w:szCs w:val="22"/>
          <w:lang w:val="en-GB"/>
        </w:rPr>
        <w:t xml:space="preserve">primary screening criterion for selecting simple solid solution HEA compositions. As </w:t>
      </w:r>
      <w:r w:rsidRPr="00D80AF7">
        <w:rPr>
          <w:rFonts w:asciiTheme="minorHAnsi" w:hAnsiTheme="minorHAnsi"/>
          <w:sz w:val="22"/>
          <w:szCs w:val="22"/>
          <w:lang w:val="en-GB"/>
        </w:rPr>
        <w:t xml:space="preserve">shown in </w:t>
      </w:r>
      <w:r>
        <w:rPr>
          <w:rFonts w:asciiTheme="minorHAnsi" w:hAnsiTheme="minorHAnsi"/>
          <w:sz w:val="22"/>
          <w:szCs w:val="22"/>
          <w:lang w:val="en-GB"/>
        </w:rPr>
        <w:t>F</w:t>
      </w:r>
      <w:r w:rsidRPr="00D80AF7">
        <w:rPr>
          <w:rFonts w:asciiTheme="minorHAnsi" w:hAnsiTheme="minorHAnsi"/>
          <w:sz w:val="22"/>
          <w:szCs w:val="22"/>
          <w:lang w:val="en-GB"/>
        </w:rPr>
        <w:t>ig.</w:t>
      </w:r>
      <w:r>
        <w:rPr>
          <w:rFonts w:asciiTheme="minorHAnsi" w:hAnsiTheme="minorHAnsi"/>
          <w:sz w:val="22"/>
          <w:szCs w:val="22"/>
          <w:lang w:val="en-GB"/>
        </w:rPr>
        <w:t xml:space="preserve"> 4-</w:t>
      </w:r>
      <w:r w:rsidRPr="00D80AF7">
        <w:rPr>
          <w:rFonts w:asciiTheme="minorHAnsi" w:hAnsiTheme="minorHAnsi"/>
          <w:sz w:val="22"/>
          <w:szCs w:val="22"/>
          <w:lang w:val="en-GB"/>
        </w:rPr>
        <w:t>1</w:t>
      </w:r>
      <w:r>
        <w:rPr>
          <w:rFonts w:asciiTheme="minorHAnsi" w:hAnsiTheme="minorHAnsi"/>
          <w:sz w:val="22"/>
          <w:szCs w:val="22"/>
          <w:lang w:val="en-GB"/>
        </w:rPr>
        <w:t>(c</w:t>
      </w:r>
      <w:r w:rsidRPr="00D80AF7">
        <w:rPr>
          <w:rFonts w:asciiTheme="minorHAnsi" w:hAnsiTheme="minorHAnsi"/>
          <w:sz w:val="22"/>
          <w:szCs w:val="22"/>
          <w:lang w:val="en-GB"/>
        </w:rPr>
        <w:t>-d</w:t>
      </w:r>
      <w:r>
        <w:rPr>
          <w:rFonts w:asciiTheme="minorHAnsi" w:hAnsiTheme="minorHAnsi"/>
          <w:sz w:val="22"/>
          <w:szCs w:val="22"/>
          <w:lang w:val="en-GB"/>
        </w:rPr>
        <w:t>) and listed in the figure legend</w:t>
      </w:r>
      <w:r w:rsidRPr="00D80AF7">
        <w:rPr>
          <w:rFonts w:asciiTheme="minorHAnsi" w:hAnsiTheme="minorHAnsi"/>
          <w:sz w:val="22"/>
          <w:szCs w:val="22"/>
          <w:lang w:val="en-GB"/>
        </w:rPr>
        <w:t xml:space="preserve">, the </w:t>
      </w:r>
      <w:r>
        <w:rPr>
          <w:rFonts w:asciiTheme="minorHAnsi" w:hAnsiTheme="minorHAnsi"/>
          <w:sz w:val="22"/>
          <w:szCs w:val="22"/>
          <w:lang w:val="en-GB"/>
        </w:rPr>
        <w:t xml:space="preserve">trend of </w:t>
      </w:r>
      <w:r w:rsidRPr="00D80AF7">
        <w:rPr>
          <w:rFonts w:asciiTheme="minorHAnsi" w:hAnsiTheme="minorHAnsi"/>
          <w:sz w:val="22"/>
          <w:szCs w:val="22"/>
          <w:lang w:val="en-GB"/>
        </w:rPr>
        <w:t xml:space="preserve">distribution of deformation strain against mixing/formation enthalpy deviation is more </w:t>
      </w:r>
      <w:r>
        <w:rPr>
          <w:rFonts w:asciiTheme="minorHAnsi" w:hAnsiTheme="minorHAnsi"/>
          <w:sz w:val="22"/>
          <w:szCs w:val="22"/>
          <w:lang w:val="en-GB"/>
        </w:rPr>
        <w:t>defined</w:t>
      </w:r>
      <w:r w:rsidRPr="00D80AF7">
        <w:rPr>
          <w:rFonts w:asciiTheme="minorHAnsi" w:hAnsiTheme="minorHAnsi"/>
          <w:sz w:val="22"/>
          <w:szCs w:val="22"/>
          <w:lang w:val="en-GB"/>
        </w:rPr>
        <w:t xml:space="preserve"> when </w:t>
      </w:r>
      <w:r>
        <w:rPr>
          <w:rFonts w:asciiTheme="minorHAnsi" w:hAnsiTheme="minorHAnsi"/>
          <w:sz w:val="22"/>
          <w:szCs w:val="22"/>
          <w:lang w:val="en-GB"/>
        </w:rPr>
        <w:t xml:space="preserve">considering each group of HEAs by their </w:t>
      </w:r>
      <w:r w:rsidRPr="00D80AF7">
        <w:rPr>
          <w:rFonts w:asciiTheme="minorHAnsi" w:hAnsiTheme="minorHAnsi"/>
          <w:sz w:val="22"/>
          <w:szCs w:val="22"/>
          <w:lang w:val="en-GB"/>
        </w:rPr>
        <w:t xml:space="preserve">components. </w:t>
      </w:r>
      <w:r>
        <w:rPr>
          <w:rFonts w:asciiTheme="minorHAnsi" w:hAnsiTheme="minorHAnsi"/>
          <w:sz w:val="22"/>
          <w:szCs w:val="22"/>
          <w:lang w:val="en-GB"/>
        </w:rPr>
        <w:t>When isolating each particular group of materials (</w:t>
      </w:r>
      <w:r w:rsidRPr="00D80AF7">
        <w:rPr>
          <w:rFonts w:asciiTheme="minorHAnsi" w:hAnsiTheme="minorHAnsi"/>
          <w:sz w:val="22"/>
          <w:szCs w:val="22"/>
          <w:lang w:val="en-GB"/>
        </w:rPr>
        <w:t>3</w:t>
      </w:r>
      <w:r w:rsidRPr="00D66B74">
        <w:rPr>
          <w:rFonts w:asciiTheme="minorHAnsi" w:hAnsiTheme="minorHAnsi"/>
          <w:i/>
          <w:sz w:val="22"/>
          <w:szCs w:val="22"/>
          <w:lang w:val="en-GB"/>
        </w:rPr>
        <w:t>d</w:t>
      </w:r>
      <w:r w:rsidRPr="00D80AF7">
        <w:rPr>
          <w:rFonts w:asciiTheme="minorHAnsi" w:hAnsiTheme="minorHAnsi"/>
          <w:sz w:val="22"/>
          <w:szCs w:val="22"/>
          <w:lang w:val="en-GB"/>
        </w:rPr>
        <w:t xml:space="preserve"> transition HEAs, RHEAs with Ti addition, RHEAs with Al addition and RHEAs with only 4</w:t>
      </w:r>
      <w:r w:rsidRPr="00D66B74">
        <w:rPr>
          <w:rFonts w:asciiTheme="minorHAnsi" w:hAnsiTheme="minorHAnsi"/>
          <w:i/>
          <w:sz w:val="22"/>
          <w:szCs w:val="22"/>
          <w:lang w:val="en-GB"/>
        </w:rPr>
        <w:t>d</w:t>
      </w:r>
      <w:r w:rsidRPr="00D80AF7">
        <w:rPr>
          <w:rFonts w:asciiTheme="minorHAnsi" w:hAnsiTheme="minorHAnsi"/>
          <w:sz w:val="22"/>
          <w:szCs w:val="22"/>
          <w:lang w:val="en-GB"/>
        </w:rPr>
        <w:t xml:space="preserve"> and 5</w:t>
      </w:r>
      <w:r w:rsidRPr="00D66B74">
        <w:rPr>
          <w:rFonts w:asciiTheme="minorHAnsi" w:hAnsiTheme="minorHAnsi"/>
          <w:i/>
          <w:sz w:val="22"/>
          <w:szCs w:val="22"/>
          <w:lang w:val="en-GB"/>
        </w:rPr>
        <w:t>d</w:t>
      </w:r>
      <w:r w:rsidRPr="00D80AF7">
        <w:rPr>
          <w:rFonts w:asciiTheme="minorHAnsi" w:hAnsiTheme="minorHAnsi"/>
          <w:sz w:val="22"/>
          <w:szCs w:val="22"/>
          <w:lang w:val="en-GB"/>
        </w:rPr>
        <w:t xml:space="preserve"> elements</w:t>
      </w:r>
      <w:r>
        <w:rPr>
          <w:rFonts w:asciiTheme="minorHAnsi" w:hAnsiTheme="minorHAnsi"/>
          <w:sz w:val="22"/>
          <w:szCs w:val="22"/>
          <w:lang w:val="en-GB"/>
        </w:rPr>
        <w:t>)</w:t>
      </w:r>
      <w:r w:rsidRPr="00D80AF7">
        <w:rPr>
          <w:rFonts w:asciiTheme="minorHAnsi" w:hAnsiTheme="minorHAnsi"/>
          <w:sz w:val="22"/>
          <w:szCs w:val="22"/>
          <w:lang w:val="en-GB"/>
        </w:rPr>
        <w:t xml:space="preserve">, the trend of mixing/formation enthalpy deviation </w:t>
      </w:r>
      <w:r>
        <w:rPr>
          <w:rFonts w:asciiTheme="minorHAnsi" w:hAnsiTheme="minorHAnsi"/>
          <w:noProof/>
          <w:sz w:val="22"/>
          <w:szCs w:val="22"/>
          <w:lang w:val="en-GB"/>
        </w:rPr>
        <w:t>appears to be approximately</w:t>
      </w:r>
      <w:r w:rsidRPr="00D80AF7">
        <w:rPr>
          <w:rFonts w:asciiTheme="minorHAnsi" w:hAnsiTheme="minorHAnsi"/>
          <w:sz w:val="22"/>
          <w:szCs w:val="22"/>
          <w:lang w:val="en-GB"/>
        </w:rPr>
        <w:t xml:space="preserve"> line</w:t>
      </w:r>
      <w:r>
        <w:rPr>
          <w:rFonts w:asciiTheme="minorHAnsi" w:hAnsiTheme="minorHAnsi"/>
          <w:sz w:val="22"/>
          <w:szCs w:val="22"/>
          <w:lang w:val="en-GB"/>
        </w:rPr>
        <w:t>a</w:t>
      </w:r>
      <w:r w:rsidRPr="00D80AF7">
        <w:rPr>
          <w:rFonts w:asciiTheme="minorHAnsi" w:hAnsiTheme="minorHAnsi"/>
          <w:sz w:val="22"/>
          <w:szCs w:val="22"/>
          <w:lang w:val="en-GB"/>
        </w:rPr>
        <w:t>r</w:t>
      </w:r>
      <w:r>
        <w:rPr>
          <w:rFonts w:asciiTheme="minorHAnsi" w:hAnsiTheme="minorHAnsi"/>
          <w:sz w:val="22"/>
          <w:szCs w:val="22"/>
          <w:lang w:val="en-GB"/>
        </w:rPr>
        <w:t>. Interestingly, this</w:t>
      </w:r>
      <w:r w:rsidRPr="00D80AF7">
        <w:rPr>
          <w:rFonts w:asciiTheme="minorHAnsi" w:hAnsiTheme="minorHAnsi"/>
          <w:sz w:val="22"/>
          <w:szCs w:val="22"/>
          <w:lang w:val="en-GB"/>
        </w:rPr>
        <w:t xml:space="preserve"> indicates th</w:t>
      </w:r>
      <w:r>
        <w:rPr>
          <w:rFonts w:asciiTheme="minorHAnsi" w:hAnsiTheme="minorHAnsi"/>
          <w:sz w:val="22"/>
          <w:szCs w:val="22"/>
          <w:lang w:val="en-GB"/>
        </w:rPr>
        <w:t>at an</w:t>
      </w:r>
      <w:r w:rsidRPr="00D80AF7">
        <w:rPr>
          <w:rFonts w:asciiTheme="minorHAnsi" w:hAnsiTheme="minorHAnsi"/>
          <w:sz w:val="22"/>
          <w:szCs w:val="22"/>
          <w:lang w:val="en-GB"/>
        </w:rPr>
        <w:t xml:space="preserve"> effect of periodicity</w:t>
      </w:r>
      <w:r>
        <w:rPr>
          <w:rFonts w:asciiTheme="minorHAnsi" w:hAnsiTheme="minorHAnsi"/>
          <w:sz w:val="22"/>
          <w:szCs w:val="22"/>
          <w:lang w:val="en-GB"/>
        </w:rPr>
        <w:t xml:space="preserve"> in deviations</w:t>
      </w:r>
      <w:r w:rsidRPr="00D80AF7">
        <w:rPr>
          <w:rFonts w:asciiTheme="minorHAnsi" w:hAnsiTheme="minorHAnsi"/>
          <w:sz w:val="22"/>
          <w:szCs w:val="22"/>
          <w:lang w:val="en-GB"/>
        </w:rPr>
        <w:t xml:space="preserve"> may also </w:t>
      </w:r>
      <w:r>
        <w:rPr>
          <w:rFonts w:asciiTheme="minorHAnsi" w:hAnsiTheme="minorHAnsi"/>
          <w:sz w:val="22"/>
          <w:szCs w:val="22"/>
          <w:lang w:val="en-GB"/>
        </w:rPr>
        <w:t>be evident when determining the mechanical performance of HEAs.</w:t>
      </w:r>
    </w:p>
    <w:p w14:paraId="3F3B38A0" w14:textId="77777777" w:rsidR="00B145BE" w:rsidRPr="00E062D9" w:rsidRDefault="00B145BE" w:rsidP="00B145BE">
      <w:pPr>
        <w:pStyle w:val="2"/>
        <w:spacing w:afterLines="60" w:after="144" w:line="360" w:lineRule="auto"/>
        <w:rPr>
          <w:rFonts w:asciiTheme="minorHAnsi" w:hAnsiTheme="minorHAnsi"/>
          <w:b/>
          <w:color w:val="auto"/>
          <w:sz w:val="32"/>
          <w:szCs w:val="32"/>
        </w:rPr>
      </w:pPr>
      <w:bookmarkStart w:id="220" w:name="_Toc22052534"/>
      <w:r w:rsidRPr="00E062D9">
        <w:rPr>
          <w:rFonts w:asciiTheme="minorHAnsi" w:hAnsiTheme="minorHAnsi"/>
          <w:b/>
          <w:color w:val="auto"/>
          <w:sz w:val="32"/>
          <w:szCs w:val="32"/>
        </w:rPr>
        <w:lastRenderedPageBreak/>
        <w:t xml:space="preserve">4.3 Phase constitution </w:t>
      </w:r>
      <w:r w:rsidRPr="00E062D9">
        <w:rPr>
          <w:rFonts w:asciiTheme="minorHAnsi" w:hAnsiTheme="minorHAnsi"/>
          <w:b/>
          <w:noProof/>
          <w:color w:val="auto"/>
          <w:sz w:val="32"/>
          <w:szCs w:val="32"/>
        </w:rPr>
        <w:t>and</w:t>
      </w:r>
      <w:r w:rsidRPr="00E062D9">
        <w:rPr>
          <w:rFonts w:asciiTheme="minorHAnsi" w:hAnsiTheme="minorHAnsi"/>
          <w:b/>
          <w:color w:val="auto"/>
          <w:sz w:val="32"/>
          <w:szCs w:val="32"/>
        </w:rPr>
        <w:t xml:space="preserve"> mechanical performance of TiZrNbTa and TiZrHfTa.</w:t>
      </w:r>
      <w:bookmarkEnd w:id="220"/>
      <w:r w:rsidRPr="00E062D9">
        <w:rPr>
          <w:rFonts w:asciiTheme="minorHAnsi" w:hAnsiTheme="minorHAnsi"/>
          <w:b/>
          <w:color w:val="auto"/>
          <w:sz w:val="32"/>
          <w:szCs w:val="32"/>
        </w:rPr>
        <w:t xml:space="preserve"> </w:t>
      </w:r>
    </w:p>
    <w:p w14:paraId="5DF817A8" w14:textId="77777777" w:rsidR="00B145BE" w:rsidRDefault="00B145BE" w:rsidP="00B145BE">
      <w:pPr>
        <w:pStyle w:val="Normal1"/>
        <w:keepNext/>
        <w:spacing w:afterLines="60" w:after="144" w:line="360" w:lineRule="auto"/>
        <w:jc w:val="center"/>
        <w:rPr>
          <w:rFonts w:hint="eastAsia"/>
        </w:rPr>
      </w:pPr>
      <w:r w:rsidRPr="00DC64BA">
        <w:rPr>
          <w:rFonts w:asciiTheme="minorHAnsi" w:hAnsiTheme="minorHAnsi"/>
          <w:noProof/>
          <w:sz w:val="22"/>
          <w:szCs w:val="22"/>
          <w:lang w:eastAsia="en-US" w:bidi="ar-SA"/>
        </w:rPr>
        <w:drawing>
          <wp:inline distT="0" distB="0" distL="0" distR="0" wp14:anchorId="6EEC3CE9" wp14:editId="77E997C0">
            <wp:extent cx="4242816" cy="2290033"/>
            <wp:effectExtent l="0" t="0" r="5715" b="0"/>
            <wp:docPr id="45" name="图片 44" descr="图片包含 地图&#10;&#10;自动生成的说明">
              <a:extLst xmlns:a="http://schemas.openxmlformats.org/drawingml/2006/main">
                <a:ext uri="{FF2B5EF4-FFF2-40B4-BE49-F238E27FC236}">
                  <a16:creationId xmlns:a16="http://schemas.microsoft.com/office/drawing/2014/main" id="{A53831D7-C7D3-4727-8FFF-3CC390D6AE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descr="图片包含 地图&#10;&#10;自动生成的说明">
                      <a:extLst>
                        <a:ext uri="{FF2B5EF4-FFF2-40B4-BE49-F238E27FC236}">
                          <a16:creationId xmlns:a16="http://schemas.microsoft.com/office/drawing/2014/main" id="{A53831D7-C7D3-4727-8FFF-3CC390D6AE68}"/>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260120" cy="2299373"/>
                    </a:xfrm>
                    <a:prstGeom prst="rect">
                      <a:avLst/>
                    </a:prstGeom>
                  </pic:spPr>
                </pic:pic>
              </a:graphicData>
            </a:graphic>
          </wp:inline>
        </w:drawing>
      </w:r>
    </w:p>
    <w:p w14:paraId="11B07774" w14:textId="661B27AF" w:rsidR="00B145BE" w:rsidRPr="005504AA" w:rsidRDefault="00B145BE" w:rsidP="00B145BE">
      <w:pPr>
        <w:pStyle w:val="af6"/>
        <w:spacing w:afterLines="60" w:after="144" w:line="360" w:lineRule="auto"/>
        <w:rPr>
          <w:i w:val="0"/>
          <w:noProof/>
          <w:color w:val="auto"/>
          <w:sz w:val="20"/>
          <w:szCs w:val="20"/>
          <w:lang w:val="en-GB"/>
        </w:rPr>
      </w:pPr>
      <w:bookmarkStart w:id="221" w:name="_Toc7364588"/>
      <w:bookmarkStart w:id="222" w:name="_Toc39312702"/>
      <w:r w:rsidRPr="005504AA">
        <w:rPr>
          <w:b/>
          <w:i w:val="0"/>
          <w:color w:val="auto"/>
          <w:sz w:val="20"/>
          <w:szCs w:val="20"/>
          <w:lang w:val="en-GB"/>
        </w:rPr>
        <w:t>Figure 4-</w:t>
      </w:r>
      <w:r w:rsidRPr="005504AA">
        <w:rPr>
          <w:b/>
          <w:i w:val="0"/>
          <w:color w:val="auto"/>
          <w:sz w:val="20"/>
          <w:szCs w:val="20"/>
        </w:rPr>
        <w:fldChar w:fldCharType="begin"/>
      </w:r>
      <w:r w:rsidRPr="005504AA">
        <w:rPr>
          <w:b/>
          <w:i w:val="0"/>
          <w:color w:val="auto"/>
          <w:sz w:val="20"/>
          <w:szCs w:val="20"/>
        </w:rPr>
        <w:instrText xml:space="preserve"> SEQ Figure \* ARABIC </w:instrText>
      </w:r>
      <w:r w:rsidRPr="005504AA">
        <w:rPr>
          <w:b/>
          <w:i w:val="0"/>
          <w:color w:val="auto"/>
          <w:sz w:val="20"/>
          <w:szCs w:val="20"/>
        </w:rPr>
        <w:fldChar w:fldCharType="separate"/>
      </w:r>
      <w:r w:rsidRPr="005504AA">
        <w:rPr>
          <w:b/>
          <w:i w:val="0"/>
          <w:noProof/>
          <w:color w:val="auto"/>
          <w:sz w:val="20"/>
          <w:szCs w:val="20"/>
        </w:rPr>
        <w:t>2</w:t>
      </w:r>
      <w:r w:rsidRPr="005504AA">
        <w:rPr>
          <w:b/>
          <w:i w:val="0"/>
          <w:color w:val="auto"/>
          <w:sz w:val="20"/>
          <w:szCs w:val="20"/>
        </w:rPr>
        <w:fldChar w:fldCharType="end"/>
      </w:r>
      <w:r w:rsidRPr="005504AA">
        <w:rPr>
          <w:rFonts w:cstheme="minorHAnsi"/>
          <w:b/>
          <w:i w:val="0"/>
          <w:color w:val="auto"/>
          <w:sz w:val="20"/>
          <w:szCs w:val="20"/>
          <w:lang w:val="en-GB"/>
        </w:rPr>
        <w:t xml:space="preserve"> Miedema </w:t>
      </w:r>
      <w:r w:rsidRPr="005C630B">
        <w:rPr>
          <w:rFonts w:cstheme="minorHAnsi"/>
          <w:b/>
          <w:i w:val="0"/>
          <w:color w:val="000000" w:themeColor="text1"/>
          <w:sz w:val="20"/>
          <w:szCs w:val="20"/>
          <w:lang w:val="en-GB"/>
        </w:rPr>
        <w:t xml:space="preserve">mixing enthalpy standard deviation </w:t>
      </w:r>
      <m:oMath>
        <m:sSub>
          <m:sSubPr>
            <m:ctrlPr>
              <w:rPr>
                <w:rFonts w:ascii="Cambria Math" w:hAnsi="Cambria Math" w:cstheme="minorHAnsi"/>
                <w:b/>
                <w:bCs/>
                <w:iCs w:val="0"/>
                <w:color w:val="000000" w:themeColor="text1"/>
                <w:sz w:val="20"/>
                <w:szCs w:val="20"/>
                <w:lang w:val="en-GB" w:bidi="hi-IN"/>
              </w:rPr>
            </m:ctrlPr>
          </m:sSubPr>
          <m:e>
            <m:r>
              <m:rPr>
                <m:sty m:val="bi"/>
              </m:rPr>
              <w:rPr>
                <w:rFonts w:ascii="Cambria Math" w:hAnsi="Cambria Math" w:cstheme="minorHAnsi"/>
                <w:color w:val="000000" w:themeColor="text1"/>
                <w:sz w:val="20"/>
                <w:szCs w:val="20"/>
                <w:lang w:val="en-GB"/>
              </w:rPr>
              <m:t>σ</m:t>
            </m:r>
          </m:e>
          <m:sub>
            <m:r>
              <m:rPr>
                <m:sty m:val="bi"/>
              </m:rPr>
              <w:rPr>
                <w:rFonts w:ascii="Cambria Math" w:hAnsi="Cambria Math" w:cstheme="minorHAnsi"/>
                <w:color w:val="000000" w:themeColor="text1"/>
                <w:sz w:val="20"/>
                <w:szCs w:val="20"/>
                <w:lang w:val="en-GB"/>
              </w:rPr>
              <m:t>∆</m:t>
            </m:r>
            <m:sSub>
              <m:sSubPr>
                <m:ctrlPr>
                  <w:rPr>
                    <w:rFonts w:ascii="Cambria Math" w:hAnsi="Cambria Math" w:cstheme="minorHAnsi"/>
                    <w:b/>
                    <w:bCs/>
                    <w:iCs w:val="0"/>
                    <w:color w:val="000000" w:themeColor="text1"/>
                    <w:sz w:val="20"/>
                    <w:szCs w:val="20"/>
                    <w:lang w:val="en-GB" w:bidi="hi-IN"/>
                  </w:rPr>
                </m:ctrlPr>
              </m:sSubPr>
              <m:e>
                <m:r>
                  <m:rPr>
                    <m:sty m:val="bi"/>
                  </m:rPr>
                  <w:rPr>
                    <w:rFonts w:ascii="Cambria Math" w:hAnsi="Cambria Math" w:cstheme="minorHAnsi"/>
                    <w:color w:val="000000" w:themeColor="text1"/>
                    <w:sz w:val="20"/>
                    <w:szCs w:val="20"/>
                    <w:lang w:val="en-GB"/>
                  </w:rPr>
                  <m:t>H</m:t>
                </m:r>
              </m:e>
              <m:sub>
                <m:r>
                  <m:rPr>
                    <m:sty m:val="bi"/>
                  </m:rPr>
                  <w:rPr>
                    <w:rFonts w:ascii="Cambria Math" w:hAnsi="Cambria Math" w:cstheme="minorHAnsi"/>
                    <w:color w:val="000000" w:themeColor="text1"/>
                    <w:sz w:val="20"/>
                    <w:szCs w:val="20"/>
                    <w:lang w:val="en-GB"/>
                  </w:rPr>
                  <m:t>mixing</m:t>
                </m:r>
              </m:sub>
            </m:sSub>
          </m:sub>
        </m:sSub>
      </m:oMath>
      <w:r w:rsidRPr="005C630B">
        <w:rPr>
          <w:rFonts w:cstheme="minorHAnsi"/>
          <w:b/>
          <w:bCs/>
          <w:i w:val="0"/>
          <w:color w:val="000000" w:themeColor="text1"/>
          <w:sz w:val="20"/>
          <w:szCs w:val="20"/>
          <w:lang w:val="en-GB"/>
        </w:rPr>
        <w:t xml:space="preserve"> an</w:t>
      </w:r>
      <w:r w:rsidRPr="005C630B">
        <w:rPr>
          <w:rFonts w:cstheme="minorHAnsi"/>
          <w:b/>
          <w:i w:val="0"/>
          <w:color w:val="000000" w:themeColor="text1"/>
          <w:sz w:val="20"/>
          <w:szCs w:val="20"/>
          <w:lang w:val="en-GB"/>
        </w:rPr>
        <w:t>d formation enthalpy (</w:t>
      </w:r>
      <w:r w:rsidRPr="005C630B">
        <w:rPr>
          <w:rFonts w:cstheme="minorHAnsi"/>
          <w:b/>
          <w:color w:val="000000" w:themeColor="text1"/>
          <w:sz w:val="20"/>
          <w:szCs w:val="20"/>
          <w:lang w:val="en-GB"/>
        </w:rPr>
        <w:t>ab initio</w:t>
      </w:r>
      <w:r w:rsidRPr="005C630B">
        <w:rPr>
          <w:rFonts w:cstheme="minorHAnsi"/>
          <w:b/>
          <w:i w:val="0"/>
          <w:color w:val="000000" w:themeColor="text1"/>
          <w:sz w:val="20"/>
          <w:szCs w:val="20"/>
          <w:lang w:val="en-GB"/>
        </w:rPr>
        <w:t xml:space="preserve">) standard deviation </w:t>
      </w:r>
      <m:oMath>
        <m:sSub>
          <m:sSubPr>
            <m:ctrlPr>
              <w:rPr>
                <w:rFonts w:ascii="Cambria Math" w:hAnsi="Cambria Math" w:cstheme="minorHAnsi"/>
                <w:b/>
                <w:bCs/>
                <w:iCs w:val="0"/>
                <w:color w:val="000000" w:themeColor="text1"/>
                <w:sz w:val="20"/>
                <w:szCs w:val="20"/>
                <w:lang w:val="en-GB" w:bidi="hi-IN"/>
              </w:rPr>
            </m:ctrlPr>
          </m:sSubPr>
          <m:e>
            <m:r>
              <m:rPr>
                <m:sty m:val="bi"/>
              </m:rPr>
              <w:rPr>
                <w:rFonts w:ascii="Cambria Math" w:hAnsi="Cambria Math" w:cstheme="minorHAnsi"/>
                <w:color w:val="000000" w:themeColor="text1"/>
                <w:sz w:val="20"/>
                <w:szCs w:val="20"/>
                <w:lang w:val="en-GB"/>
              </w:rPr>
              <m:t>σ</m:t>
            </m:r>
          </m:e>
          <m:sub>
            <m:r>
              <m:rPr>
                <m:sty m:val="bi"/>
              </m:rPr>
              <w:rPr>
                <w:rFonts w:ascii="Cambria Math" w:hAnsi="Cambria Math" w:cstheme="minorHAnsi"/>
                <w:color w:val="000000" w:themeColor="text1"/>
                <w:sz w:val="20"/>
                <w:szCs w:val="20"/>
                <w:lang w:val="en-GB"/>
              </w:rPr>
              <m:t>∆</m:t>
            </m:r>
            <m:sSub>
              <m:sSubPr>
                <m:ctrlPr>
                  <w:rPr>
                    <w:rFonts w:ascii="Cambria Math" w:hAnsi="Cambria Math" w:cstheme="minorHAnsi"/>
                    <w:b/>
                    <w:bCs/>
                    <w:iCs w:val="0"/>
                    <w:color w:val="000000" w:themeColor="text1"/>
                    <w:sz w:val="20"/>
                    <w:szCs w:val="20"/>
                    <w:lang w:val="en-GB" w:bidi="hi-IN"/>
                  </w:rPr>
                </m:ctrlPr>
              </m:sSubPr>
              <m:e>
                <m:r>
                  <m:rPr>
                    <m:sty m:val="bi"/>
                  </m:rPr>
                  <w:rPr>
                    <w:rFonts w:ascii="Cambria Math" w:hAnsi="Cambria Math" w:cstheme="minorHAnsi"/>
                    <w:color w:val="000000" w:themeColor="text1"/>
                    <w:sz w:val="20"/>
                    <w:szCs w:val="20"/>
                    <w:lang w:val="en-GB"/>
                  </w:rPr>
                  <m:t>H</m:t>
                </m:r>
              </m:e>
              <m:sub>
                <m:r>
                  <m:rPr>
                    <m:sty m:val="bi"/>
                  </m:rPr>
                  <w:rPr>
                    <w:rFonts w:ascii="Cambria Math" w:hAnsi="Cambria Math" w:cstheme="minorHAnsi"/>
                    <w:color w:val="000000" w:themeColor="text1"/>
                    <w:sz w:val="20"/>
                    <w:szCs w:val="20"/>
                    <w:lang w:val="en-GB"/>
                  </w:rPr>
                  <m:t>formation</m:t>
                </m:r>
              </m:sub>
            </m:sSub>
          </m:sub>
        </m:sSub>
        <m:r>
          <w:rPr>
            <w:rFonts w:ascii="Cambria Math" w:hAnsi="Cambria Math" w:cstheme="minorHAnsi"/>
            <w:color w:val="000000" w:themeColor="text1"/>
            <w:sz w:val="20"/>
            <w:szCs w:val="20"/>
            <w:lang w:val="en-GB" w:bidi="hi-IN"/>
          </w:rPr>
          <m:t xml:space="preserve"> </m:t>
        </m:r>
      </m:oMath>
      <w:r w:rsidRPr="005C630B">
        <w:rPr>
          <w:rFonts w:cstheme="minorHAnsi"/>
          <w:b/>
          <w:i w:val="0"/>
          <w:color w:val="000000" w:themeColor="text1"/>
          <w:sz w:val="20"/>
          <w:szCs w:val="20"/>
          <w:lang w:val="en-GB"/>
        </w:rPr>
        <w:t>of 9 selected RHEAs compositions</w:t>
      </w:r>
      <w:r w:rsidRPr="005504AA">
        <w:rPr>
          <w:rFonts w:cstheme="minorHAnsi"/>
          <w:b/>
          <w:i w:val="0"/>
          <w:color w:val="auto"/>
          <w:sz w:val="20"/>
          <w:szCs w:val="20"/>
          <w:lang w:val="en-GB"/>
        </w:rPr>
        <w:t>.</w:t>
      </w:r>
      <w:bookmarkEnd w:id="221"/>
      <w:bookmarkEnd w:id="222"/>
      <w:r w:rsidRPr="005504AA">
        <w:rPr>
          <w:rFonts w:cstheme="minorHAnsi"/>
          <w:i w:val="0"/>
          <w:color w:val="auto"/>
          <w:sz w:val="20"/>
          <w:szCs w:val="20"/>
          <w:lang w:val="en-GB"/>
        </w:rPr>
        <w:t xml:space="preserve"> </w:t>
      </w:r>
    </w:p>
    <w:p w14:paraId="39E35470" w14:textId="22D92D98" w:rsidR="00B145BE" w:rsidRDefault="00B145BE" w:rsidP="00B145BE">
      <w:pPr>
        <w:pStyle w:val="Normal1"/>
        <w:spacing w:afterLines="60" w:after="144" w:line="360" w:lineRule="auto"/>
        <w:jc w:val="both"/>
        <w:rPr>
          <w:rFonts w:asciiTheme="minorHAnsi" w:hAnsiTheme="minorHAnsi"/>
          <w:sz w:val="22"/>
          <w:szCs w:val="22"/>
          <w:lang w:val="en-GB"/>
        </w:rPr>
      </w:pPr>
      <w:r w:rsidRPr="00D80AF7">
        <w:rPr>
          <w:rFonts w:asciiTheme="minorHAnsi" w:hAnsiTheme="minorHAnsi"/>
          <w:noProof/>
          <w:sz w:val="22"/>
          <w:szCs w:val="22"/>
          <w:lang w:val="en-GB"/>
        </w:rPr>
        <w:t xml:space="preserve">Primary screening of stable BCC RHEAs candidates was conducted through applying </w:t>
      </w:r>
      <w:r w:rsidR="00340ABD">
        <w:rPr>
          <w:rFonts w:asciiTheme="minorHAnsi" w:hAnsiTheme="minorHAnsi"/>
          <w:noProof/>
          <w:sz w:val="22"/>
          <w:szCs w:val="22"/>
          <w:lang w:val="en-GB"/>
        </w:rPr>
        <w:t xml:space="preserve">the </w:t>
      </w:r>
      <w:r w:rsidRPr="00D80AF7">
        <w:rPr>
          <w:rFonts w:asciiTheme="minorHAnsi" w:hAnsiTheme="minorHAnsi"/>
          <w:noProof/>
          <w:sz w:val="22"/>
          <w:szCs w:val="22"/>
          <w:lang w:val="en-GB"/>
        </w:rPr>
        <w:t xml:space="preserve">critical </w:t>
      </w:r>
      <w:r w:rsidR="00340ABD">
        <w:rPr>
          <w:rFonts w:asciiTheme="minorHAnsi" w:hAnsiTheme="minorHAnsi"/>
          <w:noProof/>
          <w:sz w:val="22"/>
          <w:szCs w:val="22"/>
          <w:lang w:val="en-GB"/>
        </w:rPr>
        <w:t xml:space="preserve">criteria of </w:t>
      </w:r>
      <w:r w:rsidRPr="00D80AF7">
        <w:rPr>
          <w:rFonts w:asciiTheme="minorHAnsi" w:hAnsiTheme="minorHAnsi"/>
          <w:noProof/>
          <w:sz w:val="22"/>
          <w:szCs w:val="22"/>
          <w:lang w:val="en-GB"/>
        </w:rPr>
        <w:t xml:space="preserve"> 4</w:t>
      </w:r>
      <w:r>
        <w:rPr>
          <w:rFonts w:asciiTheme="minorHAnsi" w:hAnsiTheme="minorHAnsi"/>
          <w:noProof/>
          <w:sz w:val="22"/>
          <w:szCs w:val="22"/>
          <w:lang w:val="en-GB"/>
        </w:rPr>
        <w:t xml:space="preserve"> </w:t>
      </w:r>
      <w:r w:rsidRPr="00D80AF7">
        <w:rPr>
          <w:rFonts w:asciiTheme="minorHAnsi" w:hAnsiTheme="minorHAnsi"/>
          <w:noProof/>
          <w:sz w:val="22"/>
          <w:szCs w:val="22"/>
          <w:lang w:val="en-GB"/>
        </w:rPr>
        <w:t>&lt;</w:t>
      </w:r>
      <w:r>
        <w:rPr>
          <w:rFonts w:asciiTheme="minorHAnsi" w:hAnsiTheme="minorHAnsi"/>
          <w:noProof/>
          <w:sz w:val="22"/>
          <w:szCs w:val="22"/>
          <w:lang w:val="en-GB"/>
        </w:rPr>
        <w:t xml:space="preserve"> </w:t>
      </w:r>
      <w:r w:rsidRPr="00E062D9">
        <w:rPr>
          <w:rFonts w:asciiTheme="minorHAnsi" w:hAnsiTheme="minorHAnsi"/>
          <w:i/>
          <w:noProof/>
          <w:sz w:val="22"/>
          <w:szCs w:val="22"/>
          <w:lang w:val="en-GB"/>
        </w:rPr>
        <w:t>VEC</w:t>
      </w:r>
      <w:r>
        <w:rPr>
          <w:rFonts w:asciiTheme="minorHAnsi" w:hAnsiTheme="minorHAnsi"/>
          <w:noProof/>
          <w:sz w:val="22"/>
          <w:szCs w:val="22"/>
          <w:lang w:val="en-GB"/>
        </w:rPr>
        <w:t xml:space="preserve"> </w:t>
      </w:r>
      <w:r w:rsidRPr="00D80AF7">
        <w:rPr>
          <w:rFonts w:asciiTheme="minorHAnsi" w:hAnsiTheme="minorHAnsi"/>
          <w:noProof/>
          <w:sz w:val="22"/>
          <w:szCs w:val="22"/>
          <w:lang w:val="en-GB"/>
        </w:rPr>
        <w:t>&lt;</w:t>
      </w:r>
      <w:r>
        <w:rPr>
          <w:rFonts w:asciiTheme="minorHAnsi" w:hAnsiTheme="minorHAnsi"/>
          <w:noProof/>
          <w:sz w:val="22"/>
          <w:szCs w:val="22"/>
          <w:lang w:val="en-GB"/>
        </w:rPr>
        <w:t xml:space="preserve"> </w:t>
      </w:r>
      <w:r w:rsidRPr="00D80AF7">
        <w:rPr>
          <w:rFonts w:asciiTheme="minorHAnsi" w:hAnsiTheme="minorHAnsi"/>
          <w:noProof/>
          <w:sz w:val="22"/>
          <w:szCs w:val="22"/>
          <w:lang w:val="en-GB"/>
        </w:rPr>
        <w:t xml:space="preserve">5.5, </w:t>
      </w:r>
      <m:oMath>
        <m:sSub>
          <m:sSubPr>
            <m:ctrlPr>
              <w:rPr>
                <w:rFonts w:ascii="Cambria Math" w:hAnsi="Cambria Math"/>
                <w:sz w:val="20"/>
                <w:szCs w:val="20"/>
                <w:lang w:val="en-GB"/>
              </w:rPr>
            </m:ctrlPr>
          </m:sSubPr>
          <m:e>
            <m:r>
              <w:rPr>
                <w:rFonts w:ascii="Cambria Math" w:hAnsi="Cambria Math"/>
                <w:sz w:val="20"/>
                <w:szCs w:val="20"/>
                <w:lang w:val="en-GB"/>
              </w:rPr>
              <m:t>σ</m:t>
            </m:r>
          </m:e>
          <m:sub>
            <m:r>
              <w:rPr>
                <w:rFonts w:ascii="Cambria Math" w:hAnsi="Cambria Math"/>
                <w:sz w:val="20"/>
                <w:szCs w:val="20"/>
                <w:lang w:val="en-GB"/>
              </w:rPr>
              <m:t>Δ</m:t>
            </m:r>
            <m:sSub>
              <m:sSubPr>
                <m:ctrlPr>
                  <w:rPr>
                    <w:rFonts w:ascii="Cambria Math" w:hAnsi="Cambria Math"/>
                    <w:i/>
                    <w:sz w:val="20"/>
                    <w:szCs w:val="20"/>
                    <w:lang w:val="en-GB"/>
                  </w:rPr>
                </m:ctrlPr>
              </m:sSubPr>
              <m:e>
                <m:r>
                  <w:rPr>
                    <w:rFonts w:ascii="Cambria Math" w:hAnsi="Cambria Math"/>
                    <w:sz w:val="20"/>
                    <w:szCs w:val="20"/>
                    <w:lang w:val="en-GB"/>
                  </w:rPr>
                  <m:t>H</m:t>
                </m:r>
              </m:e>
              <m:sub>
                <m:r>
                  <w:rPr>
                    <w:rFonts w:ascii="Cambria Math" w:hAnsi="Cambria Math"/>
                    <w:sz w:val="20"/>
                    <w:szCs w:val="20"/>
                    <w:lang w:val="en-GB"/>
                  </w:rPr>
                  <m:t>mixing</m:t>
                </m:r>
              </m:sub>
            </m:sSub>
          </m:sub>
        </m:sSub>
      </m:oMath>
      <w:r>
        <w:rPr>
          <w:rFonts w:asciiTheme="minorHAnsi" w:hAnsiTheme="minorHAnsi"/>
          <w:noProof/>
          <w:sz w:val="22"/>
          <w:szCs w:val="22"/>
          <w:lang w:val="en-GB"/>
        </w:rPr>
        <w:t xml:space="preserve"> </w:t>
      </w:r>
      <w:r w:rsidRPr="00D80AF7">
        <w:rPr>
          <w:rFonts w:asciiTheme="minorHAnsi" w:hAnsiTheme="minorHAnsi"/>
          <w:noProof/>
          <w:sz w:val="22"/>
          <w:szCs w:val="22"/>
          <w:lang w:val="en-GB"/>
        </w:rPr>
        <w:t>&lt;</w:t>
      </w:r>
      <w:r>
        <w:rPr>
          <w:rFonts w:asciiTheme="minorHAnsi" w:hAnsiTheme="minorHAnsi"/>
          <w:noProof/>
          <w:sz w:val="22"/>
          <w:szCs w:val="22"/>
          <w:lang w:val="en-GB"/>
        </w:rPr>
        <w:t xml:space="preserve"> </w:t>
      </w:r>
      <w:r w:rsidRPr="00D80AF7">
        <w:rPr>
          <w:rFonts w:asciiTheme="minorHAnsi" w:hAnsiTheme="minorHAnsi"/>
          <w:noProof/>
          <w:sz w:val="22"/>
          <w:szCs w:val="22"/>
          <w:lang w:val="en-GB"/>
        </w:rPr>
        <w:t>3</w:t>
      </w:r>
      <w:r>
        <w:rPr>
          <w:rFonts w:asciiTheme="minorHAnsi" w:hAnsiTheme="minorHAnsi"/>
          <w:noProof/>
          <w:sz w:val="22"/>
          <w:szCs w:val="22"/>
          <w:lang w:val="en-GB"/>
        </w:rPr>
        <w:t xml:space="preserve"> and </w:t>
      </w:r>
      <m:oMath>
        <m:sSub>
          <m:sSubPr>
            <m:ctrlPr>
              <w:rPr>
                <w:rFonts w:ascii="Cambria Math" w:hAnsi="Cambria Math"/>
                <w:sz w:val="20"/>
                <w:szCs w:val="20"/>
                <w:lang w:val="en-GB"/>
              </w:rPr>
            </m:ctrlPr>
          </m:sSubPr>
          <m:e>
            <m:r>
              <w:rPr>
                <w:rFonts w:ascii="Cambria Math" w:hAnsi="Cambria Math"/>
                <w:sz w:val="20"/>
                <w:szCs w:val="20"/>
                <w:lang w:val="en-GB"/>
              </w:rPr>
              <m:t>σ</m:t>
            </m:r>
          </m:e>
          <m:sub>
            <m:r>
              <w:rPr>
                <w:rFonts w:ascii="Cambria Math" w:hAnsi="Cambria Math"/>
                <w:sz w:val="20"/>
                <w:szCs w:val="20"/>
                <w:lang w:val="en-GB"/>
              </w:rPr>
              <m:t>Δ</m:t>
            </m:r>
            <m:sSub>
              <m:sSubPr>
                <m:ctrlPr>
                  <w:rPr>
                    <w:rFonts w:ascii="Cambria Math" w:hAnsi="Cambria Math"/>
                    <w:i/>
                    <w:sz w:val="20"/>
                    <w:szCs w:val="20"/>
                    <w:lang w:val="en-GB"/>
                  </w:rPr>
                </m:ctrlPr>
              </m:sSubPr>
              <m:e>
                <m:r>
                  <w:rPr>
                    <w:rFonts w:ascii="Cambria Math" w:hAnsi="Cambria Math"/>
                    <w:sz w:val="20"/>
                    <w:szCs w:val="20"/>
                    <w:lang w:val="en-GB"/>
                  </w:rPr>
                  <m:t>H</m:t>
                </m:r>
              </m:e>
              <m:sub>
                <m:r>
                  <w:rPr>
                    <w:rFonts w:ascii="Cambria Math" w:hAnsi="Cambria Math"/>
                    <w:sz w:val="20"/>
                    <w:szCs w:val="20"/>
                    <w:lang w:val="en-GB"/>
                  </w:rPr>
                  <m:t>formation</m:t>
                </m:r>
              </m:sub>
            </m:sSub>
          </m:sub>
        </m:sSub>
      </m:oMath>
      <w:r w:rsidRPr="00D80AF7">
        <w:rPr>
          <w:rFonts w:asciiTheme="minorHAnsi" w:hAnsiTheme="minorHAnsi"/>
          <w:noProof/>
          <w:sz w:val="22"/>
          <w:szCs w:val="22"/>
          <w:lang w:val="en-GB"/>
        </w:rPr>
        <w:t>&lt;</w:t>
      </w:r>
      <w:r>
        <w:rPr>
          <w:rFonts w:asciiTheme="minorHAnsi" w:hAnsiTheme="minorHAnsi"/>
          <w:noProof/>
          <w:sz w:val="22"/>
          <w:szCs w:val="22"/>
          <w:lang w:val="en-GB"/>
        </w:rPr>
        <w:t xml:space="preserve"> 100.</w:t>
      </w:r>
      <w:r w:rsidRPr="00D80AF7">
        <w:rPr>
          <w:rFonts w:asciiTheme="minorHAnsi" w:hAnsiTheme="minorHAnsi"/>
          <w:noProof/>
          <w:sz w:val="22"/>
          <w:szCs w:val="22"/>
          <w:lang w:val="en-GB"/>
        </w:rPr>
        <w:t xml:space="preserve"> </w:t>
      </w:r>
      <w:r>
        <w:rPr>
          <w:rFonts w:asciiTheme="minorHAnsi" w:hAnsiTheme="minorHAnsi"/>
          <w:noProof/>
          <w:sz w:val="22"/>
          <w:szCs w:val="22"/>
          <w:lang w:val="en-GB"/>
        </w:rPr>
        <w:t>By r</w:t>
      </w:r>
      <w:r w:rsidRPr="00D80AF7">
        <w:rPr>
          <w:rFonts w:asciiTheme="minorHAnsi" w:hAnsiTheme="minorHAnsi"/>
          <w:noProof/>
          <w:sz w:val="22"/>
          <w:szCs w:val="22"/>
          <w:lang w:val="en-GB"/>
        </w:rPr>
        <w:t>estrict</w:t>
      </w:r>
      <w:r>
        <w:rPr>
          <w:rFonts w:asciiTheme="minorHAnsi" w:hAnsiTheme="minorHAnsi"/>
          <w:noProof/>
          <w:sz w:val="22"/>
          <w:szCs w:val="22"/>
          <w:lang w:val="en-GB"/>
        </w:rPr>
        <w:t>ing</w:t>
      </w:r>
      <w:r w:rsidRPr="00D80AF7">
        <w:rPr>
          <w:rFonts w:asciiTheme="minorHAnsi" w:hAnsiTheme="minorHAnsi"/>
          <w:noProof/>
          <w:sz w:val="22"/>
          <w:szCs w:val="22"/>
          <w:lang w:val="en-GB"/>
        </w:rPr>
        <w:t xml:space="preserve"> the principal components </w:t>
      </w:r>
      <w:r>
        <w:rPr>
          <w:rFonts w:asciiTheme="minorHAnsi" w:hAnsiTheme="minorHAnsi"/>
          <w:noProof/>
          <w:sz w:val="22"/>
          <w:szCs w:val="22"/>
          <w:lang w:val="en-GB"/>
        </w:rPr>
        <w:t>to the elements</w:t>
      </w:r>
      <w:r w:rsidRPr="00D80AF7">
        <w:rPr>
          <w:rFonts w:asciiTheme="minorHAnsi" w:hAnsiTheme="minorHAnsi"/>
          <w:noProof/>
          <w:sz w:val="22"/>
          <w:szCs w:val="22"/>
          <w:lang w:val="en-GB"/>
        </w:rPr>
        <w:t xml:space="preserve"> </w:t>
      </w:r>
      <w:r w:rsidRPr="00D80AF7">
        <w:rPr>
          <w:rFonts w:asciiTheme="minorHAnsi" w:hAnsiTheme="minorHAnsi"/>
          <w:sz w:val="22"/>
          <w:szCs w:val="22"/>
          <w:lang w:val="en-GB"/>
        </w:rPr>
        <w:t xml:space="preserve">Al, Sc, Ti, V, Cr, Mn, Fe, Co, Ni, Cu, Y, Zr, Nb, Mo, Hf, Ta, W, and Re, only </w:t>
      </w:r>
      <w:r>
        <w:rPr>
          <w:rFonts w:asciiTheme="minorHAnsi" w:hAnsiTheme="minorHAnsi"/>
          <w:sz w:val="22"/>
          <w:szCs w:val="22"/>
          <w:lang w:val="en-GB"/>
        </w:rPr>
        <w:t>9</w:t>
      </w:r>
      <w:r w:rsidRPr="00D80AF7">
        <w:rPr>
          <w:rFonts w:asciiTheme="minorHAnsi" w:hAnsiTheme="minorHAnsi"/>
          <w:sz w:val="22"/>
          <w:szCs w:val="22"/>
          <w:lang w:val="en-GB"/>
        </w:rPr>
        <w:t xml:space="preserve"> compositions were selected</w:t>
      </w:r>
      <w:r>
        <w:rPr>
          <w:rFonts w:asciiTheme="minorHAnsi" w:hAnsiTheme="minorHAnsi"/>
          <w:sz w:val="22"/>
          <w:szCs w:val="22"/>
          <w:lang w:val="en-GB"/>
        </w:rPr>
        <w:t xml:space="preserve"> from 2380 possible </w:t>
      </w:r>
      <w:r w:rsidRPr="00744FFC">
        <w:rPr>
          <w:rFonts w:asciiTheme="minorHAnsi" w:hAnsiTheme="minorHAnsi"/>
          <w:sz w:val="22"/>
          <w:szCs w:val="22"/>
          <w:lang w:val="en-GB"/>
        </w:rPr>
        <w:t>quaternary</w:t>
      </w:r>
      <w:r>
        <w:rPr>
          <w:rFonts w:asciiTheme="minorHAnsi" w:hAnsiTheme="minorHAnsi"/>
          <w:sz w:val="22"/>
          <w:szCs w:val="22"/>
          <w:lang w:val="en-GB"/>
        </w:rPr>
        <w:t xml:space="preserve"> compositions</w:t>
      </w:r>
      <w:r w:rsidRPr="00D80AF7">
        <w:rPr>
          <w:rFonts w:asciiTheme="minorHAnsi" w:hAnsiTheme="minorHAnsi"/>
          <w:sz w:val="22"/>
          <w:szCs w:val="22"/>
          <w:lang w:val="en-GB"/>
        </w:rPr>
        <w:t xml:space="preserve"> </w:t>
      </w:r>
      <w:r w:rsidR="00843FC5">
        <w:rPr>
          <w:rFonts w:asciiTheme="minorHAnsi" w:hAnsiTheme="minorHAnsi"/>
          <w:sz w:val="22"/>
          <w:szCs w:val="22"/>
          <w:lang w:val="en-GB"/>
        </w:rPr>
        <w:t xml:space="preserve">that </w:t>
      </w:r>
      <w:r>
        <w:rPr>
          <w:rFonts w:asciiTheme="minorHAnsi" w:hAnsiTheme="minorHAnsi"/>
          <w:sz w:val="22"/>
          <w:szCs w:val="22"/>
          <w:lang w:val="en-GB"/>
        </w:rPr>
        <w:t>satisfy the preconditions listed above</w:t>
      </w:r>
      <w:r w:rsidRPr="00D80AF7">
        <w:rPr>
          <w:rFonts w:asciiTheme="minorHAnsi" w:hAnsiTheme="minorHAnsi"/>
          <w:sz w:val="22"/>
          <w:szCs w:val="22"/>
          <w:lang w:val="en-GB"/>
        </w:rPr>
        <w:t xml:space="preserve">. </w:t>
      </w:r>
      <w:r>
        <w:rPr>
          <w:rFonts w:asciiTheme="minorHAnsi" w:hAnsiTheme="minorHAnsi"/>
          <w:sz w:val="22"/>
          <w:szCs w:val="22"/>
          <w:lang w:val="en-GB"/>
        </w:rPr>
        <w:t xml:space="preserve">Both values of </w:t>
      </w:r>
      <m:oMath>
        <m:sSub>
          <m:sSubPr>
            <m:ctrlPr>
              <w:rPr>
                <w:rFonts w:ascii="Cambria Math" w:hAnsi="Cambria Math"/>
                <w:sz w:val="20"/>
                <w:szCs w:val="20"/>
                <w:lang w:val="en-GB"/>
              </w:rPr>
            </m:ctrlPr>
          </m:sSubPr>
          <m:e>
            <m:r>
              <w:rPr>
                <w:rFonts w:ascii="Cambria Math" w:hAnsi="Cambria Math"/>
                <w:sz w:val="20"/>
                <w:szCs w:val="20"/>
                <w:lang w:val="en-GB"/>
              </w:rPr>
              <m:t>σ</m:t>
            </m:r>
          </m:e>
          <m:sub>
            <m:r>
              <w:rPr>
                <w:rFonts w:ascii="Cambria Math" w:hAnsi="Cambria Math"/>
                <w:sz w:val="20"/>
                <w:szCs w:val="20"/>
                <w:lang w:val="en-GB"/>
              </w:rPr>
              <m:t>Δ</m:t>
            </m:r>
            <m:sSub>
              <m:sSubPr>
                <m:ctrlPr>
                  <w:rPr>
                    <w:rFonts w:ascii="Cambria Math" w:hAnsi="Cambria Math"/>
                    <w:i/>
                    <w:sz w:val="20"/>
                    <w:szCs w:val="20"/>
                    <w:lang w:val="en-GB"/>
                  </w:rPr>
                </m:ctrlPr>
              </m:sSubPr>
              <m:e>
                <m:r>
                  <w:rPr>
                    <w:rFonts w:ascii="Cambria Math" w:hAnsi="Cambria Math"/>
                    <w:sz w:val="20"/>
                    <w:szCs w:val="20"/>
                    <w:lang w:val="en-GB"/>
                  </w:rPr>
                  <m:t>H</m:t>
                </m:r>
              </m:e>
              <m:sub>
                <m:r>
                  <w:rPr>
                    <w:rFonts w:ascii="Cambria Math" w:hAnsi="Cambria Math"/>
                    <w:sz w:val="20"/>
                    <w:szCs w:val="20"/>
                    <w:lang w:val="en-GB"/>
                  </w:rPr>
                  <m:t>mixing</m:t>
                </m:r>
              </m:sub>
            </m:sSub>
          </m:sub>
        </m:sSub>
      </m:oMath>
      <w:r w:rsidRPr="00D80AF7">
        <w:rPr>
          <w:rFonts w:asciiTheme="minorHAnsi" w:hAnsiTheme="minorHAnsi"/>
          <w:sz w:val="22"/>
          <w:szCs w:val="22"/>
          <w:lang w:val="en-GB"/>
        </w:rPr>
        <w:t xml:space="preserve"> </w:t>
      </w:r>
      <w:r>
        <w:rPr>
          <w:rFonts w:asciiTheme="minorHAnsi" w:hAnsiTheme="minorHAnsi"/>
          <w:sz w:val="22"/>
          <w:szCs w:val="22"/>
          <w:lang w:val="en-GB"/>
        </w:rPr>
        <w:t>and</w:t>
      </w:r>
      <w:r w:rsidRPr="00D80AF7">
        <w:rPr>
          <w:rFonts w:asciiTheme="minorHAnsi" w:hAnsiTheme="minorHAnsi"/>
          <w:sz w:val="22"/>
          <w:szCs w:val="22"/>
          <w:lang w:val="en-GB"/>
        </w:rPr>
        <w:t xml:space="preserve"> </w:t>
      </w:r>
      <m:oMath>
        <m:sSub>
          <m:sSubPr>
            <m:ctrlPr>
              <w:rPr>
                <w:rFonts w:ascii="Cambria Math" w:hAnsi="Cambria Math"/>
                <w:sz w:val="20"/>
                <w:szCs w:val="20"/>
                <w:lang w:val="en-GB"/>
              </w:rPr>
            </m:ctrlPr>
          </m:sSubPr>
          <m:e>
            <m:r>
              <w:rPr>
                <w:rFonts w:ascii="Cambria Math" w:hAnsi="Cambria Math"/>
                <w:sz w:val="20"/>
                <w:szCs w:val="20"/>
                <w:lang w:val="en-GB"/>
              </w:rPr>
              <m:t>σ</m:t>
            </m:r>
          </m:e>
          <m:sub>
            <m:r>
              <w:rPr>
                <w:rFonts w:ascii="Cambria Math" w:hAnsi="Cambria Math"/>
                <w:sz w:val="20"/>
                <w:szCs w:val="20"/>
                <w:lang w:val="en-GB"/>
              </w:rPr>
              <m:t>Δ</m:t>
            </m:r>
            <m:sSub>
              <m:sSubPr>
                <m:ctrlPr>
                  <w:rPr>
                    <w:rFonts w:ascii="Cambria Math" w:hAnsi="Cambria Math"/>
                    <w:i/>
                    <w:sz w:val="20"/>
                    <w:szCs w:val="20"/>
                    <w:lang w:val="en-GB"/>
                  </w:rPr>
                </m:ctrlPr>
              </m:sSubPr>
              <m:e>
                <m:r>
                  <w:rPr>
                    <w:rFonts w:ascii="Cambria Math" w:hAnsi="Cambria Math"/>
                    <w:sz w:val="20"/>
                    <w:szCs w:val="20"/>
                    <w:lang w:val="en-GB"/>
                  </w:rPr>
                  <m:t>H</m:t>
                </m:r>
              </m:e>
              <m:sub>
                <m:r>
                  <w:rPr>
                    <w:rFonts w:ascii="Cambria Math" w:hAnsi="Cambria Math"/>
                    <w:sz w:val="20"/>
                    <w:szCs w:val="20"/>
                    <w:lang w:val="en-GB"/>
                  </w:rPr>
                  <m:t>formation</m:t>
                </m:r>
              </m:sub>
            </m:sSub>
          </m:sub>
        </m:sSub>
      </m:oMath>
      <w:r>
        <w:rPr>
          <w:rFonts w:asciiTheme="minorHAnsi" w:hAnsiTheme="minorHAnsi"/>
          <w:sz w:val="22"/>
          <w:szCs w:val="22"/>
          <w:lang w:val="en-GB"/>
        </w:rPr>
        <w:t xml:space="preserve"> were</w:t>
      </w:r>
      <w:r w:rsidRPr="00D80AF7">
        <w:rPr>
          <w:rFonts w:asciiTheme="minorHAnsi" w:hAnsiTheme="minorHAnsi"/>
          <w:sz w:val="22"/>
          <w:szCs w:val="22"/>
          <w:lang w:val="en-GB"/>
        </w:rPr>
        <w:t xml:space="preserve"> calculated for </w:t>
      </w:r>
      <w:r>
        <w:rPr>
          <w:rFonts w:asciiTheme="minorHAnsi" w:hAnsiTheme="minorHAnsi"/>
          <w:sz w:val="22"/>
          <w:szCs w:val="22"/>
          <w:lang w:val="en-GB"/>
        </w:rPr>
        <w:t xml:space="preserve">the </w:t>
      </w:r>
      <w:r w:rsidR="00843FC5">
        <w:rPr>
          <w:rFonts w:asciiTheme="minorHAnsi" w:hAnsiTheme="minorHAnsi"/>
          <w:sz w:val="22"/>
          <w:szCs w:val="22"/>
          <w:lang w:val="en-GB"/>
        </w:rPr>
        <w:t xml:space="preserve">9 </w:t>
      </w:r>
      <w:r>
        <w:rPr>
          <w:rFonts w:asciiTheme="minorHAnsi" w:hAnsiTheme="minorHAnsi"/>
          <w:sz w:val="22"/>
          <w:szCs w:val="22"/>
          <w:lang w:val="en-GB"/>
        </w:rPr>
        <w:t xml:space="preserve">screened </w:t>
      </w:r>
      <w:r w:rsidRPr="00D80AF7">
        <w:rPr>
          <w:rFonts w:asciiTheme="minorHAnsi" w:hAnsiTheme="minorHAnsi"/>
          <w:sz w:val="22"/>
          <w:szCs w:val="22"/>
          <w:lang w:val="en-GB"/>
        </w:rPr>
        <w:t>compositions</w:t>
      </w:r>
      <w:r w:rsidRPr="00C65B79">
        <w:rPr>
          <w:rFonts w:asciiTheme="minorHAnsi" w:hAnsiTheme="minorHAnsi"/>
          <w:sz w:val="22"/>
          <w:szCs w:val="22"/>
          <w:lang w:val="en-GB"/>
        </w:rPr>
        <w:t xml:space="preserve"> </w:t>
      </w:r>
      <w:r w:rsidRPr="00D80AF7">
        <w:rPr>
          <w:rFonts w:asciiTheme="minorHAnsi" w:hAnsiTheme="minorHAnsi"/>
          <w:sz w:val="22"/>
          <w:szCs w:val="22"/>
          <w:lang w:val="en-GB"/>
        </w:rPr>
        <w:t xml:space="preserve">in </w:t>
      </w:r>
      <w:r>
        <w:rPr>
          <w:rFonts w:asciiTheme="minorHAnsi" w:hAnsiTheme="minorHAnsi"/>
          <w:sz w:val="22"/>
          <w:szCs w:val="22"/>
          <w:lang w:val="en-GB"/>
        </w:rPr>
        <w:t>F</w:t>
      </w:r>
      <w:r w:rsidRPr="00D80AF7">
        <w:rPr>
          <w:rFonts w:asciiTheme="minorHAnsi" w:hAnsiTheme="minorHAnsi"/>
          <w:sz w:val="22"/>
          <w:szCs w:val="22"/>
          <w:lang w:val="en-GB"/>
        </w:rPr>
        <w:t xml:space="preserve">ig. </w:t>
      </w:r>
      <w:r>
        <w:rPr>
          <w:rFonts w:asciiTheme="minorHAnsi" w:hAnsiTheme="minorHAnsi"/>
          <w:sz w:val="22"/>
          <w:szCs w:val="22"/>
          <w:lang w:val="en-GB"/>
        </w:rPr>
        <w:t>4-</w:t>
      </w:r>
      <w:r w:rsidRPr="00D80AF7">
        <w:rPr>
          <w:rFonts w:asciiTheme="minorHAnsi" w:hAnsiTheme="minorHAnsi"/>
          <w:sz w:val="22"/>
          <w:szCs w:val="22"/>
          <w:lang w:val="en-GB"/>
        </w:rPr>
        <w:t xml:space="preserve">2. </w:t>
      </w:r>
      <w:r>
        <w:rPr>
          <w:rFonts w:asciiTheme="minorHAnsi" w:hAnsiTheme="minorHAnsi"/>
          <w:sz w:val="22"/>
          <w:szCs w:val="22"/>
          <w:lang w:val="en-GB"/>
        </w:rPr>
        <w:t>Among them</w:t>
      </w:r>
      <w:r w:rsidRPr="00D80AF7">
        <w:rPr>
          <w:rFonts w:asciiTheme="minorHAnsi" w:hAnsiTheme="minorHAnsi"/>
          <w:sz w:val="22"/>
          <w:szCs w:val="22"/>
          <w:lang w:val="en-GB"/>
        </w:rPr>
        <w:t>, both TiVNbTa and TiZrHfNb</w:t>
      </w:r>
      <w:r>
        <w:rPr>
          <w:rFonts w:asciiTheme="minorHAnsi" w:hAnsiTheme="minorHAnsi"/>
          <w:sz w:val="22"/>
          <w:szCs w:val="22"/>
          <w:lang w:val="en-GB"/>
        </w:rPr>
        <w:t xml:space="preserve"> compositions </w:t>
      </w:r>
      <w:r w:rsidRPr="00D80AF7">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{"citationItems":[{"id":"ITEM-1","itemData":{"DOI":"10.1038/s41586-018-0685-y","ISSN":"14764687","PMID":"30429610","abstract":"Oxygen, one of the most abundant elements on Earth, often forms an undesired interstitial impurity or ceramic phase (such as an oxide particle) in metallic materials. Even when it adds strength, oxygen doping renders metals brittle1–3. Here we show that oxygen can take the form of ordered oxygen complexes, a state in between oxide particles and frequently occurring random interstitials. Unlike traditional interstitial strengthening4,5, such ordered interstitial complexes lead to unprecedented enhancement in both strength and ductility in compositionally complex solid solutions, the so-called high-entropy alloys (HEAs)6–10. The tensile strength is enhanced (by 48.5 ± 1.8 per cent) and ductility is substantially improved (by 95.2 ± 8.1 per cent) when doping a model TiZrHfNb HEA with 2.0 atomic per cent oxygen, thus breaking the long-standing strength–ductility trade-off11. The oxygen complexes are ordered nanoscale regions within the HEA characterized by (O, Zr, Ti)-rich atomic complexes whose formation is promoted by the existence of chemical short-range ordering among some of the substitutional matrix elements in the HEAs. Carbon has been reported to improve strength and ductility simultaneously in face-centred cubic HEAs12, by lowering the stacking fault energy and increasing the lattice friction stress. By contrast, the ordered interstitial complexes described here change the dislocation shear mode from planar slip to wavy slip, and promote double cross-slip and thus dislocation multiplication through the formation of Frank–Read sources (a mechanism explaining the generation of multiple dislocations) during deformation. This ordered interstitial complex-mediated strain-hardening mechanism should be particularly useful in Ti-, Zr- and Hf-containing alloys, in which interstitial elements are highly undesirable owing to their embrittlement effects, and in alloys where tuning the stacking fault energy and exploiting athermal transformations13 do not lead to property enhancement. These results provide insight into the role of interstitial solid solutions and associated ordering strengthening mechanisms in metallic materials.","author":[{"dropping-particle":"","family":"Lei","given":"Zhifeng","non-dropping-particle":"","parse-names":false,"suffix":""},{"dropping-particle":"","family":"Liu","given":"Xiongjun","non-dropping-particle":"","parse-names":false,"suffix":""},{"dropping-particle":"","family":"Wu","given":"Yuan","non-dropping-particle":"","parse-names":false,"suffix":""},{"dropping-particle":"","family":"Wang","given":"Hui","non-dropping-particle":"","parse-names":false,"suffix":""},{"dropping-particle":"","family":"Jiang","given":"Suihe","non-dropping-particle":"","parse-names":false,"suffix":""},{"dropping-particle":"","family":"Wang","given":"Shudao","non-dropping-particle":"","parse-names":false,"suffix":""},{"dropping-particle":"","family":"Hui","given":"Xidong","non-dropping-particle":"","parse-names":false,"suffix":""},{"dropping-particle":"","family":"Wu","given":"Yidong","non-dropping-particle":"","parse-names":false,"suffix":""},{"dropping-particle":"","family":"Gault","given":"Baptiste","non-dropping-particle":"","parse-names":false,"suffix":""},{"dropping-particle":"","family":"Kontis","given":"Paraskevas","non-dropping-particle":"","parse-names":false,"suffix":""},{"dropping-particle":"","family":"Raabe","given":"Dierk","non-dropping-particle":"","parse-names":false,"suffix":""},{"dropping-particle":"","family":"Gu","given":"Lin","non-dropping-particle":"","parse-names":false,"suffix":""},{"dropping-particle":"","family":"Zhang","given":"Qinghua","non-dropping-particle":"","parse-names":false,"suffix":""},{"dropping-particle":"","family":"Chen","given":"Houwen","non-dropping-particle":"","parse-names":false,"suffix":""},{"dropping-particle":"","family":"Wang","given":"Hongtao","non-dropping-particle":"","parse-names":false,"suffix":""},{"dropping-particle":"","family":"Liu","given":"Jiabin","non-dropping-particle":"","parse-names":false,"suffix":""},{"dropping-particle":"","family":"An","given":"Ke","non-dropping-particle":"","parse-names":false,"suffix":""},{"dropping-particle":"","family":"Zeng","given":"Qiaoshi","non-dropping-particle":"","parse-names":false,"suffix":""},{"dropping-particle":"","family":"Nieh","given":"Tai Gang","non-dropping-particle":"","parse-names":false,"suffix":""},{"dropping-particle":"","family":"Lu","given":"Zhaoping","non-dropping-particle":"","parse-names":false,"suffix":""}],"container-title":"Nature","id":"ITEM-1","issued":{"date-parts":[["2018"]]},"title":"Enhanced strength and ductility in a high-entropy alloy via ordered oxygen complexes","type":"article-journal"},"uris":["http://www.mendeley.com/documents/?uuid=40cca35f-be64-45d0-8314-b882ad87c3f0"]},{"id":"ITEM-2","itemData":{"DOI":"10.1016/j.proeng.2012.03.043","ISBN":"18777058","ISSN":"18777058","PMID":"25739749","abstract":"The novel refractory high entropy alloys with the compositions of NbTiVTaAlxwere prepared under a high-purity argon atmosphere and their microstructure and compressive properties at room temperature were investigated. Despite containing many constituents, all alloys had a single solid solution phase with body-centered cubic (BCC) structure, and possessed high compressive yield strength and ductility, which should be attributed to solid solution strengthening. © 2012 Published by Elsevier Ltd.","author":[{"dropping-particle":"","family":"Yang","given":"X.","non-dropping-particle":"","parse-names":false,"suffix":""},{"dropping-particle":"","family":"Zhang","given":"Y.","non-dropping-particle":"","parse-names":false,"suffix":""},{"dropping-particle":"","family":"Liaw","given":"P. K.","non-dropping-particle":"","parse-names":false,"suffix":""}],"container-title":"Procedia Engineering","id":"ITEM-2","issued":{"date-parts":[["2012"]]},"title":"Microstructure and compressive properties of NbTiVTaAlxhigh entropy alloys","type":"paper-conference"},"uris":["http://www.mendeley.com/documents/?uuid=d4b45ec8-3c86-46a1-a764-663c8c434f91"]}],"mendeley":{"formattedCitation":"[3,28]","plainTextFormattedCitation":"[3,28]","previouslyFormattedCitation":"[3,27]"},"properties":{"noteIndex":0},"schema":"https://github.com/citation-style-language/schema/raw/master/csl-citation.json"}</w:instrText>
      </w:r>
      <w:r w:rsidRPr="00D80AF7">
        <w:rPr>
          <w:rFonts w:asciiTheme="minorHAnsi" w:hAnsiTheme="minorHAnsi"/>
          <w:sz w:val="22"/>
          <w:szCs w:val="22"/>
          <w:lang w:val="en-GB"/>
        </w:rPr>
        <w:fldChar w:fldCharType="separate"/>
      </w:r>
      <w:r w:rsidRPr="005C630B">
        <w:rPr>
          <w:rFonts w:asciiTheme="minorHAnsi" w:hAnsiTheme="minorHAnsi"/>
          <w:noProof/>
          <w:sz w:val="22"/>
          <w:szCs w:val="22"/>
          <w:lang w:val="en-GB"/>
        </w:rPr>
        <w:t>[3,28]</w:t>
      </w:r>
      <w:r w:rsidRPr="00D80AF7">
        <w:rPr>
          <w:rFonts w:asciiTheme="minorHAnsi" w:hAnsiTheme="minorHAnsi"/>
          <w:sz w:val="22"/>
          <w:szCs w:val="22"/>
          <w:lang w:val="en-GB"/>
        </w:rPr>
        <w:fldChar w:fldCharType="end"/>
      </w:r>
      <w:r w:rsidRPr="00D80AF7">
        <w:rPr>
          <w:rFonts w:asciiTheme="minorHAnsi" w:hAnsiTheme="minorHAnsi"/>
          <w:sz w:val="22"/>
          <w:szCs w:val="22"/>
          <w:lang w:val="en-GB"/>
        </w:rPr>
        <w:t xml:space="preserve"> were</w:t>
      </w:r>
      <w:r w:rsidR="00843FC5">
        <w:rPr>
          <w:rFonts w:asciiTheme="minorHAnsi" w:hAnsiTheme="minorHAnsi"/>
          <w:sz w:val="22"/>
          <w:szCs w:val="22"/>
          <w:lang w:val="en-GB"/>
        </w:rPr>
        <w:t xml:space="preserve"> previous</w:t>
      </w:r>
      <w:r w:rsidRPr="00D80AF7">
        <w:rPr>
          <w:rFonts w:asciiTheme="minorHAnsi" w:hAnsiTheme="minorHAnsi"/>
          <w:sz w:val="22"/>
          <w:szCs w:val="22"/>
          <w:lang w:val="en-GB"/>
        </w:rPr>
        <w:t xml:space="preserve"> reported </w:t>
      </w:r>
      <w:r>
        <w:rPr>
          <w:rFonts w:asciiTheme="minorHAnsi" w:hAnsiTheme="minorHAnsi"/>
          <w:sz w:val="22"/>
          <w:szCs w:val="22"/>
          <w:lang w:val="en-GB"/>
        </w:rPr>
        <w:t>to be</w:t>
      </w:r>
      <w:r w:rsidRPr="00D80AF7">
        <w:rPr>
          <w:rFonts w:asciiTheme="minorHAnsi" w:hAnsiTheme="minorHAnsi"/>
          <w:sz w:val="22"/>
          <w:szCs w:val="22"/>
          <w:lang w:val="en-GB"/>
        </w:rPr>
        <w:t xml:space="preserve"> stable BCC RHEAs with </w:t>
      </w:r>
      <w:r>
        <w:rPr>
          <w:rFonts w:asciiTheme="minorHAnsi" w:hAnsiTheme="minorHAnsi"/>
          <w:sz w:val="22"/>
          <w:szCs w:val="22"/>
          <w:lang w:val="en-GB"/>
        </w:rPr>
        <w:t>good</w:t>
      </w:r>
      <w:r w:rsidRPr="00D80AF7">
        <w:rPr>
          <w:rFonts w:asciiTheme="minorHAnsi" w:hAnsiTheme="minorHAnsi"/>
          <w:sz w:val="22"/>
          <w:szCs w:val="22"/>
          <w:lang w:val="en-GB"/>
        </w:rPr>
        <w:t xml:space="preserve"> ductility</w:t>
      </w:r>
      <w:r>
        <w:rPr>
          <w:rFonts w:asciiTheme="minorHAnsi" w:hAnsiTheme="minorHAnsi"/>
          <w:sz w:val="22"/>
          <w:szCs w:val="22"/>
          <w:lang w:val="en-GB"/>
        </w:rPr>
        <w:t xml:space="preserve"> (ε &gt; 20%)</w:t>
      </w:r>
      <w:r w:rsidRPr="00D80AF7">
        <w:rPr>
          <w:rFonts w:asciiTheme="minorHAnsi" w:hAnsiTheme="minorHAnsi"/>
          <w:sz w:val="22"/>
          <w:szCs w:val="22"/>
          <w:lang w:val="en-GB"/>
        </w:rPr>
        <w:t xml:space="preserve"> and high strength</w:t>
      </w:r>
      <w:r>
        <w:rPr>
          <w:rFonts w:asciiTheme="minorHAnsi" w:hAnsiTheme="minorHAnsi"/>
          <w:sz w:val="22"/>
          <w:szCs w:val="22"/>
          <w:lang w:val="en-GB"/>
        </w:rPr>
        <w:t xml:space="preserve"> (UTS &gt; 1GPa)</w:t>
      </w:r>
      <w:r w:rsidRPr="00D80AF7">
        <w:rPr>
          <w:rFonts w:asciiTheme="minorHAnsi" w:hAnsiTheme="minorHAnsi"/>
          <w:sz w:val="22"/>
          <w:szCs w:val="22"/>
          <w:lang w:val="en-GB"/>
        </w:rPr>
        <w:t xml:space="preserve"> </w:t>
      </w:r>
      <w:r>
        <w:rPr>
          <w:rFonts w:asciiTheme="minorHAnsi" w:hAnsiTheme="minorHAnsi"/>
          <w:sz w:val="22"/>
          <w:szCs w:val="22"/>
          <w:lang w:val="en-GB"/>
        </w:rPr>
        <w:t xml:space="preserve">which </w:t>
      </w:r>
      <w:r w:rsidR="00843FC5">
        <w:rPr>
          <w:rFonts w:asciiTheme="minorHAnsi" w:hAnsiTheme="minorHAnsi"/>
          <w:sz w:val="22"/>
          <w:szCs w:val="22"/>
          <w:lang w:val="en-GB"/>
        </w:rPr>
        <w:t>suggest</w:t>
      </w:r>
      <w:r>
        <w:rPr>
          <w:rFonts w:asciiTheme="minorHAnsi" w:hAnsiTheme="minorHAnsi"/>
          <w:sz w:val="22"/>
          <w:szCs w:val="22"/>
          <w:lang w:val="en-GB"/>
        </w:rPr>
        <w:t>s the potential discovery of</w:t>
      </w:r>
      <w:r w:rsidRPr="00D80AF7">
        <w:rPr>
          <w:rFonts w:asciiTheme="minorHAnsi" w:hAnsiTheme="minorHAnsi"/>
          <w:sz w:val="22"/>
          <w:szCs w:val="22"/>
          <w:lang w:val="en-GB"/>
        </w:rPr>
        <w:t xml:space="preserve"> novel ductile RHEAs within the </w:t>
      </w:r>
      <w:r>
        <w:rPr>
          <w:rFonts w:asciiTheme="minorHAnsi" w:hAnsiTheme="minorHAnsi"/>
          <w:sz w:val="22"/>
          <w:szCs w:val="22"/>
          <w:lang w:val="en-GB"/>
        </w:rPr>
        <w:t>9</w:t>
      </w:r>
      <w:r w:rsidRPr="00D80AF7">
        <w:rPr>
          <w:rFonts w:asciiTheme="minorHAnsi" w:hAnsiTheme="minorHAnsi"/>
          <w:sz w:val="22"/>
          <w:szCs w:val="22"/>
          <w:lang w:val="en-GB"/>
        </w:rPr>
        <w:t xml:space="preserve"> compositions.</w:t>
      </w:r>
      <w:r>
        <w:rPr>
          <w:rFonts w:asciiTheme="minorHAnsi" w:hAnsiTheme="minorHAnsi"/>
          <w:sz w:val="22"/>
          <w:szCs w:val="22"/>
          <w:lang w:val="en-GB"/>
        </w:rPr>
        <w:t xml:space="preserve"> Of these, to verify the effectiveness of utilising </w:t>
      </w:r>
      <m:oMath>
        <m:sSub>
          <m:sSubPr>
            <m:ctrlPr>
              <w:rPr>
                <w:rFonts w:ascii="Cambria Math" w:hAnsi="Cambria Math"/>
                <w:sz w:val="20"/>
                <w:szCs w:val="20"/>
                <w:lang w:val="en-GB"/>
              </w:rPr>
            </m:ctrlPr>
          </m:sSubPr>
          <m:e>
            <m:r>
              <w:rPr>
                <w:rFonts w:ascii="Cambria Math" w:hAnsi="Cambria Math"/>
                <w:sz w:val="20"/>
                <w:szCs w:val="20"/>
                <w:lang w:val="en-GB"/>
              </w:rPr>
              <m:t>σ</m:t>
            </m:r>
          </m:e>
          <m:sub>
            <m:r>
              <w:rPr>
                <w:rFonts w:ascii="Cambria Math" w:hAnsi="Cambria Math"/>
                <w:sz w:val="20"/>
                <w:szCs w:val="20"/>
                <w:lang w:val="en-GB"/>
              </w:rPr>
              <m:t>Δ</m:t>
            </m:r>
            <m:sSub>
              <m:sSubPr>
                <m:ctrlPr>
                  <w:rPr>
                    <w:rFonts w:ascii="Cambria Math" w:hAnsi="Cambria Math"/>
                    <w:i/>
                    <w:sz w:val="20"/>
                    <w:szCs w:val="20"/>
                    <w:lang w:val="en-GB"/>
                  </w:rPr>
                </m:ctrlPr>
              </m:sSubPr>
              <m:e>
                <m:r>
                  <w:rPr>
                    <w:rFonts w:ascii="Cambria Math" w:hAnsi="Cambria Math"/>
                    <w:sz w:val="20"/>
                    <w:szCs w:val="20"/>
                    <w:lang w:val="en-GB"/>
                  </w:rPr>
                  <m:t>H</m:t>
                </m:r>
              </m:e>
              <m:sub>
                <m:r>
                  <w:rPr>
                    <w:rFonts w:ascii="Cambria Math" w:hAnsi="Cambria Math"/>
                    <w:sz w:val="20"/>
                    <w:szCs w:val="20"/>
                    <w:lang w:val="en-GB"/>
                  </w:rPr>
                  <m:t>mixing</m:t>
                </m:r>
              </m:sub>
            </m:sSub>
          </m:sub>
        </m:sSub>
      </m:oMath>
      <w:r w:rsidRPr="00D80AF7">
        <w:rPr>
          <w:rFonts w:asciiTheme="minorHAnsi" w:hAnsiTheme="minorHAnsi"/>
          <w:sz w:val="22"/>
          <w:szCs w:val="22"/>
          <w:lang w:val="en-GB"/>
        </w:rPr>
        <w:t xml:space="preserve"> </w:t>
      </w:r>
      <w:r>
        <w:rPr>
          <w:rFonts w:asciiTheme="minorHAnsi" w:hAnsiTheme="minorHAnsi"/>
          <w:sz w:val="22"/>
          <w:szCs w:val="22"/>
          <w:lang w:val="en-GB"/>
        </w:rPr>
        <w:t>and</w:t>
      </w:r>
      <w:r w:rsidRPr="00D80AF7">
        <w:rPr>
          <w:rFonts w:asciiTheme="minorHAnsi" w:hAnsiTheme="minorHAnsi"/>
          <w:sz w:val="22"/>
          <w:szCs w:val="22"/>
          <w:lang w:val="en-GB"/>
        </w:rPr>
        <w:t xml:space="preserve"> </w:t>
      </w:r>
      <m:oMath>
        <m:sSub>
          <m:sSubPr>
            <m:ctrlPr>
              <w:rPr>
                <w:rFonts w:ascii="Cambria Math" w:hAnsi="Cambria Math"/>
                <w:sz w:val="20"/>
                <w:szCs w:val="20"/>
                <w:lang w:val="en-GB"/>
              </w:rPr>
            </m:ctrlPr>
          </m:sSubPr>
          <m:e>
            <m:r>
              <w:rPr>
                <w:rFonts w:ascii="Cambria Math" w:hAnsi="Cambria Math"/>
                <w:sz w:val="20"/>
                <w:szCs w:val="20"/>
                <w:lang w:val="en-GB"/>
              </w:rPr>
              <m:t>σ</m:t>
            </m:r>
          </m:e>
          <m:sub>
            <m:r>
              <w:rPr>
                <w:rFonts w:ascii="Cambria Math" w:hAnsi="Cambria Math"/>
                <w:sz w:val="20"/>
                <w:szCs w:val="20"/>
                <w:lang w:val="en-GB"/>
              </w:rPr>
              <m:t>Δ</m:t>
            </m:r>
            <m:sSub>
              <m:sSubPr>
                <m:ctrlPr>
                  <w:rPr>
                    <w:rFonts w:ascii="Cambria Math" w:hAnsi="Cambria Math"/>
                    <w:i/>
                    <w:sz w:val="20"/>
                    <w:szCs w:val="20"/>
                    <w:lang w:val="en-GB"/>
                  </w:rPr>
                </m:ctrlPr>
              </m:sSubPr>
              <m:e>
                <m:r>
                  <w:rPr>
                    <w:rFonts w:ascii="Cambria Math" w:hAnsi="Cambria Math"/>
                    <w:sz w:val="20"/>
                    <w:szCs w:val="20"/>
                    <w:lang w:val="en-GB"/>
                  </w:rPr>
                  <m:t>H</m:t>
                </m:r>
              </m:e>
              <m:sub>
                <m:r>
                  <w:rPr>
                    <w:rFonts w:ascii="Cambria Math" w:hAnsi="Cambria Math"/>
                    <w:sz w:val="20"/>
                    <w:szCs w:val="20"/>
                    <w:lang w:val="en-GB"/>
                  </w:rPr>
                  <m:t>formation</m:t>
                </m:r>
              </m:sub>
            </m:sSub>
          </m:sub>
        </m:sSub>
      </m:oMath>
      <w:r>
        <w:rPr>
          <w:rFonts w:asciiTheme="minorHAnsi" w:hAnsiTheme="minorHAnsi"/>
          <w:sz w:val="22"/>
          <w:szCs w:val="22"/>
          <w:lang w:val="en-GB"/>
        </w:rPr>
        <w:t xml:space="preserve"> in selecting ductile RHEAs with equiatomic compositions, t</w:t>
      </w:r>
      <w:r w:rsidRPr="00D80AF7">
        <w:rPr>
          <w:rFonts w:asciiTheme="minorHAnsi" w:hAnsiTheme="minorHAnsi"/>
          <w:sz w:val="22"/>
          <w:szCs w:val="22"/>
          <w:lang w:val="en-GB"/>
        </w:rPr>
        <w:t xml:space="preserve">wo quaternary RHEAs </w:t>
      </w:r>
      <w:r w:rsidRPr="00D80AF7">
        <w:rPr>
          <w:rFonts w:asciiTheme="minorHAnsi" w:hAnsiTheme="minorHAnsi"/>
          <w:noProof/>
          <w:sz w:val="22"/>
          <w:szCs w:val="22"/>
          <w:lang w:val="en-GB"/>
        </w:rPr>
        <w:t xml:space="preserve">were </w:t>
      </w:r>
      <w:r>
        <w:rPr>
          <w:rFonts w:asciiTheme="minorHAnsi" w:hAnsiTheme="minorHAnsi"/>
          <w:noProof/>
          <w:sz w:val="22"/>
          <w:szCs w:val="22"/>
          <w:lang w:val="en-GB"/>
        </w:rPr>
        <w:t xml:space="preserve">chosen for </w:t>
      </w:r>
      <w:r w:rsidRPr="00D80AF7">
        <w:rPr>
          <w:rFonts w:asciiTheme="minorHAnsi" w:hAnsiTheme="minorHAnsi"/>
          <w:noProof/>
          <w:sz w:val="22"/>
          <w:szCs w:val="22"/>
          <w:lang w:val="en-GB"/>
        </w:rPr>
        <w:t>develop</w:t>
      </w:r>
      <w:r>
        <w:rPr>
          <w:rFonts w:asciiTheme="minorHAnsi" w:hAnsiTheme="minorHAnsi"/>
          <w:noProof/>
          <w:sz w:val="22"/>
          <w:szCs w:val="22"/>
          <w:lang w:val="en-GB"/>
        </w:rPr>
        <w:t>ment</w:t>
      </w:r>
      <w:r>
        <w:rPr>
          <w:rFonts w:asciiTheme="minorHAnsi" w:hAnsiTheme="minorHAnsi"/>
          <w:sz w:val="22"/>
          <w:szCs w:val="22"/>
          <w:lang w:val="en-GB"/>
        </w:rPr>
        <w:t xml:space="preserve">: The first was </w:t>
      </w:r>
      <w:r w:rsidRPr="00D80AF7">
        <w:rPr>
          <w:rFonts w:asciiTheme="minorHAnsi" w:hAnsiTheme="minorHAnsi"/>
          <w:sz w:val="22"/>
          <w:szCs w:val="22"/>
          <w:lang w:val="en-GB"/>
        </w:rPr>
        <w:t xml:space="preserve">TiZrNbTa </w:t>
      </w:r>
      <w:r>
        <w:rPr>
          <w:rFonts w:asciiTheme="minorHAnsi" w:hAnsiTheme="minorHAnsi"/>
          <w:sz w:val="22"/>
          <w:szCs w:val="22"/>
          <w:lang w:val="en-GB"/>
        </w:rPr>
        <w:t>which</w:t>
      </w:r>
      <w:r w:rsidRPr="00D80AF7">
        <w:rPr>
          <w:rFonts w:asciiTheme="minorHAnsi" w:hAnsiTheme="minorHAnsi"/>
          <w:sz w:val="22"/>
          <w:szCs w:val="22"/>
          <w:lang w:val="en-GB"/>
        </w:rPr>
        <w:t xml:space="preserve"> </w:t>
      </w:r>
      <w:r>
        <w:rPr>
          <w:rFonts w:asciiTheme="minorHAnsi" w:hAnsiTheme="minorHAnsi"/>
          <w:sz w:val="22"/>
          <w:szCs w:val="22"/>
          <w:lang w:val="en-GB"/>
        </w:rPr>
        <w:t xml:space="preserve">possessed the smallest </w:t>
      </w:r>
      <w:r w:rsidRPr="00D80AF7">
        <w:rPr>
          <w:rFonts w:asciiTheme="minorHAnsi" w:hAnsiTheme="minorHAnsi"/>
          <w:sz w:val="22"/>
          <w:szCs w:val="22"/>
          <w:lang w:val="en-GB"/>
        </w:rPr>
        <w:t>formation enthalpy deviation among all possible quaternary HEA combinations</w:t>
      </w:r>
      <w:r>
        <w:rPr>
          <w:rFonts w:asciiTheme="minorHAnsi" w:hAnsiTheme="minorHAnsi"/>
          <w:sz w:val="22"/>
          <w:szCs w:val="22"/>
          <w:lang w:val="en-GB"/>
        </w:rPr>
        <w:t>;</w:t>
      </w:r>
      <w:r w:rsidRPr="00D80AF7">
        <w:rPr>
          <w:rFonts w:asciiTheme="minorHAnsi" w:hAnsiTheme="minorHAnsi"/>
          <w:sz w:val="22"/>
          <w:szCs w:val="22"/>
          <w:lang w:val="en-GB"/>
        </w:rPr>
        <w:t xml:space="preserve"> </w:t>
      </w:r>
      <w:r>
        <w:rPr>
          <w:rFonts w:asciiTheme="minorHAnsi" w:hAnsiTheme="minorHAnsi"/>
          <w:sz w:val="22"/>
          <w:szCs w:val="22"/>
          <w:lang w:val="en-GB"/>
        </w:rPr>
        <w:t xml:space="preserve">the second was </w:t>
      </w:r>
      <w:r w:rsidRPr="00D80AF7">
        <w:rPr>
          <w:rFonts w:asciiTheme="minorHAnsi" w:hAnsiTheme="minorHAnsi"/>
          <w:sz w:val="22"/>
          <w:szCs w:val="22"/>
          <w:lang w:val="en-GB"/>
        </w:rPr>
        <w:t xml:space="preserve">TiZrHfTa </w:t>
      </w:r>
      <w:r>
        <w:rPr>
          <w:rFonts w:asciiTheme="minorHAnsi" w:hAnsiTheme="minorHAnsi"/>
          <w:sz w:val="22"/>
          <w:szCs w:val="22"/>
          <w:lang w:val="en-GB"/>
        </w:rPr>
        <w:t>(s</w:t>
      </w:r>
      <w:r w:rsidRPr="00D80AF7">
        <w:rPr>
          <w:rFonts w:asciiTheme="minorHAnsi" w:hAnsiTheme="minorHAnsi"/>
          <w:sz w:val="22"/>
          <w:szCs w:val="22"/>
          <w:lang w:val="en-GB"/>
        </w:rPr>
        <w:t>ubstitut</w:t>
      </w:r>
      <w:r>
        <w:rPr>
          <w:rFonts w:asciiTheme="minorHAnsi" w:hAnsiTheme="minorHAnsi"/>
          <w:sz w:val="22"/>
          <w:szCs w:val="22"/>
          <w:lang w:val="en-GB"/>
        </w:rPr>
        <w:t>ing</w:t>
      </w:r>
      <w:r w:rsidRPr="00D80AF7">
        <w:rPr>
          <w:rFonts w:asciiTheme="minorHAnsi" w:hAnsiTheme="minorHAnsi"/>
          <w:sz w:val="22"/>
          <w:szCs w:val="22"/>
          <w:lang w:val="en-GB"/>
        </w:rPr>
        <w:t xml:space="preserve"> Nb with Hf</w:t>
      </w:r>
      <w:r>
        <w:rPr>
          <w:rFonts w:asciiTheme="minorHAnsi" w:hAnsiTheme="minorHAnsi"/>
          <w:sz w:val="22"/>
          <w:szCs w:val="22"/>
          <w:lang w:val="en-GB"/>
        </w:rPr>
        <w:t>)</w:t>
      </w:r>
      <w:r w:rsidRPr="00D80AF7">
        <w:rPr>
          <w:rFonts w:asciiTheme="minorHAnsi" w:hAnsiTheme="minorHAnsi"/>
          <w:sz w:val="22"/>
          <w:szCs w:val="22"/>
          <w:lang w:val="en-GB"/>
        </w:rPr>
        <w:t xml:space="preserve"> </w:t>
      </w:r>
      <w:r>
        <w:rPr>
          <w:rFonts w:asciiTheme="minorHAnsi" w:hAnsiTheme="minorHAnsi"/>
          <w:sz w:val="22"/>
          <w:szCs w:val="22"/>
          <w:lang w:val="en-GB"/>
        </w:rPr>
        <w:t>which had</w:t>
      </w:r>
      <w:r w:rsidRPr="00D80AF7">
        <w:rPr>
          <w:rFonts w:asciiTheme="minorHAnsi" w:hAnsiTheme="minorHAnsi"/>
          <w:sz w:val="22"/>
          <w:szCs w:val="22"/>
          <w:lang w:val="en-GB"/>
        </w:rPr>
        <w:t xml:space="preserve"> </w:t>
      </w:r>
      <w:r>
        <w:rPr>
          <w:rFonts w:asciiTheme="minorHAnsi" w:hAnsiTheme="minorHAnsi"/>
          <w:sz w:val="22"/>
          <w:szCs w:val="22"/>
          <w:lang w:val="en-GB"/>
        </w:rPr>
        <w:t xml:space="preserve">the </w:t>
      </w:r>
      <w:r w:rsidRPr="00D80AF7">
        <w:rPr>
          <w:rFonts w:asciiTheme="minorHAnsi" w:hAnsiTheme="minorHAnsi"/>
          <w:sz w:val="22"/>
          <w:szCs w:val="22"/>
          <w:lang w:val="en-GB"/>
        </w:rPr>
        <w:t xml:space="preserve">smallest mixing enthalpy deviation. </w:t>
      </w:r>
      <w:r>
        <w:rPr>
          <w:rFonts w:asciiTheme="minorHAnsi" w:hAnsiTheme="minorHAnsi"/>
          <w:sz w:val="22"/>
          <w:szCs w:val="22"/>
          <w:lang w:val="en-GB"/>
        </w:rPr>
        <w:t xml:space="preserve">These RHEAs were </w:t>
      </w:r>
      <w:r>
        <w:rPr>
          <w:rFonts w:asciiTheme="minorHAnsi" w:hAnsiTheme="minorHAnsi"/>
          <w:noProof/>
          <w:sz w:val="22"/>
          <w:szCs w:val="22"/>
          <w:lang w:val="en-GB"/>
        </w:rPr>
        <w:t>s</w:t>
      </w:r>
      <w:r w:rsidRPr="007C247B">
        <w:rPr>
          <w:rFonts w:asciiTheme="minorHAnsi" w:hAnsiTheme="minorHAnsi"/>
          <w:noProof/>
          <w:sz w:val="22"/>
          <w:szCs w:val="22"/>
          <w:lang w:val="en-GB"/>
        </w:rPr>
        <w:t xml:space="preserve">ynthesised </w:t>
      </w:r>
      <w:r w:rsidRPr="00CE6C09">
        <w:rPr>
          <w:rFonts w:asciiTheme="minorHAnsi" w:hAnsiTheme="minorHAnsi"/>
          <w:noProof/>
          <w:sz w:val="22"/>
          <w:szCs w:val="22"/>
          <w:lang w:val="en-GB"/>
        </w:rPr>
        <w:t>via</w:t>
      </w:r>
      <w:r w:rsidRPr="007C247B">
        <w:rPr>
          <w:rFonts w:asciiTheme="minorHAnsi" w:hAnsiTheme="minorHAnsi"/>
          <w:noProof/>
          <w:sz w:val="22"/>
          <w:szCs w:val="22"/>
          <w:lang w:val="en-GB"/>
        </w:rPr>
        <w:t xml:space="preserve"> arc-melting</w:t>
      </w:r>
      <w:r>
        <w:rPr>
          <w:rFonts w:asciiTheme="minorHAnsi" w:hAnsiTheme="minorHAnsi"/>
          <w:sz w:val="22"/>
          <w:szCs w:val="22"/>
          <w:lang w:val="en-GB"/>
        </w:rPr>
        <w:t xml:space="preserve"> and the</w:t>
      </w:r>
      <w:r w:rsidRPr="00D80AF7">
        <w:rPr>
          <w:rFonts w:asciiTheme="minorHAnsi" w:hAnsiTheme="minorHAnsi"/>
          <w:sz w:val="22"/>
          <w:szCs w:val="22"/>
          <w:lang w:val="en-GB"/>
        </w:rPr>
        <w:t xml:space="preserve"> </w:t>
      </w:r>
      <w:r>
        <w:rPr>
          <w:rFonts w:asciiTheme="minorHAnsi" w:hAnsiTheme="minorHAnsi"/>
          <w:sz w:val="22"/>
          <w:szCs w:val="22"/>
          <w:lang w:val="en-GB"/>
        </w:rPr>
        <w:t xml:space="preserve">as-cast </w:t>
      </w:r>
      <w:r w:rsidRPr="00D80AF7">
        <w:rPr>
          <w:rFonts w:asciiTheme="minorHAnsi" w:hAnsiTheme="minorHAnsi"/>
          <w:sz w:val="22"/>
          <w:szCs w:val="22"/>
          <w:lang w:val="en-GB"/>
        </w:rPr>
        <w:t xml:space="preserve">samples of TiZrNbTa and TiZrHfTa were </w:t>
      </w:r>
      <w:r>
        <w:rPr>
          <w:rFonts w:asciiTheme="minorHAnsi" w:hAnsiTheme="minorHAnsi"/>
          <w:sz w:val="22"/>
          <w:szCs w:val="22"/>
          <w:lang w:val="en-GB"/>
        </w:rPr>
        <w:t>characterised</w:t>
      </w:r>
      <w:r w:rsidRPr="00D80AF7">
        <w:rPr>
          <w:rFonts w:asciiTheme="minorHAnsi" w:hAnsiTheme="minorHAnsi"/>
          <w:sz w:val="22"/>
          <w:szCs w:val="22"/>
          <w:lang w:val="en-GB"/>
        </w:rPr>
        <w:t xml:space="preserve"> by XRD and SEM to determine the phase </w:t>
      </w:r>
      <w:r>
        <w:rPr>
          <w:rFonts w:asciiTheme="minorHAnsi" w:hAnsiTheme="minorHAnsi"/>
          <w:sz w:val="22"/>
          <w:szCs w:val="22"/>
          <w:lang w:val="en-GB"/>
        </w:rPr>
        <w:t>formation as detailed in Chapter 3</w:t>
      </w:r>
      <w:r w:rsidRPr="00D80AF7">
        <w:rPr>
          <w:rFonts w:asciiTheme="minorHAnsi" w:hAnsiTheme="minorHAnsi"/>
          <w:sz w:val="22"/>
          <w:szCs w:val="22"/>
          <w:lang w:val="en-GB"/>
        </w:rPr>
        <w:t xml:space="preserve">. </w:t>
      </w:r>
    </w:p>
    <w:p w14:paraId="612B2879" w14:textId="1C434207" w:rsidR="00B145BE" w:rsidRDefault="00B145BE" w:rsidP="00B145BE">
      <w:pPr>
        <w:pStyle w:val="Normal1"/>
        <w:spacing w:after="60" w:line="360" w:lineRule="auto"/>
        <w:jc w:val="both"/>
        <w:rPr>
          <w:rFonts w:asciiTheme="minorHAnsi" w:hAnsiTheme="minorHAnsi"/>
          <w:sz w:val="22"/>
          <w:szCs w:val="22"/>
          <w:lang w:val="en-GB"/>
        </w:rPr>
      </w:pPr>
      <w:r>
        <w:rPr>
          <w:rFonts w:asciiTheme="minorHAnsi" w:hAnsiTheme="minorHAnsi"/>
          <w:sz w:val="22"/>
          <w:szCs w:val="22"/>
          <w:lang w:val="en-GB"/>
        </w:rPr>
        <w:t>Fig</w:t>
      </w:r>
      <w:r w:rsidRPr="00D80AF7">
        <w:rPr>
          <w:rFonts w:asciiTheme="minorHAnsi" w:hAnsiTheme="minorHAnsi"/>
          <w:sz w:val="22"/>
          <w:szCs w:val="22"/>
          <w:lang w:val="en-GB"/>
        </w:rPr>
        <w:t>.</w:t>
      </w:r>
      <w:r>
        <w:rPr>
          <w:rFonts w:asciiTheme="minorHAnsi" w:hAnsiTheme="minorHAnsi"/>
          <w:sz w:val="22"/>
          <w:szCs w:val="22"/>
          <w:lang w:val="en-GB"/>
        </w:rPr>
        <w:t xml:space="preserve"> 4-3(a-b) presents</w:t>
      </w:r>
      <w:r w:rsidRPr="00D80AF7">
        <w:rPr>
          <w:rFonts w:asciiTheme="minorHAnsi" w:hAnsiTheme="minorHAnsi"/>
          <w:sz w:val="22"/>
          <w:szCs w:val="22"/>
          <w:lang w:val="en-GB"/>
        </w:rPr>
        <w:t xml:space="preserve"> XRD patterns of TiZrNbTa and TiZrHfTa, </w:t>
      </w:r>
      <w:r>
        <w:rPr>
          <w:rFonts w:asciiTheme="minorHAnsi" w:hAnsiTheme="minorHAnsi"/>
          <w:sz w:val="22"/>
          <w:szCs w:val="22"/>
          <w:lang w:val="en-GB"/>
        </w:rPr>
        <w:t>respectively. As can be observed, only the</w:t>
      </w:r>
      <w:r w:rsidRPr="00D80AF7">
        <w:rPr>
          <w:rFonts w:asciiTheme="minorHAnsi" w:hAnsiTheme="minorHAnsi"/>
          <w:sz w:val="22"/>
          <w:szCs w:val="22"/>
          <w:lang w:val="en-GB"/>
        </w:rPr>
        <w:t xml:space="preserve"> BCC phase was i</w:t>
      </w:r>
      <w:r>
        <w:rPr>
          <w:rFonts w:asciiTheme="minorHAnsi" w:hAnsiTheme="minorHAnsi"/>
          <w:sz w:val="22"/>
          <w:szCs w:val="22"/>
          <w:lang w:val="en-GB"/>
        </w:rPr>
        <w:t>dentified, and this</w:t>
      </w:r>
      <w:r w:rsidRPr="00D80AF7">
        <w:rPr>
          <w:rFonts w:asciiTheme="minorHAnsi" w:hAnsiTheme="minorHAnsi"/>
          <w:sz w:val="22"/>
          <w:szCs w:val="22"/>
          <w:lang w:val="en-GB"/>
        </w:rPr>
        <w:t xml:space="preserve"> indicat</w:t>
      </w:r>
      <w:r>
        <w:rPr>
          <w:rFonts w:asciiTheme="minorHAnsi" w:hAnsiTheme="minorHAnsi"/>
          <w:sz w:val="22"/>
          <w:szCs w:val="22"/>
          <w:lang w:val="en-GB"/>
        </w:rPr>
        <w:t>ed that</w:t>
      </w:r>
      <w:r w:rsidRPr="00D80AF7">
        <w:rPr>
          <w:rFonts w:asciiTheme="minorHAnsi" w:hAnsiTheme="minorHAnsi"/>
          <w:sz w:val="22"/>
          <w:szCs w:val="22"/>
          <w:lang w:val="en-GB"/>
        </w:rPr>
        <w:t xml:space="preserve"> using formation enthalpy deviation to predict the phase </w:t>
      </w:r>
      <w:r w:rsidRPr="00D80AF7">
        <w:rPr>
          <w:rFonts w:asciiTheme="minorHAnsi" w:hAnsiTheme="minorHAnsi"/>
          <w:sz w:val="22"/>
          <w:szCs w:val="22"/>
          <w:lang w:val="en-GB"/>
        </w:rPr>
        <w:lastRenderedPageBreak/>
        <w:t xml:space="preserve">formation </w:t>
      </w:r>
      <w:r>
        <w:rPr>
          <w:rFonts w:asciiTheme="minorHAnsi" w:hAnsiTheme="minorHAnsi"/>
          <w:sz w:val="22"/>
          <w:szCs w:val="22"/>
          <w:lang w:val="en-GB"/>
        </w:rPr>
        <w:t>was effective for these RHEAs</w:t>
      </w:r>
      <w:r w:rsidRPr="00D80AF7">
        <w:rPr>
          <w:rFonts w:asciiTheme="minorHAnsi" w:hAnsiTheme="minorHAnsi"/>
          <w:sz w:val="22"/>
          <w:szCs w:val="22"/>
          <w:lang w:val="en-GB"/>
        </w:rPr>
        <w:t xml:space="preserve">. </w:t>
      </w:r>
      <w:r>
        <w:rPr>
          <w:rFonts w:asciiTheme="minorHAnsi" w:hAnsiTheme="minorHAnsi"/>
          <w:sz w:val="22"/>
          <w:szCs w:val="22"/>
          <w:lang w:val="en-GB"/>
        </w:rPr>
        <w:t xml:space="preserve">When comparing </w:t>
      </w:r>
      <w:r w:rsidRPr="00D80AF7">
        <w:rPr>
          <w:rFonts w:asciiTheme="minorHAnsi" w:hAnsiTheme="minorHAnsi"/>
          <w:sz w:val="22"/>
          <w:szCs w:val="22"/>
          <w:lang w:val="en-GB"/>
        </w:rPr>
        <w:t>the diffraction pattern</w:t>
      </w:r>
      <w:r>
        <w:rPr>
          <w:rFonts w:asciiTheme="minorHAnsi" w:hAnsiTheme="minorHAnsi"/>
          <w:sz w:val="22"/>
          <w:szCs w:val="22"/>
          <w:lang w:val="en-GB"/>
        </w:rPr>
        <w:t>s of both materials,</w:t>
      </w:r>
      <w:r w:rsidRPr="00D80AF7">
        <w:rPr>
          <w:rFonts w:asciiTheme="minorHAnsi" w:hAnsiTheme="minorHAnsi"/>
          <w:sz w:val="22"/>
          <w:szCs w:val="22"/>
          <w:lang w:val="en-GB"/>
        </w:rPr>
        <w:t xml:space="preserve"> the XRD peak of TiZrNbTa </w:t>
      </w:r>
      <w:r>
        <w:rPr>
          <w:rFonts w:asciiTheme="minorHAnsi" w:hAnsiTheme="minorHAnsi"/>
          <w:sz w:val="22"/>
          <w:szCs w:val="22"/>
          <w:lang w:val="en-GB"/>
        </w:rPr>
        <w:t>showed</w:t>
      </w:r>
      <w:r w:rsidRPr="00D80AF7">
        <w:rPr>
          <w:rFonts w:asciiTheme="minorHAnsi" w:hAnsiTheme="minorHAnsi"/>
          <w:sz w:val="22"/>
          <w:szCs w:val="22"/>
          <w:lang w:val="en-GB"/>
        </w:rPr>
        <w:t xml:space="preserve"> asymmetry and broaden</w:t>
      </w:r>
      <w:r w:rsidR="003B70CC">
        <w:rPr>
          <w:rFonts w:asciiTheme="minorHAnsi" w:hAnsiTheme="minorHAnsi"/>
          <w:sz w:val="22"/>
          <w:szCs w:val="22"/>
          <w:lang w:val="en-GB"/>
        </w:rPr>
        <w:t>ing</w:t>
      </w:r>
      <w:r>
        <w:rPr>
          <w:rFonts w:asciiTheme="minorHAnsi" w:hAnsiTheme="minorHAnsi"/>
          <w:sz w:val="22"/>
          <w:szCs w:val="22"/>
          <w:lang w:val="en-GB"/>
        </w:rPr>
        <w:t xml:space="preserve"> (see Fig 4-3 (a) and inset)</w:t>
      </w:r>
      <w:r w:rsidRPr="00D80AF7">
        <w:rPr>
          <w:rFonts w:asciiTheme="minorHAnsi" w:hAnsiTheme="minorHAnsi"/>
          <w:sz w:val="22"/>
          <w:szCs w:val="22"/>
          <w:lang w:val="en-GB"/>
        </w:rPr>
        <w:t xml:space="preserve">. </w:t>
      </w:r>
      <w:r>
        <w:rPr>
          <w:rFonts w:asciiTheme="minorHAnsi" w:hAnsiTheme="minorHAnsi"/>
          <w:sz w:val="22"/>
          <w:szCs w:val="22"/>
          <w:lang w:val="en-GB"/>
        </w:rPr>
        <w:t>By</w:t>
      </w:r>
      <w:r w:rsidRPr="00D80AF7">
        <w:rPr>
          <w:rFonts w:asciiTheme="minorHAnsi" w:hAnsiTheme="minorHAnsi"/>
          <w:sz w:val="22"/>
          <w:szCs w:val="22"/>
          <w:lang w:val="en-GB"/>
        </w:rPr>
        <w:t xml:space="preserve"> conducting </w:t>
      </w:r>
      <w:r w:rsidRPr="00D80AF7">
        <w:rPr>
          <w:rFonts w:asciiTheme="minorHAnsi" w:hAnsiTheme="minorHAnsi"/>
          <w:noProof/>
          <w:sz w:val="22"/>
          <w:szCs w:val="22"/>
          <w:lang w:val="en-GB"/>
        </w:rPr>
        <w:t>Rietveld</w:t>
      </w:r>
      <w:r w:rsidRPr="00D80AF7">
        <w:rPr>
          <w:rFonts w:asciiTheme="minorHAnsi" w:hAnsiTheme="minorHAnsi"/>
          <w:sz w:val="22"/>
          <w:szCs w:val="22"/>
          <w:lang w:val="en-GB"/>
        </w:rPr>
        <w:t xml:space="preserve"> refinement, </w:t>
      </w:r>
      <w:r>
        <w:rPr>
          <w:rFonts w:asciiTheme="minorHAnsi" w:hAnsiTheme="minorHAnsi"/>
          <w:sz w:val="22"/>
          <w:szCs w:val="22"/>
          <w:lang w:val="en-GB"/>
        </w:rPr>
        <w:t>the similar</w:t>
      </w:r>
      <w:r w:rsidRPr="00D80AF7">
        <w:rPr>
          <w:rFonts w:asciiTheme="minorHAnsi" w:hAnsiTheme="minorHAnsi"/>
          <w:sz w:val="22"/>
          <w:szCs w:val="22"/>
          <w:lang w:val="en-GB"/>
        </w:rPr>
        <w:t xml:space="preserve"> lattice parameters</w:t>
      </w:r>
      <w:r>
        <w:rPr>
          <w:rFonts w:asciiTheme="minorHAnsi" w:hAnsiTheme="minorHAnsi"/>
          <w:sz w:val="22"/>
          <w:szCs w:val="22"/>
          <w:lang w:val="en-GB"/>
        </w:rPr>
        <w:t xml:space="preserve"> of</w:t>
      </w:r>
      <w:r w:rsidRPr="00D80AF7">
        <w:rPr>
          <w:rFonts w:asciiTheme="minorHAnsi" w:hAnsiTheme="minorHAnsi"/>
          <w:sz w:val="22"/>
          <w:szCs w:val="22"/>
          <w:lang w:val="en-GB"/>
        </w:rPr>
        <w:t xml:space="preserve"> two </w:t>
      </w:r>
      <w:r>
        <w:rPr>
          <w:rFonts w:asciiTheme="minorHAnsi" w:hAnsiTheme="minorHAnsi"/>
          <w:sz w:val="22"/>
          <w:szCs w:val="22"/>
          <w:lang w:val="en-GB"/>
        </w:rPr>
        <w:t>BCC</w:t>
      </w:r>
      <w:r w:rsidRPr="00D80AF7">
        <w:rPr>
          <w:rFonts w:asciiTheme="minorHAnsi" w:hAnsiTheme="minorHAnsi"/>
          <w:sz w:val="22"/>
          <w:szCs w:val="22"/>
          <w:lang w:val="en-GB"/>
        </w:rPr>
        <w:t xml:space="preserve"> phases were indexed </w:t>
      </w:r>
      <w:r>
        <w:rPr>
          <w:rFonts w:asciiTheme="minorHAnsi" w:hAnsiTheme="minorHAnsi"/>
          <w:sz w:val="22"/>
          <w:szCs w:val="22"/>
          <w:lang w:val="en-GB"/>
        </w:rPr>
        <w:t>forTiZrNbTa. These were</w:t>
      </w:r>
      <w:r w:rsidRPr="00D80AF7">
        <w:rPr>
          <w:rFonts w:asciiTheme="minorHAnsi" w:hAnsiTheme="minorHAnsi"/>
          <w:sz w:val="22"/>
          <w:szCs w:val="22"/>
          <w:lang w:val="en-GB"/>
        </w:rPr>
        <w:t xml:space="preserve"> </w:t>
      </w:r>
      <w:r>
        <w:rPr>
          <w:rFonts w:asciiTheme="minorHAnsi" w:hAnsiTheme="minorHAnsi"/>
          <w:sz w:val="22"/>
          <w:szCs w:val="22"/>
          <w:lang w:val="en-GB"/>
        </w:rPr>
        <w:t>BCC</w:t>
      </w:r>
      <w:r w:rsidRPr="00D80AF7">
        <w:rPr>
          <w:rFonts w:asciiTheme="minorHAnsi" w:hAnsiTheme="minorHAnsi"/>
          <w:sz w:val="22"/>
          <w:szCs w:val="22"/>
          <w:lang w:val="en-GB"/>
        </w:rPr>
        <w:t xml:space="preserve">1 with </w:t>
      </w:r>
      <w:r w:rsidRPr="00D66B74">
        <w:rPr>
          <w:rFonts w:asciiTheme="minorHAnsi" w:hAnsiTheme="minorHAnsi"/>
          <w:i/>
          <w:sz w:val="22"/>
          <w:szCs w:val="22"/>
          <w:lang w:val="en-GB"/>
        </w:rPr>
        <w:t>a</w:t>
      </w:r>
      <w:r>
        <w:rPr>
          <w:rFonts w:asciiTheme="minorHAnsi" w:hAnsiTheme="minorHAnsi"/>
          <w:sz w:val="22"/>
          <w:szCs w:val="22"/>
          <w:lang w:val="en-GB"/>
        </w:rPr>
        <w:t xml:space="preserve"> </w:t>
      </w:r>
      <w:r w:rsidRPr="00D80AF7">
        <w:rPr>
          <w:rFonts w:asciiTheme="minorHAnsi" w:hAnsiTheme="minorHAnsi"/>
          <w:sz w:val="22"/>
          <w:szCs w:val="22"/>
          <w:lang w:val="en-GB"/>
        </w:rPr>
        <w:t>=</w:t>
      </w:r>
      <w:r>
        <w:rPr>
          <w:rFonts w:asciiTheme="minorHAnsi" w:hAnsiTheme="minorHAnsi"/>
          <w:sz w:val="22"/>
          <w:szCs w:val="22"/>
          <w:lang w:val="en-GB"/>
        </w:rPr>
        <w:t xml:space="preserve"> </w:t>
      </w:r>
      <w:r w:rsidRPr="00D80AF7">
        <w:rPr>
          <w:rFonts w:asciiTheme="minorHAnsi" w:hAnsiTheme="minorHAnsi"/>
          <w:sz w:val="22"/>
          <w:szCs w:val="22"/>
          <w:lang w:val="en-GB"/>
        </w:rPr>
        <w:t xml:space="preserve">0.3359nm and </w:t>
      </w:r>
      <w:r>
        <w:rPr>
          <w:rFonts w:asciiTheme="minorHAnsi" w:hAnsiTheme="minorHAnsi"/>
          <w:sz w:val="22"/>
          <w:szCs w:val="22"/>
          <w:lang w:val="en-GB"/>
        </w:rPr>
        <w:t>BCC</w:t>
      </w:r>
      <w:r w:rsidRPr="00D80AF7">
        <w:rPr>
          <w:rFonts w:asciiTheme="minorHAnsi" w:hAnsiTheme="minorHAnsi"/>
          <w:sz w:val="22"/>
          <w:szCs w:val="22"/>
          <w:lang w:val="en-GB"/>
        </w:rPr>
        <w:t xml:space="preserve">2 with </w:t>
      </w:r>
      <w:r w:rsidRPr="00D66B74">
        <w:rPr>
          <w:rFonts w:asciiTheme="minorHAnsi" w:hAnsiTheme="minorHAnsi"/>
          <w:i/>
          <w:sz w:val="22"/>
          <w:szCs w:val="22"/>
          <w:lang w:val="en-GB"/>
        </w:rPr>
        <w:t>a</w:t>
      </w:r>
      <w:r>
        <w:rPr>
          <w:rFonts w:asciiTheme="minorHAnsi" w:hAnsiTheme="minorHAnsi"/>
          <w:sz w:val="22"/>
          <w:szCs w:val="22"/>
          <w:lang w:val="en-GB"/>
        </w:rPr>
        <w:t xml:space="preserve"> </w:t>
      </w:r>
      <w:r w:rsidRPr="00D80AF7">
        <w:rPr>
          <w:rFonts w:asciiTheme="minorHAnsi" w:hAnsiTheme="minorHAnsi"/>
          <w:sz w:val="22"/>
          <w:szCs w:val="22"/>
          <w:lang w:val="en-GB"/>
        </w:rPr>
        <w:t>=</w:t>
      </w:r>
      <w:r>
        <w:rPr>
          <w:rFonts w:asciiTheme="minorHAnsi" w:hAnsiTheme="minorHAnsi"/>
          <w:sz w:val="22"/>
          <w:szCs w:val="22"/>
          <w:lang w:val="en-GB"/>
        </w:rPr>
        <w:t xml:space="preserve"> </w:t>
      </w:r>
      <w:r w:rsidRPr="00D80AF7">
        <w:rPr>
          <w:rFonts w:asciiTheme="minorHAnsi" w:hAnsiTheme="minorHAnsi"/>
          <w:sz w:val="22"/>
          <w:szCs w:val="22"/>
          <w:lang w:val="en-GB"/>
        </w:rPr>
        <w:t xml:space="preserve">0.3394nm. </w:t>
      </w:r>
      <w:r>
        <w:rPr>
          <w:rFonts w:asciiTheme="minorHAnsi" w:hAnsiTheme="minorHAnsi"/>
          <w:sz w:val="22"/>
          <w:szCs w:val="22"/>
          <w:lang w:val="en-GB"/>
        </w:rPr>
        <w:t xml:space="preserve">In Fig. 4-3 (b) </w:t>
      </w:r>
      <w:r w:rsidRPr="00D80AF7">
        <w:rPr>
          <w:rFonts w:asciiTheme="minorHAnsi" w:hAnsiTheme="minorHAnsi"/>
          <w:sz w:val="22"/>
          <w:szCs w:val="22"/>
          <w:lang w:val="en-GB"/>
        </w:rPr>
        <w:t>only</w:t>
      </w:r>
      <w:r>
        <w:rPr>
          <w:rFonts w:asciiTheme="minorHAnsi" w:hAnsiTheme="minorHAnsi"/>
          <w:sz w:val="22"/>
          <w:szCs w:val="22"/>
          <w:lang w:val="en-GB"/>
        </w:rPr>
        <w:t xml:space="preserve"> the</w:t>
      </w:r>
      <w:r w:rsidRPr="00D80AF7">
        <w:rPr>
          <w:rFonts w:asciiTheme="minorHAnsi" w:hAnsiTheme="minorHAnsi"/>
          <w:sz w:val="22"/>
          <w:szCs w:val="22"/>
          <w:lang w:val="en-GB"/>
        </w:rPr>
        <w:t xml:space="preserve"> </w:t>
      </w:r>
      <w:r w:rsidRPr="007C247B">
        <w:rPr>
          <w:rFonts w:asciiTheme="minorHAnsi" w:hAnsiTheme="minorHAnsi"/>
          <w:noProof/>
          <w:sz w:val="22"/>
          <w:szCs w:val="22"/>
          <w:lang w:val="en-GB"/>
        </w:rPr>
        <w:t>single</w:t>
      </w:r>
      <w:r w:rsidRPr="00D80AF7">
        <w:rPr>
          <w:rFonts w:asciiTheme="minorHAnsi" w:hAnsiTheme="minorHAnsi"/>
          <w:sz w:val="22"/>
          <w:szCs w:val="22"/>
          <w:lang w:val="en-GB"/>
        </w:rPr>
        <w:t xml:space="preserve"> </w:t>
      </w:r>
      <w:r>
        <w:rPr>
          <w:rFonts w:asciiTheme="minorHAnsi" w:hAnsiTheme="minorHAnsi"/>
          <w:sz w:val="22"/>
          <w:szCs w:val="22"/>
          <w:lang w:val="en-GB"/>
        </w:rPr>
        <w:t>BCC</w:t>
      </w:r>
      <w:r w:rsidRPr="00D80AF7">
        <w:rPr>
          <w:rFonts w:asciiTheme="minorHAnsi" w:hAnsiTheme="minorHAnsi"/>
          <w:sz w:val="22"/>
          <w:szCs w:val="22"/>
          <w:lang w:val="en-GB"/>
        </w:rPr>
        <w:t xml:space="preserve"> phase was indexed </w:t>
      </w:r>
      <w:r>
        <w:rPr>
          <w:rFonts w:asciiTheme="minorHAnsi" w:hAnsiTheme="minorHAnsi"/>
          <w:sz w:val="22"/>
          <w:szCs w:val="22"/>
          <w:lang w:val="en-GB"/>
        </w:rPr>
        <w:t>for</w:t>
      </w:r>
      <w:r w:rsidRPr="00D80AF7">
        <w:rPr>
          <w:rFonts w:asciiTheme="minorHAnsi" w:hAnsiTheme="minorHAnsi"/>
          <w:sz w:val="22"/>
          <w:szCs w:val="22"/>
          <w:lang w:val="en-GB"/>
        </w:rPr>
        <w:t xml:space="preserve"> TiZrHfTa.</w:t>
      </w:r>
      <w:r>
        <w:rPr>
          <w:rFonts w:asciiTheme="minorHAnsi" w:hAnsiTheme="minorHAnsi"/>
          <w:sz w:val="22"/>
          <w:szCs w:val="22"/>
          <w:lang w:val="en-GB"/>
        </w:rPr>
        <w:t xml:space="preserve"> With the substitution of</w:t>
      </w:r>
      <w:r w:rsidRPr="00D80AF7">
        <w:rPr>
          <w:rFonts w:asciiTheme="minorHAnsi" w:hAnsiTheme="minorHAnsi"/>
          <w:sz w:val="22"/>
          <w:szCs w:val="22"/>
          <w:lang w:val="en-GB"/>
        </w:rPr>
        <w:t xml:space="preserve"> Nb</w:t>
      </w:r>
      <w:r>
        <w:rPr>
          <w:rFonts w:asciiTheme="minorHAnsi" w:hAnsiTheme="minorHAnsi"/>
          <w:sz w:val="22"/>
          <w:szCs w:val="22"/>
          <w:lang w:val="en-GB"/>
        </w:rPr>
        <w:t xml:space="preserve"> </w:t>
      </w:r>
      <w:r w:rsidRPr="00D80AF7">
        <w:rPr>
          <w:rFonts w:asciiTheme="minorHAnsi" w:hAnsiTheme="minorHAnsi"/>
          <w:sz w:val="22"/>
          <w:szCs w:val="22"/>
          <w:lang w:val="en-GB"/>
        </w:rPr>
        <w:t>(</w:t>
      </w:r>
      <w:r w:rsidRPr="00D66B74">
        <w:rPr>
          <w:rFonts w:asciiTheme="minorHAnsi" w:hAnsiTheme="minorHAnsi"/>
          <w:i/>
          <w:sz w:val="22"/>
          <w:szCs w:val="22"/>
          <w:lang w:val="en-GB"/>
        </w:rPr>
        <w:t>r</w:t>
      </w:r>
      <w:r w:rsidRPr="00D80AF7">
        <w:rPr>
          <w:rFonts w:asciiTheme="minorHAnsi" w:hAnsiTheme="minorHAnsi"/>
          <w:sz w:val="22"/>
          <w:szCs w:val="22"/>
          <w:vertAlign w:val="subscript"/>
          <w:lang w:val="en-GB"/>
        </w:rPr>
        <w:t>Nb</w:t>
      </w:r>
      <w:r w:rsidRPr="00D80AF7">
        <w:rPr>
          <w:rFonts w:asciiTheme="minorHAnsi" w:hAnsiTheme="minorHAnsi"/>
          <w:sz w:val="22"/>
          <w:szCs w:val="22"/>
          <w:lang w:val="en-GB"/>
        </w:rPr>
        <w:t>=0.147nm) with Hf</w:t>
      </w:r>
      <w:r>
        <w:rPr>
          <w:rFonts w:asciiTheme="minorHAnsi" w:hAnsiTheme="minorHAnsi"/>
          <w:sz w:val="22"/>
          <w:szCs w:val="22"/>
          <w:lang w:val="en-GB"/>
        </w:rPr>
        <w:t xml:space="preserve"> </w:t>
      </w:r>
      <w:r w:rsidRPr="00D80AF7">
        <w:rPr>
          <w:rFonts w:asciiTheme="minorHAnsi" w:hAnsiTheme="minorHAnsi"/>
          <w:sz w:val="22"/>
          <w:szCs w:val="22"/>
          <w:lang w:val="en-GB"/>
        </w:rPr>
        <w:t>(</w:t>
      </w:r>
      <w:r w:rsidRPr="00D66B74">
        <w:rPr>
          <w:rFonts w:asciiTheme="minorHAnsi" w:hAnsiTheme="minorHAnsi"/>
          <w:i/>
          <w:sz w:val="22"/>
          <w:szCs w:val="22"/>
          <w:lang w:val="en-GB"/>
        </w:rPr>
        <w:t>r</w:t>
      </w:r>
      <w:r w:rsidRPr="00D80AF7">
        <w:rPr>
          <w:rFonts w:asciiTheme="minorHAnsi" w:hAnsiTheme="minorHAnsi"/>
          <w:sz w:val="22"/>
          <w:szCs w:val="22"/>
          <w:vertAlign w:val="subscript"/>
          <w:lang w:val="en-GB"/>
        </w:rPr>
        <w:t>Hf</w:t>
      </w:r>
      <w:r w:rsidRPr="00D80AF7">
        <w:rPr>
          <w:rFonts w:asciiTheme="minorHAnsi" w:hAnsiTheme="minorHAnsi"/>
          <w:sz w:val="22"/>
          <w:szCs w:val="22"/>
          <w:lang w:val="en-GB"/>
        </w:rPr>
        <w:t xml:space="preserve">=0.159nm), the lattice expands </w:t>
      </w:r>
      <w:r>
        <w:rPr>
          <w:rFonts w:asciiTheme="minorHAnsi" w:hAnsiTheme="minorHAnsi"/>
          <w:sz w:val="22"/>
          <w:szCs w:val="22"/>
          <w:lang w:val="en-GB"/>
        </w:rPr>
        <w:t xml:space="preserve">slightly </w:t>
      </w:r>
      <w:r w:rsidRPr="00D80AF7">
        <w:rPr>
          <w:rFonts w:asciiTheme="minorHAnsi" w:hAnsiTheme="minorHAnsi"/>
          <w:sz w:val="22"/>
          <w:szCs w:val="22"/>
          <w:lang w:val="en-GB"/>
        </w:rPr>
        <w:t xml:space="preserve">from </w:t>
      </w:r>
      <w:r w:rsidRPr="00D66B74">
        <w:rPr>
          <w:rFonts w:asciiTheme="minorHAnsi" w:hAnsiTheme="minorHAnsi"/>
          <w:i/>
          <w:sz w:val="22"/>
          <w:szCs w:val="22"/>
          <w:lang w:val="en-GB"/>
        </w:rPr>
        <w:t>a</w:t>
      </w:r>
      <w:r>
        <w:rPr>
          <w:rFonts w:asciiTheme="minorHAnsi" w:hAnsiTheme="minorHAnsi"/>
          <w:i/>
          <w:sz w:val="22"/>
          <w:szCs w:val="22"/>
          <w:lang w:val="en-GB"/>
        </w:rPr>
        <w:t xml:space="preserve"> </w:t>
      </w:r>
      <w:r w:rsidRPr="00D80AF7">
        <w:rPr>
          <w:rFonts w:asciiTheme="minorHAnsi" w:hAnsiTheme="minorHAnsi"/>
          <w:sz w:val="22"/>
          <w:szCs w:val="22"/>
          <w:lang w:val="en-GB"/>
        </w:rPr>
        <w:t>=</w:t>
      </w:r>
      <w:r>
        <w:rPr>
          <w:rFonts w:asciiTheme="minorHAnsi" w:hAnsiTheme="minorHAnsi"/>
          <w:sz w:val="22"/>
          <w:szCs w:val="22"/>
          <w:lang w:val="en-GB"/>
        </w:rPr>
        <w:t xml:space="preserve"> </w:t>
      </w:r>
      <w:r w:rsidRPr="00D80AF7">
        <w:rPr>
          <w:rFonts w:asciiTheme="minorHAnsi" w:hAnsiTheme="minorHAnsi"/>
          <w:sz w:val="22"/>
          <w:szCs w:val="22"/>
          <w:lang w:val="en-GB"/>
        </w:rPr>
        <w:t>0.3394nm</w:t>
      </w:r>
      <w:r>
        <w:rPr>
          <w:rFonts w:asciiTheme="minorHAnsi" w:hAnsiTheme="minorHAnsi"/>
          <w:sz w:val="22"/>
          <w:szCs w:val="22"/>
          <w:lang w:val="en-GB"/>
        </w:rPr>
        <w:t xml:space="preserve"> </w:t>
      </w:r>
      <w:r w:rsidRPr="00D80AF7">
        <w:rPr>
          <w:rFonts w:asciiTheme="minorHAnsi" w:hAnsiTheme="minorHAnsi"/>
          <w:sz w:val="22"/>
          <w:szCs w:val="22"/>
          <w:lang w:val="en-GB"/>
        </w:rPr>
        <w:t xml:space="preserve">(TiZrNbTa) to </w:t>
      </w:r>
      <w:r w:rsidRPr="00D66B74">
        <w:rPr>
          <w:rFonts w:asciiTheme="minorHAnsi" w:hAnsiTheme="minorHAnsi"/>
          <w:i/>
          <w:sz w:val="22"/>
          <w:szCs w:val="22"/>
          <w:lang w:val="en-GB"/>
        </w:rPr>
        <w:t>a</w:t>
      </w:r>
      <w:r w:rsidRPr="00D80AF7">
        <w:rPr>
          <w:rFonts w:asciiTheme="minorHAnsi" w:hAnsiTheme="minorHAnsi"/>
          <w:sz w:val="22"/>
          <w:szCs w:val="22"/>
          <w:lang w:val="en-GB"/>
        </w:rPr>
        <w:t>=0.3441nm</w:t>
      </w:r>
      <w:r>
        <w:rPr>
          <w:rFonts w:asciiTheme="minorHAnsi" w:hAnsiTheme="minorHAnsi"/>
          <w:sz w:val="22"/>
          <w:szCs w:val="22"/>
          <w:lang w:val="en-GB"/>
        </w:rPr>
        <w:t xml:space="preserve"> </w:t>
      </w:r>
      <w:r w:rsidRPr="00D80AF7">
        <w:rPr>
          <w:rFonts w:asciiTheme="minorHAnsi" w:hAnsiTheme="minorHAnsi"/>
          <w:sz w:val="22"/>
          <w:szCs w:val="22"/>
          <w:lang w:val="en-GB"/>
        </w:rPr>
        <w:t>(TiZrHfTa)</w:t>
      </w:r>
      <w:r>
        <w:rPr>
          <w:rFonts w:asciiTheme="minorHAnsi" w:hAnsiTheme="minorHAnsi"/>
          <w:sz w:val="22"/>
          <w:szCs w:val="22"/>
          <w:lang w:val="en-GB"/>
        </w:rPr>
        <w:t>,</w:t>
      </w:r>
      <w:r w:rsidRPr="00D80AF7">
        <w:rPr>
          <w:rFonts w:asciiTheme="minorHAnsi" w:hAnsiTheme="minorHAnsi"/>
          <w:sz w:val="22"/>
          <w:szCs w:val="22"/>
          <w:lang w:val="en-GB"/>
        </w:rPr>
        <w:t xml:space="preserve"> while the</w:t>
      </w:r>
      <w:r>
        <w:rPr>
          <w:rFonts w:asciiTheme="minorHAnsi" w:hAnsiTheme="minorHAnsi"/>
          <w:sz w:val="22"/>
          <w:szCs w:val="22"/>
          <w:lang w:val="en-GB"/>
        </w:rPr>
        <w:t xml:space="preserve"> resultant</w:t>
      </w:r>
      <w:r w:rsidRPr="00D80AF7">
        <w:rPr>
          <w:rFonts w:asciiTheme="minorHAnsi" w:hAnsiTheme="minorHAnsi"/>
          <w:sz w:val="22"/>
          <w:szCs w:val="22"/>
          <w:lang w:val="en-GB"/>
        </w:rPr>
        <w:t xml:space="preserve"> phase formation </w:t>
      </w:r>
      <w:r>
        <w:rPr>
          <w:rFonts w:asciiTheme="minorHAnsi" w:hAnsiTheme="minorHAnsi"/>
          <w:sz w:val="22"/>
          <w:szCs w:val="22"/>
          <w:lang w:val="en-GB"/>
        </w:rPr>
        <w:t>does not change</w:t>
      </w:r>
      <w:r w:rsidRPr="00D80AF7">
        <w:rPr>
          <w:rFonts w:asciiTheme="minorHAnsi" w:hAnsiTheme="minorHAnsi"/>
          <w:sz w:val="22"/>
          <w:szCs w:val="22"/>
          <w:lang w:val="en-GB"/>
        </w:rPr>
        <w:t xml:space="preserve">. </w:t>
      </w:r>
      <w:r>
        <w:rPr>
          <w:rFonts w:asciiTheme="minorHAnsi" w:hAnsiTheme="minorHAnsi"/>
          <w:sz w:val="22"/>
          <w:szCs w:val="22"/>
          <w:lang w:val="en-GB"/>
        </w:rPr>
        <w:t>Although</w:t>
      </w:r>
      <w:r w:rsidRPr="00D80AF7">
        <w:rPr>
          <w:rFonts w:asciiTheme="minorHAnsi" w:hAnsiTheme="minorHAnsi"/>
          <w:sz w:val="22"/>
          <w:szCs w:val="22"/>
          <w:lang w:val="en-GB"/>
        </w:rPr>
        <w:t xml:space="preserve"> Ti</w:t>
      </w:r>
      <w:r>
        <w:rPr>
          <w:rFonts w:asciiTheme="minorHAnsi" w:hAnsiTheme="minorHAnsi"/>
          <w:sz w:val="22"/>
          <w:szCs w:val="22"/>
          <w:lang w:val="en-GB"/>
        </w:rPr>
        <w:t>,</w:t>
      </w:r>
      <w:r w:rsidRPr="00D80AF7">
        <w:rPr>
          <w:rFonts w:asciiTheme="minorHAnsi" w:hAnsiTheme="minorHAnsi"/>
          <w:sz w:val="22"/>
          <w:szCs w:val="22"/>
          <w:lang w:val="en-GB"/>
        </w:rPr>
        <w:t xml:space="preserve"> Zr</w:t>
      </w:r>
      <w:r>
        <w:rPr>
          <w:rFonts w:asciiTheme="minorHAnsi" w:hAnsiTheme="minorHAnsi"/>
          <w:sz w:val="22"/>
          <w:szCs w:val="22"/>
          <w:lang w:val="en-GB"/>
        </w:rPr>
        <w:t xml:space="preserve"> and </w:t>
      </w:r>
      <w:r w:rsidRPr="00D80AF7">
        <w:rPr>
          <w:rFonts w:asciiTheme="minorHAnsi" w:hAnsiTheme="minorHAnsi"/>
          <w:sz w:val="22"/>
          <w:szCs w:val="22"/>
          <w:lang w:val="en-GB"/>
        </w:rPr>
        <w:t xml:space="preserve">Hf </w:t>
      </w:r>
      <w:r>
        <w:rPr>
          <w:rFonts w:asciiTheme="minorHAnsi" w:hAnsiTheme="minorHAnsi"/>
          <w:noProof/>
          <w:sz w:val="22"/>
          <w:szCs w:val="22"/>
          <w:lang w:val="en-GB"/>
        </w:rPr>
        <w:t>are</w:t>
      </w:r>
      <w:r w:rsidRPr="00D80AF7">
        <w:rPr>
          <w:rFonts w:asciiTheme="minorHAnsi" w:hAnsiTheme="minorHAnsi"/>
          <w:sz w:val="22"/>
          <w:szCs w:val="22"/>
          <w:lang w:val="en-GB"/>
        </w:rPr>
        <w:t xml:space="preserve"> all </w:t>
      </w:r>
      <w:r>
        <w:rPr>
          <w:rFonts w:asciiTheme="minorHAnsi" w:hAnsiTheme="minorHAnsi"/>
          <w:sz w:val="22"/>
          <w:szCs w:val="22"/>
          <w:lang w:val="en-GB"/>
        </w:rPr>
        <w:t>HCP</w:t>
      </w:r>
      <w:r w:rsidRPr="00D80AF7">
        <w:rPr>
          <w:rFonts w:asciiTheme="minorHAnsi" w:hAnsiTheme="minorHAnsi"/>
          <w:sz w:val="22"/>
          <w:szCs w:val="22"/>
          <w:lang w:val="en-GB"/>
        </w:rPr>
        <w:t xml:space="preserve"> </w:t>
      </w:r>
      <w:r w:rsidR="004A2B25" w:rsidRPr="00D80AF7">
        <w:rPr>
          <w:rFonts w:asciiTheme="minorHAnsi" w:hAnsiTheme="minorHAnsi"/>
          <w:sz w:val="22"/>
          <w:szCs w:val="22"/>
          <w:lang w:val="en-GB"/>
        </w:rPr>
        <w:t>stabi</w:t>
      </w:r>
      <w:r w:rsidR="004A2B25">
        <w:rPr>
          <w:rFonts w:asciiTheme="minorHAnsi" w:hAnsiTheme="minorHAnsi"/>
          <w:sz w:val="22"/>
          <w:szCs w:val="22"/>
          <w:lang w:val="en-GB"/>
        </w:rPr>
        <w:t>lising</w:t>
      </w:r>
      <w:r w:rsidRPr="00D80AF7">
        <w:rPr>
          <w:rFonts w:asciiTheme="minorHAnsi" w:hAnsiTheme="minorHAnsi"/>
          <w:sz w:val="22"/>
          <w:szCs w:val="22"/>
          <w:lang w:val="en-GB"/>
        </w:rPr>
        <w:t xml:space="preserve"> element</w:t>
      </w:r>
      <w:r>
        <w:rPr>
          <w:rFonts w:asciiTheme="minorHAnsi" w:hAnsiTheme="minorHAnsi"/>
          <w:sz w:val="22"/>
          <w:szCs w:val="22"/>
          <w:lang w:val="en-GB"/>
        </w:rPr>
        <w:t>s</w:t>
      </w:r>
      <w:r w:rsidRPr="00D80AF7">
        <w:rPr>
          <w:rFonts w:asciiTheme="minorHAnsi" w:hAnsiTheme="minorHAnsi"/>
          <w:sz w:val="22"/>
          <w:szCs w:val="22"/>
          <w:lang w:val="en-GB"/>
        </w:rPr>
        <w:t xml:space="preserve"> at room temperature, </w:t>
      </w:r>
      <w:r>
        <w:rPr>
          <w:rFonts w:asciiTheme="minorHAnsi" w:hAnsiTheme="minorHAnsi"/>
          <w:sz w:val="22"/>
          <w:szCs w:val="22"/>
          <w:lang w:val="en-GB"/>
        </w:rPr>
        <w:t xml:space="preserve">it is evident that </w:t>
      </w:r>
      <w:r w:rsidRPr="00D80AF7">
        <w:rPr>
          <w:rFonts w:asciiTheme="minorHAnsi" w:hAnsiTheme="minorHAnsi"/>
          <w:sz w:val="22"/>
          <w:szCs w:val="22"/>
          <w:lang w:val="en-GB"/>
        </w:rPr>
        <w:t>with Ta addition</w:t>
      </w:r>
      <w:r>
        <w:rPr>
          <w:rFonts w:asciiTheme="minorHAnsi" w:hAnsiTheme="minorHAnsi"/>
          <w:sz w:val="22"/>
          <w:szCs w:val="22"/>
          <w:lang w:val="en-GB"/>
        </w:rPr>
        <w:t>,</w:t>
      </w:r>
      <w:r w:rsidRPr="00D80AF7">
        <w:rPr>
          <w:rFonts w:asciiTheme="minorHAnsi" w:hAnsiTheme="minorHAnsi"/>
          <w:sz w:val="22"/>
          <w:szCs w:val="22"/>
          <w:lang w:val="en-GB"/>
        </w:rPr>
        <w:t xml:space="preserve"> the phase </w:t>
      </w:r>
      <w:r>
        <w:rPr>
          <w:rFonts w:asciiTheme="minorHAnsi" w:hAnsiTheme="minorHAnsi"/>
          <w:sz w:val="22"/>
          <w:szCs w:val="22"/>
          <w:lang w:val="en-GB"/>
        </w:rPr>
        <w:t>formation</w:t>
      </w:r>
      <w:r w:rsidRPr="00D80AF7">
        <w:rPr>
          <w:rFonts w:asciiTheme="minorHAnsi" w:hAnsiTheme="minorHAnsi"/>
          <w:sz w:val="22"/>
          <w:szCs w:val="22"/>
          <w:lang w:val="en-GB"/>
        </w:rPr>
        <w:t xml:space="preserve"> </w:t>
      </w:r>
      <w:r>
        <w:rPr>
          <w:rFonts w:asciiTheme="minorHAnsi" w:hAnsiTheme="minorHAnsi"/>
          <w:sz w:val="22"/>
          <w:szCs w:val="22"/>
          <w:lang w:val="en-GB"/>
        </w:rPr>
        <w:t>is</w:t>
      </w:r>
      <w:r w:rsidRPr="00D80AF7">
        <w:rPr>
          <w:rFonts w:asciiTheme="minorHAnsi" w:hAnsiTheme="minorHAnsi"/>
          <w:sz w:val="22"/>
          <w:szCs w:val="22"/>
          <w:lang w:val="en-GB"/>
        </w:rPr>
        <w:t xml:space="preserve"> </w:t>
      </w:r>
      <w:r>
        <w:rPr>
          <w:rFonts w:asciiTheme="minorHAnsi" w:hAnsiTheme="minorHAnsi"/>
          <w:sz w:val="22"/>
          <w:szCs w:val="22"/>
          <w:lang w:val="en-GB"/>
        </w:rPr>
        <w:t>BCC instead</w:t>
      </w:r>
      <w:r w:rsidRPr="00D80AF7">
        <w:rPr>
          <w:rFonts w:asciiTheme="minorHAnsi" w:hAnsiTheme="minorHAnsi"/>
          <w:sz w:val="22"/>
          <w:szCs w:val="22"/>
          <w:lang w:val="en-GB"/>
        </w:rPr>
        <w:t xml:space="preserve">. Such </w:t>
      </w:r>
      <w:r>
        <w:rPr>
          <w:rFonts w:asciiTheme="minorHAnsi" w:hAnsiTheme="minorHAnsi"/>
          <w:sz w:val="22"/>
          <w:szCs w:val="22"/>
          <w:lang w:val="en-GB"/>
        </w:rPr>
        <w:t xml:space="preserve">a </w:t>
      </w:r>
      <w:r w:rsidRPr="00D80AF7">
        <w:rPr>
          <w:rFonts w:asciiTheme="minorHAnsi" w:hAnsiTheme="minorHAnsi"/>
          <w:sz w:val="22"/>
          <w:szCs w:val="22"/>
          <w:lang w:val="en-GB"/>
        </w:rPr>
        <w:t xml:space="preserve">phenomenon is </w:t>
      </w:r>
      <w:r>
        <w:rPr>
          <w:rFonts w:asciiTheme="minorHAnsi" w:hAnsiTheme="minorHAnsi"/>
          <w:sz w:val="22"/>
          <w:szCs w:val="22"/>
          <w:lang w:val="en-GB"/>
        </w:rPr>
        <w:t>similar</w:t>
      </w:r>
      <w:r w:rsidRPr="00D80AF7">
        <w:rPr>
          <w:rFonts w:asciiTheme="minorHAnsi" w:hAnsiTheme="minorHAnsi"/>
          <w:sz w:val="22"/>
          <w:szCs w:val="22"/>
          <w:lang w:val="en-GB"/>
        </w:rPr>
        <w:t xml:space="preserve"> to the effect of </w:t>
      </w:r>
      <w:r w:rsidRPr="00D66B74">
        <w:rPr>
          <w:rFonts w:asciiTheme="minorHAnsi" w:hAnsiTheme="minorHAnsi"/>
          <w:sz w:val="22"/>
          <w:szCs w:val="22"/>
          <w:lang w:val="en-GB"/>
        </w:rPr>
        <w:t>β</w:t>
      </w:r>
      <w:r w:rsidRPr="00D80AF7">
        <w:rPr>
          <w:rFonts w:asciiTheme="minorHAnsi" w:hAnsiTheme="minorHAnsi"/>
          <w:sz w:val="22"/>
          <w:szCs w:val="22"/>
          <w:lang w:val="en-GB"/>
        </w:rPr>
        <w:t xml:space="preserve"> </w:t>
      </w:r>
      <w:r w:rsidRPr="00D80AF7">
        <w:rPr>
          <w:rFonts w:asciiTheme="minorHAnsi" w:hAnsiTheme="minorHAnsi"/>
          <w:noProof/>
          <w:sz w:val="22"/>
          <w:szCs w:val="22"/>
          <w:lang w:val="en-GB"/>
        </w:rPr>
        <w:t>stabili</w:t>
      </w:r>
      <w:r>
        <w:rPr>
          <w:rFonts w:asciiTheme="minorHAnsi" w:hAnsiTheme="minorHAnsi"/>
          <w:noProof/>
          <w:sz w:val="22"/>
          <w:szCs w:val="22"/>
          <w:lang w:val="en-GB"/>
        </w:rPr>
        <w:t>s</w:t>
      </w:r>
      <w:r w:rsidRPr="00D80AF7">
        <w:rPr>
          <w:rFonts w:asciiTheme="minorHAnsi" w:hAnsiTheme="minorHAnsi"/>
          <w:noProof/>
          <w:sz w:val="22"/>
          <w:szCs w:val="22"/>
          <w:lang w:val="en-GB"/>
        </w:rPr>
        <w:t>er</w:t>
      </w:r>
      <w:r>
        <w:rPr>
          <w:rFonts w:asciiTheme="minorHAnsi" w:hAnsiTheme="minorHAnsi"/>
          <w:noProof/>
          <w:sz w:val="22"/>
          <w:szCs w:val="22"/>
          <w:lang w:val="en-GB"/>
        </w:rPr>
        <w:t>s</w:t>
      </w:r>
      <w:r w:rsidRPr="00D80AF7">
        <w:rPr>
          <w:rFonts w:asciiTheme="minorHAnsi" w:hAnsiTheme="minorHAnsi"/>
          <w:sz w:val="22"/>
          <w:szCs w:val="22"/>
          <w:lang w:val="en-GB"/>
        </w:rPr>
        <w:t xml:space="preserve"> in metastable β Ti alloys</w:t>
      </w:r>
      <w:r>
        <w:rPr>
          <w:rFonts w:asciiTheme="minorHAnsi" w:hAnsiTheme="minorHAnsi"/>
          <w:sz w:val="22"/>
          <w:szCs w:val="22"/>
          <w:lang w:val="en-GB"/>
        </w:rPr>
        <w:t xml:space="preserve">. Therefore, it can be postulated that </w:t>
      </w:r>
      <w:r w:rsidRPr="00D80AF7">
        <w:rPr>
          <w:rFonts w:asciiTheme="minorHAnsi" w:hAnsiTheme="minorHAnsi"/>
          <w:sz w:val="22"/>
          <w:szCs w:val="22"/>
          <w:lang w:val="en-GB"/>
        </w:rPr>
        <w:t>the mechanical and physical properties of th</w:t>
      </w:r>
      <w:r>
        <w:rPr>
          <w:rFonts w:asciiTheme="minorHAnsi" w:hAnsiTheme="minorHAnsi"/>
          <w:sz w:val="22"/>
          <w:szCs w:val="22"/>
          <w:lang w:val="en-GB"/>
        </w:rPr>
        <w:t>is</w:t>
      </w:r>
      <w:r w:rsidRPr="00D80AF7">
        <w:rPr>
          <w:rFonts w:asciiTheme="minorHAnsi" w:hAnsiTheme="minorHAnsi"/>
          <w:sz w:val="22"/>
          <w:szCs w:val="22"/>
          <w:lang w:val="en-GB"/>
        </w:rPr>
        <w:t xml:space="preserve"> RHEA may also </w:t>
      </w:r>
      <w:r>
        <w:rPr>
          <w:rFonts w:asciiTheme="minorHAnsi" w:hAnsiTheme="minorHAnsi"/>
          <w:sz w:val="22"/>
          <w:szCs w:val="22"/>
          <w:lang w:val="en-GB"/>
        </w:rPr>
        <w:t xml:space="preserve">be </w:t>
      </w:r>
      <w:r w:rsidRPr="00D80AF7">
        <w:rPr>
          <w:rFonts w:asciiTheme="minorHAnsi" w:hAnsiTheme="minorHAnsi"/>
          <w:sz w:val="22"/>
          <w:szCs w:val="22"/>
          <w:lang w:val="en-GB"/>
        </w:rPr>
        <w:t>tunable</w:t>
      </w:r>
      <w:r>
        <w:rPr>
          <w:rFonts w:asciiTheme="minorHAnsi" w:hAnsiTheme="minorHAnsi"/>
          <w:sz w:val="22"/>
          <w:szCs w:val="22"/>
          <w:lang w:val="en-GB"/>
        </w:rPr>
        <w:t>, as observed in</w:t>
      </w:r>
      <w:r w:rsidRPr="00D80AF7">
        <w:rPr>
          <w:rFonts w:asciiTheme="minorHAnsi" w:hAnsiTheme="minorHAnsi"/>
          <w:sz w:val="22"/>
          <w:szCs w:val="22"/>
          <w:lang w:val="en-GB"/>
        </w:rPr>
        <w:t xml:space="preserve"> metastable β</w:t>
      </w:r>
      <w:r>
        <w:rPr>
          <w:rFonts w:asciiTheme="minorHAnsi" w:hAnsiTheme="minorHAnsi"/>
          <w:sz w:val="22"/>
          <w:szCs w:val="22"/>
          <w:lang w:val="en-GB"/>
        </w:rPr>
        <w:t>-</w:t>
      </w:r>
      <w:r w:rsidRPr="00D80AF7">
        <w:rPr>
          <w:rFonts w:asciiTheme="minorHAnsi" w:hAnsiTheme="minorHAnsi"/>
          <w:sz w:val="22"/>
          <w:szCs w:val="22"/>
          <w:lang w:val="en-GB"/>
        </w:rPr>
        <w:t xml:space="preserve">Ti alloys. The microstructure of TiZrNbTa and TiZrHfTa </w:t>
      </w:r>
      <w:r>
        <w:rPr>
          <w:rFonts w:asciiTheme="minorHAnsi" w:hAnsiTheme="minorHAnsi"/>
          <w:sz w:val="22"/>
          <w:szCs w:val="22"/>
          <w:lang w:val="en-GB"/>
        </w:rPr>
        <w:t xml:space="preserve">materials imaged by SEM </w:t>
      </w:r>
      <w:r w:rsidRPr="00D80AF7">
        <w:rPr>
          <w:rFonts w:asciiTheme="minorHAnsi" w:hAnsiTheme="minorHAnsi"/>
          <w:sz w:val="22"/>
          <w:szCs w:val="22"/>
          <w:lang w:val="en-GB"/>
        </w:rPr>
        <w:t xml:space="preserve">are shown in </w:t>
      </w:r>
      <w:r>
        <w:rPr>
          <w:rFonts w:asciiTheme="minorHAnsi" w:hAnsiTheme="minorHAnsi"/>
          <w:sz w:val="22"/>
          <w:szCs w:val="22"/>
          <w:lang w:val="en-GB"/>
        </w:rPr>
        <w:t>Fig</w:t>
      </w:r>
      <w:r w:rsidRPr="00D80AF7">
        <w:rPr>
          <w:rFonts w:asciiTheme="minorHAnsi" w:hAnsiTheme="minorHAnsi"/>
          <w:sz w:val="22"/>
          <w:szCs w:val="22"/>
          <w:lang w:val="en-GB"/>
        </w:rPr>
        <w:t>.</w:t>
      </w:r>
      <w:r>
        <w:rPr>
          <w:rFonts w:asciiTheme="minorHAnsi" w:hAnsiTheme="minorHAnsi"/>
          <w:sz w:val="22"/>
          <w:szCs w:val="22"/>
          <w:lang w:val="en-GB"/>
        </w:rPr>
        <w:t xml:space="preserve"> 4-3(c-d)</w:t>
      </w:r>
      <w:r w:rsidRPr="00D80AF7">
        <w:rPr>
          <w:rFonts w:asciiTheme="minorHAnsi" w:hAnsiTheme="minorHAnsi"/>
          <w:sz w:val="22"/>
          <w:szCs w:val="22"/>
          <w:lang w:val="en-GB"/>
        </w:rPr>
        <w:t>. Both TiZrNbTa and TiZrHfTa exhibit equiax</w:t>
      </w:r>
      <w:r w:rsidR="003B70CC">
        <w:rPr>
          <w:rFonts w:asciiTheme="minorHAnsi" w:hAnsiTheme="minorHAnsi"/>
          <w:sz w:val="22"/>
          <w:szCs w:val="22"/>
          <w:lang w:val="en-GB"/>
        </w:rPr>
        <w:t>ed</w:t>
      </w:r>
      <w:r w:rsidRPr="00D80AF7">
        <w:rPr>
          <w:rFonts w:asciiTheme="minorHAnsi" w:hAnsiTheme="minorHAnsi"/>
          <w:sz w:val="22"/>
          <w:szCs w:val="22"/>
          <w:lang w:val="en-GB"/>
        </w:rPr>
        <w:t xml:space="preserve"> dendritic microstructure</w:t>
      </w:r>
      <w:r w:rsidR="003B70CC">
        <w:rPr>
          <w:rFonts w:asciiTheme="minorHAnsi" w:hAnsiTheme="minorHAnsi"/>
          <w:sz w:val="22"/>
          <w:szCs w:val="22"/>
          <w:lang w:val="en-GB"/>
        </w:rPr>
        <w:t>s</w:t>
      </w:r>
      <w:r w:rsidRPr="00D80AF7">
        <w:rPr>
          <w:rFonts w:asciiTheme="minorHAnsi" w:hAnsiTheme="minorHAnsi"/>
          <w:sz w:val="22"/>
          <w:szCs w:val="22"/>
          <w:lang w:val="en-GB"/>
        </w:rPr>
        <w:t>, however</w:t>
      </w:r>
      <w:r>
        <w:rPr>
          <w:rFonts w:asciiTheme="minorHAnsi" w:hAnsiTheme="minorHAnsi"/>
          <w:sz w:val="22"/>
          <w:szCs w:val="22"/>
          <w:lang w:val="en-GB"/>
        </w:rPr>
        <w:t>,</w:t>
      </w:r>
      <w:r w:rsidRPr="00D80AF7">
        <w:rPr>
          <w:rFonts w:asciiTheme="minorHAnsi" w:hAnsiTheme="minorHAnsi"/>
          <w:sz w:val="22"/>
          <w:szCs w:val="22"/>
          <w:lang w:val="en-GB"/>
        </w:rPr>
        <w:t xml:space="preserve"> from </w:t>
      </w:r>
      <w:r w:rsidRPr="00D80AF7">
        <w:rPr>
          <w:rFonts w:asciiTheme="minorHAnsi" w:hAnsiTheme="minorHAnsi"/>
          <w:noProof/>
          <w:sz w:val="22"/>
          <w:szCs w:val="22"/>
          <w:lang w:val="en-GB"/>
        </w:rPr>
        <w:t>backscatter</w:t>
      </w:r>
      <w:r>
        <w:rPr>
          <w:rFonts w:asciiTheme="minorHAnsi" w:hAnsiTheme="minorHAnsi"/>
          <w:noProof/>
          <w:sz w:val="22"/>
          <w:szCs w:val="22"/>
          <w:lang w:val="en-GB"/>
        </w:rPr>
        <w:t>ed electron</w:t>
      </w:r>
      <w:r w:rsidRPr="00D80AF7">
        <w:rPr>
          <w:rFonts w:asciiTheme="minorHAnsi" w:hAnsiTheme="minorHAnsi"/>
          <w:sz w:val="22"/>
          <w:szCs w:val="22"/>
          <w:lang w:val="en-GB"/>
        </w:rPr>
        <w:t xml:space="preserve"> </w:t>
      </w:r>
      <w:r w:rsidRPr="00D80AF7">
        <w:rPr>
          <w:rFonts w:asciiTheme="minorHAnsi" w:hAnsiTheme="minorHAnsi"/>
          <w:noProof/>
          <w:sz w:val="22"/>
          <w:szCs w:val="22"/>
          <w:lang w:val="en-GB"/>
        </w:rPr>
        <w:t>image</w:t>
      </w:r>
      <w:r>
        <w:rPr>
          <w:rFonts w:asciiTheme="minorHAnsi" w:hAnsiTheme="minorHAnsi"/>
          <w:noProof/>
          <w:sz w:val="22"/>
          <w:szCs w:val="22"/>
          <w:lang w:val="en-GB"/>
        </w:rPr>
        <w:t>s, compositional</w:t>
      </w:r>
      <w:r w:rsidRPr="00D80AF7">
        <w:rPr>
          <w:rFonts w:asciiTheme="minorHAnsi" w:hAnsiTheme="minorHAnsi"/>
          <w:sz w:val="22"/>
          <w:szCs w:val="22"/>
          <w:lang w:val="en-GB"/>
        </w:rPr>
        <w:t xml:space="preserve"> segregation is </w:t>
      </w:r>
      <w:r w:rsidRPr="00D80AF7">
        <w:rPr>
          <w:rFonts w:asciiTheme="minorHAnsi" w:hAnsiTheme="minorHAnsi"/>
          <w:noProof/>
          <w:sz w:val="22"/>
          <w:szCs w:val="22"/>
          <w:lang w:val="en-GB"/>
        </w:rPr>
        <w:t>evident</w:t>
      </w:r>
      <w:r w:rsidRPr="00D80AF7">
        <w:rPr>
          <w:rFonts w:asciiTheme="minorHAnsi" w:hAnsiTheme="minorHAnsi"/>
          <w:sz w:val="22"/>
          <w:szCs w:val="22"/>
          <w:lang w:val="en-GB"/>
        </w:rPr>
        <w:t xml:space="preserve"> in both </w:t>
      </w:r>
      <w:r>
        <w:rPr>
          <w:rFonts w:asciiTheme="minorHAnsi" w:hAnsiTheme="minorHAnsi"/>
          <w:sz w:val="22"/>
          <w:szCs w:val="22"/>
          <w:lang w:val="en-GB"/>
        </w:rPr>
        <w:t xml:space="preserve">the </w:t>
      </w:r>
      <w:r w:rsidRPr="00D80AF7">
        <w:rPr>
          <w:rFonts w:asciiTheme="minorHAnsi" w:hAnsiTheme="minorHAnsi"/>
          <w:sz w:val="22"/>
          <w:szCs w:val="22"/>
          <w:lang w:val="en-GB"/>
        </w:rPr>
        <w:t xml:space="preserve">as-cast TiZrNbTa and TiZrHfTa. </w:t>
      </w:r>
      <w:r>
        <w:rPr>
          <w:rFonts w:asciiTheme="minorHAnsi" w:hAnsiTheme="minorHAnsi"/>
          <w:sz w:val="22"/>
          <w:szCs w:val="22"/>
          <w:lang w:val="en-GB"/>
        </w:rPr>
        <w:t>In addition,</w:t>
      </w:r>
      <w:r w:rsidRPr="00D80AF7">
        <w:rPr>
          <w:rFonts w:asciiTheme="minorHAnsi" w:hAnsiTheme="minorHAnsi"/>
          <w:sz w:val="22"/>
          <w:szCs w:val="22"/>
          <w:lang w:val="en-GB"/>
        </w:rPr>
        <w:t xml:space="preserve"> </w:t>
      </w:r>
      <w:r>
        <w:rPr>
          <w:rFonts w:asciiTheme="minorHAnsi" w:hAnsiTheme="minorHAnsi"/>
          <w:sz w:val="22"/>
          <w:szCs w:val="22"/>
          <w:lang w:val="en-GB"/>
        </w:rPr>
        <w:t xml:space="preserve">a </w:t>
      </w:r>
      <w:r w:rsidRPr="00D80AF7">
        <w:rPr>
          <w:rFonts w:asciiTheme="minorHAnsi" w:hAnsiTheme="minorHAnsi"/>
          <w:noProof/>
          <w:sz w:val="22"/>
          <w:szCs w:val="22"/>
          <w:lang w:val="en-GB"/>
        </w:rPr>
        <w:t>needle-like</w:t>
      </w:r>
      <w:r w:rsidRPr="00D80AF7">
        <w:rPr>
          <w:rFonts w:asciiTheme="minorHAnsi" w:hAnsiTheme="minorHAnsi"/>
          <w:sz w:val="22"/>
          <w:szCs w:val="22"/>
          <w:lang w:val="en-GB"/>
        </w:rPr>
        <w:t xml:space="preserve"> structure </w:t>
      </w:r>
      <w:r>
        <w:rPr>
          <w:rFonts w:asciiTheme="minorHAnsi" w:hAnsiTheme="minorHAnsi"/>
          <w:sz w:val="22"/>
          <w:szCs w:val="22"/>
          <w:lang w:val="en-GB"/>
        </w:rPr>
        <w:t>was</w:t>
      </w:r>
      <w:r w:rsidRPr="00D80AF7">
        <w:rPr>
          <w:rFonts w:asciiTheme="minorHAnsi" w:hAnsiTheme="minorHAnsi"/>
          <w:sz w:val="22"/>
          <w:szCs w:val="22"/>
          <w:lang w:val="en-GB"/>
        </w:rPr>
        <w:t xml:space="preserve"> observed in </w:t>
      </w:r>
      <w:r>
        <w:rPr>
          <w:rFonts w:asciiTheme="minorHAnsi" w:hAnsiTheme="minorHAnsi"/>
          <w:sz w:val="22"/>
          <w:szCs w:val="22"/>
          <w:lang w:val="en-GB"/>
        </w:rPr>
        <w:t xml:space="preserve">the </w:t>
      </w:r>
      <w:r w:rsidRPr="007C247B">
        <w:rPr>
          <w:rFonts w:asciiTheme="minorHAnsi" w:hAnsiTheme="minorHAnsi"/>
          <w:noProof/>
          <w:sz w:val="22"/>
          <w:szCs w:val="22"/>
          <w:lang w:val="en-GB"/>
        </w:rPr>
        <w:t>dark</w:t>
      </w:r>
      <w:r w:rsidRPr="00D80AF7">
        <w:rPr>
          <w:rFonts w:asciiTheme="minorHAnsi" w:hAnsiTheme="minorHAnsi"/>
          <w:sz w:val="22"/>
          <w:szCs w:val="22"/>
          <w:lang w:val="en-GB"/>
        </w:rPr>
        <w:t xml:space="preserve"> </w:t>
      </w:r>
      <w:r>
        <w:rPr>
          <w:rFonts w:asciiTheme="minorHAnsi" w:hAnsiTheme="minorHAnsi"/>
          <w:sz w:val="22"/>
          <w:szCs w:val="22"/>
          <w:lang w:val="en-GB"/>
        </w:rPr>
        <w:t>regions of TiZrHfTa in Fig. 4-3(d).</w:t>
      </w:r>
      <w:r w:rsidRPr="00D80AF7">
        <w:rPr>
          <w:rFonts w:asciiTheme="minorHAnsi" w:hAnsiTheme="minorHAnsi"/>
          <w:sz w:val="22"/>
          <w:szCs w:val="22"/>
          <w:lang w:val="en-GB"/>
        </w:rPr>
        <w:t xml:space="preserve"> </w:t>
      </w:r>
      <w:r>
        <w:rPr>
          <w:rFonts w:asciiTheme="minorHAnsi" w:hAnsiTheme="minorHAnsi"/>
          <w:sz w:val="22"/>
          <w:szCs w:val="22"/>
          <w:lang w:val="en-GB"/>
        </w:rPr>
        <w:t>This may indicate the formation of a new phase during solidification, for</w:t>
      </w:r>
      <w:r w:rsidRPr="00D80AF7">
        <w:rPr>
          <w:rFonts w:asciiTheme="minorHAnsi" w:hAnsiTheme="minorHAnsi"/>
          <w:sz w:val="22"/>
          <w:szCs w:val="22"/>
          <w:lang w:val="en-GB"/>
        </w:rPr>
        <w:t xml:space="preserve"> microstructures </w:t>
      </w:r>
      <w:r>
        <w:rPr>
          <w:rFonts w:asciiTheme="minorHAnsi" w:hAnsiTheme="minorHAnsi"/>
          <w:sz w:val="22"/>
          <w:szCs w:val="22"/>
          <w:lang w:val="en-GB"/>
        </w:rPr>
        <w:t>possessing</w:t>
      </w:r>
      <w:r w:rsidRPr="00D80AF7">
        <w:rPr>
          <w:rFonts w:asciiTheme="minorHAnsi" w:hAnsiTheme="minorHAnsi"/>
          <w:sz w:val="22"/>
          <w:szCs w:val="22"/>
          <w:lang w:val="en-GB"/>
        </w:rPr>
        <w:t xml:space="preserve"> heavier elements (Hf or Ta</w:t>
      </w:r>
      <w:r>
        <w:rPr>
          <w:rFonts w:asciiTheme="minorHAnsi" w:hAnsiTheme="minorHAnsi"/>
          <w:sz w:val="22"/>
          <w:szCs w:val="22"/>
          <w:lang w:val="en-GB"/>
        </w:rPr>
        <w:t>)</w:t>
      </w:r>
      <w:r w:rsidRPr="00D80AF7">
        <w:rPr>
          <w:rFonts w:asciiTheme="minorHAnsi" w:hAnsiTheme="minorHAnsi"/>
          <w:sz w:val="22"/>
          <w:szCs w:val="22"/>
          <w:lang w:val="en-GB"/>
        </w:rPr>
        <w:t>.</w:t>
      </w:r>
      <w:r>
        <w:rPr>
          <w:rFonts w:asciiTheme="minorHAnsi" w:hAnsiTheme="minorHAnsi"/>
          <w:sz w:val="22"/>
          <w:szCs w:val="22"/>
          <w:lang w:val="en-GB"/>
        </w:rPr>
        <w:t xml:space="preserve"> </w:t>
      </w:r>
      <w:r w:rsidRPr="00D80AF7">
        <w:rPr>
          <w:rFonts w:asciiTheme="minorHAnsi" w:hAnsiTheme="minorHAnsi"/>
          <w:sz w:val="22"/>
          <w:szCs w:val="22"/>
          <w:lang w:val="en-GB"/>
        </w:rPr>
        <w:t xml:space="preserve">As no </w:t>
      </w:r>
      <w:r w:rsidRPr="00D80AF7">
        <w:rPr>
          <w:rFonts w:asciiTheme="minorHAnsi" w:hAnsiTheme="minorHAnsi"/>
          <w:noProof/>
          <w:sz w:val="22"/>
          <w:szCs w:val="22"/>
          <w:lang w:val="en-GB"/>
        </w:rPr>
        <w:t>visible</w:t>
      </w:r>
      <w:r w:rsidRPr="00D80AF7">
        <w:rPr>
          <w:rFonts w:asciiTheme="minorHAnsi" w:hAnsiTheme="minorHAnsi"/>
          <w:sz w:val="22"/>
          <w:szCs w:val="22"/>
          <w:lang w:val="en-GB"/>
        </w:rPr>
        <w:t xml:space="preserve"> peak </w:t>
      </w:r>
      <w:r>
        <w:rPr>
          <w:rFonts w:asciiTheme="minorHAnsi" w:hAnsiTheme="minorHAnsi"/>
          <w:sz w:val="22"/>
          <w:szCs w:val="22"/>
          <w:lang w:val="en-GB"/>
        </w:rPr>
        <w:t>was</w:t>
      </w:r>
      <w:r w:rsidRPr="00D80AF7">
        <w:rPr>
          <w:rFonts w:asciiTheme="minorHAnsi" w:hAnsiTheme="minorHAnsi"/>
          <w:sz w:val="22"/>
          <w:szCs w:val="22"/>
          <w:lang w:val="en-GB"/>
        </w:rPr>
        <w:t xml:space="preserve"> </w:t>
      </w:r>
      <w:r w:rsidRPr="00D80AF7">
        <w:rPr>
          <w:rFonts w:asciiTheme="minorHAnsi" w:hAnsiTheme="minorHAnsi"/>
          <w:noProof/>
          <w:sz w:val="22"/>
          <w:szCs w:val="22"/>
          <w:lang w:val="en-GB"/>
        </w:rPr>
        <w:t>detected</w:t>
      </w:r>
      <w:r w:rsidRPr="00D80AF7">
        <w:rPr>
          <w:rFonts w:asciiTheme="minorHAnsi" w:hAnsiTheme="minorHAnsi"/>
          <w:sz w:val="22"/>
          <w:szCs w:val="22"/>
          <w:lang w:val="en-GB"/>
        </w:rPr>
        <w:t xml:space="preserve"> in </w:t>
      </w:r>
      <w:r>
        <w:rPr>
          <w:rFonts w:asciiTheme="minorHAnsi" w:hAnsiTheme="minorHAnsi"/>
          <w:sz w:val="22"/>
          <w:szCs w:val="22"/>
          <w:lang w:val="en-GB"/>
        </w:rPr>
        <w:t>F</w:t>
      </w:r>
      <w:r w:rsidRPr="00D80AF7">
        <w:rPr>
          <w:rFonts w:asciiTheme="minorHAnsi" w:hAnsiTheme="minorHAnsi"/>
          <w:sz w:val="22"/>
          <w:szCs w:val="22"/>
          <w:lang w:val="en-GB"/>
        </w:rPr>
        <w:t>ig.</w:t>
      </w:r>
      <w:r>
        <w:rPr>
          <w:rFonts w:asciiTheme="minorHAnsi" w:hAnsiTheme="minorHAnsi"/>
          <w:sz w:val="22"/>
          <w:szCs w:val="22"/>
          <w:lang w:val="en-GB"/>
        </w:rPr>
        <w:t xml:space="preserve"> 4-3</w:t>
      </w:r>
      <w:r w:rsidRPr="00D80AF7">
        <w:rPr>
          <w:rFonts w:asciiTheme="minorHAnsi" w:hAnsiTheme="minorHAnsi"/>
          <w:sz w:val="22"/>
          <w:szCs w:val="22"/>
          <w:lang w:val="en-GB"/>
        </w:rPr>
        <w:t>(a-b)</w:t>
      </w:r>
      <w:r>
        <w:rPr>
          <w:rFonts w:asciiTheme="minorHAnsi" w:hAnsiTheme="minorHAnsi"/>
          <w:sz w:val="22"/>
          <w:szCs w:val="22"/>
          <w:lang w:val="en-GB"/>
        </w:rPr>
        <w:t>,</w:t>
      </w:r>
      <w:r w:rsidRPr="00D80AF7">
        <w:rPr>
          <w:rFonts w:asciiTheme="minorHAnsi" w:hAnsiTheme="minorHAnsi"/>
          <w:sz w:val="22"/>
          <w:szCs w:val="22"/>
          <w:lang w:val="en-GB"/>
        </w:rPr>
        <w:t xml:space="preserve"> the phase composition of th</w:t>
      </w:r>
      <w:r>
        <w:rPr>
          <w:rFonts w:asciiTheme="minorHAnsi" w:hAnsiTheme="minorHAnsi"/>
          <w:sz w:val="22"/>
          <w:szCs w:val="22"/>
          <w:lang w:val="en-GB"/>
        </w:rPr>
        <w:t>is</w:t>
      </w:r>
      <w:r w:rsidRPr="00D80AF7">
        <w:rPr>
          <w:rFonts w:asciiTheme="minorHAnsi" w:hAnsiTheme="minorHAnsi"/>
          <w:sz w:val="22"/>
          <w:szCs w:val="22"/>
          <w:lang w:val="en-GB"/>
        </w:rPr>
        <w:t xml:space="preserve"> new phase </w:t>
      </w:r>
      <w:r>
        <w:rPr>
          <w:rFonts w:asciiTheme="minorHAnsi" w:hAnsiTheme="minorHAnsi"/>
          <w:sz w:val="22"/>
          <w:szCs w:val="22"/>
          <w:lang w:val="en-GB"/>
        </w:rPr>
        <w:t>appears to be very</w:t>
      </w:r>
      <w:r w:rsidRPr="00D80AF7">
        <w:rPr>
          <w:rFonts w:asciiTheme="minorHAnsi" w:hAnsiTheme="minorHAnsi"/>
          <w:sz w:val="22"/>
          <w:szCs w:val="22"/>
          <w:lang w:val="en-GB"/>
        </w:rPr>
        <w:t xml:space="preserve"> low</w:t>
      </w:r>
      <w:r>
        <w:rPr>
          <w:rFonts w:asciiTheme="minorHAnsi" w:hAnsiTheme="minorHAnsi"/>
          <w:sz w:val="22"/>
          <w:szCs w:val="22"/>
          <w:lang w:val="en-GB"/>
        </w:rPr>
        <w:t>.</w:t>
      </w:r>
    </w:p>
    <w:p w14:paraId="4FBC975A" w14:textId="77777777" w:rsidR="00B145BE" w:rsidRDefault="00B145BE" w:rsidP="00B145BE">
      <w:pPr>
        <w:pStyle w:val="Normal1"/>
        <w:keepNext/>
        <w:spacing w:after="60" w:line="360" w:lineRule="auto"/>
        <w:jc w:val="center"/>
        <w:rPr>
          <w:rFonts w:hint="eastAsia"/>
        </w:rPr>
      </w:pPr>
      <w:r w:rsidRPr="00DC64BA">
        <w:rPr>
          <w:rFonts w:asciiTheme="minorHAnsi" w:hAnsiTheme="minorHAnsi"/>
          <w:noProof/>
          <w:lang w:eastAsia="en-US" w:bidi="ar-SA"/>
        </w:rPr>
        <w:lastRenderedPageBreak/>
        <w:drawing>
          <wp:inline distT="0" distB="0" distL="0" distR="0" wp14:anchorId="576F8A2C" wp14:editId="6D14A9B3">
            <wp:extent cx="4873752" cy="3913632"/>
            <wp:effectExtent l="0" t="0" r="3175" b="0"/>
            <wp:docPr id="31" name="图片 14">
              <a:extLst xmlns:a="http://schemas.openxmlformats.org/drawingml/2006/main">
                <a:ext uri="{FF2B5EF4-FFF2-40B4-BE49-F238E27FC236}">
                  <a16:creationId xmlns:a16="http://schemas.microsoft.com/office/drawing/2014/main" id="{E1431AC5-0EDA-4D28-9A6B-291225CD06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a:extLst>
                        <a:ext uri="{FF2B5EF4-FFF2-40B4-BE49-F238E27FC236}">
                          <a16:creationId xmlns:a16="http://schemas.microsoft.com/office/drawing/2014/main" id="{E1431AC5-0EDA-4D28-9A6B-291225CD066D}"/>
                        </a:ext>
                      </a:extLst>
                    </pic:cNvPr>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4873752" cy="3913632"/>
                    </a:xfrm>
                    <a:prstGeom prst="rect">
                      <a:avLst/>
                    </a:prstGeom>
                  </pic:spPr>
                </pic:pic>
              </a:graphicData>
            </a:graphic>
          </wp:inline>
        </w:drawing>
      </w:r>
    </w:p>
    <w:p w14:paraId="11073908" w14:textId="60C2285D" w:rsidR="00B145BE" w:rsidRDefault="00B145BE" w:rsidP="00B145BE">
      <w:pPr>
        <w:pStyle w:val="Normal1"/>
        <w:spacing w:after="60" w:line="360" w:lineRule="auto"/>
        <w:jc w:val="both"/>
        <w:rPr>
          <w:rFonts w:asciiTheme="minorHAnsi" w:hAnsiTheme="minorHAnsi"/>
          <w:sz w:val="22"/>
          <w:szCs w:val="22"/>
          <w:lang w:val="en-GB"/>
        </w:rPr>
      </w:pPr>
      <w:bookmarkStart w:id="223" w:name="_Toc7364589"/>
      <w:bookmarkStart w:id="224" w:name="_Toc39312703"/>
      <w:r w:rsidRPr="00D80AF7">
        <w:rPr>
          <w:rFonts w:asciiTheme="minorHAnsi" w:hAnsiTheme="minorHAnsi"/>
          <w:b/>
          <w:sz w:val="20"/>
          <w:szCs w:val="20"/>
          <w:lang w:val="en-GB"/>
        </w:rPr>
        <w:t>Figure</w:t>
      </w:r>
      <w:r>
        <w:rPr>
          <w:rFonts w:asciiTheme="minorHAnsi" w:hAnsiTheme="minorHAnsi"/>
          <w:b/>
          <w:sz w:val="20"/>
          <w:szCs w:val="20"/>
          <w:lang w:val="en-GB"/>
        </w:rPr>
        <w:t xml:space="preserve"> 4-</w:t>
      </w:r>
      <w:r w:rsidRPr="00EC6DE1">
        <w:rPr>
          <w:rFonts w:asciiTheme="minorHAnsi" w:hAnsiTheme="minorHAnsi"/>
          <w:b/>
          <w:sz w:val="20"/>
          <w:szCs w:val="20"/>
        </w:rPr>
        <w:fldChar w:fldCharType="begin"/>
      </w:r>
      <w:r w:rsidRPr="00EC6DE1">
        <w:rPr>
          <w:rFonts w:asciiTheme="minorHAnsi" w:hAnsiTheme="minorHAnsi"/>
          <w:b/>
          <w:sz w:val="20"/>
          <w:szCs w:val="20"/>
        </w:rPr>
        <w:instrText xml:space="preserve"> SEQ Figure \* ARABIC </w:instrText>
      </w:r>
      <w:r w:rsidRPr="00EC6DE1">
        <w:rPr>
          <w:rFonts w:asciiTheme="minorHAnsi" w:hAnsiTheme="minorHAnsi"/>
          <w:b/>
          <w:sz w:val="20"/>
          <w:szCs w:val="20"/>
        </w:rPr>
        <w:fldChar w:fldCharType="separate"/>
      </w:r>
      <w:r>
        <w:rPr>
          <w:rFonts w:asciiTheme="minorHAnsi" w:hAnsiTheme="minorHAnsi"/>
          <w:b/>
          <w:noProof/>
          <w:sz w:val="20"/>
          <w:szCs w:val="20"/>
        </w:rPr>
        <w:t>3</w:t>
      </w:r>
      <w:r w:rsidRPr="00EC6DE1">
        <w:rPr>
          <w:rFonts w:asciiTheme="minorHAnsi" w:hAnsiTheme="minorHAnsi"/>
          <w:b/>
          <w:sz w:val="20"/>
          <w:szCs w:val="20"/>
        </w:rPr>
        <w:fldChar w:fldCharType="end"/>
      </w:r>
      <w:r w:rsidRPr="00D80AF7">
        <w:rPr>
          <w:rFonts w:asciiTheme="minorHAnsi" w:hAnsiTheme="minorHAnsi" w:cstheme="minorHAnsi"/>
          <w:b/>
          <w:sz w:val="20"/>
          <w:szCs w:val="20"/>
          <w:lang w:val="en-GB"/>
        </w:rPr>
        <w:t xml:space="preserve"> Microstructure of as-cast TiZrNbTa and TiZrHfTa</w:t>
      </w:r>
      <w:r>
        <w:rPr>
          <w:rFonts w:asciiTheme="minorHAnsi" w:hAnsiTheme="minorHAnsi" w:cstheme="minorHAnsi"/>
          <w:b/>
          <w:sz w:val="20"/>
          <w:szCs w:val="20"/>
          <w:lang w:val="en-GB"/>
        </w:rPr>
        <w:t>.</w:t>
      </w:r>
      <w:r w:rsidRPr="00D80AF7">
        <w:rPr>
          <w:rFonts w:asciiTheme="minorHAnsi" w:hAnsiTheme="minorHAnsi" w:cstheme="minorHAnsi"/>
          <w:sz w:val="20"/>
          <w:szCs w:val="20"/>
          <w:lang w:val="en-GB"/>
        </w:rPr>
        <w:t xml:space="preserve"> (</w:t>
      </w:r>
      <w:r w:rsidRPr="00D80AF7">
        <w:rPr>
          <w:rFonts w:asciiTheme="minorHAnsi" w:hAnsiTheme="minorHAnsi" w:cstheme="minorHAnsi"/>
          <w:b/>
          <w:sz w:val="20"/>
          <w:szCs w:val="20"/>
          <w:lang w:val="en-GB"/>
        </w:rPr>
        <w:t>a-b</w:t>
      </w:r>
      <w:r w:rsidRPr="00D80AF7">
        <w:rPr>
          <w:rFonts w:asciiTheme="minorHAnsi" w:hAnsiTheme="minorHAnsi" w:cstheme="minorHAnsi"/>
          <w:sz w:val="20"/>
          <w:szCs w:val="20"/>
          <w:lang w:val="en-GB"/>
        </w:rPr>
        <w:t>)</w:t>
      </w:r>
      <w:r w:rsidRPr="00D80AF7">
        <w:rPr>
          <w:rFonts w:asciiTheme="minorHAnsi" w:hAnsiTheme="minorHAnsi" w:cstheme="minorHAnsi"/>
          <w:b/>
          <w:sz w:val="20"/>
          <w:szCs w:val="20"/>
          <w:lang w:val="en-GB"/>
        </w:rPr>
        <w:t xml:space="preserve"> </w:t>
      </w:r>
      <w:r w:rsidRPr="00D80AF7">
        <w:rPr>
          <w:rFonts w:asciiTheme="minorHAnsi" w:hAnsiTheme="minorHAnsi" w:cstheme="minorHAnsi"/>
          <w:sz w:val="20"/>
          <w:szCs w:val="20"/>
          <w:lang w:val="en-GB"/>
        </w:rPr>
        <w:t>XRD patterns and Rietveld refinement of as-cast condition equal-molar TiZrNbTa and TiZrHfTa</w:t>
      </w:r>
      <w:r>
        <w:rPr>
          <w:rFonts w:asciiTheme="minorHAnsi" w:hAnsiTheme="minorHAnsi" w:cstheme="minorHAnsi"/>
          <w:sz w:val="20"/>
          <w:szCs w:val="20"/>
          <w:lang w:val="en-GB"/>
        </w:rPr>
        <w:t>,</w:t>
      </w:r>
      <w:r w:rsidRPr="00D80AF7">
        <w:rPr>
          <w:rFonts w:asciiTheme="minorHAnsi" w:hAnsiTheme="minorHAnsi" w:cstheme="minorHAnsi"/>
          <w:sz w:val="20"/>
          <w:szCs w:val="20"/>
          <w:lang w:val="en-GB"/>
        </w:rPr>
        <w:t xml:space="preserve"> respectively</w:t>
      </w:r>
      <w:r>
        <w:rPr>
          <w:rFonts w:asciiTheme="minorHAnsi" w:hAnsiTheme="minorHAnsi" w:cstheme="minorHAnsi"/>
          <w:sz w:val="20"/>
          <w:szCs w:val="20"/>
          <w:lang w:val="en-GB"/>
        </w:rPr>
        <w:t>.</w:t>
      </w:r>
      <w:r w:rsidRPr="00D80AF7">
        <w:rPr>
          <w:rFonts w:asciiTheme="minorHAnsi" w:hAnsiTheme="minorHAnsi" w:cstheme="minorHAnsi"/>
          <w:sz w:val="20"/>
          <w:szCs w:val="20"/>
          <w:lang w:val="en-GB"/>
        </w:rPr>
        <w:t xml:space="preserve"> </w:t>
      </w:r>
      <w:r>
        <w:rPr>
          <w:rFonts w:asciiTheme="minorHAnsi" w:hAnsiTheme="minorHAnsi" w:cstheme="minorHAnsi"/>
          <w:sz w:val="20"/>
          <w:szCs w:val="20"/>
          <w:lang w:val="en-GB"/>
        </w:rPr>
        <w:t>P</w:t>
      </w:r>
      <w:r w:rsidRPr="00D80AF7">
        <w:rPr>
          <w:rFonts w:asciiTheme="minorHAnsi" w:hAnsiTheme="minorHAnsi" w:cstheme="minorHAnsi"/>
          <w:sz w:val="20"/>
          <w:szCs w:val="20"/>
          <w:lang w:val="en-GB"/>
        </w:rPr>
        <w:t>eak</w:t>
      </w:r>
      <w:r>
        <w:rPr>
          <w:rFonts w:asciiTheme="minorHAnsi" w:hAnsiTheme="minorHAnsi" w:cstheme="minorHAnsi"/>
          <w:sz w:val="20"/>
          <w:szCs w:val="20"/>
          <w:lang w:val="en-GB"/>
        </w:rPr>
        <w:t>s are</w:t>
      </w:r>
      <w:r w:rsidRPr="00D80AF7">
        <w:rPr>
          <w:rFonts w:asciiTheme="minorHAnsi" w:hAnsiTheme="minorHAnsi" w:cstheme="minorHAnsi"/>
          <w:sz w:val="20"/>
          <w:szCs w:val="20"/>
          <w:lang w:val="en-GB"/>
        </w:rPr>
        <w:t xml:space="preserve"> marked with </w:t>
      </w:r>
      <w:r w:rsidRPr="00D80AF7">
        <w:rPr>
          <w:rFonts w:asciiTheme="minorHAnsi" w:hAnsiTheme="minorHAnsi" w:cstheme="minorHAnsi"/>
          <w:noProof/>
          <w:sz w:val="20"/>
          <w:szCs w:val="20"/>
          <w:lang w:val="en-GB"/>
        </w:rPr>
        <w:t>Miller</w:t>
      </w:r>
      <w:r w:rsidRPr="00D80AF7">
        <w:rPr>
          <w:rFonts w:asciiTheme="minorHAnsi" w:hAnsiTheme="minorHAnsi" w:cstheme="minorHAnsi"/>
          <w:sz w:val="20"/>
          <w:szCs w:val="20"/>
          <w:lang w:val="en-GB"/>
        </w:rPr>
        <w:t xml:space="preserve"> indices of BCC phase. </w:t>
      </w:r>
      <w:r>
        <w:rPr>
          <w:rFonts w:asciiTheme="minorHAnsi" w:hAnsiTheme="minorHAnsi" w:cstheme="minorHAnsi"/>
          <w:sz w:val="20"/>
          <w:szCs w:val="20"/>
          <w:lang w:val="en-GB"/>
        </w:rPr>
        <w:t>Inset in (a) show</w:t>
      </w:r>
      <w:r w:rsidR="00E67560">
        <w:rPr>
          <w:rFonts w:asciiTheme="minorHAnsi" w:hAnsiTheme="minorHAnsi" w:cstheme="minorHAnsi"/>
          <w:sz w:val="20"/>
          <w:szCs w:val="20"/>
          <w:lang w:val="en-GB"/>
        </w:rPr>
        <w:t>s</w:t>
      </w:r>
      <w:r w:rsidRPr="00D80AF7">
        <w:rPr>
          <w:rFonts w:asciiTheme="minorHAnsi" w:hAnsiTheme="minorHAnsi" w:cstheme="minorHAnsi"/>
          <w:sz w:val="20"/>
          <w:szCs w:val="20"/>
          <w:lang w:val="en-GB"/>
        </w:rPr>
        <w:t xml:space="preserve"> two </w:t>
      </w:r>
      <w:r>
        <w:rPr>
          <w:rFonts w:asciiTheme="minorHAnsi" w:hAnsiTheme="minorHAnsi" w:cstheme="minorHAnsi"/>
          <w:sz w:val="20"/>
          <w:szCs w:val="20"/>
          <w:lang w:val="en-GB"/>
        </w:rPr>
        <w:t>BCC</w:t>
      </w:r>
      <w:r w:rsidRPr="00D80AF7">
        <w:rPr>
          <w:rFonts w:asciiTheme="minorHAnsi" w:hAnsiTheme="minorHAnsi" w:cstheme="minorHAnsi"/>
          <w:sz w:val="20"/>
          <w:szCs w:val="20"/>
          <w:lang w:val="en-GB"/>
        </w:rPr>
        <w:t xml:space="preserve"> phases indexed </w:t>
      </w:r>
      <w:r>
        <w:rPr>
          <w:rFonts w:asciiTheme="minorHAnsi" w:hAnsiTheme="minorHAnsi" w:cstheme="minorHAnsi"/>
          <w:sz w:val="20"/>
          <w:szCs w:val="20"/>
          <w:lang w:val="en-GB"/>
        </w:rPr>
        <w:t>for</w:t>
      </w:r>
      <w:r w:rsidRPr="00D80AF7">
        <w:rPr>
          <w:rFonts w:asciiTheme="minorHAnsi" w:hAnsiTheme="minorHAnsi" w:cstheme="minorHAnsi"/>
          <w:sz w:val="20"/>
          <w:szCs w:val="20"/>
          <w:lang w:val="en-GB"/>
        </w:rPr>
        <w:t xml:space="preserve"> </w:t>
      </w:r>
      <w:r w:rsidRPr="007C247B">
        <w:rPr>
          <w:rFonts w:asciiTheme="minorHAnsi" w:hAnsiTheme="minorHAnsi" w:cstheme="minorHAnsi"/>
          <w:noProof/>
          <w:sz w:val="20"/>
          <w:szCs w:val="20"/>
          <w:lang w:val="en-GB"/>
        </w:rPr>
        <w:t>TiZrNbTa</w:t>
      </w:r>
      <w:r>
        <w:rPr>
          <w:rFonts w:asciiTheme="minorHAnsi" w:hAnsiTheme="minorHAnsi" w:cstheme="minorHAnsi"/>
          <w:sz w:val="20"/>
          <w:szCs w:val="20"/>
          <w:lang w:val="en-GB"/>
        </w:rPr>
        <w:t>;</w:t>
      </w:r>
      <w:r w:rsidRPr="00D80AF7">
        <w:rPr>
          <w:rFonts w:asciiTheme="minorHAnsi" w:hAnsiTheme="minorHAnsi" w:cstheme="minorHAnsi"/>
          <w:sz w:val="20"/>
          <w:szCs w:val="20"/>
          <w:lang w:val="en-GB"/>
        </w:rPr>
        <w:t xml:space="preserve"> (</w:t>
      </w:r>
      <w:r w:rsidRPr="00D80AF7">
        <w:rPr>
          <w:rFonts w:asciiTheme="minorHAnsi" w:hAnsiTheme="minorHAnsi" w:cstheme="minorHAnsi"/>
          <w:b/>
          <w:sz w:val="20"/>
          <w:szCs w:val="20"/>
          <w:lang w:val="en-GB"/>
        </w:rPr>
        <w:t>c</w:t>
      </w:r>
      <w:r w:rsidRPr="00D80AF7">
        <w:rPr>
          <w:rFonts w:asciiTheme="minorHAnsi" w:hAnsiTheme="minorHAnsi" w:cstheme="minorHAnsi"/>
          <w:sz w:val="20"/>
          <w:szCs w:val="20"/>
          <w:lang w:val="en-GB"/>
        </w:rPr>
        <w:t>)</w:t>
      </w:r>
      <w:r>
        <w:rPr>
          <w:rFonts w:asciiTheme="minorHAnsi" w:hAnsiTheme="minorHAnsi" w:cstheme="minorHAnsi"/>
          <w:sz w:val="20"/>
          <w:szCs w:val="20"/>
          <w:lang w:val="en-GB"/>
        </w:rPr>
        <w:t xml:space="preserve"> b</w:t>
      </w:r>
      <w:r w:rsidRPr="00D80AF7">
        <w:rPr>
          <w:rFonts w:asciiTheme="minorHAnsi" w:hAnsiTheme="minorHAnsi" w:cstheme="minorHAnsi"/>
          <w:sz w:val="20"/>
          <w:szCs w:val="20"/>
          <w:lang w:val="en-GB"/>
        </w:rPr>
        <w:t>ackscatter</w:t>
      </w:r>
      <w:r>
        <w:rPr>
          <w:rFonts w:asciiTheme="minorHAnsi" w:hAnsiTheme="minorHAnsi" w:cstheme="minorHAnsi"/>
          <w:sz w:val="20"/>
          <w:szCs w:val="20"/>
          <w:lang w:val="en-GB"/>
        </w:rPr>
        <w:t>ed electron</w:t>
      </w:r>
      <w:r w:rsidRPr="00D80AF7">
        <w:rPr>
          <w:rFonts w:asciiTheme="minorHAnsi" w:hAnsiTheme="minorHAnsi" w:cstheme="minorHAnsi"/>
          <w:sz w:val="20"/>
          <w:szCs w:val="20"/>
          <w:lang w:val="en-GB"/>
        </w:rPr>
        <w:t xml:space="preserve"> image of TiZrNbTa</w:t>
      </w:r>
      <w:r>
        <w:rPr>
          <w:rFonts w:asciiTheme="minorHAnsi" w:hAnsiTheme="minorHAnsi" w:cstheme="minorHAnsi"/>
          <w:sz w:val="20"/>
          <w:szCs w:val="20"/>
          <w:lang w:val="en-GB"/>
        </w:rPr>
        <w:t xml:space="preserve"> with</w:t>
      </w:r>
      <w:r w:rsidRPr="00D80AF7">
        <w:rPr>
          <w:rFonts w:asciiTheme="minorHAnsi" w:hAnsiTheme="minorHAnsi" w:cstheme="minorHAnsi"/>
          <w:sz w:val="20"/>
          <w:szCs w:val="20"/>
          <w:lang w:val="en-GB"/>
        </w:rPr>
        <w:t xml:space="preserve"> composition segregation </w:t>
      </w:r>
      <w:r>
        <w:rPr>
          <w:rFonts w:asciiTheme="minorHAnsi" w:hAnsiTheme="minorHAnsi" w:cstheme="minorHAnsi"/>
          <w:sz w:val="20"/>
          <w:szCs w:val="20"/>
          <w:lang w:val="en-GB"/>
        </w:rPr>
        <w:t>observed; and</w:t>
      </w:r>
      <w:r w:rsidRPr="00D80AF7">
        <w:rPr>
          <w:rFonts w:asciiTheme="minorHAnsi" w:hAnsiTheme="minorHAnsi" w:cstheme="minorHAnsi"/>
          <w:sz w:val="20"/>
          <w:szCs w:val="20"/>
          <w:lang w:val="en-GB"/>
        </w:rPr>
        <w:t xml:space="preserve"> (</w:t>
      </w:r>
      <w:r w:rsidRPr="00D80AF7">
        <w:rPr>
          <w:rFonts w:asciiTheme="minorHAnsi" w:hAnsiTheme="minorHAnsi" w:cstheme="minorHAnsi"/>
          <w:b/>
          <w:sz w:val="20"/>
          <w:szCs w:val="20"/>
          <w:lang w:val="en-GB"/>
        </w:rPr>
        <w:t>d</w:t>
      </w:r>
      <w:r w:rsidRPr="00D80AF7">
        <w:rPr>
          <w:rFonts w:asciiTheme="minorHAnsi" w:hAnsiTheme="minorHAnsi" w:cstheme="minorHAnsi"/>
          <w:sz w:val="20"/>
          <w:szCs w:val="20"/>
          <w:lang w:val="en-GB"/>
        </w:rPr>
        <w:t xml:space="preserve">) </w:t>
      </w:r>
      <w:r>
        <w:rPr>
          <w:rFonts w:asciiTheme="minorHAnsi" w:hAnsiTheme="minorHAnsi" w:cstheme="minorHAnsi"/>
          <w:sz w:val="20"/>
          <w:szCs w:val="20"/>
          <w:lang w:val="en-GB"/>
        </w:rPr>
        <w:t>b</w:t>
      </w:r>
      <w:r w:rsidRPr="00D80AF7">
        <w:rPr>
          <w:rFonts w:asciiTheme="minorHAnsi" w:hAnsiTheme="minorHAnsi" w:cstheme="minorHAnsi"/>
          <w:sz w:val="20"/>
          <w:szCs w:val="20"/>
          <w:lang w:val="en-GB"/>
        </w:rPr>
        <w:t>ackscatter</w:t>
      </w:r>
      <w:r>
        <w:rPr>
          <w:rFonts w:asciiTheme="minorHAnsi" w:hAnsiTheme="minorHAnsi" w:cstheme="minorHAnsi"/>
          <w:sz w:val="20"/>
          <w:szCs w:val="20"/>
          <w:lang w:val="en-GB"/>
        </w:rPr>
        <w:t>ed electron</w:t>
      </w:r>
      <w:r w:rsidRPr="00D80AF7">
        <w:rPr>
          <w:rFonts w:asciiTheme="minorHAnsi" w:hAnsiTheme="minorHAnsi" w:cstheme="minorHAnsi"/>
          <w:sz w:val="20"/>
          <w:szCs w:val="20"/>
          <w:lang w:val="en-GB"/>
        </w:rPr>
        <w:t xml:space="preserve"> image of TiZrHfTa</w:t>
      </w:r>
      <w:r>
        <w:rPr>
          <w:rFonts w:asciiTheme="minorHAnsi" w:hAnsiTheme="minorHAnsi" w:cstheme="minorHAnsi"/>
          <w:sz w:val="20"/>
          <w:szCs w:val="20"/>
          <w:lang w:val="en-GB"/>
        </w:rPr>
        <w:t xml:space="preserve"> with</w:t>
      </w:r>
      <w:r w:rsidRPr="00D80AF7">
        <w:rPr>
          <w:rFonts w:asciiTheme="minorHAnsi" w:hAnsiTheme="minorHAnsi" w:cstheme="minorHAnsi"/>
          <w:sz w:val="20"/>
          <w:szCs w:val="20"/>
          <w:lang w:val="en-GB"/>
        </w:rPr>
        <w:t xml:space="preserve"> composition segregation </w:t>
      </w:r>
      <w:r>
        <w:rPr>
          <w:rFonts w:asciiTheme="minorHAnsi" w:hAnsiTheme="minorHAnsi" w:cstheme="minorHAnsi"/>
          <w:sz w:val="20"/>
          <w:szCs w:val="20"/>
          <w:lang w:val="en-GB"/>
        </w:rPr>
        <w:t xml:space="preserve">also </w:t>
      </w:r>
      <w:r w:rsidRPr="00D80AF7">
        <w:rPr>
          <w:rFonts w:asciiTheme="minorHAnsi" w:hAnsiTheme="minorHAnsi" w:cstheme="minorHAnsi"/>
          <w:noProof/>
          <w:sz w:val="20"/>
          <w:szCs w:val="20"/>
          <w:lang w:val="en-GB"/>
        </w:rPr>
        <w:t>identified</w:t>
      </w:r>
      <w:r w:rsidRPr="00D80AF7">
        <w:rPr>
          <w:rFonts w:asciiTheme="minorHAnsi" w:hAnsiTheme="minorHAnsi" w:cstheme="minorHAnsi"/>
          <w:sz w:val="20"/>
          <w:szCs w:val="20"/>
          <w:lang w:val="en-GB"/>
        </w:rPr>
        <w:t xml:space="preserve">. Insets </w:t>
      </w:r>
      <w:r>
        <w:rPr>
          <w:rFonts w:asciiTheme="minorHAnsi" w:hAnsiTheme="minorHAnsi" w:cstheme="minorHAnsi"/>
          <w:sz w:val="20"/>
          <w:szCs w:val="20"/>
          <w:lang w:val="en-GB"/>
        </w:rPr>
        <w:t>show</w:t>
      </w:r>
      <w:r w:rsidRPr="00D80AF7">
        <w:rPr>
          <w:rFonts w:asciiTheme="minorHAnsi" w:hAnsiTheme="minorHAnsi" w:cstheme="minorHAnsi"/>
          <w:sz w:val="20"/>
          <w:szCs w:val="20"/>
          <w:lang w:val="en-GB"/>
        </w:rPr>
        <w:t xml:space="preserve"> </w:t>
      </w:r>
      <w:r w:rsidRPr="00D80AF7">
        <w:rPr>
          <w:rFonts w:asciiTheme="minorHAnsi" w:hAnsiTheme="minorHAnsi" w:cstheme="minorHAnsi"/>
          <w:noProof/>
          <w:sz w:val="20"/>
          <w:szCs w:val="20"/>
          <w:lang w:val="en-GB"/>
        </w:rPr>
        <w:t>needle-like</w:t>
      </w:r>
      <w:r w:rsidRPr="00D80AF7">
        <w:rPr>
          <w:rFonts w:asciiTheme="minorHAnsi" w:hAnsiTheme="minorHAnsi" w:cstheme="minorHAnsi"/>
          <w:sz w:val="20"/>
          <w:szCs w:val="20"/>
          <w:lang w:val="en-GB"/>
        </w:rPr>
        <w:t xml:space="preserve"> structure</w:t>
      </w:r>
      <w:r>
        <w:rPr>
          <w:rFonts w:asciiTheme="minorHAnsi" w:hAnsiTheme="minorHAnsi" w:cstheme="minorHAnsi"/>
          <w:sz w:val="20"/>
          <w:szCs w:val="20"/>
          <w:lang w:val="en-GB"/>
        </w:rPr>
        <w:t>s</w:t>
      </w:r>
      <w:r w:rsidRPr="00D80AF7">
        <w:rPr>
          <w:rFonts w:asciiTheme="minorHAnsi" w:hAnsiTheme="minorHAnsi" w:cstheme="minorHAnsi"/>
          <w:sz w:val="20"/>
          <w:szCs w:val="20"/>
          <w:lang w:val="en-GB"/>
        </w:rPr>
        <w:t xml:space="preserve"> observed at </w:t>
      </w:r>
      <w:bookmarkEnd w:id="223"/>
      <w:r>
        <w:rPr>
          <w:rFonts w:asciiTheme="minorHAnsi" w:hAnsiTheme="minorHAnsi" w:cstheme="minorHAnsi"/>
          <w:sz w:val="20"/>
          <w:szCs w:val="20"/>
          <w:lang w:val="en-GB"/>
        </w:rPr>
        <w:t>dark regions of the image.</w:t>
      </w:r>
      <w:bookmarkEnd w:id="224"/>
    </w:p>
    <w:p w14:paraId="5D239982" w14:textId="653A1CAA" w:rsidR="00B145BE" w:rsidRDefault="00B145BE" w:rsidP="00B145BE">
      <w:pPr>
        <w:pStyle w:val="Normal1"/>
        <w:spacing w:afterLines="60" w:after="144" w:line="360" w:lineRule="auto"/>
        <w:jc w:val="both"/>
        <w:rPr>
          <w:rFonts w:asciiTheme="minorHAnsi" w:hAnsiTheme="minorHAnsi"/>
          <w:sz w:val="22"/>
          <w:szCs w:val="22"/>
          <w:lang w:val="en-GB"/>
        </w:rPr>
      </w:pPr>
      <w:r>
        <w:rPr>
          <w:rFonts w:asciiTheme="minorHAnsi" w:hAnsiTheme="minorHAnsi"/>
          <w:sz w:val="22"/>
          <w:szCs w:val="22"/>
          <w:lang w:val="en-GB"/>
        </w:rPr>
        <w:t xml:space="preserve"> In order</w:t>
      </w:r>
      <w:r w:rsidRPr="00D80AF7">
        <w:rPr>
          <w:rFonts w:asciiTheme="minorHAnsi" w:hAnsiTheme="minorHAnsi"/>
          <w:sz w:val="22"/>
          <w:szCs w:val="22"/>
          <w:lang w:val="en-GB"/>
        </w:rPr>
        <w:t xml:space="preserve"> to identify the </w:t>
      </w:r>
      <w:r>
        <w:rPr>
          <w:rFonts w:asciiTheme="minorHAnsi" w:hAnsiTheme="minorHAnsi"/>
          <w:sz w:val="22"/>
          <w:szCs w:val="22"/>
          <w:lang w:val="en-GB"/>
        </w:rPr>
        <w:t xml:space="preserve">formation of this </w:t>
      </w:r>
      <w:r w:rsidRPr="00D80AF7">
        <w:rPr>
          <w:rFonts w:asciiTheme="minorHAnsi" w:hAnsiTheme="minorHAnsi"/>
          <w:sz w:val="22"/>
          <w:szCs w:val="22"/>
          <w:lang w:val="en-GB"/>
        </w:rPr>
        <w:t xml:space="preserve">new </w:t>
      </w:r>
      <w:r w:rsidRPr="00D80AF7">
        <w:rPr>
          <w:rFonts w:asciiTheme="minorHAnsi" w:hAnsiTheme="minorHAnsi"/>
          <w:noProof/>
          <w:sz w:val="22"/>
          <w:szCs w:val="22"/>
          <w:lang w:val="en-GB"/>
        </w:rPr>
        <w:t>phase</w:t>
      </w:r>
      <w:r w:rsidRPr="00D80AF7">
        <w:rPr>
          <w:rFonts w:asciiTheme="minorHAnsi" w:hAnsiTheme="minorHAnsi"/>
          <w:sz w:val="22"/>
          <w:szCs w:val="22"/>
          <w:lang w:val="en-GB"/>
        </w:rPr>
        <w:t xml:space="preserve"> and the</w:t>
      </w:r>
      <w:r>
        <w:rPr>
          <w:rFonts w:asciiTheme="minorHAnsi" w:hAnsiTheme="minorHAnsi"/>
          <w:sz w:val="22"/>
          <w:szCs w:val="22"/>
          <w:lang w:val="en-GB"/>
        </w:rPr>
        <w:t xml:space="preserve"> possible</w:t>
      </w:r>
      <w:r w:rsidRPr="00D80AF7">
        <w:rPr>
          <w:rFonts w:asciiTheme="minorHAnsi" w:hAnsiTheme="minorHAnsi"/>
          <w:sz w:val="22"/>
          <w:szCs w:val="22"/>
          <w:lang w:val="en-GB"/>
        </w:rPr>
        <w:t xml:space="preserve"> composition segregation in TiZrNbTa and TiZrHfTa, TEM and EDX </w:t>
      </w:r>
      <w:r>
        <w:rPr>
          <w:rFonts w:asciiTheme="minorHAnsi" w:hAnsiTheme="minorHAnsi"/>
          <w:noProof/>
          <w:sz w:val="22"/>
          <w:szCs w:val="22"/>
          <w:lang w:val="en-GB"/>
        </w:rPr>
        <w:t>were</w:t>
      </w:r>
      <w:r w:rsidRPr="00D80AF7">
        <w:rPr>
          <w:rFonts w:asciiTheme="minorHAnsi" w:hAnsiTheme="minorHAnsi"/>
          <w:noProof/>
          <w:sz w:val="22"/>
          <w:szCs w:val="22"/>
          <w:lang w:val="en-GB"/>
        </w:rPr>
        <w:t xml:space="preserve"> conducted</w:t>
      </w:r>
      <w:r w:rsidRPr="00D80AF7">
        <w:rPr>
          <w:rFonts w:asciiTheme="minorHAnsi" w:hAnsiTheme="minorHAnsi"/>
          <w:sz w:val="22"/>
          <w:szCs w:val="22"/>
          <w:lang w:val="en-GB"/>
        </w:rPr>
        <w:t xml:space="preserve"> on both as-cast samples. In </w:t>
      </w:r>
      <w:r>
        <w:rPr>
          <w:rFonts w:asciiTheme="minorHAnsi" w:hAnsiTheme="minorHAnsi"/>
          <w:sz w:val="22"/>
          <w:szCs w:val="22"/>
          <w:lang w:val="en-GB"/>
        </w:rPr>
        <w:t>F</w:t>
      </w:r>
      <w:r w:rsidRPr="00D80AF7">
        <w:rPr>
          <w:rFonts w:asciiTheme="minorHAnsi" w:hAnsiTheme="minorHAnsi"/>
          <w:sz w:val="22"/>
          <w:szCs w:val="22"/>
          <w:lang w:val="en-GB"/>
        </w:rPr>
        <w:t>ig.</w:t>
      </w:r>
      <w:r>
        <w:rPr>
          <w:rFonts w:asciiTheme="minorHAnsi" w:hAnsiTheme="minorHAnsi"/>
          <w:sz w:val="22"/>
          <w:szCs w:val="22"/>
          <w:lang w:val="en-GB"/>
        </w:rPr>
        <w:t xml:space="preserve"> 4-4(</w:t>
      </w:r>
      <w:r w:rsidRPr="00D80AF7">
        <w:rPr>
          <w:rFonts w:asciiTheme="minorHAnsi" w:hAnsiTheme="minorHAnsi"/>
          <w:sz w:val="22"/>
          <w:szCs w:val="22"/>
          <w:lang w:val="en-GB"/>
        </w:rPr>
        <w:t>a</w:t>
      </w:r>
      <w:r>
        <w:rPr>
          <w:rFonts w:asciiTheme="minorHAnsi" w:hAnsiTheme="minorHAnsi"/>
          <w:sz w:val="22"/>
          <w:szCs w:val="22"/>
          <w:lang w:val="en-GB"/>
        </w:rPr>
        <w:t>)</w:t>
      </w:r>
      <w:r w:rsidRPr="00D80AF7">
        <w:rPr>
          <w:rFonts w:asciiTheme="minorHAnsi" w:hAnsiTheme="minorHAnsi"/>
          <w:sz w:val="22"/>
          <w:szCs w:val="22"/>
          <w:lang w:val="en-GB"/>
        </w:rPr>
        <w:t xml:space="preserve"> the TiZrNbTa EDX </w:t>
      </w:r>
      <w:r>
        <w:rPr>
          <w:rFonts w:asciiTheme="minorHAnsi" w:hAnsiTheme="minorHAnsi"/>
          <w:sz w:val="22"/>
          <w:szCs w:val="22"/>
          <w:lang w:val="en-GB"/>
        </w:rPr>
        <w:t>shows</w:t>
      </w:r>
      <w:r w:rsidRPr="00D80AF7">
        <w:rPr>
          <w:rFonts w:asciiTheme="minorHAnsi" w:hAnsiTheme="minorHAnsi"/>
          <w:sz w:val="22"/>
          <w:szCs w:val="22"/>
          <w:lang w:val="en-GB"/>
        </w:rPr>
        <w:t xml:space="preserve"> </w:t>
      </w:r>
      <w:r w:rsidR="00A96CF8">
        <w:rPr>
          <w:rFonts w:asciiTheme="minorHAnsi" w:hAnsiTheme="minorHAnsi"/>
          <w:sz w:val="22"/>
          <w:szCs w:val="22"/>
          <w:lang w:val="en-GB"/>
        </w:rPr>
        <w:t>chemical variance</w:t>
      </w:r>
      <w:r w:rsidRPr="00D80AF7">
        <w:rPr>
          <w:rFonts w:asciiTheme="minorHAnsi" w:hAnsiTheme="minorHAnsi"/>
          <w:sz w:val="22"/>
          <w:szCs w:val="22"/>
          <w:lang w:val="en-GB"/>
        </w:rPr>
        <w:t>,</w:t>
      </w:r>
      <w:r>
        <w:rPr>
          <w:rFonts w:asciiTheme="minorHAnsi" w:hAnsiTheme="minorHAnsi"/>
          <w:sz w:val="22"/>
          <w:szCs w:val="22"/>
          <w:lang w:val="en-GB"/>
        </w:rPr>
        <w:t xml:space="preserve"> </w:t>
      </w:r>
      <w:r w:rsidRPr="00D80AF7">
        <w:rPr>
          <w:rFonts w:asciiTheme="minorHAnsi" w:hAnsiTheme="minorHAnsi"/>
          <w:sz w:val="22"/>
          <w:szCs w:val="22"/>
          <w:lang w:val="en-GB"/>
        </w:rPr>
        <w:t xml:space="preserve">while the </w:t>
      </w:r>
      <w:r w:rsidRPr="00D80AF7">
        <w:rPr>
          <w:rFonts w:asciiTheme="minorHAnsi" w:hAnsiTheme="minorHAnsi"/>
          <w:noProof/>
          <w:sz w:val="22"/>
          <w:szCs w:val="22"/>
          <w:lang w:val="en-GB"/>
        </w:rPr>
        <w:t>dark</w:t>
      </w:r>
      <w:r w:rsidRPr="00D80AF7">
        <w:rPr>
          <w:rFonts w:asciiTheme="minorHAnsi" w:hAnsiTheme="minorHAnsi"/>
          <w:sz w:val="22"/>
          <w:szCs w:val="22"/>
          <w:lang w:val="en-GB"/>
        </w:rPr>
        <w:t xml:space="preserve"> </w:t>
      </w:r>
      <w:r>
        <w:rPr>
          <w:rFonts w:asciiTheme="minorHAnsi" w:hAnsiTheme="minorHAnsi"/>
          <w:sz w:val="22"/>
          <w:szCs w:val="22"/>
          <w:lang w:val="en-GB"/>
        </w:rPr>
        <w:t>region was identified</w:t>
      </w:r>
      <w:r w:rsidR="00E67560">
        <w:rPr>
          <w:rFonts w:asciiTheme="minorHAnsi" w:hAnsiTheme="minorHAnsi"/>
          <w:sz w:val="22"/>
          <w:szCs w:val="22"/>
          <w:lang w:val="en-GB"/>
        </w:rPr>
        <w:t xml:space="preserve"> as</w:t>
      </w:r>
      <w:r w:rsidRPr="00D80AF7">
        <w:rPr>
          <w:rFonts w:asciiTheme="minorHAnsi" w:hAnsiTheme="minorHAnsi"/>
          <w:sz w:val="22"/>
          <w:szCs w:val="22"/>
          <w:lang w:val="en-GB"/>
        </w:rPr>
        <w:t xml:space="preserve"> </w:t>
      </w:r>
      <w:r>
        <w:rPr>
          <w:rFonts w:asciiTheme="minorHAnsi" w:hAnsiTheme="minorHAnsi"/>
          <w:sz w:val="22"/>
          <w:szCs w:val="22"/>
          <w:lang w:val="en-GB"/>
        </w:rPr>
        <w:t xml:space="preserve">rich </w:t>
      </w:r>
      <w:r w:rsidR="00E67560">
        <w:rPr>
          <w:rFonts w:asciiTheme="minorHAnsi" w:hAnsiTheme="minorHAnsi"/>
          <w:sz w:val="22"/>
          <w:szCs w:val="22"/>
          <w:lang w:val="en-GB"/>
        </w:rPr>
        <w:t>in</w:t>
      </w:r>
      <w:r>
        <w:rPr>
          <w:rFonts w:asciiTheme="minorHAnsi" w:hAnsiTheme="minorHAnsi"/>
          <w:sz w:val="22"/>
          <w:szCs w:val="22"/>
          <w:lang w:val="en-GB"/>
        </w:rPr>
        <w:t xml:space="preserve"> Zr and </w:t>
      </w:r>
      <w:r w:rsidRPr="00D80AF7">
        <w:rPr>
          <w:rFonts w:asciiTheme="minorHAnsi" w:hAnsiTheme="minorHAnsi"/>
          <w:sz w:val="22"/>
          <w:szCs w:val="22"/>
          <w:lang w:val="en-GB"/>
        </w:rPr>
        <w:t xml:space="preserve">low </w:t>
      </w:r>
      <w:r w:rsidR="00E67560">
        <w:rPr>
          <w:rFonts w:asciiTheme="minorHAnsi" w:hAnsiTheme="minorHAnsi"/>
          <w:sz w:val="22"/>
          <w:szCs w:val="22"/>
          <w:lang w:val="en-GB"/>
        </w:rPr>
        <w:t>in the</w:t>
      </w:r>
      <w:r w:rsidRPr="00D80AF7">
        <w:rPr>
          <w:rFonts w:asciiTheme="minorHAnsi" w:hAnsiTheme="minorHAnsi"/>
          <w:sz w:val="22"/>
          <w:szCs w:val="22"/>
          <w:lang w:val="en-GB"/>
        </w:rPr>
        <w:t xml:space="preserve"> heavy element Ta.</w:t>
      </w:r>
      <w:r>
        <w:rPr>
          <w:rFonts w:asciiTheme="minorHAnsi" w:hAnsiTheme="minorHAnsi"/>
          <w:sz w:val="22"/>
          <w:szCs w:val="22"/>
          <w:lang w:val="en-GB"/>
        </w:rPr>
        <w:t xml:space="preserve"> While in the TiZrHfTa EDX, the dark region was identified </w:t>
      </w:r>
      <w:r w:rsidR="00E67560">
        <w:rPr>
          <w:rFonts w:asciiTheme="minorHAnsi" w:hAnsiTheme="minorHAnsi"/>
          <w:sz w:val="22"/>
          <w:szCs w:val="22"/>
          <w:lang w:val="en-GB"/>
        </w:rPr>
        <w:t xml:space="preserve">as </w:t>
      </w:r>
      <w:r>
        <w:rPr>
          <w:rFonts w:asciiTheme="minorHAnsi" w:hAnsiTheme="minorHAnsi"/>
          <w:sz w:val="22"/>
          <w:szCs w:val="22"/>
          <w:lang w:val="en-GB"/>
        </w:rPr>
        <w:t xml:space="preserve">rich </w:t>
      </w:r>
      <w:r w:rsidR="00E67560">
        <w:rPr>
          <w:rFonts w:asciiTheme="minorHAnsi" w:hAnsiTheme="minorHAnsi"/>
          <w:sz w:val="22"/>
          <w:szCs w:val="22"/>
          <w:lang w:val="en-GB"/>
        </w:rPr>
        <w:t>in</w:t>
      </w:r>
      <w:r>
        <w:rPr>
          <w:rFonts w:asciiTheme="minorHAnsi" w:hAnsiTheme="minorHAnsi"/>
          <w:sz w:val="22"/>
          <w:szCs w:val="22"/>
          <w:lang w:val="en-GB"/>
        </w:rPr>
        <w:t xml:space="preserve"> Zr and Ti. When examining the </w:t>
      </w:r>
      <w:r w:rsidRPr="007C247B">
        <w:rPr>
          <w:rFonts w:asciiTheme="minorHAnsi" w:hAnsiTheme="minorHAnsi"/>
          <w:noProof/>
          <w:sz w:val="22"/>
          <w:szCs w:val="22"/>
          <w:lang w:val="en-GB"/>
        </w:rPr>
        <w:t>TEM</w:t>
      </w:r>
      <w:r w:rsidRPr="00D80AF7">
        <w:rPr>
          <w:rFonts w:asciiTheme="minorHAnsi" w:hAnsiTheme="minorHAnsi"/>
          <w:sz w:val="22"/>
          <w:szCs w:val="22"/>
          <w:lang w:val="en-GB"/>
        </w:rPr>
        <w:t xml:space="preserve"> image of TiZrNbTa in </w:t>
      </w:r>
      <w:r>
        <w:rPr>
          <w:rFonts w:asciiTheme="minorHAnsi" w:hAnsiTheme="minorHAnsi"/>
          <w:sz w:val="22"/>
          <w:szCs w:val="22"/>
          <w:lang w:val="en-GB"/>
        </w:rPr>
        <w:t>Fig</w:t>
      </w:r>
      <w:r w:rsidRPr="00D80AF7">
        <w:rPr>
          <w:rFonts w:asciiTheme="minorHAnsi" w:hAnsiTheme="minorHAnsi"/>
          <w:sz w:val="22"/>
          <w:szCs w:val="22"/>
          <w:lang w:val="en-GB"/>
        </w:rPr>
        <w:t>.</w:t>
      </w:r>
      <w:r>
        <w:rPr>
          <w:rFonts w:asciiTheme="minorHAnsi" w:hAnsiTheme="minorHAnsi"/>
          <w:sz w:val="22"/>
          <w:szCs w:val="22"/>
          <w:lang w:val="en-GB"/>
        </w:rPr>
        <w:t xml:space="preserve"> 4-4(</w:t>
      </w:r>
      <w:r w:rsidRPr="00D80AF7">
        <w:rPr>
          <w:rFonts w:asciiTheme="minorHAnsi" w:hAnsiTheme="minorHAnsi"/>
          <w:sz w:val="22"/>
          <w:szCs w:val="22"/>
          <w:lang w:val="en-GB"/>
        </w:rPr>
        <w:t>b</w:t>
      </w:r>
      <w:r>
        <w:rPr>
          <w:rFonts w:asciiTheme="minorHAnsi" w:hAnsiTheme="minorHAnsi"/>
          <w:sz w:val="22"/>
          <w:szCs w:val="22"/>
          <w:lang w:val="en-GB"/>
        </w:rPr>
        <w:t>), it is evident that</w:t>
      </w:r>
      <w:r w:rsidRPr="00D80AF7">
        <w:rPr>
          <w:rFonts w:asciiTheme="minorHAnsi" w:hAnsiTheme="minorHAnsi"/>
          <w:sz w:val="22"/>
          <w:szCs w:val="22"/>
          <w:lang w:val="en-GB"/>
        </w:rPr>
        <w:t xml:space="preserve"> only </w:t>
      </w:r>
      <w:r>
        <w:rPr>
          <w:rFonts w:asciiTheme="minorHAnsi" w:hAnsiTheme="minorHAnsi"/>
          <w:sz w:val="22"/>
          <w:szCs w:val="22"/>
          <w:lang w:val="en-GB"/>
        </w:rPr>
        <w:t xml:space="preserve">the </w:t>
      </w:r>
      <w:r w:rsidRPr="00D80AF7">
        <w:rPr>
          <w:rFonts w:asciiTheme="minorHAnsi" w:hAnsiTheme="minorHAnsi"/>
          <w:sz w:val="22"/>
          <w:szCs w:val="22"/>
          <w:lang w:val="en-GB"/>
        </w:rPr>
        <w:t xml:space="preserve">BCC phase </w:t>
      </w:r>
      <w:r>
        <w:rPr>
          <w:rFonts w:asciiTheme="minorHAnsi" w:hAnsiTheme="minorHAnsi"/>
          <w:sz w:val="22"/>
          <w:szCs w:val="22"/>
          <w:lang w:val="en-GB"/>
        </w:rPr>
        <w:t>was</w:t>
      </w:r>
      <w:r w:rsidRPr="00D80AF7">
        <w:rPr>
          <w:rFonts w:asciiTheme="minorHAnsi" w:hAnsiTheme="minorHAnsi"/>
          <w:sz w:val="22"/>
          <w:szCs w:val="22"/>
          <w:lang w:val="en-GB"/>
        </w:rPr>
        <w:t xml:space="preserve"> detected. </w:t>
      </w:r>
      <w:r>
        <w:rPr>
          <w:rFonts w:asciiTheme="minorHAnsi" w:hAnsiTheme="minorHAnsi"/>
          <w:sz w:val="22"/>
          <w:szCs w:val="22"/>
          <w:lang w:val="en-GB"/>
        </w:rPr>
        <w:t>When</w:t>
      </w:r>
      <w:r w:rsidRPr="00D80AF7">
        <w:rPr>
          <w:rFonts w:asciiTheme="minorHAnsi" w:hAnsiTheme="minorHAnsi"/>
          <w:sz w:val="22"/>
          <w:szCs w:val="22"/>
          <w:lang w:val="en-GB"/>
        </w:rPr>
        <w:t xml:space="preserve"> replacing Nb with Hf the overall phase constitution </w:t>
      </w:r>
      <w:r w:rsidR="00A96CF8">
        <w:rPr>
          <w:rFonts w:asciiTheme="minorHAnsi" w:hAnsiTheme="minorHAnsi"/>
          <w:sz w:val="22"/>
          <w:szCs w:val="22"/>
          <w:lang w:val="en-GB"/>
        </w:rPr>
        <w:t>remain</w:t>
      </w:r>
      <w:r w:rsidR="00E67560">
        <w:rPr>
          <w:rFonts w:asciiTheme="minorHAnsi" w:hAnsiTheme="minorHAnsi"/>
          <w:sz w:val="22"/>
          <w:szCs w:val="22"/>
          <w:lang w:val="en-GB"/>
        </w:rPr>
        <w:t>s</w:t>
      </w:r>
      <w:r w:rsidR="00A96CF8">
        <w:rPr>
          <w:rFonts w:asciiTheme="minorHAnsi" w:hAnsiTheme="minorHAnsi"/>
          <w:sz w:val="22"/>
          <w:szCs w:val="22"/>
          <w:lang w:val="en-GB"/>
        </w:rPr>
        <w:t xml:space="preserve"> as </w:t>
      </w:r>
      <w:r w:rsidRPr="00D80AF7">
        <w:rPr>
          <w:rFonts w:asciiTheme="minorHAnsi" w:hAnsiTheme="minorHAnsi"/>
          <w:sz w:val="22"/>
          <w:szCs w:val="22"/>
          <w:lang w:val="en-GB"/>
        </w:rPr>
        <w:t xml:space="preserve">BCC, </w:t>
      </w:r>
      <w:r w:rsidRPr="00D80AF7">
        <w:rPr>
          <w:rFonts w:asciiTheme="minorHAnsi" w:hAnsiTheme="minorHAnsi"/>
          <w:noProof/>
          <w:sz w:val="22"/>
          <w:szCs w:val="22"/>
          <w:lang w:val="en-GB"/>
        </w:rPr>
        <w:t>however,</w:t>
      </w:r>
      <w:r w:rsidRPr="00D80AF7">
        <w:rPr>
          <w:rFonts w:asciiTheme="minorHAnsi" w:hAnsiTheme="minorHAnsi"/>
          <w:sz w:val="22"/>
          <w:szCs w:val="22"/>
          <w:lang w:val="en-GB"/>
        </w:rPr>
        <w:t xml:space="preserve"> phase separation </w:t>
      </w:r>
      <w:r>
        <w:rPr>
          <w:rFonts w:asciiTheme="minorHAnsi" w:hAnsiTheme="minorHAnsi"/>
          <w:noProof/>
          <w:sz w:val="22"/>
          <w:szCs w:val="22"/>
          <w:lang w:val="en-GB"/>
        </w:rPr>
        <w:t>was</w:t>
      </w:r>
      <w:r>
        <w:rPr>
          <w:rFonts w:asciiTheme="minorHAnsi" w:hAnsiTheme="minorHAnsi"/>
          <w:sz w:val="22"/>
          <w:szCs w:val="22"/>
          <w:lang w:val="en-GB"/>
        </w:rPr>
        <w:t xml:space="preserve"> ob</w:t>
      </w:r>
      <w:r w:rsidRPr="00D80AF7">
        <w:rPr>
          <w:rFonts w:asciiTheme="minorHAnsi" w:hAnsiTheme="minorHAnsi"/>
          <w:sz w:val="22"/>
          <w:szCs w:val="22"/>
          <w:lang w:val="en-GB"/>
        </w:rPr>
        <w:t>served in</w:t>
      </w:r>
      <w:r>
        <w:rPr>
          <w:rFonts w:asciiTheme="minorHAnsi" w:hAnsiTheme="minorHAnsi"/>
          <w:sz w:val="22"/>
          <w:szCs w:val="22"/>
          <w:lang w:val="en-GB"/>
        </w:rPr>
        <w:t xml:space="preserve"> the</w:t>
      </w:r>
      <w:r w:rsidRPr="00D80AF7">
        <w:rPr>
          <w:rFonts w:asciiTheme="minorHAnsi" w:hAnsiTheme="minorHAnsi"/>
          <w:sz w:val="22"/>
          <w:szCs w:val="22"/>
          <w:lang w:val="en-GB"/>
        </w:rPr>
        <w:t xml:space="preserve"> EDX </w:t>
      </w:r>
      <w:r>
        <w:rPr>
          <w:rFonts w:asciiTheme="minorHAnsi" w:hAnsiTheme="minorHAnsi"/>
          <w:sz w:val="22"/>
          <w:szCs w:val="22"/>
          <w:lang w:val="en-GB"/>
        </w:rPr>
        <w:t>map</w:t>
      </w:r>
      <w:r w:rsidR="00E67560">
        <w:rPr>
          <w:rFonts w:asciiTheme="minorHAnsi" w:hAnsiTheme="minorHAnsi"/>
          <w:sz w:val="22"/>
          <w:szCs w:val="22"/>
          <w:lang w:val="en-GB"/>
        </w:rPr>
        <w:t xml:space="preserve"> as</w:t>
      </w:r>
      <w:r w:rsidRPr="00D80AF7">
        <w:rPr>
          <w:rFonts w:asciiTheme="minorHAnsi" w:hAnsiTheme="minorHAnsi"/>
          <w:sz w:val="22"/>
          <w:szCs w:val="22"/>
          <w:lang w:val="en-GB"/>
        </w:rPr>
        <w:t xml:space="preserve"> </w:t>
      </w:r>
      <w:r w:rsidR="00A96CF8">
        <w:rPr>
          <w:rFonts w:asciiTheme="minorHAnsi" w:hAnsiTheme="minorHAnsi"/>
          <w:sz w:val="22"/>
          <w:szCs w:val="22"/>
          <w:lang w:val="en-GB"/>
        </w:rPr>
        <w:t>show</w:t>
      </w:r>
      <w:r w:rsidR="00E67560">
        <w:rPr>
          <w:rFonts w:asciiTheme="minorHAnsi" w:hAnsiTheme="minorHAnsi"/>
          <w:sz w:val="22"/>
          <w:szCs w:val="22"/>
          <w:lang w:val="en-GB"/>
        </w:rPr>
        <w:t>n</w:t>
      </w:r>
      <w:r w:rsidR="00A96CF8">
        <w:rPr>
          <w:rFonts w:asciiTheme="minorHAnsi" w:hAnsiTheme="minorHAnsi"/>
          <w:sz w:val="22"/>
          <w:szCs w:val="22"/>
          <w:lang w:val="en-GB"/>
        </w:rPr>
        <w:t xml:space="preserve"> </w:t>
      </w:r>
      <w:r w:rsidRPr="00D80AF7">
        <w:rPr>
          <w:rFonts w:asciiTheme="minorHAnsi" w:hAnsiTheme="minorHAnsi"/>
          <w:sz w:val="22"/>
          <w:szCs w:val="22"/>
          <w:lang w:val="en-GB"/>
        </w:rPr>
        <w:t xml:space="preserve">in </w:t>
      </w:r>
      <w:r>
        <w:rPr>
          <w:rFonts w:asciiTheme="minorHAnsi" w:hAnsiTheme="minorHAnsi"/>
          <w:sz w:val="22"/>
          <w:szCs w:val="22"/>
          <w:lang w:val="en-GB"/>
        </w:rPr>
        <w:t>Fig</w:t>
      </w:r>
      <w:r w:rsidRPr="00D80AF7">
        <w:rPr>
          <w:rFonts w:asciiTheme="minorHAnsi" w:hAnsiTheme="minorHAnsi"/>
          <w:sz w:val="22"/>
          <w:szCs w:val="22"/>
          <w:lang w:val="en-GB"/>
        </w:rPr>
        <w:t>.</w:t>
      </w:r>
      <w:r>
        <w:rPr>
          <w:rFonts w:asciiTheme="minorHAnsi" w:hAnsiTheme="minorHAnsi"/>
          <w:sz w:val="22"/>
          <w:szCs w:val="22"/>
          <w:lang w:val="en-GB"/>
        </w:rPr>
        <w:t xml:space="preserve"> 4-4(</w:t>
      </w:r>
      <w:r w:rsidRPr="00D80AF7">
        <w:rPr>
          <w:rFonts w:asciiTheme="minorHAnsi" w:hAnsiTheme="minorHAnsi"/>
          <w:sz w:val="22"/>
          <w:szCs w:val="22"/>
          <w:lang w:val="en-GB"/>
        </w:rPr>
        <w:t>c</w:t>
      </w:r>
      <w:r>
        <w:rPr>
          <w:rFonts w:asciiTheme="minorHAnsi" w:hAnsiTheme="minorHAnsi"/>
          <w:sz w:val="22"/>
          <w:szCs w:val="22"/>
          <w:lang w:val="en-GB"/>
        </w:rPr>
        <w:t>)</w:t>
      </w:r>
      <w:r w:rsidRPr="00D80AF7">
        <w:rPr>
          <w:rFonts w:asciiTheme="minorHAnsi" w:hAnsiTheme="minorHAnsi"/>
          <w:sz w:val="22"/>
          <w:szCs w:val="22"/>
          <w:lang w:val="en-GB"/>
        </w:rPr>
        <w:t xml:space="preserve">. </w:t>
      </w:r>
      <w:r w:rsidRPr="00D80AF7">
        <w:rPr>
          <w:rFonts w:asciiTheme="minorHAnsi" w:hAnsiTheme="minorHAnsi"/>
          <w:noProof/>
          <w:sz w:val="22"/>
          <w:szCs w:val="22"/>
          <w:lang w:val="en-GB"/>
        </w:rPr>
        <w:t>The needle-like</w:t>
      </w:r>
      <w:r w:rsidRPr="00D80AF7">
        <w:rPr>
          <w:rFonts w:asciiTheme="minorHAnsi" w:hAnsiTheme="minorHAnsi"/>
          <w:sz w:val="22"/>
          <w:szCs w:val="22"/>
          <w:lang w:val="en-GB"/>
        </w:rPr>
        <w:t xml:space="preserve"> structure </w:t>
      </w:r>
      <w:r>
        <w:rPr>
          <w:rFonts w:asciiTheme="minorHAnsi" w:hAnsiTheme="minorHAnsi"/>
          <w:sz w:val="22"/>
          <w:szCs w:val="22"/>
          <w:lang w:val="en-GB"/>
        </w:rPr>
        <w:t xml:space="preserve">found </w:t>
      </w:r>
      <w:r w:rsidRPr="00D80AF7">
        <w:rPr>
          <w:rFonts w:asciiTheme="minorHAnsi" w:hAnsiTheme="minorHAnsi"/>
          <w:sz w:val="22"/>
          <w:szCs w:val="22"/>
          <w:lang w:val="en-GB"/>
        </w:rPr>
        <w:t xml:space="preserve">in the </w:t>
      </w:r>
      <w:r w:rsidRPr="00D80AF7">
        <w:rPr>
          <w:rFonts w:asciiTheme="minorHAnsi" w:hAnsiTheme="minorHAnsi"/>
          <w:noProof/>
          <w:sz w:val="22"/>
          <w:szCs w:val="22"/>
          <w:lang w:val="en-GB"/>
        </w:rPr>
        <w:t>dark</w:t>
      </w:r>
      <w:r w:rsidRPr="00D80AF7">
        <w:rPr>
          <w:rFonts w:asciiTheme="minorHAnsi" w:hAnsiTheme="minorHAnsi"/>
          <w:sz w:val="22"/>
          <w:szCs w:val="22"/>
          <w:lang w:val="en-GB"/>
        </w:rPr>
        <w:t xml:space="preserve"> </w:t>
      </w:r>
      <w:r>
        <w:rPr>
          <w:rFonts w:asciiTheme="minorHAnsi" w:hAnsiTheme="minorHAnsi"/>
          <w:sz w:val="22"/>
          <w:szCs w:val="22"/>
          <w:lang w:val="en-GB"/>
        </w:rPr>
        <w:t>regions</w:t>
      </w:r>
      <w:r w:rsidRPr="00D80AF7">
        <w:rPr>
          <w:rFonts w:asciiTheme="minorHAnsi" w:hAnsiTheme="minorHAnsi"/>
          <w:sz w:val="22"/>
          <w:szCs w:val="22"/>
          <w:lang w:val="en-GB"/>
        </w:rPr>
        <w:t xml:space="preserve"> of TiZrHfTa is low </w:t>
      </w:r>
      <w:r>
        <w:rPr>
          <w:rFonts w:asciiTheme="minorHAnsi" w:hAnsiTheme="minorHAnsi"/>
          <w:sz w:val="22"/>
          <w:szCs w:val="22"/>
          <w:lang w:val="en-GB"/>
        </w:rPr>
        <w:t>in</w:t>
      </w:r>
      <w:r w:rsidRPr="00D80AF7">
        <w:rPr>
          <w:rFonts w:asciiTheme="minorHAnsi" w:hAnsiTheme="minorHAnsi"/>
          <w:sz w:val="22"/>
          <w:szCs w:val="22"/>
          <w:lang w:val="en-GB"/>
        </w:rPr>
        <w:t xml:space="preserve"> Ta and Hf. </w:t>
      </w:r>
      <w:r>
        <w:rPr>
          <w:rFonts w:asciiTheme="minorHAnsi" w:hAnsiTheme="minorHAnsi"/>
          <w:sz w:val="22"/>
          <w:szCs w:val="22"/>
          <w:lang w:val="en-GB"/>
        </w:rPr>
        <w:t>This</w:t>
      </w:r>
      <w:r w:rsidRPr="00D80AF7">
        <w:rPr>
          <w:rFonts w:asciiTheme="minorHAnsi" w:hAnsiTheme="minorHAnsi"/>
          <w:sz w:val="22"/>
          <w:szCs w:val="22"/>
          <w:lang w:val="en-GB"/>
        </w:rPr>
        <w:t xml:space="preserve"> </w:t>
      </w:r>
      <w:r>
        <w:rPr>
          <w:rFonts w:asciiTheme="minorHAnsi" w:hAnsiTheme="minorHAnsi"/>
          <w:sz w:val="22"/>
          <w:szCs w:val="22"/>
          <w:lang w:val="en-GB"/>
        </w:rPr>
        <w:t>chemical difference</w:t>
      </w:r>
      <w:r w:rsidRPr="00D80AF7">
        <w:rPr>
          <w:rFonts w:asciiTheme="minorHAnsi" w:hAnsiTheme="minorHAnsi"/>
          <w:sz w:val="22"/>
          <w:szCs w:val="22"/>
          <w:lang w:val="en-GB"/>
        </w:rPr>
        <w:t xml:space="preserve"> </w:t>
      </w:r>
      <w:r w:rsidRPr="00D80AF7">
        <w:rPr>
          <w:rFonts w:asciiTheme="minorHAnsi" w:hAnsiTheme="minorHAnsi"/>
          <w:noProof/>
          <w:sz w:val="22"/>
          <w:szCs w:val="22"/>
          <w:lang w:val="en-GB"/>
        </w:rPr>
        <w:t xml:space="preserve">may </w:t>
      </w:r>
      <w:r>
        <w:rPr>
          <w:rFonts w:asciiTheme="minorHAnsi" w:hAnsiTheme="minorHAnsi"/>
          <w:noProof/>
          <w:sz w:val="22"/>
          <w:szCs w:val="22"/>
          <w:lang w:val="en-GB"/>
        </w:rPr>
        <w:t xml:space="preserve">result in geneartion of </w:t>
      </w:r>
      <w:r w:rsidR="00E67560">
        <w:rPr>
          <w:rFonts w:asciiTheme="minorHAnsi" w:hAnsiTheme="minorHAnsi"/>
          <w:noProof/>
          <w:sz w:val="22"/>
          <w:szCs w:val="22"/>
          <w:lang w:val="en-GB"/>
        </w:rPr>
        <w:t xml:space="preserve">a </w:t>
      </w:r>
      <w:r>
        <w:rPr>
          <w:rFonts w:asciiTheme="minorHAnsi" w:hAnsiTheme="minorHAnsi"/>
          <w:noProof/>
          <w:sz w:val="22"/>
          <w:szCs w:val="22"/>
          <w:lang w:val="en-GB"/>
        </w:rPr>
        <w:t>new</w:t>
      </w:r>
      <w:r w:rsidRPr="00D80AF7">
        <w:rPr>
          <w:rFonts w:asciiTheme="minorHAnsi" w:hAnsiTheme="minorHAnsi"/>
          <w:sz w:val="22"/>
          <w:szCs w:val="22"/>
          <w:lang w:val="en-GB"/>
        </w:rPr>
        <w:t xml:space="preserve"> phase</w:t>
      </w:r>
      <w:r w:rsidR="00E67560">
        <w:rPr>
          <w:rFonts w:asciiTheme="minorHAnsi" w:hAnsiTheme="minorHAnsi"/>
          <w:sz w:val="22"/>
          <w:szCs w:val="22"/>
          <w:lang w:val="en-GB"/>
        </w:rPr>
        <w:t>,</w:t>
      </w:r>
      <w:r w:rsidRPr="00D80AF7">
        <w:rPr>
          <w:rFonts w:asciiTheme="minorHAnsi" w:hAnsiTheme="minorHAnsi"/>
          <w:sz w:val="22"/>
          <w:szCs w:val="22"/>
          <w:lang w:val="en-GB"/>
        </w:rPr>
        <w:t xml:space="preserve"> as indexed from </w:t>
      </w:r>
      <w:r w:rsidR="00E67560">
        <w:rPr>
          <w:rFonts w:asciiTheme="minorHAnsi" w:hAnsiTheme="minorHAnsi"/>
          <w:sz w:val="22"/>
          <w:szCs w:val="22"/>
          <w:lang w:val="en-GB"/>
        </w:rPr>
        <w:t xml:space="preserve">the </w:t>
      </w:r>
      <w:r w:rsidRPr="00D80AF7">
        <w:rPr>
          <w:rFonts w:asciiTheme="minorHAnsi" w:hAnsiTheme="minorHAnsi"/>
          <w:sz w:val="22"/>
          <w:szCs w:val="22"/>
          <w:lang w:val="en-GB"/>
        </w:rPr>
        <w:t xml:space="preserve">TEM image of TiZrHfTa in </w:t>
      </w:r>
      <w:r>
        <w:rPr>
          <w:rFonts w:asciiTheme="minorHAnsi" w:hAnsiTheme="minorHAnsi"/>
          <w:sz w:val="22"/>
          <w:szCs w:val="22"/>
          <w:lang w:val="en-GB"/>
        </w:rPr>
        <w:t>Fig</w:t>
      </w:r>
      <w:r w:rsidRPr="00D80AF7">
        <w:rPr>
          <w:rFonts w:asciiTheme="minorHAnsi" w:hAnsiTheme="minorHAnsi"/>
          <w:sz w:val="22"/>
          <w:szCs w:val="22"/>
          <w:lang w:val="en-GB"/>
        </w:rPr>
        <w:t>.</w:t>
      </w:r>
      <w:r>
        <w:rPr>
          <w:rFonts w:asciiTheme="minorHAnsi" w:hAnsiTheme="minorHAnsi"/>
          <w:sz w:val="22"/>
          <w:szCs w:val="22"/>
          <w:lang w:val="en-GB"/>
        </w:rPr>
        <w:t xml:space="preserve"> 4-4(</w:t>
      </w:r>
      <w:r w:rsidRPr="00D80AF7">
        <w:rPr>
          <w:rFonts w:asciiTheme="minorHAnsi" w:hAnsiTheme="minorHAnsi"/>
          <w:sz w:val="22"/>
          <w:szCs w:val="22"/>
          <w:lang w:val="en-GB"/>
        </w:rPr>
        <w:t>d</w:t>
      </w:r>
      <w:r>
        <w:rPr>
          <w:rFonts w:asciiTheme="minorHAnsi" w:hAnsiTheme="minorHAnsi"/>
          <w:sz w:val="22"/>
          <w:szCs w:val="22"/>
          <w:lang w:val="en-GB"/>
        </w:rPr>
        <w:t>)</w:t>
      </w:r>
      <w:r w:rsidRPr="00D80AF7">
        <w:rPr>
          <w:rFonts w:asciiTheme="minorHAnsi" w:hAnsiTheme="minorHAnsi"/>
          <w:sz w:val="22"/>
          <w:szCs w:val="22"/>
          <w:lang w:val="en-GB"/>
        </w:rPr>
        <w:t xml:space="preserve">. The </w:t>
      </w:r>
      <w:r>
        <w:rPr>
          <w:rFonts w:asciiTheme="minorHAnsi" w:hAnsiTheme="minorHAnsi"/>
          <w:sz w:val="22"/>
          <w:szCs w:val="22"/>
          <w:lang w:val="en-GB"/>
        </w:rPr>
        <w:t>selected area</w:t>
      </w:r>
      <w:r w:rsidRPr="00D80AF7">
        <w:rPr>
          <w:rFonts w:asciiTheme="minorHAnsi" w:hAnsiTheme="minorHAnsi"/>
          <w:sz w:val="22"/>
          <w:szCs w:val="22"/>
          <w:lang w:val="en-GB"/>
        </w:rPr>
        <w:t xml:space="preserve"> diffraction pattern</w:t>
      </w:r>
      <w:r>
        <w:rPr>
          <w:rFonts w:asciiTheme="minorHAnsi" w:hAnsiTheme="minorHAnsi"/>
          <w:sz w:val="22"/>
          <w:szCs w:val="22"/>
          <w:lang w:val="en-GB"/>
        </w:rPr>
        <w:t xml:space="preserve"> </w:t>
      </w:r>
      <w:r w:rsidRPr="00D80AF7">
        <w:rPr>
          <w:rFonts w:asciiTheme="minorHAnsi" w:hAnsiTheme="minorHAnsi"/>
          <w:sz w:val="22"/>
          <w:szCs w:val="22"/>
          <w:lang w:val="en-GB"/>
        </w:rPr>
        <w:t>(</w:t>
      </w:r>
      <w:r>
        <w:rPr>
          <w:rFonts w:asciiTheme="minorHAnsi" w:hAnsiTheme="minorHAnsi"/>
          <w:sz w:val="22"/>
          <w:szCs w:val="22"/>
          <w:lang w:val="en-GB"/>
        </w:rPr>
        <w:t>SA</w:t>
      </w:r>
      <w:r w:rsidRPr="00D80AF7">
        <w:rPr>
          <w:rFonts w:asciiTheme="minorHAnsi" w:hAnsiTheme="minorHAnsi"/>
          <w:sz w:val="22"/>
          <w:szCs w:val="22"/>
          <w:lang w:val="en-GB"/>
        </w:rPr>
        <w:t xml:space="preserve">DP) of </w:t>
      </w:r>
      <w:r>
        <w:rPr>
          <w:rFonts w:asciiTheme="minorHAnsi" w:hAnsiTheme="minorHAnsi"/>
          <w:sz w:val="22"/>
          <w:szCs w:val="22"/>
          <w:lang w:val="en-GB"/>
        </w:rPr>
        <w:t xml:space="preserve">the </w:t>
      </w:r>
      <w:r w:rsidRPr="007C247B">
        <w:rPr>
          <w:rFonts w:asciiTheme="minorHAnsi" w:hAnsiTheme="minorHAnsi"/>
          <w:noProof/>
          <w:sz w:val="22"/>
          <w:szCs w:val="22"/>
          <w:lang w:val="en-GB"/>
        </w:rPr>
        <w:t>BCC</w:t>
      </w:r>
      <w:r w:rsidRPr="00D80AF7">
        <w:rPr>
          <w:rFonts w:asciiTheme="minorHAnsi" w:hAnsiTheme="minorHAnsi"/>
          <w:sz w:val="22"/>
          <w:szCs w:val="22"/>
          <w:lang w:val="en-GB"/>
        </w:rPr>
        <w:t xml:space="preserve"> phase </w:t>
      </w:r>
      <w:r>
        <w:rPr>
          <w:rFonts w:asciiTheme="minorHAnsi" w:hAnsiTheme="minorHAnsi"/>
          <w:sz w:val="22"/>
          <w:szCs w:val="22"/>
          <w:lang w:val="en-GB"/>
        </w:rPr>
        <w:t>was</w:t>
      </w:r>
      <w:r w:rsidRPr="00D80AF7">
        <w:rPr>
          <w:rFonts w:asciiTheme="minorHAnsi" w:hAnsiTheme="minorHAnsi"/>
          <w:sz w:val="22"/>
          <w:szCs w:val="22"/>
          <w:lang w:val="en-GB"/>
        </w:rPr>
        <w:t xml:space="preserve"> observed </w:t>
      </w:r>
      <w:r w:rsidR="00A96CF8">
        <w:rPr>
          <w:rFonts w:asciiTheme="minorHAnsi" w:hAnsiTheme="minorHAnsi"/>
          <w:sz w:val="22"/>
          <w:szCs w:val="22"/>
          <w:lang w:val="en-GB"/>
        </w:rPr>
        <w:t>along</w:t>
      </w:r>
      <w:r w:rsidRPr="00D80AF7">
        <w:rPr>
          <w:rFonts w:asciiTheme="minorHAnsi" w:hAnsiTheme="minorHAnsi"/>
          <w:sz w:val="22"/>
          <w:szCs w:val="22"/>
          <w:lang w:val="en-GB"/>
        </w:rPr>
        <w:t xml:space="preserve"> </w:t>
      </w:r>
      <w:r w:rsidR="00E67560">
        <w:rPr>
          <w:rFonts w:asciiTheme="minorHAnsi" w:hAnsiTheme="minorHAnsi"/>
          <w:sz w:val="22"/>
          <w:szCs w:val="22"/>
          <w:lang w:val="en-GB"/>
        </w:rPr>
        <w:t xml:space="preserve">the </w:t>
      </w:r>
      <w:r w:rsidRPr="00D80AF7">
        <w:rPr>
          <w:rFonts w:asciiTheme="minorHAnsi" w:hAnsiTheme="minorHAnsi"/>
          <w:sz w:val="22"/>
          <w:szCs w:val="22"/>
          <w:lang w:val="en-GB"/>
        </w:rPr>
        <w:t>[</w:t>
      </w:r>
      <w:r w:rsidRPr="00D66B74">
        <w:rPr>
          <w:rFonts w:asciiTheme="minorHAnsi" w:hAnsiTheme="minorHAnsi" w:cstheme="minorHAnsi"/>
          <w:sz w:val="22"/>
          <w:szCs w:val="22"/>
          <w:lang w:val="en-GB"/>
        </w:rPr>
        <w:t>0-11]</w:t>
      </w:r>
      <w:r w:rsidRPr="00D66B74">
        <w:rPr>
          <w:rFonts w:asciiTheme="minorHAnsi" w:eastAsia="等线" w:hAnsiTheme="minorHAnsi" w:cstheme="minorHAnsi"/>
          <w:sz w:val="22"/>
          <w:szCs w:val="22"/>
          <w:vertAlign w:val="subscript"/>
          <w:lang w:val="en-GB"/>
        </w:rPr>
        <w:t>β</w:t>
      </w:r>
      <w:r w:rsidRPr="00D66B74">
        <w:rPr>
          <w:rFonts w:asciiTheme="minorHAnsi" w:hAnsiTheme="minorHAnsi" w:cstheme="minorHAnsi"/>
          <w:sz w:val="22"/>
          <w:szCs w:val="22"/>
          <w:lang w:val="en-GB"/>
        </w:rPr>
        <w:t xml:space="preserve"> zone</w:t>
      </w:r>
      <w:r w:rsidRPr="00D80AF7">
        <w:rPr>
          <w:rFonts w:asciiTheme="minorHAnsi" w:hAnsiTheme="minorHAnsi"/>
          <w:sz w:val="22"/>
          <w:szCs w:val="22"/>
          <w:lang w:val="en-GB"/>
        </w:rPr>
        <w:t xml:space="preserve"> axis</w:t>
      </w:r>
      <w:r>
        <w:rPr>
          <w:rFonts w:asciiTheme="minorHAnsi" w:hAnsiTheme="minorHAnsi"/>
          <w:sz w:val="22"/>
          <w:szCs w:val="22"/>
          <w:lang w:val="en-GB"/>
        </w:rPr>
        <w:t xml:space="preserve"> and an</w:t>
      </w:r>
      <w:r w:rsidRPr="00D80AF7">
        <w:rPr>
          <w:rFonts w:asciiTheme="minorHAnsi" w:hAnsiTheme="minorHAnsi"/>
          <w:sz w:val="22"/>
          <w:szCs w:val="22"/>
          <w:lang w:val="en-GB"/>
        </w:rPr>
        <w:t xml:space="preserve"> additional </w:t>
      </w:r>
      <w:r w:rsidR="00A96CF8">
        <w:rPr>
          <w:rFonts w:asciiTheme="minorHAnsi" w:hAnsiTheme="minorHAnsi"/>
          <w:sz w:val="22"/>
          <w:szCs w:val="22"/>
          <w:lang w:val="en-GB"/>
        </w:rPr>
        <w:t xml:space="preserve">set of </w:t>
      </w:r>
      <w:r w:rsidRPr="00D80AF7">
        <w:rPr>
          <w:rFonts w:asciiTheme="minorHAnsi" w:hAnsiTheme="minorHAnsi"/>
          <w:sz w:val="22"/>
          <w:szCs w:val="22"/>
          <w:lang w:val="en-GB"/>
        </w:rPr>
        <w:t xml:space="preserve">DP </w:t>
      </w:r>
      <w:r w:rsidRPr="00D80AF7">
        <w:rPr>
          <w:rFonts w:asciiTheme="minorHAnsi" w:hAnsiTheme="minorHAnsi"/>
          <w:noProof/>
          <w:sz w:val="22"/>
          <w:szCs w:val="22"/>
          <w:lang w:val="en-GB"/>
        </w:rPr>
        <w:t xml:space="preserve">was </w:t>
      </w:r>
      <w:r>
        <w:rPr>
          <w:rFonts w:asciiTheme="minorHAnsi" w:hAnsiTheme="minorHAnsi"/>
          <w:noProof/>
          <w:sz w:val="22"/>
          <w:szCs w:val="22"/>
          <w:lang w:val="en-GB"/>
        </w:rPr>
        <w:t>also found</w:t>
      </w:r>
      <w:r w:rsidRPr="00D80AF7">
        <w:rPr>
          <w:rFonts w:asciiTheme="minorHAnsi" w:hAnsiTheme="minorHAnsi"/>
          <w:sz w:val="22"/>
          <w:szCs w:val="22"/>
          <w:lang w:val="en-GB"/>
        </w:rPr>
        <w:t xml:space="preserve">. </w:t>
      </w:r>
      <w:r>
        <w:rPr>
          <w:rFonts w:asciiTheme="minorHAnsi" w:hAnsiTheme="minorHAnsi"/>
          <w:sz w:val="22"/>
          <w:szCs w:val="22"/>
          <w:lang w:val="en-GB"/>
        </w:rPr>
        <w:t>When c</w:t>
      </w:r>
      <w:r w:rsidRPr="00D80AF7">
        <w:rPr>
          <w:rFonts w:asciiTheme="minorHAnsi" w:hAnsiTheme="minorHAnsi"/>
          <w:sz w:val="22"/>
          <w:szCs w:val="22"/>
          <w:lang w:val="en-GB"/>
        </w:rPr>
        <w:t xml:space="preserve">onsidering TiZrHfTa, </w:t>
      </w:r>
      <w:r>
        <w:rPr>
          <w:rFonts w:asciiTheme="minorHAnsi" w:hAnsiTheme="minorHAnsi"/>
          <w:sz w:val="22"/>
          <w:szCs w:val="22"/>
          <w:lang w:val="en-GB"/>
        </w:rPr>
        <w:t xml:space="preserve">elements including </w:t>
      </w:r>
      <w:r w:rsidRPr="00D80AF7">
        <w:rPr>
          <w:rFonts w:asciiTheme="minorHAnsi" w:hAnsiTheme="minorHAnsi"/>
          <w:sz w:val="22"/>
          <w:szCs w:val="22"/>
          <w:lang w:val="en-GB"/>
        </w:rPr>
        <w:t>Ti</w:t>
      </w:r>
      <w:r>
        <w:rPr>
          <w:rFonts w:asciiTheme="minorHAnsi" w:hAnsiTheme="minorHAnsi"/>
          <w:sz w:val="22"/>
          <w:szCs w:val="22"/>
          <w:lang w:val="en-GB"/>
        </w:rPr>
        <w:t>,</w:t>
      </w:r>
      <w:r w:rsidRPr="00D80AF7">
        <w:rPr>
          <w:rFonts w:asciiTheme="minorHAnsi" w:hAnsiTheme="minorHAnsi"/>
          <w:sz w:val="22"/>
          <w:szCs w:val="22"/>
          <w:lang w:val="en-GB"/>
        </w:rPr>
        <w:t xml:space="preserve"> Zr</w:t>
      </w:r>
      <w:r>
        <w:rPr>
          <w:rFonts w:asciiTheme="minorHAnsi" w:hAnsiTheme="minorHAnsi"/>
          <w:sz w:val="22"/>
          <w:szCs w:val="22"/>
          <w:lang w:val="en-GB"/>
        </w:rPr>
        <w:t xml:space="preserve"> and</w:t>
      </w:r>
      <w:r w:rsidRPr="00D80AF7">
        <w:rPr>
          <w:rFonts w:asciiTheme="minorHAnsi" w:hAnsiTheme="minorHAnsi"/>
          <w:sz w:val="22"/>
          <w:szCs w:val="22"/>
          <w:lang w:val="en-GB"/>
        </w:rPr>
        <w:t xml:space="preserve"> Hf are all IVB elements</w:t>
      </w:r>
      <w:r>
        <w:rPr>
          <w:rFonts w:asciiTheme="minorHAnsi" w:hAnsiTheme="minorHAnsi"/>
          <w:sz w:val="22"/>
          <w:szCs w:val="22"/>
          <w:lang w:val="en-GB"/>
        </w:rPr>
        <w:t>;</w:t>
      </w:r>
      <w:r w:rsidRPr="00D80AF7">
        <w:rPr>
          <w:rFonts w:asciiTheme="minorHAnsi" w:hAnsiTheme="minorHAnsi"/>
          <w:sz w:val="22"/>
          <w:szCs w:val="22"/>
          <w:lang w:val="en-GB"/>
        </w:rPr>
        <w:t xml:space="preserve"> whil</w:t>
      </w:r>
      <w:r>
        <w:rPr>
          <w:rFonts w:asciiTheme="minorHAnsi" w:hAnsiTheme="minorHAnsi"/>
          <w:sz w:val="22"/>
          <w:szCs w:val="22"/>
          <w:lang w:val="en-GB"/>
        </w:rPr>
        <w:t>st</w:t>
      </w:r>
      <w:r w:rsidRPr="00D80AF7">
        <w:rPr>
          <w:rFonts w:asciiTheme="minorHAnsi" w:hAnsiTheme="minorHAnsi"/>
          <w:sz w:val="22"/>
          <w:szCs w:val="22"/>
          <w:lang w:val="en-GB"/>
        </w:rPr>
        <w:t xml:space="preserve"> only Ta is </w:t>
      </w:r>
      <w:r>
        <w:rPr>
          <w:rFonts w:asciiTheme="minorHAnsi" w:hAnsiTheme="minorHAnsi"/>
          <w:sz w:val="22"/>
          <w:szCs w:val="22"/>
          <w:lang w:val="en-GB"/>
        </w:rPr>
        <w:t xml:space="preserve">a </w:t>
      </w:r>
      <w:r w:rsidRPr="00D80AF7">
        <w:rPr>
          <w:rFonts w:asciiTheme="minorHAnsi" w:hAnsiTheme="minorHAnsi"/>
          <w:sz w:val="22"/>
          <w:szCs w:val="22"/>
          <w:lang w:val="en-GB"/>
        </w:rPr>
        <w:t xml:space="preserve">VB element. Such an </w:t>
      </w:r>
      <w:r w:rsidRPr="00D80AF7">
        <w:rPr>
          <w:rFonts w:asciiTheme="minorHAnsi" w:hAnsiTheme="minorHAnsi"/>
          <w:noProof/>
          <w:sz w:val="22"/>
          <w:szCs w:val="22"/>
          <w:lang w:val="en-GB"/>
        </w:rPr>
        <w:lastRenderedPageBreak/>
        <w:t>arrangement</w:t>
      </w:r>
      <w:r w:rsidRPr="00D80AF7">
        <w:rPr>
          <w:rFonts w:asciiTheme="minorHAnsi" w:hAnsiTheme="minorHAnsi"/>
          <w:sz w:val="22"/>
          <w:szCs w:val="22"/>
          <w:lang w:val="en-GB"/>
        </w:rPr>
        <w:t xml:space="preserve"> is quite similar </w:t>
      </w:r>
      <w:r w:rsidR="00E67560">
        <w:rPr>
          <w:rFonts w:asciiTheme="minorHAnsi" w:hAnsiTheme="minorHAnsi"/>
          <w:sz w:val="22"/>
          <w:szCs w:val="22"/>
          <w:lang w:val="en-GB"/>
        </w:rPr>
        <w:t>to</w:t>
      </w:r>
      <w:r w:rsidRPr="00D80AF7">
        <w:rPr>
          <w:rFonts w:asciiTheme="minorHAnsi" w:hAnsiTheme="minorHAnsi"/>
          <w:sz w:val="22"/>
          <w:szCs w:val="22"/>
          <w:lang w:val="en-GB"/>
        </w:rPr>
        <w:t xml:space="preserve"> metastable </w:t>
      </w:r>
      <w:r w:rsidRPr="00D66B74">
        <w:rPr>
          <w:rFonts w:asciiTheme="minorHAnsi" w:eastAsia="等线" w:hAnsiTheme="minorHAnsi" w:cstheme="minorHAnsi"/>
          <w:sz w:val="22"/>
          <w:szCs w:val="22"/>
          <w:lang w:val="en-GB"/>
        </w:rPr>
        <w:t>β</w:t>
      </w:r>
      <w:r w:rsidRPr="00D80AF7">
        <w:rPr>
          <w:rFonts w:asciiTheme="minorHAnsi" w:hAnsiTheme="minorHAnsi"/>
          <w:sz w:val="22"/>
          <w:szCs w:val="22"/>
          <w:lang w:val="en-GB"/>
        </w:rPr>
        <w:t xml:space="preserve"> Ti alloy</w:t>
      </w:r>
      <w:r w:rsidR="003B22A4">
        <w:rPr>
          <w:rFonts w:asciiTheme="minorHAnsi" w:hAnsiTheme="minorHAnsi"/>
          <w:sz w:val="22"/>
          <w:szCs w:val="22"/>
          <w:lang w:val="en-GB"/>
        </w:rPr>
        <w:t>s</w:t>
      </w:r>
      <w:r>
        <w:rPr>
          <w:rFonts w:asciiTheme="minorHAnsi" w:hAnsiTheme="minorHAnsi"/>
          <w:sz w:val="22"/>
          <w:szCs w:val="22"/>
          <w:lang w:val="en-GB"/>
        </w:rPr>
        <w:t xml:space="preserve">. Whereby, it has been detailed previously that through </w:t>
      </w:r>
      <w:r w:rsidRPr="00D80AF7">
        <w:rPr>
          <w:rFonts w:asciiTheme="minorHAnsi" w:hAnsiTheme="minorHAnsi"/>
          <w:sz w:val="22"/>
          <w:szCs w:val="22"/>
          <w:lang w:val="en-GB"/>
        </w:rPr>
        <w:t>tuning the addition</w:t>
      </w:r>
      <w:r>
        <w:rPr>
          <w:rFonts w:asciiTheme="minorHAnsi" w:hAnsiTheme="minorHAnsi"/>
          <w:sz w:val="22"/>
          <w:szCs w:val="22"/>
          <w:lang w:val="en-GB"/>
        </w:rPr>
        <w:t>s</w:t>
      </w:r>
      <w:r w:rsidRPr="00D80AF7">
        <w:rPr>
          <w:rFonts w:asciiTheme="minorHAnsi" w:hAnsiTheme="minorHAnsi"/>
          <w:sz w:val="22"/>
          <w:szCs w:val="22"/>
          <w:lang w:val="en-GB"/>
        </w:rPr>
        <w:t xml:space="preserve"> of</w:t>
      </w:r>
      <w:r w:rsidRPr="00D66B74">
        <w:rPr>
          <w:rFonts w:asciiTheme="minorHAnsi" w:hAnsiTheme="minorHAnsi" w:cstheme="minorHAnsi"/>
          <w:sz w:val="22"/>
          <w:szCs w:val="22"/>
          <w:lang w:val="en-GB"/>
        </w:rPr>
        <w:t xml:space="preserve"> </w:t>
      </w:r>
      <w:r w:rsidRPr="00D66B74">
        <w:rPr>
          <w:rFonts w:asciiTheme="minorHAnsi" w:eastAsia="等线" w:hAnsiTheme="minorHAnsi" w:cstheme="minorHAnsi"/>
          <w:sz w:val="22"/>
          <w:szCs w:val="22"/>
          <w:lang w:val="en-GB"/>
        </w:rPr>
        <w:t>β</w:t>
      </w:r>
      <w:r w:rsidRPr="00D66B74">
        <w:rPr>
          <w:rFonts w:asciiTheme="minorHAnsi" w:hAnsiTheme="minorHAnsi" w:cstheme="minorHAnsi"/>
          <w:sz w:val="22"/>
          <w:szCs w:val="22"/>
          <w:lang w:val="en-GB"/>
        </w:rPr>
        <w:t xml:space="preserve"> </w:t>
      </w:r>
      <w:r w:rsidRPr="00D66B74">
        <w:rPr>
          <w:rFonts w:asciiTheme="minorHAnsi" w:hAnsiTheme="minorHAnsi" w:cstheme="minorHAnsi"/>
          <w:noProof/>
          <w:sz w:val="22"/>
          <w:szCs w:val="22"/>
          <w:lang w:val="en-GB"/>
        </w:rPr>
        <w:t>stabiliser</w:t>
      </w:r>
      <w:r>
        <w:rPr>
          <w:rFonts w:asciiTheme="minorHAnsi" w:hAnsiTheme="minorHAnsi" w:cstheme="minorHAnsi"/>
          <w:noProof/>
          <w:sz w:val="22"/>
          <w:szCs w:val="22"/>
          <w:lang w:val="en-GB"/>
        </w:rPr>
        <w:t>s,</w:t>
      </w:r>
      <w:r w:rsidRPr="00D66B74">
        <w:rPr>
          <w:rFonts w:asciiTheme="minorHAnsi" w:hAnsiTheme="minorHAnsi" w:cstheme="minorHAnsi"/>
          <w:sz w:val="22"/>
          <w:szCs w:val="22"/>
          <w:lang w:val="en-GB"/>
        </w:rPr>
        <w:t xml:space="preserve"> </w:t>
      </w:r>
      <w:r>
        <w:rPr>
          <w:rFonts w:asciiTheme="minorHAnsi" w:hAnsiTheme="minorHAnsi" w:cstheme="minorHAnsi"/>
          <w:sz w:val="22"/>
          <w:szCs w:val="22"/>
          <w:lang w:val="en-GB"/>
        </w:rPr>
        <w:t>usually the</w:t>
      </w:r>
      <w:r w:rsidRPr="00D66B74">
        <w:rPr>
          <w:rFonts w:asciiTheme="minorHAnsi" w:hAnsiTheme="minorHAnsi" w:cstheme="minorHAnsi"/>
          <w:sz w:val="22"/>
          <w:szCs w:val="22"/>
          <w:lang w:val="en-GB"/>
        </w:rPr>
        <w:t xml:space="preserve"> VB and VIB elements</w:t>
      </w:r>
      <w:r>
        <w:rPr>
          <w:rFonts w:asciiTheme="minorHAnsi" w:hAnsiTheme="minorHAnsi" w:cstheme="minorHAnsi"/>
          <w:sz w:val="22"/>
          <w:szCs w:val="22"/>
          <w:lang w:val="en-GB"/>
        </w:rPr>
        <w:t>, the</w:t>
      </w:r>
      <w:r w:rsidRPr="00D66B74">
        <w:rPr>
          <w:rFonts w:asciiTheme="minorHAnsi" w:hAnsiTheme="minorHAnsi" w:cstheme="minorHAnsi"/>
          <w:sz w:val="22"/>
          <w:szCs w:val="22"/>
          <w:lang w:val="en-GB"/>
        </w:rPr>
        <w:t xml:space="preserve"> metastable martensite phase may </w:t>
      </w:r>
      <w:r>
        <w:rPr>
          <w:rFonts w:asciiTheme="minorHAnsi" w:hAnsiTheme="minorHAnsi" w:cstheme="minorHAnsi"/>
          <w:noProof/>
          <w:sz w:val="22"/>
          <w:szCs w:val="22"/>
          <w:lang w:val="en-GB"/>
        </w:rPr>
        <w:t xml:space="preserve">form </w:t>
      </w:r>
      <w:r w:rsidRPr="00D66B74">
        <w:rPr>
          <w:rFonts w:asciiTheme="minorHAnsi" w:hAnsiTheme="minorHAnsi" w:cstheme="minorHAnsi"/>
          <w:noProof/>
          <w:sz w:val="22"/>
          <w:szCs w:val="22"/>
          <w:lang w:val="en-GB"/>
        </w:rPr>
        <w:fldChar w:fldCharType="begin" w:fldLock="1"/>
      </w:r>
      <w:r>
        <w:rPr>
          <w:rFonts w:asciiTheme="minorHAnsi" w:hAnsiTheme="minorHAnsi" w:cstheme="minorHAnsi"/>
          <w:noProof/>
          <w:sz w:val="22"/>
          <w:szCs w:val="22"/>
          <w:lang w:val="en-GB"/>
        </w:rPr>
        <w:instrText>ADDIN CSL_CITATION {"citationItems":[{"id":"ITEM-1","itemData":{"ISBN":"110951851X","abstract":"Motivated by the prospect of lower cost Ti production processes, new directions in Ti alloy design were explored for naval and automotive applications. Building on the experience of the Steel Research Group at Northwestern University, an analogous design process was taken with titanium. As a new project, essential kinetic databases and models were developed for the design process and used to create a prototype design. Diffusion kinetic models were developed to predict the change in phase compositions and microstructure during heat treatment. Combining a mobility database created in this research with a licensed thermodynamic database, ThermoCalc and DICTRA software was used to model kinetic compositional changes in titanium alloys. Experimental diffusion couples were created and compared to DICTRA simulations to refine mobility parameters in the titanium mobility database. The software and database were able to predict homogenization times and the beta&amp;rarr;alpha plate thickening kinetics during cooling in the near-alpha Ti5111 alloy. The results of these models were compared to LEAP microanalysis and found to be in reasonable agreement. Powder metallurgy was explored using SPS at GM R&amp;amp;D to reduce the cost of titanium alloys. Fully dense Ti5111 alloys were produced and achieved similar microstructures to wrought Ti5111. High levels of oxygen in these alloys increased the strength while reducing the ductility. Preliminary Ti5111+Y alloys were created, where yttrium additions successfully gettered excess oxygen to create oxides. However, undesirable large oxides formed, indicating more research is needed into the homogeneous distribution of the yttrium powder to create finer oxides. Principles established in steels were used to optimize the beta phase transformation stability for martensite transformation toughening in titanium alloys. The Olson-Cohen kinetic model is calibrated to shear strains in titanium. A frictional work database is established for common alloying elements in titanium to model the effect of alloying elements on the Ms temperature in titanium. Available atomic volume data and collaborative first principles quantum mechanical calculations are combined to model the composition dependence of the transformation molar volume change. Composition analysis of the beta phase from the LEAP and Bolling-Richman experimental measurement of the M ssigma temperature defining mechanical transformation stability of the beta phase in Ti5111 provide…","author":[{"dropping-particle":"","family":"Tran","given":"Jamie","non-dropping-particle":"","parse-names":false,"suffix":""}],"container-title":"ProQuest Dissertations and Theses Global","id":"ITEM-1","issued":{"date-parts":[["2009"]]},"title":"Titanium by design: Trip titanium alloy","type":"article-journal"},"uris":["http://www.mendeley.com/documents/?uuid=e3a5d5d2-54f6-4b02-b5cf-bbad44ff0b07"]},{"id":"ITEM-2","itemData":{"DOI":"10.1002/3527602119","ISBN":"3527305343","ISSN":"0027-8424","PMID":"1348697","abstract":"An excellent reference for materials scientists and engineers needing to gain further knowledge of these engineering materials. After introductory chapters on the fundamental material properties of titanium, readers will find comprehensive descriptions of the development, processing and properties of modern titanium alloys. There then follows a detailed discussion of the applications of titanium and its alloys in aerospace, medicine, energy and automotive technology. The well-balanced mixture of authors from industry and academia makes this handbook especially useful as a hands-on reference in all fields of modern titanium research and technology.","author":[{"dropping-particle":"","family":"Leyens","given":"Christoph","non-dropping-particle":"","parse-names":false,"suffix":""},{"dropping-particle":"","family":"Peters","given":"Manfred","non-dropping-particle":"","parse-names":false,"suffix":""}],"container-title":"Titanium and Titanium Alloys","id":"ITEM-2","issued":{"date-parts":[["2003"]]},"title":"Titanium and Titanium Alloys: Fundamentals and Applications","type":"book"},"uris":["http://www.mendeley.com/documents/?uuid=ed2d004d-7b02-4184-83a4-f319467fbe6c"]},{"id":"ITEM-3","itemData":{"DOI":"10.1016/S0921-5093(98)01170-8","ISBN":"0921-5093","ISSN":"09215093","abstract":"There has been significant progress in regard to the effect of stability and grain size of the beta phase on deformation modes and mechanical properties of beta titanium alloys. For example, it has been shown recently, that an increase in the stability of the beta phase reduces the formation of stress-induced plates thereby decreasing the ambient temperature creep strain. Increase in the stability appears to favor deformation by slip. The grain size of the beta phase has also been shown to effect the deformation modes in tensile deformation and the extent of ambient temperature creep strain. In this paper the interrelationships between stability, microstructure, deformation modes and mechanical properties of beta titanium alloys will be critically reviewed.","author":[{"dropping-particle":"","family":"Ankem","given":"S","non-dropping-particle":"","parse-names":false,"suffix":""},{"dropping-particle":"","family":"Greene","given":"C.A","non-dropping-particle":"","parse-names":false,"suffix":""}],"container-title":"Materials Science and Engineering: A","id":"ITEM-3","issued":{"date-parts":[["1999"]]},"title":"Recent developments in microstructure/property relationships of beta titanium alloys","type":"article-journal"},"uris":["http://www.mendeley.com/documents/?uuid=e0081131-a275-4732-a7eb-74f9b1ca5e76"]}],"mendeley":{"formattedCitation":"[29–31]","plainTextFormattedCitation":"[29–31]","previouslyFormattedCitation":"[28–30]"},"properties":{"noteIndex":0},"schema":"https://github.com/citation-style-language/schema/raw/master/csl-citation.json"}</w:instrText>
      </w:r>
      <w:r w:rsidRPr="00D66B74">
        <w:rPr>
          <w:rFonts w:asciiTheme="minorHAnsi" w:hAnsiTheme="minorHAnsi" w:cstheme="minorHAnsi"/>
          <w:noProof/>
          <w:sz w:val="22"/>
          <w:szCs w:val="22"/>
          <w:lang w:val="en-GB"/>
        </w:rPr>
        <w:fldChar w:fldCharType="separate"/>
      </w:r>
      <w:r w:rsidRPr="005C630B">
        <w:rPr>
          <w:rFonts w:asciiTheme="minorHAnsi" w:hAnsiTheme="minorHAnsi" w:cstheme="minorHAnsi"/>
          <w:noProof/>
          <w:sz w:val="22"/>
          <w:szCs w:val="22"/>
          <w:lang w:val="en-GB"/>
        </w:rPr>
        <w:t>[29–31]</w:t>
      </w:r>
      <w:r w:rsidRPr="00D66B74">
        <w:rPr>
          <w:rFonts w:asciiTheme="minorHAnsi" w:hAnsiTheme="minorHAnsi" w:cstheme="minorHAnsi"/>
          <w:noProof/>
          <w:sz w:val="22"/>
          <w:szCs w:val="22"/>
          <w:lang w:val="en-GB"/>
        </w:rPr>
        <w:fldChar w:fldCharType="end"/>
      </w:r>
      <w:r w:rsidRPr="00D66B74">
        <w:rPr>
          <w:rFonts w:asciiTheme="minorHAnsi" w:hAnsiTheme="minorHAnsi" w:cstheme="minorHAnsi"/>
          <w:sz w:val="22"/>
          <w:szCs w:val="22"/>
          <w:lang w:val="en-GB"/>
        </w:rPr>
        <w:t>.</w:t>
      </w:r>
      <w:r w:rsidRPr="00D80AF7">
        <w:rPr>
          <w:rFonts w:asciiTheme="minorHAnsi" w:hAnsiTheme="minorHAnsi"/>
          <w:sz w:val="22"/>
          <w:szCs w:val="22"/>
          <w:lang w:val="en-GB"/>
        </w:rPr>
        <w:t xml:space="preserve"> </w:t>
      </w:r>
    </w:p>
    <w:p w14:paraId="39C4F382" w14:textId="77777777" w:rsidR="00B145BE" w:rsidRDefault="00B145BE" w:rsidP="00B145BE">
      <w:pPr>
        <w:pStyle w:val="Normal1"/>
        <w:spacing w:afterLines="60" w:after="144" w:line="360" w:lineRule="auto"/>
        <w:jc w:val="both"/>
        <w:rPr>
          <w:rFonts w:hint="eastAsia"/>
        </w:rPr>
      </w:pPr>
      <w:r w:rsidRPr="000D7AB6">
        <w:rPr>
          <w:noProof/>
          <w:lang w:val="en-GB"/>
        </w:rPr>
        <w:drawing>
          <wp:inline distT="0" distB="0" distL="0" distR="0" wp14:anchorId="4CBF3190" wp14:editId="69948034">
            <wp:extent cx="6027725" cy="2965251"/>
            <wp:effectExtent l="0" t="0" r="0" b="6985"/>
            <wp:docPr id="227" name="图片 13">
              <a:extLst xmlns:a="http://schemas.openxmlformats.org/drawingml/2006/main">
                <a:ext uri="{FF2B5EF4-FFF2-40B4-BE49-F238E27FC236}">
                  <a16:creationId xmlns:a16="http://schemas.microsoft.com/office/drawing/2014/main" id="{AC85ABF8-F8E3-4C57-BEDA-0D8D32E287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a:extLst>
                        <a:ext uri="{FF2B5EF4-FFF2-40B4-BE49-F238E27FC236}">
                          <a16:creationId xmlns:a16="http://schemas.microsoft.com/office/drawing/2014/main" id="{AC85ABF8-F8E3-4C57-BEDA-0D8D32E2875E}"/>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032934" cy="2967813"/>
                    </a:xfrm>
                    <a:prstGeom prst="rect">
                      <a:avLst/>
                    </a:prstGeom>
                  </pic:spPr>
                </pic:pic>
              </a:graphicData>
            </a:graphic>
          </wp:inline>
        </w:drawing>
      </w:r>
    </w:p>
    <w:p w14:paraId="53BE8F8D" w14:textId="4B669EB0" w:rsidR="00B145BE" w:rsidRPr="00504B8E" w:rsidRDefault="00B145BE" w:rsidP="00B145BE">
      <w:pPr>
        <w:pStyle w:val="af6"/>
        <w:spacing w:afterLines="60" w:after="144" w:line="360" w:lineRule="auto"/>
        <w:jc w:val="both"/>
        <w:rPr>
          <w:i w:val="0"/>
          <w:color w:val="000000" w:themeColor="text1"/>
        </w:rPr>
      </w:pPr>
      <w:bookmarkStart w:id="225" w:name="_Toc7364590"/>
      <w:bookmarkStart w:id="226" w:name="_Toc39312704"/>
      <w:r w:rsidRPr="00504B8E">
        <w:rPr>
          <w:b/>
          <w:i w:val="0"/>
          <w:color w:val="000000" w:themeColor="text1"/>
          <w:sz w:val="20"/>
          <w:szCs w:val="20"/>
          <w:lang w:val="en-GB"/>
        </w:rPr>
        <w:t>Figure 4-</w:t>
      </w:r>
      <w:r w:rsidRPr="00504B8E">
        <w:rPr>
          <w:b/>
          <w:i w:val="0"/>
          <w:color w:val="000000" w:themeColor="text1"/>
          <w:sz w:val="20"/>
        </w:rPr>
        <w:fldChar w:fldCharType="begin"/>
      </w:r>
      <w:r w:rsidRPr="00504B8E">
        <w:rPr>
          <w:b/>
          <w:i w:val="0"/>
          <w:color w:val="000000" w:themeColor="text1"/>
          <w:sz w:val="20"/>
        </w:rPr>
        <w:instrText xml:space="preserve"> SEQ Figure \* ARABIC </w:instrText>
      </w:r>
      <w:r w:rsidRPr="00504B8E">
        <w:rPr>
          <w:b/>
          <w:i w:val="0"/>
          <w:color w:val="000000" w:themeColor="text1"/>
          <w:sz w:val="20"/>
        </w:rPr>
        <w:fldChar w:fldCharType="separate"/>
      </w:r>
      <w:r>
        <w:rPr>
          <w:b/>
          <w:i w:val="0"/>
          <w:noProof/>
          <w:color w:val="000000" w:themeColor="text1"/>
          <w:sz w:val="20"/>
        </w:rPr>
        <w:t>4</w:t>
      </w:r>
      <w:r w:rsidRPr="00504B8E">
        <w:rPr>
          <w:b/>
          <w:i w:val="0"/>
          <w:color w:val="000000" w:themeColor="text1"/>
          <w:sz w:val="20"/>
        </w:rPr>
        <w:fldChar w:fldCharType="end"/>
      </w:r>
      <w:r w:rsidRPr="00504B8E">
        <w:rPr>
          <w:i w:val="0"/>
          <w:color w:val="000000" w:themeColor="text1"/>
          <w:sz w:val="20"/>
          <w:szCs w:val="20"/>
          <w:lang w:val="en-GB"/>
        </w:rPr>
        <w:t xml:space="preserve"> </w:t>
      </w:r>
      <w:r w:rsidRPr="00504B8E">
        <w:rPr>
          <w:b/>
          <w:i w:val="0"/>
          <w:color w:val="000000" w:themeColor="text1"/>
          <w:sz w:val="20"/>
          <w:szCs w:val="20"/>
          <w:lang w:val="en-GB"/>
        </w:rPr>
        <w:t xml:space="preserve">Microstructure </w:t>
      </w:r>
      <w:r>
        <w:rPr>
          <w:b/>
          <w:i w:val="0"/>
          <w:color w:val="000000" w:themeColor="text1"/>
          <w:sz w:val="20"/>
          <w:szCs w:val="20"/>
          <w:lang w:val="en-GB"/>
        </w:rPr>
        <w:t xml:space="preserve">and chemical analysis </w:t>
      </w:r>
      <w:r w:rsidRPr="00504B8E">
        <w:rPr>
          <w:b/>
          <w:i w:val="0"/>
          <w:color w:val="000000" w:themeColor="text1"/>
          <w:sz w:val="20"/>
          <w:szCs w:val="20"/>
          <w:lang w:val="en-GB"/>
        </w:rPr>
        <w:t xml:space="preserve">of as-cast TiZrNbTa and TiZrHfTa </w:t>
      </w:r>
      <w:r w:rsidRPr="00504B8E">
        <w:rPr>
          <w:i w:val="0"/>
          <w:color w:val="000000" w:themeColor="text1"/>
          <w:sz w:val="20"/>
          <w:szCs w:val="20"/>
          <w:lang w:val="en-GB"/>
        </w:rPr>
        <w:t>(</w:t>
      </w:r>
      <w:r w:rsidRPr="00504B8E">
        <w:rPr>
          <w:b/>
          <w:i w:val="0"/>
          <w:color w:val="000000" w:themeColor="text1"/>
          <w:sz w:val="20"/>
          <w:szCs w:val="20"/>
          <w:lang w:val="en-GB"/>
        </w:rPr>
        <w:t>a</w:t>
      </w:r>
      <w:r w:rsidRPr="00504B8E">
        <w:rPr>
          <w:i w:val="0"/>
          <w:color w:val="000000" w:themeColor="text1"/>
          <w:sz w:val="20"/>
          <w:szCs w:val="20"/>
          <w:lang w:val="en-GB"/>
        </w:rPr>
        <w:t xml:space="preserve">) </w:t>
      </w:r>
      <w:r>
        <w:rPr>
          <w:i w:val="0"/>
          <w:color w:val="000000" w:themeColor="text1"/>
          <w:sz w:val="20"/>
          <w:szCs w:val="20"/>
          <w:lang w:val="en-GB"/>
        </w:rPr>
        <w:t>Backscatter</w:t>
      </w:r>
      <w:r w:rsidR="008915E4">
        <w:rPr>
          <w:i w:val="0"/>
          <w:color w:val="000000" w:themeColor="text1"/>
          <w:sz w:val="20"/>
          <w:szCs w:val="20"/>
          <w:lang w:val="en-GB"/>
        </w:rPr>
        <w:t>ed</w:t>
      </w:r>
      <w:r>
        <w:rPr>
          <w:i w:val="0"/>
          <w:color w:val="000000" w:themeColor="text1"/>
          <w:sz w:val="20"/>
          <w:szCs w:val="20"/>
          <w:lang w:val="en-GB"/>
        </w:rPr>
        <w:t xml:space="preserve"> image and EDX </w:t>
      </w:r>
      <w:bookmarkStart w:id="227" w:name="_Hlk36119571"/>
      <w:r w:rsidR="008915E4">
        <w:rPr>
          <w:i w:val="0"/>
          <w:color w:val="000000" w:themeColor="text1"/>
          <w:sz w:val="20"/>
          <w:szCs w:val="20"/>
          <w:lang w:val="en-GB"/>
        </w:rPr>
        <w:t xml:space="preserve">composition maps </w:t>
      </w:r>
      <w:bookmarkEnd w:id="227"/>
      <w:r>
        <w:rPr>
          <w:i w:val="0"/>
          <w:color w:val="000000" w:themeColor="text1"/>
          <w:sz w:val="20"/>
          <w:szCs w:val="20"/>
          <w:lang w:val="en-GB"/>
        </w:rPr>
        <w:t>of as-cast TiZrNbTa sample</w:t>
      </w:r>
      <w:r w:rsidRPr="00504B8E">
        <w:rPr>
          <w:i w:val="0"/>
          <w:color w:val="000000" w:themeColor="text1"/>
          <w:sz w:val="20"/>
          <w:szCs w:val="20"/>
          <w:lang w:val="en-GB"/>
        </w:rPr>
        <w:t>.</w:t>
      </w:r>
      <w:r>
        <w:rPr>
          <w:i w:val="0"/>
          <w:color w:val="000000" w:themeColor="text1"/>
          <w:sz w:val="20"/>
          <w:szCs w:val="20"/>
          <w:lang w:val="en-GB"/>
        </w:rPr>
        <w:t xml:space="preserve"> (</w:t>
      </w:r>
      <w:r w:rsidRPr="000D7AB6">
        <w:rPr>
          <w:b/>
          <w:bCs/>
          <w:i w:val="0"/>
          <w:color w:val="000000" w:themeColor="text1"/>
          <w:sz w:val="20"/>
          <w:szCs w:val="20"/>
          <w:lang w:val="en-GB"/>
        </w:rPr>
        <w:t>b</w:t>
      </w:r>
      <w:r>
        <w:rPr>
          <w:i w:val="0"/>
          <w:color w:val="000000" w:themeColor="text1"/>
          <w:sz w:val="20"/>
          <w:szCs w:val="20"/>
          <w:lang w:val="en-GB"/>
        </w:rPr>
        <w:t xml:space="preserve">)Brightfield image and corresponding SADP of as-cast TiZrNbTa. </w:t>
      </w:r>
      <w:r w:rsidRPr="00504B8E">
        <w:rPr>
          <w:i w:val="0"/>
          <w:color w:val="000000" w:themeColor="text1"/>
          <w:sz w:val="20"/>
          <w:szCs w:val="20"/>
          <w:lang w:val="en-GB"/>
        </w:rPr>
        <w:t>(</w:t>
      </w:r>
      <w:r w:rsidRPr="00504B8E">
        <w:rPr>
          <w:b/>
          <w:i w:val="0"/>
          <w:color w:val="000000" w:themeColor="text1"/>
          <w:sz w:val="20"/>
          <w:szCs w:val="20"/>
          <w:lang w:val="en-GB"/>
        </w:rPr>
        <w:t>c</w:t>
      </w:r>
      <w:r w:rsidRPr="00504B8E">
        <w:rPr>
          <w:i w:val="0"/>
          <w:color w:val="000000" w:themeColor="text1"/>
          <w:sz w:val="20"/>
          <w:szCs w:val="20"/>
          <w:lang w:val="en-GB"/>
        </w:rPr>
        <w:t>)</w:t>
      </w:r>
      <w:r w:rsidRPr="000D7AB6">
        <w:rPr>
          <w:i w:val="0"/>
          <w:color w:val="000000" w:themeColor="text1"/>
          <w:sz w:val="20"/>
          <w:szCs w:val="20"/>
          <w:lang w:val="en-GB"/>
        </w:rPr>
        <w:t xml:space="preserve"> </w:t>
      </w:r>
      <w:r>
        <w:rPr>
          <w:i w:val="0"/>
          <w:color w:val="000000" w:themeColor="text1"/>
          <w:sz w:val="20"/>
          <w:szCs w:val="20"/>
          <w:lang w:val="en-GB"/>
        </w:rPr>
        <w:t>Backscatter</w:t>
      </w:r>
      <w:r w:rsidR="008915E4">
        <w:rPr>
          <w:i w:val="0"/>
          <w:color w:val="000000" w:themeColor="text1"/>
          <w:sz w:val="20"/>
          <w:szCs w:val="20"/>
          <w:lang w:val="en-GB"/>
        </w:rPr>
        <w:t>ed</w:t>
      </w:r>
      <w:r>
        <w:rPr>
          <w:i w:val="0"/>
          <w:color w:val="000000" w:themeColor="text1"/>
          <w:sz w:val="20"/>
          <w:szCs w:val="20"/>
          <w:lang w:val="en-GB"/>
        </w:rPr>
        <w:t xml:space="preserve"> image and EDX </w:t>
      </w:r>
      <w:r w:rsidR="008915E4" w:rsidRPr="008915E4">
        <w:rPr>
          <w:i w:val="0"/>
          <w:color w:val="000000" w:themeColor="text1"/>
          <w:sz w:val="20"/>
          <w:szCs w:val="20"/>
          <w:lang w:val="en-GB"/>
        </w:rPr>
        <w:t xml:space="preserve">composition maps </w:t>
      </w:r>
      <w:r>
        <w:rPr>
          <w:i w:val="0"/>
          <w:color w:val="000000" w:themeColor="text1"/>
          <w:sz w:val="20"/>
          <w:szCs w:val="20"/>
          <w:lang w:val="en-GB"/>
        </w:rPr>
        <w:t xml:space="preserve">of as-cast </w:t>
      </w:r>
      <w:r w:rsidRPr="00504B8E">
        <w:rPr>
          <w:i w:val="0"/>
          <w:color w:val="000000" w:themeColor="text1"/>
          <w:sz w:val="20"/>
          <w:szCs w:val="20"/>
          <w:lang w:val="en-GB"/>
        </w:rPr>
        <w:t>TiZr</w:t>
      </w:r>
      <w:r>
        <w:rPr>
          <w:i w:val="0"/>
          <w:color w:val="000000" w:themeColor="text1"/>
          <w:sz w:val="20"/>
          <w:szCs w:val="20"/>
          <w:lang w:val="en-GB"/>
        </w:rPr>
        <w:t>Hf</w:t>
      </w:r>
      <w:r w:rsidRPr="00504B8E">
        <w:rPr>
          <w:i w:val="0"/>
          <w:color w:val="000000" w:themeColor="text1"/>
          <w:sz w:val="20"/>
          <w:szCs w:val="20"/>
          <w:lang w:val="en-GB"/>
        </w:rPr>
        <w:t>Ta. (</w:t>
      </w:r>
      <w:r w:rsidRPr="00504B8E">
        <w:rPr>
          <w:b/>
          <w:i w:val="0"/>
          <w:color w:val="000000" w:themeColor="text1"/>
          <w:sz w:val="20"/>
          <w:szCs w:val="20"/>
          <w:lang w:val="en-GB"/>
        </w:rPr>
        <w:t>d</w:t>
      </w:r>
      <w:r w:rsidRPr="00504B8E">
        <w:rPr>
          <w:i w:val="0"/>
          <w:color w:val="000000" w:themeColor="text1"/>
          <w:sz w:val="20"/>
          <w:szCs w:val="20"/>
          <w:lang w:val="en-GB"/>
        </w:rPr>
        <w:t xml:space="preserve">) </w:t>
      </w:r>
      <w:r>
        <w:rPr>
          <w:i w:val="0"/>
          <w:color w:val="000000" w:themeColor="text1"/>
          <w:sz w:val="20"/>
          <w:szCs w:val="20"/>
          <w:lang w:val="en-GB"/>
        </w:rPr>
        <w:t>Brightfield image and corresponding SADP of as-cast TiZrHfTa</w:t>
      </w:r>
      <w:bookmarkEnd w:id="225"/>
      <w:r>
        <w:rPr>
          <w:i w:val="0"/>
          <w:color w:val="000000" w:themeColor="text1"/>
          <w:sz w:val="20"/>
          <w:szCs w:val="20"/>
          <w:lang w:val="en-GB"/>
        </w:rPr>
        <w:t>, two different structures, α’’ and β are marked with cyan and red colour respectively.</w:t>
      </w:r>
      <w:bookmarkEnd w:id="226"/>
    </w:p>
    <w:p w14:paraId="5095FF72" w14:textId="132D7F45" w:rsidR="00B145BE" w:rsidRDefault="00B145BE" w:rsidP="00B145BE">
      <w:pPr>
        <w:pStyle w:val="Normal1"/>
        <w:spacing w:afterLines="60" w:after="144" w:line="360" w:lineRule="auto"/>
        <w:jc w:val="both"/>
        <w:rPr>
          <w:rFonts w:asciiTheme="minorHAnsi" w:hAnsiTheme="minorHAnsi"/>
          <w:sz w:val="22"/>
          <w:szCs w:val="22"/>
          <w:lang w:val="en-GB"/>
        </w:rPr>
      </w:pPr>
      <w:r>
        <w:rPr>
          <w:rFonts w:asciiTheme="minorHAnsi" w:hAnsiTheme="minorHAnsi"/>
          <w:sz w:val="22"/>
          <w:szCs w:val="22"/>
          <w:lang w:val="en-GB"/>
        </w:rPr>
        <w:t xml:space="preserve">The </w:t>
      </w:r>
      <w:r w:rsidRPr="00D80AF7">
        <w:rPr>
          <w:rFonts w:asciiTheme="minorHAnsi" w:hAnsiTheme="minorHAnsi"/>
          <w:sz w:val="22"/>
          <w:szCs w:val="22"/>
          <w:lang w:val="en-GB"/>
        </w:rPr>
        <w:t xml:space="preserve">SADP in </w:t>
      </w:r>
      <w:r>
        <w:rPr>
          <w:rFonts w:asciiTheme="minorHAnsi" w:hAnsiTheme="minorHAnsi"/>
          <w:sz w:val="22"/>
          <w:szCs w:val="22"/>
          <w:lang w:val="en-GB"/>
        </w:rPr>
        <w:t>F</w:t>
      </w:r>
      <w:r w:rsidRPr="00D80AF7">
        <w:rPr>
          <w:rFonts w:asciiTheme="minorHAnsi" w:hAnsiTheme="minorHAnsi"/>
          <w:sz w:val="22"/>
          <w:szCs w:val="22"/>
          <w:lang w:val="en-GB"/>
        </w:rPr>
        <w:t>ig.</w:t>
      </w:r>
      <w:r>
        <w:rPr>
          <w:rFonts w:asciiTheme="minorHAnsi" w:hAnsiTheme="minorHAnsi"/>
          <w:sz w:val="22"/>
          <w:szCs w:val="22"/>
          <w:lang w:val="en-GB"/>
        </w:rPr>
        <w:t xml:space="preserve"> 4-4(</w:t>
      </w:r>
      <w:r w:rsidRPr="00D80AF7">
        <w:rPr>
          <w:rFonts w:asciiTheme="minorHAnsi" w:hAnsiTheme="minorHAnsi"/>
          <w:sz w:val="22"/>
          <w:szCs w:val="22"/>
          <w:lang w:val="en-GB"/>
        </w:rPr>
        <w:t>d</w:t>
      </w:r>
      <w:r>
        <w:rPr>
          <w:rFonts w:asciiTheme="minorHAnsi" w:hAnsiTheme="minorHAnsi"/>
          <w:sz w:val="22"/>
          <w:szCs w:val="22"/>
          <w:lang w:val="en-GB"/>
        </w:rPr>
        <w:t>)</w:t>
      </w:r>
      <w:r w:rsidRPr="00D80AF7">
        <w:rPr>
          <w:rFonts w:asciiTheme="minorHAnsi" w:hAnsiTheme="minorHAnsi"/>
          <w:sz w:val="22"/>
          <w:szCs w:val="22"/>
          <w:lang w:val="en-GB"/>
        </w:rPr>
        <w:t xml:space="preserve"> </w:t>
      </w:r>
      <w:r>
        <w:rPr>
          <w:rFonts w:asciiTheme="minorHAnsi" w:hAnsiTheme="minorHAnsi"/>
          <w:noProof/>
          <w:sz w:val="22"/>
          <w:szCs w:val="22"/>
          <w:lang w:val="en-GB"/>
        </w:rPr>
        <w:t>was</w:t>
      </w:r>
      <w:r w:rsidRPr="00D80AF7">
        <w:rPr>
          <w:rFonts w:asciiTheme="minorHAnsi" w:hAnsiTheme="minorHAnsi"/>
          <w:noProof/>
          <w:sz w:val="22"/>
          <w:szCs w:val="22"/>
          <w:lang w:val="en-GB"/>
        </w:rPr>
        <w:t xml:space="preserve"> </w:t>
      </w:r>
      <w:r>
        <w:rPr>
          <w:rFonts w:asciiTheme="minorHAnsi" w:hAnsiTheme="minorHAnsi"/>
          <w:noProof/>
          <w:sz w:val="22"/>
          <w:szCs w:val="22"/>
          <w:lang w:val="en-GB"/>
        </w:rPr>
        <w:t>recorded</w:t>
      </w:r>
      <w:r w:rsidRPr="00D80AF7">
        <w:rPr>
          <w:rFonts w:asciiTheme="minorHAnsi" w:hAnsiTheme="minorHAnsi"/>
          <w:sz w:val="22"/>
          <w:szCs w:val="22"/>
          <w:lang w:val="en-GB"/>
        </w:rPr>
        <w:t xml:space="preserve"> at the </w:t>
      </w:r>
      <w:r w:rsidRPr="00D80AF7">
        <w:rPr>
          <w:rFonts w:asciiTheme="minorHAnsi" w:hAnsiTheme="minorHAnsi"/>
          <w:noProof/>
          <w:sz w:val="22"/>
          <w:szCs w:val="22"/>
          <w:lang w:val="en-GB"/>
        </w:rPr>
        <w:t>needle-like</w:t>
      </w:r>
      <w:r w:rsidRPr="00D80AF7">
        <w:rPr>
          <w:rFonts w:asciiTheme="minorHAnsi" w:hAnsiTheme="minorHAnsi"/>
          <w:sz w:val="22"/>
          <w:szCs w:val="22"/>
          <w:lang w:val="en-GB"/>
        </w:rPr>
        <w:t xml:space="preserve"> microstructure of</w:t>
      </w:r>
      <w:r>
        <w:rPr>
          <w:rFonts w:asciiTheme="minorHAnsi" w:hAnsiTheme="minorHAnsi"/>
          <w:sz w:val="22"/>
          <w:szCs w:val="22"/>
          <w:lang w:val="en-GB"/>
        </w:rPr>
        <w:t xml:space="preserve"> deformed as-cast </w:t>
      </w:r>
      <w:r w:rsidRPr="00D80AF7">
        <w:rPr>
          <w:rFonts w:asciiTheme="minorHAnsi" w:hAnsiTheme="minorHAnsi"/>
          <w:sz w:val="22"/>
          <w:szCs w:val="22"/>
          <w:lang w:val="en-GB"/>
        </w:rPr>
        <w:t>TiZrHfTa</w:t>
      </w:r>
      <w:r>
        <w:rPr>
          <w:rFonts w:asciiTheme="minorHAnsi" w:hAnsiTheme="minorHAnsi"/>
          <w:noProof/>
          <w:sz w:val="22"/>
          <w:szCs w:val="22"/>
          <w:lang w:val="en-GB"/>
        </w:rPr>
        <w:t xml:space="preserve"> and</w:t>
      </w:r>
      <w:r w:rsidRPr="00D80AF7">
        <w:rPr>
          <w:rFonts w:asciiTheme="minorHAnsi" w:hAnsiTheme="minorHAnsi"/>
          <w:noProof/>
          <w:sz w:val="22"/>
          <w:szCs w:val="22"/>
          <w:lang w:val="en-GB"/>
        </w:rPr>
        <w:t xml:space="preserve"> </w:t>
      </w:r>
      <w:r>
        <w:rPr>
          <w:rFonts w:asciiTheme="minorHAnsi" w:hAnsiTheme="minorHAnsi"/>
          <w:noProof/>
          <w:sz w:val="22"/>
          <w:szCs w:val="22"/>
          <w:lang w:val="en-GB"/>
        </w:rPr>
        <w:t>in addition to the B</w:t>
      </w:r>
      <w:r w:rsidR="008915E4">
        <w:rPr>
          <w:rFonts w:asciiTheme="minorHAnsi" w:hAnsiTheme="minorHAnsi"/>
          <w:noProof/>
          <w:sz w:val="22"/>
          <w:szCs w:val="22"/>
          <w:lang w:val="en-GB"/>
        </w:rPr>
        <w:t>C</w:t>
      </w:r>
      <w:r>
        <w:rPr>
          <w:rFonts w:asciiTheme="minorHAnsi" w:hAnsiTheme="minorHAnsi"/>
          <w:noProof/>
          <w:sz w:val="22"/>
          <w:szCs w:val="22"/>
          <w:lang w:val="en-GB"/>
        </w:rPr>
        <w:t xml:space="preserve">C structure, an </w:t>
      </w:r>
      <w:r w:rsidRPr="00D80AF7">
        <w:rPr>
          <w:rFonts w:asciiTheme="minorHAnsi" w:hAnsiTheme="minorHAnsi"/>
          <w:sz w:val="22"/>
          <w:szCs w:val="22"/>
          <w:lang w:val="en-GB"/>
        </w:rPr>
        <w:t xml:space="preserve">orthorhombic structure </w:t>
      </w:r>
      <w:r>
        <w:rPr>
          <w:rFonts w:asciiTheme="minorHAnsi" w:hAnsiTheme="minorHAnsi"/>
          <w:sz w:val="22"/>
          <w:szCs w:val="22"/>
          <w:lang w:val="en-GB"/>
        </w:rPr>
        <w:t>was indexed</w:t>
      </w:r>
      <w:r w:rsidRPr="00D80AF7">
        <w:rPr>
          <w:rFonts w:asciiTheme="minorHAnsi" w:hAnsiTheme="minorHAnsi"/>
          <w:sz w:val="22"/>
          <w:szCs w:val="22"/>
          <w:lang w:val="en-GB"/>
        </w:rPr>
        <w:t xml:space="preserve">. </w:t>
      </w:r>
      <w:r>
        <w:rPr>
          <w:rFonts w:asciiTheme="minorHAnsi" w:hAnsiTheme="minorHAnsi"/>
          <w:sz w:val="22"/>
          <w:szCs w:val="22"/>
          <w:lang w:val="en-GB"/>
        </w:rPr>
        <w:t xml:space="preserve">Therefore, it appears that </w:t>
      </w:r>
      <w:r w:rsidRPr="00D80AF7">
        <w:rPr>
          <w:rFonts w:asciiTheme="minorHAnsi" w:hAnsiTheme="minorHAnsi"/>
          <w:sz w:val="22"/>
          <w:szCs w:val="22"/>
          <w:lang w:val="en-GB"/>
        </w:rPr>
        <w:t xml:space="preserve">with </w:t>
      </w:r>
      <w:r>
        <w:rPr>
          <w:rFonts w:asciiTheme="minorHAnsi" w:hAnsiTheme="minorHAnsi"/>
          <w:sz w:val="22"/>
          <w:szCs w:val="22"/>
          <w:lang w:val="en-GB"/>
        </w:rPr>
        <w:t xml:space="preserve">a </w:t>
      </w:r>
      <w:r w:rsidRPr="00D80AF7">
        <w:rPr>
          <w:rFonts w:asciiTheme="minorHAnsi" w:hAnsiTheme="minorHAnsi"/>
          <w:sz w:val="22"/>
          <w:szCs w:val="22"/>
          <w:lang w:val="en-GB"/>
        </w:rPr>
        <w:t>reduction of Ta</w:t>
      </w:r>
      <w:r>
        <w:rPr>
          <w:rFonts w:asciiTheme="minorHAnsi" w:hAnsiTheme="minorHAnsi"/>
          <w:sz w:val="22"/>
          <w:szCs w:val="22"/>
          <w:lang w:val="en-GB"/>
        </w:rPr>
        <w:t xml:space="preserve"> content</w:t>
      </w:r>
      <w:r w:rsidRPr="00D80AF7">
        <w:rPr>
          <w:rFonts w:asciiTheme="minorHAnsi" w:hAnsiTheme="minorHAnsi"/>
          <w:sz w:val="22"/>
          <w:szCs w:val="22"/>
          <w:lang w:val="en-GB"/>
        </w:rPr>
        <w:t xml:space="preserve">, the </w:t>
      </w:r>
      <w:r w:rsidRPr="00D80AF7">
        <w:rPr>
          <w:rFonts w:asciiTheme="minorHAnsi" w:hAnsiTheme="minorHAnsi"/>
          <w:noProof/>
          <w:sz w:val="22"/>
          <w:szCs w:val="22"/>
          <w:lang w:val="en-GB"/>
        </w:rPr>
        <w:t>martensite</w:t>
      </w:r>
      <w:r w:rsidRPr="00D80AF7">
        <w:rPr>
          <w:rFonts w:asciiTheme="minorHAnsi" w:hAnsiTheme="minorHAnsi"/>
          <w:sz w:val="22"/>
          <w:szCs w:val="22"/>
          <w:lang w:val="en-GB"/>
        </w:rPr>
        <w:t xml:space="preserve"> phase </w:t>
      </w:r>
      <w:r>
        <w:rPr>
          <w:rFonts w:asciiTheme="minorHAnsi" w:hAnsiTheme="minorHAnsi"/>
          <w:sz w:val="22"/>
          <w:szCs w:val="22"/>
          <w:lang w:val="en-GB"/>
        </w:rPr>
        <w:t>formed</w:t>
      </w:r>
      <w:r w:rsidRPr="00D80AF7">
        <w:rPr>
          <w:rFonts w:asciiTheme="minorHAnsi" w:hAnsiTheme="minorHAnsi"/>
          <w:sz w:val="22"/>
          <w:szCs w:val="22"/>
          <w:lang w:val="en-GB"/>
        </w:rPr>
        <w:t xml:space="preserve"> in</w:t>
      </w:r>
      <w:r>
        <w:rPr>
          <w:rFonts w:asciiTheme="minorHAnsi" w:hAnsiTheme="minorHAnsi"/>
          <w:sz w:val="22"/>
          <w:szCs w:val="22"/>
          <w:lang w:val="en-GB"/>
        </w:rPr>
        <w:t xml:space="preserve"> these</w:t>
      </w:r>
      <w:r w:rsidRPr="00D80AF7">
        <w:rPr>
          <w:rFonts w:asciiTheme="minorHAnsi" w:hAnsiTheme="minorHAnsi"/>
          <w:sz w:val="22"/>
          <w:szCs w:val="22"/>
          <w:lang w:val="en-GB"/>
        </w:rPr>
        <w:t xml:space="preserve"> RHEAs. The mechanical performance of </w:t>
      </w:r>
      <w:r>
        <w:rPr>
          <w:rFonts w:asciiTheme="minorHAnsi" w:hAnsiTheme="minorHAnsi"/>
          <w:sz w:val="22"/>
          <w:szCs w:val="22"/>
          <w:lang w:val="en-GB"/>
        </w:rPr>
        <w:t xml:space="preserve">both </w:t>
      </w:r>
      <w:r w:rsidRPr="00D80AF7">
        <w:rPr>
          <w:rFonts w:asciiTheme="minorHAnsi" w:hAnsiTheme="minorHAnsi"/>
          <w:sz w:val="22"/>
          <w:szCs w:val="22"/>
          <w:lang w:val="en-GB"/>
        </w:rPr>
        <w:t xml:space="preserve">quaternary RHEAs </w:t>
      </w:r>
      <w:r w:rsidRPr="00D80AF7">
        <w:rPr>
          <w:rFonts w:asciiTheme="minorHAnsi" w:hAnsiTheme="minorHAnsi"/>
          <w:noProof/>
          <w:sz w:val="22"/>
          <w:szCs w:val="22"/>
          <w:lang w:val="en-GB"/>
        </w:rPr>
        <w:t xml:space="preserve">were </w:t>
      </w:r>
      <w:r>
        <w:rPr>
          <w:rFonts w:asciiTheme="minorHAnsi" w:hAnsiTheme="minorHAnsi"/>
          <w:noProof/>
          <w:sz w:val="22"/>
          <w:szCs w:val="22"/>
          <w:lang w:val="en-GB"/>
        </w:rPr>
        <w:t>characterised</w:t>
      </w:r>
      <w:r w:rsidRPr="00D80AF7">
        <w:rPr>
          <w:rFonts w:asciiTheme="minorHAnsi" w:hAnsiTheme="minorHAnsi"/>
          <w:sz w:val="22"/>
          <w:szCs w:val="22"/>
          <w:lang w:val="en-GB"/>
        </w:rPr>
        <w:t xml:space="preserve"> </w:t>
      </w:r>
      <w:r>
        <w:rPr>
          <w:rFonts w:asciiTheme="minorHAnsi" w:hAnsiTheme="minorHAnsi"/>
          <w:sz w:val="22"/>
          <w:szCs w:val="22"/>
          <w:lang w:val="en-GB"/>
        </w:rPr>
        <w:t>via</w:t>
      </w:r>
      <w:r w:rsidRPr="00D80AF7">
        <w:rPr>
          <w:rFonts w:asciiTheme="minorHAnsi" w:hAnsiTheme="minorHAnsi"/>
          <w:sz w:val="22"/>
          <w:szCs w:val="22"/>
          <w:lang w:val="en-GB"/>
        </w:rPr>
        <w:t xml:space="preserve"> compression test</w:t>
      </w:r>
      <w:r>
        <w:rPr>
          <w:rFonts w:asciiTheme="minorHAnsi" w:hAnsiTheme="minorHAnsi"/>
          <w:sz w:val="22"/>
          <w:szCs w:val="22"/>
          <w:lang w:val="en-GB"/>
        </w:rPr>
        <w:t>ing</w:t>
      </w:r>
      <w:r w:rsidRPr="00D80AF7">
        <w:rPr>
          <w:rFonts w:asciiTheme="minorHAnsi" w:hAnsiTheme="minorHAnsi"/>
          <w:sz w:val="22"/>
          <w:szCs w:val="22"/>
          <w:lang w:val="en-GB"/>
        </w:rPr>
        <w:t>. Both TiZrNbTa and TiZrHfTa exhibit</w:t>
      </w:r>
      <w:r>
        <w:rPr>
          <w:rFonts w:asciiTheme="minorHAnsi" w:hAnsiTheme="minorHAnsi"/>
          <w:sz w:val="22"/>
          <w:szCs w:val="22"/>
          <w:lang w:val="en-GB"/>
        </w:rPr>
        <w:t>ed</w:t>
      </w:r>
      <w:r w:rsidRPr="00D80AF7">
        <w:rPr>
          <w:rFonts w:asciiTheme="minorHAnsi" w:hAnsiTheme="minorHAnsi"/>
          <w:sz w:val="22"/>
          <w:szCs w:val="22"/>
          <w:lang w:val="en-GB"/>
        </w:rPr>
        <w:t xml:space="preserve"> high yield strength</w:t>
      </w:r>
      <w:r w:rsidR="008915E4">
        <w:rPr>
          <w:rFonts w:asciiTheme="minorHAnsi" w:hAnsiTheme="minorHAnsi"/>
          <w:sz w:val="22"/>
          <w:szCs w:val="22"/>
          <w:lang w:val="en-GB"/>
        </w:rPr>
        <w:t>s</w:t>
      </w:r>
      <w:r>
        <w:rPr>
          <w:rFonts w:asciiTheme="minorHAnsi" w:hAnsiTheme="minorHAnsi"/>
          <w:sz w:val="22"/>
          <w:szCs w:val="22"/>
          <w:lang w:val="en-GB"/>
        </w:rPr>
        <w:t xml:space="preserve"> of </w:t>
      </w:r>
      <w:r w:rsidRPr="00D80AF7">
        <w:rPr>
          <w:rFonts w:asciiTheme="minorHAnsi" w:hAnsiTheme="minorHAnsi"/>
          <w:sz w:val="22"/>
          <w:szCs w:val="22"/>
          <w:lang w:val="en-GB"/>
        </w:rPr>
        <w:t>10</w:t>
      </w:r>
      <w:r>
        <w:rPr>
          <w:rFonts w:asciiTheme="minorHAnsi" w:hAnsiTheme="minorHAnsi"/>
          <w:sz w:val="22"/>
          <w:szCs w:val="22"/>
          <w:lang w:val="en-GB"/>
        </w:rPr>
        <w:t>02</w:t>
      </w:r>
      <w:r w:rsidRPr="00D80AF7">
        <w:rPr>
          <w:rFonts w:asciiTheme="minorHAnsi" w:hAnsiTheme="minorHAnsi"/>
          <w:sz w:val="22"/>
          <w:szCs w:val="22"/>
          <w:lang w:val="en-GB"/>
        </w:rPr>
        <w:t>M</w:t>
      </w:r>
      <w:r>
        <w:rPr>
          <w:rFonts w:asciiTheme="minorHAnsi" w:hAnsiTheme="minorHAnsi"/>
          <w:sz w:val="22"/>
          <w:szCs w:val="22"/>
          <w:lang w:val="en-GB"/>
        </w:rPr>
        <w:t>P</w:t>
      </w:r>
      <w:r w:rsidRPr="00D80AF7">
        <w:rPr>
          <w:rFonts w:asciiTheme="minorHAnsi" w:hAnsiTheme="minorHAnsi"/>
          <w:sz w:val="22"/>
          <w:szCs w:val="22"/>
          <w:lang w:val="en-GB"/>
        </w:rPr>
        <w:t>a and 9</w:t>
      </w:r>
      <w:r>
        <w:rPr>
          <w:rFonts w:asciiTheme="minorHAnsi" w:hAnsiTheme="minorHAnsi"/>
          <w:sz w:val="22"/>
          <w:szCs w:val="22"/>
          <w:lang w:val="en-GB"/>
        </w:rPr>
        <w:t>9</w:t>
      </w:r>
      <w:r w:rsidRPr="00D80AF7">
        <w:rPr>
          <w:rFonts w:asciiTheme="minorHAnsi" w:hAnsiTheme="minorHAnsi"/>
          <w:sz w:val="22"/>
          <w:szCs w:val="22"/>
          <w:lang w:val="en-GB"/>
        </w:rPr>
        <w:t>6M</w:t>
      </w:r>
      <w:r>
        <w:rPr>
          <w:rFonts w:asciiTheme="minorHAnsi" w:hAnsiTheme="minorHAnsi"/>
          <w:sz w:val="22"/>
          <w:szCs w:val="22"/>
          <w:lang w:val="en-GB"/>
        </w:rPr>
        <w:t xml:space="preserve">Pa </w:t>
      </w:r>
      <w:r w:rsidRPr="00D80AF7">
        <w:rPr>
          <w:rFonts w:asciiTheme="minorHAnsi" w:hAnsiTheme="minorHAnsi"/>
          <w:sz w:val="22"/>
          <w:szCs w:val="22"/>
          <w:lang w:val="en-GB"/>
        </w:rPr>
        <w:t xml:space="preserve">and </w:t>
      </w:r>
      <w:r>
        <w:rPr>
          <w:rFonts w:asciiTheme="minorHAnsi" w:hAnsiTheme="minorHAnsi"/>
          <w:sz w:val="22"/>
          <w:szCs w:val="22"/>
          <w:lang w:val="en-GB"/>
        </w:rPr>
        <w:t>good</w:t>
      </w:r>
      <w:r w:rsidRPr="00D80AF7">
        <w:rPr>
          <w:rFonts w:asciiTheme="minorHAnsi" w:hAnsiTheme="minorHAnsi"/>
          <w:sz w:val="22"/>
          <w:szCs w:val="22"/>
          <w:lang w:val="en-GB"/>
        </w:rPr>
        <w:t xml:space="preserve"> </w:t>
      </w:r>
      <w:r w:rsidR="00CD4365">
        <w:rPr>
          <w:rFonts w:asciiTheme="minorHAnsi" w:hAnsiTheme="minorHAnsi"/>
          <w:sz w:val="22"/>
          <w:szCs w:val="22"/>
          <w:lang w:val="en-GB"/>
        </w:rPr>
        <w:t xml:space="preserve">compressive </w:t>
      </w:r>
      <w:r w:rsidRPr="00D80AF7">
        <w:rPr>
          <w:rFonts w:asciiTheme="minorHAnsi" w:hAnsiTheme="minorHAnsi"/>
          <w:sz w:val="22"/>
          <w:szCs w:val="22"/>
          <w:lang w:val="en-GB"/>
        </w:rPr>
        <w:t xml:space="preserve">ductility </w:t>
      </w:r>
      <w:r>
        <w:rPr>
          <w:rFonts w:asciiTheme="minorHAnsi" w:hAnsiTheme="minorHAnsi"/>
          <w:sz w:val="22"/>
          <w:szCs w:val="22"/>
          <w:lang w:val="en-GB"/>
        </w:rPr>
        <w:t>of 44.2% and 22.8% (</w:t>
      </w:r>
      <w:r>
        <w:rPr>
          <w:rFonts w:asciiTheme="minorHAnsi" w:hAnsiTheme="minorHAnsi"/>
          <w:sz w:val="22"/>
          <w:lang w:val="en-GB"/>
        </w:rPr>
        <w:t>Fig</w:t>
      </w:r>
      <w:r w:rsidRPr="00D80AF7">
        <w:rPr>
          <w:rFonts w:asciiTheme="minorHAnsi" w:hAnsiTheme="minorHAnsi"/>
          <w:sz w:val="22"/>
          <w:lang w:val="en-GB"/>
        </w:rPr>
        <w:t>.</w:t>
      </w:r>
      <w:r>
        <w:rPr>
          <w:rFonts w:asciiTheme="minorHAnsi" w:hAnsiTheme="minorHAnsi"/>
          <w:sz w:val="22"/>
          <w:lang w:val="en-GB"/>
        </w:rPr>
        <w:t xml:space="preserve"> 4-5)</w:t>
      </w:r>
      <w:r w:rsidRPr="00D80AF7">
        <w:rPr>
          <w:rFonts w:asciiTheme="minorHAnsi" w:hAnsiTheme="minorHAnsi"/>
          <w:sz w:val="22"/>
          <w:szCs w:val="22"/>
          <w:lang w:val="en-GB"/>
        </w:rPr>
        <w:t xml:space="preserve">. The solid solution strengthening is not obvious after the substitution of Nb by Hf. </w:t>
      </w:r>
      <w:r>
        <w:rPr>
          <w:rFonts w:asciiTheme="minorHAnsi" w:hAnsiTheme="minorHAnsi"/>
          <w:sz w:val="22"/>
          <w:szCs w:val="22"/>
          <w:lang w:val="en-GB"/>
        </w:rPr>
        <w:t>B</w:t>
      </w:r>
      <w:r w:rsidRPr="00D80AF7">
        <w:rPr>
          <w:rFonts w:asciiTheme="minorHAnsi" w:hAnsiTheme="minorHAnsi"/>
          <w:sz w:val="22"/>
          <w:szCs w:val="22"/>
          <w:lang w:val="en-GB"/>
        </w:rPr>
        <w:t>oth Nb and Hf can be regard</w:t>
      </w:r>
      <w:r w:rsidR="008915E4">
        <w:rPr>
          <w:rFonts w:asciiTheme="minorHAnsi" w:hAnsiTheme="minorHAnsi"/>
          <w:sz w:val="22"/>
          <w:szCs w:val="22"/>
          <w:lang w:val="en-GB"/>
        </w:rPr>
        <w:t>ed</w:t>
      </w:r>
      <w:r w:rsidRPr="00D80AF7">
        <w:rPr>
          <w:rFonts w:asciiTheme="minorHAnsi" w:hAnsiTheme="minorHAnsi"/>
          <w:sz w:val="22"/>
          <w:szCs w:val="22"/>
          <w:lang w:val="en-GB"/>
        </w:rPr>
        <w:t xml:space="preserve"> as a </w:t>
      </w:r>
      <w:r w:rsidRPr="00D80AF7">
        <w:rPr>
          <w:rFonts w:asciiTheme="minorHAnsi" w:hAnsiTheme="minorHAnsi"/>
          <w:noProof/>
          <w:sz w:val="22"/>
          <w:szCs w:val="22"/>
          <w:lang w:val="en-GB"/>
        </w:rPr>
        <w:t>solute</w:t>
      </w:r>
      <w:r>
        <w:rPr>
          <w:rFonts w:asciiTheme="minorHAnsi" w:hAnsiTheme="minorHAnsi"/>
          <w:noProof/>
          <w:sz w:val="22"/>
          <w:szCs w:val="22"/>
          <w:lang w:val="en-GB"/>
        </w:rPr>
        <w:t>s</w:t>
      </w:r>
      <w:r w:rsidRPr="00D80AF7">
        <w:rPr>
          <w:rFonts w:asciiTheme="minorHAnsi" w:hAnsiTheme="minorHAnsi"/>
          <w:sz w:val="22"/>
          <w:szCs w:val="22"/>
          <w:lang w:val="en-GB"/>
        </w:rPr>
        <w:t xml:space="preserve"> in the </w:t>
      </w:r>
      <w:r w:rsidRPr="00D80AF7">
        <w:rPr>
          <w:rFonts w:asciiTheme="minorHAnsi" w:hAnsiTheme="minorHAnsi"/>
          <w:noProof/>
          <w:sz w:val="22"/>
          <w:szCs w:val="22"/>
          <w:lang w:val="en-GB"/>
        </w:rPr>
        <w:t>pseudo-TiZrTa</w:t>
      </w:r>
      <w:r w:rsidRPr="00D80AF7">
        <w:rPr>
          <w:rFonts w:asciiTheme="minorHAnsi" w:hAnsiTheme="minorHAnsi"/>
          <w:sz w:val="22"/>
          <w:szCs w:val="22"/>
          <w:lang w:val="en-GB"/>
        </w:rPr>
        <w:t xml:space="preserve"> matrix</w:t>
      </w:r>
      <w:r>
        <w:rPr>
          <w:rFonts w:asciiTheme="minorHAnsi" w:hAnsiTheme="minorHAnsi"/>
          <w:sz w:val="22"/>
          <w:szCs w:val="22"/>
          <w:lang w:val="en-GB"/>
        </w:rPr>
        <w:t xml:space="preserve"> and</w:t>
      </w:r>
      <w:r w:rsidRPr="00D80AF7">
        <w:rPr>
          <w:rFonts w:asciiTheme="minorHAnsi" w:hAnsiTheme="minorHAnsi"/>
          <w:sz w:val="22"/>
          <w:szCs w:val="22"/>
          <w:lang w:val="en-GB"/>
        </w:rPr>
        <w:t xml:space="preserve"> with the </w:t>
      </w:r>
      <w:r w:rsidRPr="00D80AF7">
        <w:rPr>
          <w:rFonts w:asciiTheme="minorHAnsi" w:hAnsiTheme="minorHAnsi"/>
          <w:noProof/>
          <w:sz w:val="22"/>
          <w:szCs w:val="22"/>
          <w:lang w:val="en-GB"/>
        </w:rPr>
        <w:t>obvious</w:t>
      </w:r>
      <w:r w:rsidRPr="00D80AF7">
        <w:rPr>
          <w:rFonts w:asciiTheme="minorHAnsi" w:hAnsiTheme="minorHAnsi"/>
          <w:sz w:val="22"/>
          <w:szCs w:val="22"/>
          <w:lang w:val="en-GB"/>
        </w:rPr>
        <w:t xml:space="preserve"> difference in </w:t>
      </w:r>
      <w:r w:rsidRPr="00D80AF7">
        <w:rPr>
          <w:rFonts w:asciiTheme="minorHAnsi" w:hAnsiTheme="minorHAnsi"/>
          <w:noProof/>
          <w:sz w:val="22"/>
          <w:szCs w:val="22"/>
          <w:lang w:val="en-GB"/>
        </w:rPr>
        <w:t>atomic</w:t>
      </w:r>
      <w:r w:rsidRPr="00D80AF7">
        <w:rPr>
          <w:rFonts w:asciiTheme="minorHAnsi" w:hAnsiTheme="minorHAnsi"/>
          <w:sz w:val="22"/>
          <w:szCs w:val="22"/>
          <w:lang w:val="en-GB"/>
        </w:rPr>
        <w:t xml:space="preserve"> size</w:t>
      </w:r>
      <w:r>
        <w:rPr>
          <w:rFonts w:asciiTheme="minorHAnsi" w:hAnsiTheme="minorHAnsi"/>
          <w:sz w:val="22"/>
          <w:szCs w:val="22"/>
          <w:lang w:val="en-GB"/>
        </w:rPr>
        <w:t xml:space="preserve">, </w:t>
      </w:r>
      <w:r w:rsidRPr="00D80AF7">
        <w:rPr>
          <w:rFonts w:asciiTheme="minorHAnsi" w:hAnsiTheme="minorHAnsi"/>
          <w:sz w:val="22"/>
          <w:szCs w:val="22"/>
          <w:lang w:val="en-GB"/>
        </w:rPr>
        <w:t xml:space="preserve">the substitution </w:t>
      </w:r>
      <w:r>
        <w:rPr>
          <w:rFonts w:asciiTheme="minorHAnsi" w:hAnsiTheme="minorHAnsi"/>
          <w:sz w:val="22"/>
          <w:szCs w:val="22"/>
          <w:lang w:val="en-GB"/>
        </w:rPr>
        <w:t>does</w:t>
      </w:r>
      <w:r w:rsidRPr="00D80AF7">
        <w:rPr>
          <w:rFonts w:asciiTheme="minorHAnsi" w:hAnsiTheme="minorHAnsi"/>
          <w:sz w:val="22"/>
          <w:szCs w:val="22"/>
          <w:lang w:val="en-GB"/>
        </w:rPr>
        <w:t xml:space="preserve"> not </w:t>
      </w:r>
      <w:r>
        <w:rPr>
          <w:rFonts w:asciiTheme="minorHAnsi" w:hAnsiTheme="minorHAnsi"/>
          <w:sz w:val="22"/>
          <w:szCs w:val="22"/>
          <w:lang w:val="en-GB"/>
        </w:rPr>
        <w:t>activate</w:t>
      </w:r>
      <w:r w:rsidRPr="00D80AF7">
        <w:rPr>
          <w:rFonts w:asciiTheme="minorHAnsi" w:hAnsiTheme="minorHAnsi"/>
          <w:sz w:val="22"/>
          <w:szCs w:val="22"/>
          <w:lang w:val="en-GB"/>
        </w:rPr>
        <w:t xml:space="preserve"> </w:t>
      </w:r>
      <w:r w:rsidRPr="00D80AF7">
        <w:rPr>
          <w:rFonts w:asciiTheme="minorHAnsi" w:hAnsiTheme="minorHAnsi"/>
          <w:noProof/>
          <w:sz w:val="22"/>
          <w:szCs w:val="22"/>
          <w:lang w:val="en-GB"/>
        </w:rPr>
        <w:t>distortion elastically</w:t>
      </w:r>
      <w:r w:rsidRPr="00D80AF7">
        <w:rPr>
          <w:rFonts w:asciiTheme="minorHAnsi" w:hAnsiTheme="minorHAnsi"/>
          <w:sz w:val="22"/>
          <w:szCs w:val="22"/>
          <w:lang w:val="en-GB"/>
        </w:rPr>
        <w:t xml:space="preserve"> within </w:t>
      </w:r>
      <w:r>
        <w:rPr>
          <w:rFonts w:asciiTheme="minorHAnsi" w:hAnsiTheme="minorHAnsi"/>
          <w:sz w:val="22"/>
          <w:szCs w:val="22"/>
          <w:lang w:val="en-GB"/>
        </w:rPr>
        <w:t xml:space="preserve">the </w:t>
      </w:r>
      <w:r w:rsidRPr="00D80AF7">
        <w:rPr>
          <w:rFonts w:asciiTheme="minorHAnsi" w:hAnsiTheme="minorHAnsi"/>
          <w:sz w:val="22"/>
          <w:szCs w:val="22"/>
          <w:lang w:val="en-GB"/>
        </w:rPr>
        <w:t>lattice</w:t>
      </w:r>
      <w:r>
        <w:rPr>
          <w:rFonts w:asciiTheme="minorHAnsi" w:hAnsiTheme="minorHAnsi"/>
          <w:sz w:val="22"/>
          <w:szCs w:val="22"/>
          <w:lang w:val="en-GB"/>
        </w:rPr>
        <w:t xml:space="preserve"> </w:t>
      </w:r>
      <w:r w:rsidRPr="00D80AF7">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{"citationItems":[{"id":"ITEM-1","itemData":{"DOI":"10.1016/j.proeng.2012.03.043","ISBN":"18777058","ISSN":"18777058","PMID":"25739749","abstract":"The novel refractory high entropy alloys with the compositions of NbTiVTaAlxwere prepared under a high-purity argon atmosphere and their microstructure and compressive properties at room temperature were investigated. Despite containing many constituents, all alloys had a single solid solution phase with body-centered cubic (BCC) structure, and possessed high compressive yield strength and ductility, which should be attributed to solid solution strengthening. © 2012 Published by Elsevier Ltd.","author":[{"dropping-particle":"","family":"Yang","given":"X.","non-dropping-particle":"","parse-names":false,"suffix":""},{"dropping-particle":"","family":"Zhang","given":"Y.","non-dropping-particle":"","parse-names":false,"suffix":""},{"dropping-particle":"","family":"Liaw","given":"P. K.","non-dropping-particle":"","parse-names":false,"suffix":""}],"container-title":"Procedia Engineering","id":"ITEM-1","issued":{"date-parts":[["2012"]]},"title":"Microstructure and compressive properties of NbTiVTaAlxhigh entropy alloys","type":"paper-conference"},"uris":["http://www.mendeley.com/documents/?uuid=d4b45ec8-3c86-46a1-a764-663c8c434f91"]}],"mendeley":{"formattedCitation":"[28]","plainTextFormattedCitation":"[28]","previouslyFormattedCitation":"[27]"},"properties":{"noteIndex":0},"schema":"https://github.com/citation-style-language/schema/raw/master/csl-citation.json"}</w:instrText>
      </w:r>
      <w:r w:rsidRPr="00D80AF7">
        <w:rPr>
          <w:rFonts w:asciiTheme="minorHAnsi" w:hAnsiTheme="minorHAnsi"/>
          <w:sz w:val="22"/>
          <w:szCs w:val="22"/>
          <w:lang w:val="en-GB"/>
        </w:rPr>
        <w:fldChar w:fldCharType="separate"/>
      </w:r>
      <w:r w:rsidRPr="005C630B">
        <w:rPr>
          <w:rFonts w:asciiTheme="minorHAnsi" w:hAnsiTheme="minorHAnsi"/>
          <w:noProof/>
          <w:sz w:val="22"/>
          <w:szCs w:val="22"/>
          <w:lang w:val="en-GB"/>
        </w:rPr>
        <w:t>[28]</w:t>
      </w:r>
      <w:r w:rsidRPr="00D80AF7">
        <w:rPr>
          <w:rFonts w:asciiTheme="minorHAnsi" w:hAnsiTheme="minorHAnsi"/>
          <w:sz w:val="22"/>
          <w:szCs w:val="22"/>
          <w:lang w:val="en-GB"/>
        </w:rPr>
        <w:fldChar w:fldCharType="end"/>
      </w:r>
      <w:r w:rsidRPr="00D80AF7">
        <w:rPr>
          <w:rFonts w:asciiTheme="minorHAnsi" w:hAnsiTheme="minorHAnsi"/>
          <w:sz w:val="22"/>
          <w:szCs w:val="22"/>
          <w:lang w:val="en-GB"/>
        </w:rPr>
        <w:t xml:space="preserve">. Without </w:t>
      </w:r>
      <w:r>
        <w:rPr>
          <w:rFonts w:asciiTheme="minorHAnsi" w:hAnsiTheme="minorHAnsi"/>
          <w:sz w:val="22"/>
          <w:szCs w:val="22"/>
          <w:lang w:val="en-GB"/>
        </w:rPr>
        <w:t>this</w:t>
      </w:r>
      <w:r w:rsidRPr="00D80AF7">
        <w:rPr>
          <w:rFonts w:asciiTheme="minorHAnsi" w:hAnsiTheme="minorHAnsi"/>
          <w:sz w:val="22"/>
          <w:szCs w:val="22"/>
          <w:lang w:val="en-GB"/>
        </w:rPr>
        <w:t xml:space="preserve"> lattice distortion, the formation of the </w:t>
      </w:r>
      <w:r w:rsidRPr="00D80AF7">
        <w:rPr>
          <w:rFonts w:asciiTheme="minorHAnsi" w:hAnsiTheme="minorHAnsi"/>
          <w:noProof/>
          <w:sz w:val="22"/>
          <w:szCs w:val="22"/>
          <w:lang w:val="en-GB"/>
        </w:rPr>
        <w:t>local</w:t>
      </w:r>
      <w:r w:rsidRPr="00D80AF7">
        <w:rPr>
          <w:rFonts w:asciiTheme="minorHAnsi" w:hAnsiTheme="minorHAnsi"/>
          <w:sz w:val="22"/>
          <w:szCs w:val="22"/>
          <w:lang w:val="en-GB"/>
        </w:rPr>
        <w:t xml:space="preserve"> stress field induced by distortion </w:t>
      </w:r>
      <w:r>
        <w:rPr>
          <w:rFonts w:asciiTheme="minorHAnsi" w:hAnsiTheme="minorHAnsi"/>
          <w:noProof/>
          <w:sz w:val="22"/>
          <w:szCs w:val="22"/>
          <w:lang w:val="en-GB"/>
        </w:rPr>
        <w:t>was</w:t>
      </w:r>
      <w:r w:rsidRPr="00D80AF7">
        <w:rPr>
          <w:rFonts w:asciiTheme="minorHAnsi" w:hAnsiTheme="minorHAnsi"/>
          <w:noProof/>
          <w:sz w:val="22"/>
          <w:szCs w:val="22"/>
          <w:lang w:val="en-GB"/>
        </w:rPr>
        <w:t xml:space="preserve"> not expected</w:t>
      </w:r>
      <w:r>
        <w:rPr>
          <w:rFonts w:asciiTheme="minorHAnsi" w:hAnsiTheme="minorHAnsi"/>
          <w:noProof/>
          <w:sz w:val="22"/>
          <w:szCs w:val="22"/>
          <w:lang w:val="en-GB"/>
        </w:rPr>
        <w:t xml:space="preserve"> and this was evidenced by the similar values measured for yield strength and ultimate compressive strength.</w:t>
      </w:r>
      <w:r w:rsidRPr="00D80AF7">
        <w:rPr>
          <w:rFonts w:asciiTheme="minorHAnsi" w:hAnsiTheme="minorHAnsi"/>
          <w:sz w:val="22"/>
          <w:szCs w:val="22"/>
          <w:lang w:val="en-GB"/>
        </w:rPr>
        <w:t xml:space="preserve"> However, with the </w:t>
      </w:r>
      <w:r w:rsidRPr="00D80AF7">
        <w:rPr>
          <w:rFonts w:asciiTheme="minorHAnsi" w:hAnsiTheme="minorHAnsi"/>
          <w:noProof/>
          <w:sz w:val="22"/>
          <w:szCs w:val="22"/>
          <w:lang w:val="en-GB"/>
        </w:rPr>
        <w:t>substitution</w:t>
      </w:r>
      <w:r w:rsidRPr="00D80AF7">
        <w:rPr>
          <w:rFonts w:asciiTheme="minorHAnsi" w:hAnsiTheme="minorHAnsi"/>
          <w:sz w:val="22"/>
          <w:szCs w:val="22"/>
          <w:lang w:val="en-GB"/>
        </w:rPr>
        <w:t xml:space="preserve"> of Nb by Hf, the increase </w:t>
      </w:r>
      <w:r>
        <w:rPr>
          <w:rFonts w:asciiTheme="minorHAnsi" w:hAnsiTheme="minorHAnsi"/>
          <w:sz w:val="22"/>
          <w:szCs w:val="22"/>
          <w:lang w:val="en-GB"/>
        </w:rPr>
        <w:t>in</w:t>
      </w:r>
      <w:r w:rsidRPr="00D80AF7">
        <w:rPr>
          <w:rFonts w:asciiTheme="minorHAnsi" w:hAnsiTheme="minorHAnsi"/>
          <w:sz w:val="22"/>
          <w:szCs w:val="22"/>
          <w:lang w:val="en-GB"/>
        </w:rPr>
        <w:t xml:space="preserve"> formation enthalpy deviation </w:t>
      </w:r>
      <w:r>
        <w:rPr>
          <w:rFonts w:asciiTheme="minorHAnsi" w:hAnsiTheme="minorHAnsi"/>
          <w:sz w:val="22"/>
          <w:szCs w:val="22"/>
          <w:lang w:val="en-GB"/>
        </w:rPr>
        <w:t xml:space="preserve">has </w:t>
      </w:r>
      <w:r w:rsidRPr="00D80AF7">
        <w:rPr>
          <w:rFonts w:asciiTheme="minorHAnsi" w:hAnsiTheme="minorHAnsi"/>
          <w:sz w:val="22"/>
          <w:szCs w:val="22"/>
          <w:lang w:val="en-GB"/>
        </w:rPr>
        <w:t>correspond</w:t>
      </w:r>
      <w:r>
        <w:rPr>
          <w:rFonts w:asciiTheme="minorHAnsi" w:hAnsiTheme="minorHAnsi"/>
          <w:sz w:val="22"/>
          <w:szCs w:val="22"/>
          <w:lang w:val="en-GB"/>
        </w:rPr>
        <w:t>ed</w:t>
      </w:r>
      <w:r w:rsidRPr="00D80AF7">
        <w:rPr>
          <w:rFonts w:asciiTheme="minorHAnsi" w:hAnsiTheme="minorHAnsi"/>
          <w:sz w:val="22"/>
          <w:szCs w:val="22"/>
          <w:lang w:val="en-GB"/>
        </w:rPr>
        <w:t xml:space="preserve"> to </w:t>
      </w:r>
      <w:r>
        <w:rPr>
          <w:rFonts w:asciiTheme="minorHAnsi" w:hAnsiTheme="minorHAnsi"/>
          <w:sz w:val="22"/>
          <w:szCs w:val="22"/>
          <w:lang w:val="en-GB"/>
        </w:rPr>
        <w:t>an approximate 50%</w:t>
      </w:r>
      <w:r w:rsidRPr="00D80AF7">
        <w:rPr>
          <w:rFonts w:asciiTheme="minorHAnsi" w:hAnsiTheme="minorHAnsi"/>
          <w:sz w:val="22"/>
          <w:szCs w:val="22"/>
          <w:lang w:val="en-GB"/>
        </w:rPr>
        <w:t xml:space="preserve"> </w:t>
      </w:r>
      <w:r w:rsidRPr="00D80AF7">
        <w:rPr>
          <w:rFonts w:asciiTheme="minorHAnsi" w:hAnsiTheme="minorHAnsi"/>
          <w:noProof/>
          <w:sz w:val="22"/>
          <w:szCs w:val="22"/>
          <w:lang w:val="en-GB"/>
        </w:rPr>
        <w:t>loss</w:t>
      </w:r>
      <w:r w:rsidRPr="00D80AF7">
        <w:rPr>
          <w:rFonts w:asciiTheme="minorHAnsi" w:hAnsiTheme="minorHAnsi"/>
          <w:sz w:val="22"/>
          <w:szCs w:val="22"/>
          <w:lang w:val="en-GB"/>
        </w:rPr>
        <w:t xml:space="preserve"> of </w:t>
      </w:r>
      <w:r w:rsidRPr="00D80AF7">
        <w:rPr>
          <w:rFonts w:asciiTheme="minorHAnsi" w:hAnsiTheme="minorHAnsi"/>
          <w:noProof/>
          <w:sz w:val="22"/>
          <w:szCs w:val="22"/>
          <w:lang w:val="en-GB"/>
        </w:rPr>
        <w:t>ductility</w:t>
      </w:r>
      <w:r w:rsidRPr="00D80AF7">
        <w:rPr>
          <w:rFonts w:asciiTheme="minorHAnsi" w:hAnsiTheme="minorHAnsi"/>
          <w:sz w:val="22"/>
          <w:szCs w:val="22"/>
          <w:lang w:val="en-GB"/>
        </w:rPr>
        <w:t xml:space="preserve"> compared with TiZrNbTa. </w:t>
      </w:r>
      <w:r w:rsidRPr="00F066E8">
        <w:rPr>
          <w:rFonts w:asciiTheme="minorHAnsi" w:hAnsiTheme="minorHAnsi"/>
          <w:color w:val="000000" w:themeColor="text1"/>
          <w:sz w:val="22"/>
          <w:szCs w:val="22"/>
          <w:lang w:val="en-GB"/>
        </w:rPr>
        <w:t xml:space="preserve">This observation appeared to correspond to </w:t>
      </w:r>
      <w:r w:rsidRPr="00F066E8">
        <w:rPr>
          <w:rFonts w:asciiTheme="minorHAnsi" w:hAnsiTheme="minorHAnsi"/>
          <w:color w:val="000000" w:themeColor="text1"/>
          <w:sz w:val="22"/>
          <w:szCs w:val="22"/>
          <w:lang w:val="en-GB"/>
        </w:rPr>
        <w:lastRenderedPageBreak/>
        <w:t xml:space="preserve">the proposed use of formation enthalpy deviation as shown in Fig. 4-1, showing the potential effectiveness of using this method to select ductile RHEAs.  </w:t>
      </w:r>
    </w:p>
    <w:p w14:paraId="25758F7C" w14:textId="2126CE1F" w:rsidR="00B145BE" w:rsidRPr="000E0445" w:rsidRDefault="00B145BE" w:rsidP="00B145BE">
      <w:pPr>
        <w:pStyle w:val="Normal1"/>
        <w:spacing w:after="60" w:line="360" w:lineRule="auto"/>
        <w:jc w:val="both"/>
        <w:rPr>
          <w:rFonts w:asciiTheme="minorHAnsi" w:hAnsiTheme="minorHAnsi"/>
          <w:sz w:val="22"/>
          <w:szCs w:val="22"/>
          <w:lang w:val="en-GB"/>
        </w:rPr>
      </w:pPr>
      <w:r w:rsidRPr="00D80AF7">
        <w:rPr>
          <w:rFonts w:asciiTheme="minorHAnsi" w:hAnsiTheme="minorHAnsi"/>
          <w:sz w:val="22"/>
          <w:lang w:val="en-GB"/>
        </w:rPr>
        <w:t xml:space="preserve">Another interesting </w:t>
      </w:r>
      <w:r>
        <w:rPr>
          <w:rFonts w:asciiTheme="minorHAnsi" w:hAnsiTheme="minorHAnsi"/>
          <w:sz w:val="22"/>
          <w:lang w:val="en-GB"/>
        </w:rPr>
        <w:t>observation shown in</w:t>
      </w:r>
      <w:r w:rsidRPr="00D80AF7">
        <w:rPr>
          <w:rFonts w:asciiTheme="minorHAnsi" w:hAnsiTheme="minorHAnsi"/>
          <w:sz w:val="22"/>
          <w:lang w:val="en-GB"/>
        </w:rPr>
        <w:t xml:space="preserve"> </w:t>
      </w:r>
      <w:r>
        <w:rPr>
          <w:rFonts w:asciiTheme="minorHAnsi" w:hAnsiTheme="minorHAnsi"/>
          <w:sz w:val="22"/>
          <w:lang w:val="en-GB"/>
        </w:rPr>
        <w:t>Fig</w:t>
      </w:r>
      <w:r w:rsidRPr="00D80AF7">
        <w:rPr>
          <w:rFonts w:asciiTheme="minorHAnsi" w:hAnsiTheme="minorHAnsi"/>
          <w:sz w:val="22"/>
          <w:lang w:val="en-GB"/>
        </w:rPr>
        <w:t>.</w:t>
      </w:r>
      <w:r>
        <w:rPr>
          <w:rFonts w:asciiTheme="minorHAnsi" w:hAnsiTheme="minorHAnsi"/>
          <w:sz w:val="22"/>
          <w:lang w:val="en-GB"/>
        </w:rPr>
        <w:t xml:space="preserve"> 4-5,</w:t>
      </w:r>
      <w:r w:rsidRPr="00D80AF7">
        <w:rPr>
          <w:rFonts w:asciiTheme="minorHAnsi" w:hAnsiTheme="minorHAnsi"/>
          <w:sz w:val="22"/>
          <w:lang w:val="en-GB"/>
        </w:rPr>
        <w:t xml:space="preserve"> is the increase </w:t>
      </w:r>
      <w:r>
        <w:rPr>
          <w:rFonts w:asciiTheme="minorHAnsi" w:hAnsiTheme="minorHAnsi"/>
          <w:sz w:val="22"/>
          <w:lang w:val="en-GB"/>
        </w:rPr>
        <w:t>in</w:t>
      </w:r>
      <w:r w:rsidRPr="00D80AF7">
        <w:rPr>
          <w:rFonts w:asciiTheme="minorHAnsi" w:hAnsiTheme="minorHAnsi"/>
          <w:sz w:val="22"/>
          <w:lang w:val="en-GB"/>
        </w:rPr>
        <w:t xml:space="preserve"> strain hardening </w:t>
      </w:r>
      <w:r>
        <w:rPr>
          <w:rFonts w:asciiTheme="minorHAnsi" w:hAnsiTheme="minorHAnsi"/>
          <w:sz w:val="22"/>
          <w:lang w:val="en-GB"/>
        </w:rPr>
        <w:t>capability for</w:t>
      </w:r>
      <w:r w:rsidRPr="00D80AF7">
        <w:rPr>
          <w:rFonts w:asciiTheme="minorHAnsi" w:hAnsiTheme="minorHAnsi"/>
          <w:sz w:val="22"/>
          <w:lang w:val="en-GB"/>
        </w:rPr>
        <w:t xml:space="preserve"> TiZrHfTa compared with TiZrNbTa. After substitut</w:t>
      </w:r>
      <w:r>
        <w:rPr>
          <w:rFonts w:asciiTheme="minorHAnsi" w:hAnsiTheme="minorHAnsi"/>
          <w:sz w:val="22"/>
          <w:lang w:val="en-GB"/>
        </w:rPr>
        <w:t>ion of</w:t>
      </w:r>
      <w:r w:rsidRPr="00D80AF7">
        <w:rPr>
          <w:rFonts w:asciiTheme="minorHAnsi" w:hAnsiTheme="minorHAnsi"/>
          <w:sz w:val="22"/>
          <w:lang w:val="en-GB"/>
        </w:rPr>
        <w:t xml:space="preserve"> Nb with Hf, </w:t>
      </w:r>
      <w:r>
        <w:rPr>
          <w:rFonts w:asciiTheme="minorHAnsi" w:hAnsiTheme="minorHAnsi"/>
          <w:sz w:val="22"/>
          <w:lang w:val="en-GB"/>
        </w:rPr>
        <w:t xml:space="preserve">it was evident that </w:t>
      </w:r>
      <w:r w:rsidRPr="00D80AF7">
        <w:rPr>
          <w:rFonts w:asciiTheme="minorHAnsi" w:hAnsiTheme="minorHAnsi"/>
          <w:sz w:val="22"/>
          <w:lang w:val="en-GB"/>
        </w:rPr>
        <w:t xml:space="preserve">the </w:t>
      </w:r>
      <w:r>
        <w:rPr>
          <w:rFonts w:asciiTheme="minorHAnsi" w:hAnsiTheme="minorHAnsi"/>
          <w:sz w:val="22"/>
          <w:lang w:val="en-GB"/>
        </w:rPr>
        <w:t xml:space="preserve">rate at which stress increases from </w:t>
      </w:r>
      <w:r w:rsidRPr="00D80AF7">
        <w:rPr>
          <w:rFonts w:asciiTheme="minorHAnsi" w:hAnsiTheme="minorHAnsi"/>
          <w:sz w:val="22"/>
          <w:lang w:val="en-GB"/>
        </w:rPr>
        <w:t xml:space="preserve">yield stress </w:t>
      </w:r>
      <w:r>
        <w:rPr>
          <w:rFonts w:asciiTheme="minorHAnsi" w:hAnsiTheme="minorHAnsi"/>
          <w:sz w:val="22"/>
          <w:lang w:val="en-GB"/>
        </w:rPr>
        <w:t>to</w:t>
      </w:r>
      <w:r w:rsidRPr="00D80AF7">
        <w:rPr>
          <w:rFonts w:asciiTheme="minorHAnsi" w:hAnsiTheme="minorHAnsi"/>
          <w:sz w:val="22"/>
          <w:lang w:val="en-GB"/>
        </w:rPr>
        <w:t xml:space="preserve"> ultimate </w:t>
      </w:r>
      <w:r>
        <w:rPr>
          <w:rFonts w:asciiTheme="minorHAnsi" w:hAnsiTheme="minorHAnsi"/>
          <w:sz w:val="22"/>
          <w:lang w:val="en-GB"/>
        </w:rPr>
        <w:t xml:space="preserve">compressive </w:t>
      </w:r>
      <w:r w:rsidRPr="00D80AF7">
        <w:rPr>
          <w:rFonts w:asciiTheme="minorHAnsi" w:hAnsiTheme="minorHAnsi"/>
          <w:sz w:val="22"/>
          <w:lang w:val="en-GB"/>
        </w:rPr>
        <w:t xml:space="preserve">stress </w:t>
      </w:r>
      <w:r>
        <w:rPr>
          <w:rFonts w:asciiTheme="minorHAnsi" w:hAnsiTheme="minorHAnsi"/>
          <w:sz w:val="22"/>
          <w:lang w:val="en-GB"/>
        </w:rPr>
        <w:t xml:space="preserve">was greater than </w:t>
      </w:r>
      <w:r w:rsidRPr="00D80AF7">
        <w:rPr>
          <w:rFonts w:asciiTheme="minorHAnsi" w:hAnsiTheme="minorHAnsi"/>
          <w:sz w:val="22"/>
          <w:lang w:val="en-GB"/>
        </w:rPr>
        <w:t>TiZrNbTa</w:t>
      </w:r>
      <w:r>
        <w:rPr>
          <w:rFonts w:asciiTheme="minorHAnsi" w:hAnsiTheme="minorHAnsi"/>
          <w:sz w:val="22"/>
          <w:lang w:val="en-GB"/>
        </w:rPr>
        <w:t xml:space="preserve">, </w:t>
      </w:r>
      <w:r w:rsidRPr="00D80AF7">
        <w:rPr>
          <w:rFonts w:asciiTheme="minorHAnsi" w:hAnsiTheme="minorHAnsi"/>
          <w:sz w:val="22"/>
          <w:lang w:val="en-GB"/>
        </w:rPr>
        <w:t>indicat</w:t>
      </w:r>
      <w:r>
        <w:rPr>
          <w:rFonts w:asciiTheme="minorHAnsi" w:hAnsiTheme="minorHAnsi"/>
          <w:sz w:val="22"/>
          <w:lang w:val="en-GB"/>
        </w:rPr>
        <w:t>ing</w:t>
      </w:r>
      <w:r w:rsidRPr="00D80AF7">
        <w:rPr>
          <w:rFonts w:asciiTheme="minorHAnsi" w:hAnsiTheme="minorHAnsi"/>
          <w:sz w:val="22"/>
          <w:lang w:val="en-GB"/>
        </w:rPr>
        <w:t xml:space="preserve"> the increase </w:t>
      </w:r>
      <w:r>
        <w:rPr>
          <w:rFonts w:asciiTheme="minorHAnsi" w:hAnsiTheme="minorHAnsi"/>
          <w:sz w:val="22"/>
          <w:lang w:val="en-GB"/>
        </w:rPr>
        <w:t>in</w:t>
      </w:r>
      <w:r w:rsidRPr="00D80AF7">
        <w:rPr>
          <w:rFonts w:asciiTheme="minorHAnsi" w:hAnsiTheme="minorHAnsi"/>
          <w:sz w:val="22"/>
          <w:lang w:val="en-GB"/>
        </w:rPr>
        <w:t xml:space="preserve"> strain hardening. </w:t>
      </w:r>
      <w:r>
        <w:rPr>
          <w:rFonts w:asciiTheme="minorHAnsi" w:hAnsiTheme="minorHAnsi"/>
          <w:sz w:val="22"/>
          <w:lang w:val="en-GB"/>
        </w:rPr>
        <w:t xml:space="preserve">Therefore, when considering the indexing of the martensitic phase in Fig. 4-4 and the potential influence this has appeared to have on the compressive properties (high strain hardening, lower ductility), it appears that this could be attributed to the activation of transformation induced plasticity in </w:t>
      </w:r>
      <w:r w:rsidRPr="00D80AF7">
        <w:rPr>
          <w:rFonts w:asciiTheme="minorHAnsi" w:hAnsiTheme="minorHAnsi"/>
          <w:sz w:val="22"/>
          <w:lang w:val="en-GB"/>
        </w:rPr>
        <w:t>TiZrHfTa</w:t>
      </w:r>
      <w:r>
        <w:rPr>
          <w:rFonts w:asciiTheme="minorHAnsi" w:hAnsiTheme="minorHAnsi"/>
          <w:sz w:val="22"/>
          <w:lang w:val="en-GB"/>
        </w:rPr>
        <w:t>.</w:t>
      </w:r>
      <w:r w:rsidRPr="00D80AF7">
        <w:rPr>
          <w:rFonts w:asciiTheme="minorHAnsi" w:hAnsiTheme="minorHAnsi"/>
          <w:sz w:val="22"/>
          <w:lang w:val="en-GB"/>
        </w:rPr>
        <w:t xml:space="preserve"> This finding may </w:t>
      </w:r>
      <w:r>
        <w:rPr>
          <w:rFonts w:asciiTheme="minorHAnsi" w:hAnsiTheme="minorHAnsi"/>
          <w:sz w:val="22"/>
          <w:lang w:val="en-GB"/>
        </w:rPr>
        <w:t>aid</w:t>
      </w:r>
      <w:r w:rsidRPr="00D80AF7">
        <w:rPr>
          <w:rFonts w:asciiTheme="minorHAnsi" w:hAnsiTheme="minorHAnsi"/>
          <w:sz w:val="22"/>
          <w:lang w:val="en-GB"/>
        </w:rPr>
        <w:t xml:space="preserve"> </w:t>
      </w:r>
      <w:r>
        <w:rPr>
          <w:rFonts w:asciiTheme="minorHAnsi" w:hAnsiTheme="minorHAnsi"/>
          <w:sz w:val="22"/>
          <w:lang w:val="en-GB"/>
        </w:rPr>
        <w:t>in the introduction of</w:t>
      </w:r>
      <w:r w:rsidRPr="00D80AF7">
        <w:rPr>
          <w:rFonts w:asciiTheme="minorHAnsi" w:hAnsiTheme="minorHAnsi"/>
          <w:sz w:val="22"/>
          <w:lang w:val="en-GB"/>
        </w:rPr>
        <w:t xml:space="preserve"> more deformation mechanism</w:t>
      </w:r>
      <w:r>
        <w:rPr>
          <w:rFonts w:asciiTheme="minorHAnsi" w:hAnsiTheme="minorHAnsi"/>
          <w:sz w:val="22"/>
          <w:lang w:val="en-GB"/>
        </w:rPr>
        <w:t>s</w:t>
      </w:r>
      <w:r w:rsidRPr="00D80AF7">
        <w:rPr>
          <w:rFonts w:asciiTheme="minorHAnsi" w:hAnsiTheme="minorHAnsi"/>
          <w:sz w:val="22"/>
          <w:lang w:val="en-GB"/>
        </w:rPr>
        <w:t xml:space="preserve"> in RHEAs</w:t>
      </w:r>
      <w:r>
        <w:rPr>
          <w:rFonts w:asciiTheme="minorHAnsi" w:hAnsiTheme="minorHAnsi"/>
          <w:sz w:val="22"/>
          <w:lang w:val="en-GB"/>
        </w:rPr>
        <w:t>, through subtle elemental changes</w:t>
      </w:r>
      <w:r w:rsidRPr="00D80AF7">
        <w:rPr>
          <w:rFonts w:asciiTheme="minorHAnsi" w:hAnsiTheme="minorHAnsi"/>
          <w:sz w:val="22"/>
          <w:lang w:val="en-GB"/>
        </w:rPr>
        <w:t xml:space="preserve"> and can be further used to design ductile RHEAs. </w:t>
      </w:r>
    </w:p>
    <w:p w14:paraId="2A0E3E12" w14:textId="77777777" w:rsidR="00B145BE" w:rsidRDefault="00B145BE" w:rsidP="00B145BE">
      <w:pPr>
        <w:pStyle w:val="Normal1"/>
        <w:keepNext/>
        <w:spacing w:after="60" w:line="360" w:lineRule="auto"/>
        <w:jc w:val="center"/>
        <w:rPr>
          <w:rFonts w:hint="eastAsia"/>
        </w:rPr>
      </w:pPr>
      <w:r w:rsidRPr="00E36A59">
        <w:rPr>
          <w:noProof/>
          <w:lang w:val="en-GB"/>
        </w:rPr>
        <w:drawing>
          <wp:inline distT="0" distB="0" distL="0" distR="0" wp14:anchorId="090B31AD" wp14:editId="0D7D5E7E">
            <wp:extent cx="3681453" cy="2867686"/>
            <wp:effectExtent l="0" t="0" r="0" b="8890"/>
            <wp:docPr id="39" name="图片 38" descr="地图上有字&#10;&#10;描述已自动生成">
              <a:extLst xmlns:a="http://schemas.openxmlformats.org/drawingml/2006/main">
                <a:ext uri="{FF2B5EF4-FFF2-40B4-BE49-F238E27FC236}">
                  <a16:creationId xmlns:a16="http://schemas.microsoft.com/office/drawing/2014/main" id="{FDF15B8E-4E39-4E36-BE00-5DCA33156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descr="地图上有字&#10;&#10;描述已自动生成">
                      <a:extLst>
                        <a:ext uri="{FF2B5EF4-FFF2-40B4-BE49-F238E27FC236}">
                          <a16:creationId xmlns:a16="http://schemas.microsoft.com/office/drawing/2014/main" id="{FDF15B8E-4E39-4E36-BE00-5DCA331568DC}"/>
                        </a:ext>
                      </a:extLst>
                    </pic:cNvPr>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3694520" cy="2877865"/>
                    </a:xfrm>
                    <a:prstGeom prst="rect">
                      <a:avLst/>
                    </a:prstGeom>
                  </pic:spPr>
                </pic:pic>
              </a:graphicData>
            </a:graphic>
          </wp:inline>
        </w:drawing>
      </w:r>
    </w:p>
    <w:p w14:paraId="7F7010F3" w14:textId="3F317941" w:rsidR="00B145BE" w:rsidRPr="00DB1E92" w:rsidRDefault="00B145BE" w:rsidP="00B145BE">
      <w:pPr>
        <w:pStyle w:val="Normal1"/>
        <w:spacing w:after="60" w:line="360" w:lineRule="auto"/>
        <w:jc w:val="both"/>
        <w:rPr>
          <w:rFonts w:asciiTheme="minorHAnsi" w:hAnsiTheme="minorHAnsi"/>
          <w:sz w:val="20"/>
          <w:szCs w:val="21"/>
          <w:lang w:val="en-GB"/>
        </w:rPr>
      </w:pPr>
      <w:bookmarkStart w:id="228" w:name="_Toc7364591"/>
      <w:bookmarkStart w:id="229" w:name="_Toc39312705"/>
      <w:r w:rsidRPr="00D80AF7">
        <w:rPr>
          <w:rFonts w:asciiTheme="minorHAnsi" w:hAnsiTheme="minorHAnsi"/>
          <w:b/>
          <w:sz w:val="20"/>
          <w:szCs w:val="21"/>
          <w:lang w:val="en-GB"/>
        </w:rPr>
        <w:t>Figure</w:t>
      </w:r>
      <w:r>
        <w:rPr>
          <w:rFonts w:asciiTheme="minorHAnsi" w:hAnsiTheme="minorHAnsi"/>
          <w:b/>
          <w:sz w:val="20"/>
          <w:szCs w:val="21"/>
          <w:lang w:val="en-GB"/>
        </w:rPr>
        <w:t xml:space="preserve"> 4</w:t>
      </w:r>
      <w:r w:rsidRPr="008D0F6A">
        <w:rPr>
          <w:rFonts w:asciiTheme="minorHAnsi" w:hAnsiTheme="minorHAnsi"/>
          <w:b/>
          <w:sz w:val="20"/>
          <w:szCs w:val="20"/>
          <w:lang w:val="en-GB"/>
        </w:rPr>
        <w:t>-</w:t>
      </w:r>
      <w:r w:rsidRPr="008D0F6A">
        <w:rPr>
          <w:rFonts w:asciiTheme="minorHAnsi" w:hAnsiTheme="minorHAnsi"/>
          <w:b/>
          <w:sz w:val="20"/>
          <w:szCs w:val="20"/>
        </w:rPr>
        <w:fldChar w:fldCharType="begin"/>
      </w:r>
      <w:r w:rsidRPr="008D0F6A">
        <w:rPr>
          <w:rFonts w:asciiTheme="minorHAnsi" w:hAnsiTheme="minorHAnsi"/>
          <w:b/>
          <w:sz w:val="20"/>
          <w:szCs w:val="20"/>
        </w:rPr>
        <w:instrText xml:space="preserve"> SEQ Figure \* ARABIC </w:instrText>
      </w:r>
      <w:r w:rsidRPr="008D0F6A">
        <w:rPr>
          <w:rFonts w:asciiTheme="minorHAnsi" w:hAnsiTheme="minorHAnsi"/>
          <w:b/>
          <w:sz w:val="20"/>
          <w:szCs w:val="20"/>
        </w:rPr>
        <w:fldChar w:fldCharType="separate"/>
      </w:r>
      <w:r>
        <w:rPr>
          <w:rFonts w:asciiTheme="minorHAnsi" w:hAnsiTheme="minorHAnsi"/>
          <w:b/>
          <w:noProof/>
          <w:sz w:val="20"/>
          <w:szCs w:val="20"/>
        </w:rPr>
        <w:t>5</w:t>
      </w:r>
      <w:r w:rsidRPr="008D0F6A">
        <w:rPr>
          <w:rFonts w:asciiTheme="minorHAnsi" w:hAnsiTheme="minorHAnsi"/>
          <w:b/>
          <w:sz w:val="20"/>
          <w:szCs w:val="20"/>
        </w:rPr>
        <w:fldChar w:fldCharType="end"/>
      </w:r>
      <w:r w:rsidRPr="00D80AF7">
        <w:rPr>
          <w:rFonts w:asciiTheme="minorHAnsi" w:hAnsiTheme="minorHAnsi"/>
          <w:b/>
          <w:sz w:val="20"/>
          <w:szCs w:val="21"/>
          <w:lang w:val="en-GB"/>
        </w:rPr>
        <w:t xml:space="preserve"> </w:t>
      </w:r>
      <w:r>
        <w:rPr>
          <w:rFonts w:asciiTheme="minorHAnsi" w:hAnsiTheme="minorHAnsi"/>
          <w:b/>
          <w:sz w:val="20"/>
          <w:szCs w:val="21"/>
          <w:lang w:val="en-GB"/>
        </w:rPr>
        <w:t>C</w:t>
      </w:r>
      <w:r w:rsidRPr="00D80AF7">
        <w:rPr>
          <w:rFonts w:asciiTheme="minorHAnsi" w:hAnsiTheme="minorHAnsi"/>
          <w:b/>
          <w:sz w:val="20"/>
          <w:szCs w:val="21"/>
          <w:lang w:val="en-GB"/>
        </w:rPr>
        <w:t>ompression test</w:t>
      </w:r>
      <w:r>
        <w:rPr>
          <w:rFonts w:asciiTheme="minorHAnsi" w:hAnsiTheme="minorHAnsi"/>
          <w:b/>
          <w:sz w:val="20"/>
          <w:szCs w:val="21"/>
          <w:lang w:val="en-GB"/>
        </w:rPr>
        <w:t>ing results</w:t>
      </w:r>
      <w:r w:rsidRPr="00D80AF7">
        <w:rPr>
          <w:rFonts w:asciiTheme="minorHAnsi" w:hAnsiTheme="minorHAnsi"/>
          <w:b/>
          <w:sz w:val="20"/>
          <w:szCs w:val="21"/>
          <w:lang w:val="en-GB"/>
        </w:rPr>
        <w:t xml:space="preserve"> of TiZrNbTa and TiZrHfTa</w:t>
      </w:r>
      <w:r>
        <w:rPr>
          <w:rFonts w:asciiTheme="minorHAnsi" w:hAnsiTheme="minorHAnsi"/>
          <w:b/>
          <w:sz w:val="20"/>
          <w:szCs w:val="21"/>
          <w:lang w:val="en-GB"/>
        </w:rPr>
        <w:t>.</w:t>
      </w:r>
      <w:r>
        <w:rPr>
          <w:rFonts w:asciiTheme="minorHAnsi" w:hAnsiTheme="minorHAnsi"/>
          <w:sz w:val="20"/>
          <w:szCs w:val="21"/>
          <w:lang w:val="en-GB"/>
        </w:rPr>
        <w:t xml:space="preserve"> The </w:t>
      </w:r>
      <w:r w:rsidRPr="00D80AF7">
        <w:rPr>
          <w:rFonts w:asciiTheme="minorHAnsi" w:hAnsiTheme="minorHAnsi"/>
          <w:sz w:val="20"/>
          <w:szCs w:val="21"/>
          <w:lang w:val="en-GB"/>
        </w:rPr>
        <w:t xml:space="preserve">engineering stress and engineering strain </w:t>
      </w:r>
      <w:r>
        <w:rPr>
          <w:rFonts w:asciiTheme="minorHAnsi" w:hAnsiTheme="minorHAnsi"/>
          <w:sz w:val="20"/>
          <w:szCs w:val="21"/>
          <w:lang w:val="en-GB"/>
        </w:rPr>
        <w:t xml:space="preserve">curve </w:t>
      </w:r>
      <w:r w:rsidRPr="00D80AF7">
        <w:rPr>
          <w:rFonts w:asciiTheme="minorHAnsi" w:hAnsiTheme="minorHAnsi"/>
          <w:sz w:val="20"/>
          <w:szCs w:val="21"/>
          <w:lang w:val="en-GB"/>
        </w:rPr>
        <w:t xml:space="preserve">of TiZrNbTa, </w:t>
      </w:r>
      <w:r>
        <w:rPr>
          <w:rFonts w:asciiTheme="minorHAnsi" w:hAnsiTheme="minorHAnsi"/>
          <w:sz w:val="20"/>
          <w:szCs w:val="21"/>
          <w:lang w:val="en-GB"/>
        </w:rPr>
        <w:t xml:space="preserve">showing </w:t>
      </w:r>
      <w:r w:rsidRPr="00D80AF7">
        <w:rPr>
          <w:rFonts w:asciiTheme="minorHAnsi" w:hAnsiTheme="minorHAnsi"/>
          <w:sz w:val="20"/>
          <w:szCs w:val="21"/>
          <w:lang w:val="en-GB"/>
        </w:rPr>
        <w:t xml:space="preserve">yield stress and ultimate </w:t>
      </w:r>
      <w:r>
        <w:rPr>
          <w:rFonts w:asciiTheme="minorHAnsi" w:hAnsiTheme="minorHAnsi"/>
          <w:sz w:val="20"/>
          <w:szCs w:val="21"/>
          <w:lang w:val="en-GB"/>
        </w:rPr>
        <w:t xml:space="preserve">compressive </w:t>
      </w:r>
      <w:r w:rsidRPr="00D80AF7">
        <w:rPr>
          <w:rFonts w:asciiTheme="minorHAnsi" w:hAnsiTheme="minorHAnsi"/>
          <w:sz w:val="20"/>
          <w:szCs w:val="21"/>
          <w:lang w:val="en-GB"/>
        </w:rPr>
        <w:t xml:space="preserve">stress </w:t>
      </w:r>
      <w:r w:rsidRPr="00D80AF7">
        <w:rPr>
          <w:rFonts w:asciiTheme="minorHAnsi" w:hAnsiTheme="minorHAnsi"/>
          <w:noProof/>
          <w:sz w:val="20"/>
          <w:szCs w:val="21"/>
          <w:lang w:val="en-GB"/>
        </w:rPr>
        <w:t>marked</w:t>
      </w:r>
      <w:r w:rsidRPr="00D80AF7">
        <w:rPr>
          <w:rFonts w:asciiTheme="minorHAnsi" w:hAnsiTheme="minorHAnsi"/>
          <w:sz w:val="20"/>
          <w:szCs w:val="21"/>
          <w:lang w:val="en-GB"/>
        </w:rPr>
        <w:t xml:space="preserve"> with blue solid and dash</w:t>
      </w:r>
      <w:r w:rsidR="00C96D43">
        <w:rPr>
          <w:rFonts w:asciiTheme="minorHAnsi" w:hAnsiTheme="minorHAnsi"/>
          <w:sz w:val="20"/>
          <w:szCs w:val="21"/>
          <w:lang w:val="en-GB"/>
        </w:rPr>
        <w:t>ed</w:t>
      </w:r>
      <w:r w:rsidRPr="00D80AF7">
        <w:rPr>
          <w:rFonts w:asciiTheme="minorHAnsi" w:hAnsiTheme="minorHAnsi"/>
          <w:sz w:val="20"/>
          <w:szCs w:val="21"/>
          <w:lang w:val="en-GB"/>
        </w:rPr>
        <w:t xml:space="preserve"> line</w:t>
      </w:r>
      <w:r>
        <w:rPr>
          <w:rFonts w:asciiTheme="minorHAnsi" w:hAnsiTheme="minorHAnsi"/>
          <w:sz w:val="20"/>
          <w:szCs w:val="21"/>
          <w:lang w:val="en-GB"/>
        </w:rPr>
        <w:t>s,</w:t>
      </w:r>
      <w:r w:rsidRPr="00D80AF7">
        <w:rPr>
          <w:rFonts w:asciiTheme="minorHAnsi" w:hAnsiTheme="minorHAnsi"/>
          <w:sz w:val="20"/>
          <w:szCs w:val="21"/>
          <w:lang w:val="en-GB"/>
        </w:rPr>
        <w:t xml:space="preserve"> respectively</w:t>
      </w:r>
      <w:r>
        <w:rPr>
          <w:rFonts w:asciiTheme="minorHAnsi" w:hAnsiTheme="minorHAnsi"/>
          <w:sz w:val="20"/>
          <w:szCs w:val="21"/>
          <w:lang w:val="en-GB"/>
        </w:rPr>
        <w:t>; and</w:t>
      </w:r>
      <w:r w:rsidRPr="00D80AF7">
        <w:rPr>
          <w:rFonts w:asciiTheme="minorHAnsi" w:hAnsiTheme="minorHAnsi"/>
          <w:sz w:val="20"/>
          <w:szCs w:val="21"/>
          <w:lang w:val="en-GB"/>
        </w:rPr>
        <w:t xml:space="preserve"> </w:t>
      </w:r>
      <w:r>
        <w:rPr>
          <w:rFonts w:asciiTheme="minorHAnsi" w:hAnsiTheme="minorHAnsi"/>
          <w:sz w:val="20"/>
          <w:szCs w:val="21"/>
          <w:lang w:val="en-GB"/>
        </w:rPr>
        <w:t xml:space="preserve">the </w:t>
      </w:r>
      <w:r w:rsidRPr="00D80AF7">
        <w:rPr>
          <w:rFonts w:asciiTheme="minorHAnsi" w:hAnsiTheme="minorHAnsi"/>
          <w:sz w:val="20"/>
          <w:szCs w:val="21"/>
          <w:lang w:val="en-GB"/>
        </w:rPr>
        <w:t xml:space="preserve">engineering stress and engineering strain of TiZrHfTa, </w:t>
      </w:r>
      <w:r>
        <w:rPr>
          <w:rFonts w:asciiTheme="minorHAnsi" w:hAnsiTheme="minorHAnsi"/>
          <w:sz w:val="20"/>
          <w:szCs w:val="21"/>
          <w:lang w:val="en-GB"/>
        </w:rPr>
        <w:t>showing y</w:t>
      </w:r>
      <w:r w:rsidRPr="00D80AF7">
        <w:rPr>
          <w:rFonts w:asciiTheme="minorHAnsi" w:hAnsiTheme="minorHAnsi"/>
          <w:sz w:val="20"/>
          <w:szCs w:val="21"/>
          <w:lang w:val="en-GB"/>
        </w:rPr>
        <w:t xml:space="preserve">ield stress and ultimate </w:t>
      </w:r>
      <w:r>
        <w:rPr>
          <w:rFonts w:asciiTheme="minorHAnsi" w:hAnsiTheme="minorHAnsi"/>
          <w:sz w:val="20"/>
          <w:szCs w:val="21"/>
          <w:lang w:val="en-GB"/>
        </w:rPr>
        <w:t xml:space="preserve">compressive </w:t>
      </w:r>
      <w:r w:rsidRPr="00D80AF7">
        <w:rPr>
          <w:rFonts w:asciiTheme="minorHAnsi" w:hAnsiTheme="minorHAnsi"/>
          <w:sz w:val="20"/>
          <w:szCs w:val="21"/>
          <w:lang w:val="en-GB"/>
        </w:rPr>
        <w:t>stress marked with blue solid and dash</w:t>
      </w:r>
      <w:r w:rsidR="00C96D43">
        <w:rPr>
          <w:rFonts w:asciiTheme="minorHAnsi" w:hAnsiTheme="minorHAnsi"/>
          <w:sz w:val="20"/>
          <w:szCs w:val="21"/>
          <w:lang w:val="en-GB"/>
        </w:rPr>
        <w:t>ed</w:t>
      </w:r>
      <w:r w:rsidRPr="00D80AF7">
        <w:rPr>
          <w:rFonts w:asciiTheme="minorHAnsi" w:hAnsiTheme="minorHAnsi"/>
          <w:sz w:val="20"/>
          <w:szCs w:val="21"/>
          <w:lang w:val="en-GB"/>
        </w:rPr>
        <w:t xml:space="preserve"> line</w:t>
      </w:r>
      <w:r>
        <w:rPr>
          <w:rFonts w:asciiTheme="minorHAnsi" w:hAnsiTheme="minorHAnsi"/>
          <w:sz w:val="20"/>
          <w:szCs w:val="21"/>
          <w:lang w:val="en-GB"/>
        </w:rPr>
        <w:t>s</w:t>
      </w:r>
      <w:bookmarkEnd w:id="228"/>
      <w:r>
        <w:rPr>
          <w:rFonts w:asciiTheme="minorHAnsi" w:hAnsiTheme="minorHAnsi"/>
          <w:sz w:val="20"/>
          <w:szCs w:val="21"/>
          <w:lang w:val="en-GB"/>
        </w:rPr>
        <w:t>.</w:t>
      </w:r>
      <w:bookmarkEnd w:id="229"/>
      <w:r w:rsidRPr="00D80AF7">
        <w:rPr>
          <w:rFonts w:asciiTheme="minorHAnsi" w:hAnsiTheme="minorHAnsi"/>
          <w:sz w:val="20"/>
          <w:szCs w:val="21"/>
          <w:lang w:val="en-GB"/>
        </w:rPr>
        <w:t xml:space="preserve">  </w:t>
      </w:r>
    </w:p>
    <w:p w14:paraId="0947475F" w14:textId="77777777" w:rsidR="00B145BE" w:rsidRDefault="00B145BE" w:rsidP="00B145BE">
      <w:pPr>
        <w:pStyle w:val="2"/>
        <w:spacing w:after="120" w:line="360" w:lineRule="auto"/>
        <w:rPr>
          <w:rFonts w:asciiTheme="minorHAnsi" w:hAnsiTheme="minorHAnsi"/>
          <w:b/>
          <w:color w:val="auto"/>
          <w:sz w:val="32"/>
          <w:szCs w:val="32"/>
        </w:rPr>
      </w:pPr>
      <w:bookmarkStart w:id="230" w:name="_Toc22052535"/>
      <w:r w:rsidRPr="00E062D9">
        <w:rPr>
          <w:rFonts w:asciiTheme="minorHAnsi" w:hAnsiTheme="minorHAnsi"/>
          <w:b/>
          <w:color w:val="auto"/>
          <w:sz w:val="32"/>
          <w:szCs w:val="32"/>
        </w:rPr>
        <w:t>4.</w:t>
      </w:r>
      <w:r>
        <w:rPr>
          <w:rFonts w:asciiTheme="minorHAnsi" w:hAnsiTheme="minorHAnsi"/>
          <w:b/>
          <w:color w:val="auto"/>
          <w:sz w:val="32"/>
          <w:szCs w:val="32"/>
        </w:rPr>
        <w:t>4</w:t>
      </w:r>
      <w:r w:rsidRPr="00E062D9">
        <w:rPr>
          <w:rFonts w:asciiTheme="minorHAnsi" w:hAnsiTheme="minorHAnsi"/>
          <w:b/>
          <w:color w:val="auto"/>
          <w:sz w:val="32"/>
          <w:szCs w:val="32"/>
        </w:rPr>
        <w:t xml:space="preserve"> Discussion</w:t>
      </w:r>
      <w:bookmarkEnd w:id="230"/>
    </w:p>
    <w:p w14:paraId="0E89BC31" w14:textId="08057949" w:rsidR="00B145BE" w:rsidRPr="00174FBD" w:rsidRDefault="00B145BE" w:rsidP="00B145BE">
      <w:pPr>
        <w:pStyle w:val="Normal1"/>
        <w:spacing w:line="360" w:lineRule="auto"/>
        <w:jc w:val="both"/>
        <w:rPr>
          <w:rFonts w:asciiTheme="minorHAnsi" w:hAnsiTheme="minorHAnsi"/>
          <w:sz w:val="22"/>
          <w:szCs w:val="22"/>
          <w:lang w:val="en-GB"/>
        </w:rPr>
      </w:pPr>
      <w:r>
        <w:rPr>
          <w:rFonts w:asciiTheme="minorHAnsi" w:hAnsiTheme="minorHAnsi"/>
          <w:sz w:val="22"/>
          <w:szCs w:val="22"/>
          <w:lang w:val="en-GB"/>
        </w:rPr>
        <w:t>This discussion aims t</w:t>
      </w:r>
      <w:r w:rsidRPr="00D80AF7">
        <w:rPr>
          <w:rFonts w:asciiTheme="minorHAnsi" w:hAnsiTheme="minorHAnsi"/>
          <w:sz w:val="22"/>
          <w:szCs w:val="22"/>
          <w:lang w:val="en-GB"/>
        </w:rPr>
        <w:t xml:space="preserve">o understand the underlying mechanism </w:t>
      </w:r>
      <w:r>
        <w:rPr>
          <w:rFonts w:asciiTheme="minorHAnsi" w:hAnsiTheme="minorHAnsi"/>
          <w:sz w:val="22"/>
          <w:szCs w:val="22"/>
          <w:lang w:val="en-GB"/>
        </w:rPr>
        <w:t xml:space="preserve">that has </w:t>
      </w:r>
      <w:r w:rsidR="00C96D43">
        <w:rPr>
          <w:rFonts w:asciiTheme="minorHAnsi" w:hAnsiTheme="minorHAnsi"/>
          <w:sz w:val="22"/>
          <w:szCs w:val="22"/>
          <w:lang w:val="en-GB"/>
        </w:rPr>
        <w:t>led</w:t>
      </w:r>
      <w:r w:rsidR="00C96D43" w:rsidRPr="00D80AF7">
        <w:rPr>
          <w:rFonts w:asciiTheme="minorHAnsi" w:hAnsiTheme="minorHAnsi"/>
          <w:sz w:val="22"/>
          <w:szCs w:val="22"/>
          <w:lang w:val="en-GB"/>
        </w:rPr>
        <w:t xml:space="preserve"> </w:t>
      </w:r>
      <w:r w:rsidRPr="00D80AF7">
        <w:rPr>
          <w:rFonts w:asciiTheme="minorHAnsi" w:hAnsiTheme="minorHAnsi"/>
          <w:sz w:val="22"/>
          <w:szCs w:val="22"/>
          <w:lang w:val="en-GB"/>
        </w:rPr>
        <w:t xml:space="preserve">to </w:t>
      </w:r>
      <w:r>
        <w:rPr>
          <w:rFonts w:asciiTheme="minorHAnsi" w:hAnsiTheme="minorHAnsi"/>
          <w:sz w:val="22"/>
          <w:szCs w:val="22"/>
          <w:lang w:val="en-GB"/>
        </w:rPr>
        <w:t xml:space="preserve">the </w:t>
      </w:r>
      <w:r w:rsidRPr="00D80AF7">
        <w:rPr>
          <w:rFonts w:asciiTheme="minorHAnsi" w:hAnsiTheme="minorHAnsi"/>
          <w:noProof/>
          <w:sz w:val="22"/>
          <w:szCs w:val="22"/>
          <w:lang w:val="en-GB"/>
        </w:rPr>
        <w:t>differen</w:t>
      </w:r>
      <w:r>
        <w:rPr>
          <w:rFonts w:asciiTheme="minorHAnsi" w:hAnsiTheme="minorHAnsi"/>
          <w:noProof/>
          <w:sz w:val="22"/>
          <w:szCs w:val="22"/>
          <w:lang w:val="en-GB"/>
        </w:rPr>
        <w:t>ce in</w:t>
      </w:r>
      <w:r w:rsidRPr="00D80AF7">
        <w:rPr>
          <w:rFonts w:asciiTheme="minorHAnsi" w:hAnsiTheme="minorHAnsi"/>
          <w:sz w:val="22"/>
          <w:szCs w:val="22"/>
          <w:lang w:val="en-GB"/>
        </w:rPr>
        <w:t xml:space="preserve"> mechanical performance </w:t>
      </w:r>
      <w:r>
        <w:rPr>
          <w:rFonts w:asciiTheme="minorHAnsi" w:hAnsiTheme="minorHAnsi"/>
          <w:sz w:val="22"/>
          <w:szCs w:val="22"/>
          <w:lang w:val="en-GB"/>
        </w:rPr>
        <w:t xml:space="preserve">during compressive loading as observed </w:t>
      </w:r>
      <w:r w:rsidRPr="00D80AF7">
        <w:rPr>
          <w:rFonts w:asciiTheme="minorHAnsi" w:hAnsiTheme="minorHAnsi"/>
          <w:sz w:val="22"/>
          <w:szCs w:val="22"/>
          <w:lang w:val="en-GB"/>
        </w:rPr>
        <w:t xml:space="preserve">between TiZrNbTa and TiZrHfTa. </w:t>
      </w:r>
      <w:r>
        <w:rPr>
          <w:rFonts w:asciiTheme="minorHAnsi" w:hAnsiTheme="minorHAnsi"/>
          <w:sz w:val="22"/>
          <w:szCs w:val="22"/>
          <w:lang w:val="en-GB"/>
        </w:rPr>
        <w:t>The e</w:t>
      </w:r>
      <w:r w:rsidRPr="00D80AF7">
        <w:rPr>
          <w:rFonts w:asciiTheme="minorHAnsi" w:hAnsiTheme="minorHAnsi"/>
          <w:sz w:val="22"/>
          <w:szCs w:val="22"/>
          <w:lang w:val="en-GB"/>
        </w:rPr>
        <w:t xml:space="preserve">lectronic structure of both RHEAs </w:t>
      </w:r>
      <w:r>
        <w:rPr>
          <w:rFonts w:asciiTheme="minorHAnsi" w:hAnsiTheme="minorHAnsi"/>
          <w:noProof/>
          <w:sz w:val="22"/>
          <w:szCs w:val="22"/>
          <w:lang w:val="en-GB"/>
        </w:rPr>
        <w:t>is shown</w:t>
      </w:r>
      <w:r w:rsidRPr="00D80AF7">
        <w:rPr>
          <w:rFonts w:asciiTheme="minorHAnsi" w:hAnsiTheme="minorHAnsi"/>
          <w:sz w:val="22"/>
          <w:szCs w:val="22"/>
          <w:lang w:val="en-GB"/>
        </w:rPr>
        <w:t xml:space="preserve"> in </w:t>
      </w:r>
      <w:r>
        <w:rPr>
          <w:rFonts w:asciiTheme="minorHAnsi" w:hAnsiTheme="minorHAnsi"/>
          <w:sz w:val="22"/>
          <w:szCs w:val="22"/>
          <w:lang w:val="en-GB"/>
        </w:rPr>
        <w:t>Fig</w:t>
      </w:r>
      <w:r w:rsidRPr="00D80AF7">
        <w:rPr>
          <w:rFonts w:asciiTheme="minorHAnsi" w:hAnsiTheme="minorHAnsi"/>
          <w:sz w:val="22"/>
          <w:szCs w:val="22"/>
          <w:lang w:val="en-GB"/>
        </w:rPr>
        <w:t>.</w:t>
      </w:r>
      <w:r>
        <w:rPr>
          <w:rFonts w:asciiTheme="minorHAnsi" w:hAnsiTheme="minorHAnsi"/>
          <w:sz w:val="22"/>
          <w:szCs w:val="22"/>
          <w:lang w:val="en-GB"/>
        </w:rPr>
        <w:t xml:space="preserve"> 4-6 and</w:t>
      </w:r>
      <w:r w:rsidRPr="00D80AF7">
        <w:rPr>
          <w:rFonts w:asciiTheme="minorHAnsi" w:hAnsiTheme="minorHAnsi"/>
          <w:sz w:val="22"/>
          <w:szCs w:val="22"/>
          <w:lang w:val="en-GB"/>
        </w:rPr>
        <w:t xml:space="preserve"> the </w:t>
      </w:r>
      <w:r w:rsidRPr="00D80AF7">
        <w:rPr>
          <w:rFonts w:asciiTheme="minorHAnsi" w:hAnsiTheme="minorHAnsi"/>
          <w:noProof/>
          <w:sz w:val="22"/>
          <w:szCs w:val="22"/>
          <w:lang w:val="en-GB"/>
        </w:rPr>
        <w:t>electronic</w:t>
      </w:r>
      <w:r w:rsidRPr="00D80AF7">
        <w:rPr>
          <w:rFonts w:asciiTheme="minorHAnsi" w:hAnsiTheme="minorHAnsi"/>
          <w:sz w:val="22"/>
          <w:szCs w:val="22"/>
          <w:lang w:val="en-GB"/>
        </w:rPr>
        <w:t xml:space="preserve"> density of states (DOS) of pure BCC Ti, Z</w:t>
      </w:r>
      <w:r>
        <w:rPr>
          <w:rFonts w:asciiTheme="minorHAnsi" w:hAnsiTheme="minorHAnsi"/>
          <w:sz w:val="22"/>
          <w:szCs w:val="22"/>
          <w:lang w:val="en-GB"/>
        </w:rPr>
        <w:t>r</w:t>
      </w:r>
      <w:r w:rsidRPr="00D80AF7">
        <w:rPr>
          <w:rFonts w:asciiTheme="minorHAnsi" w:hAnsiTheme="minorHAnsi"/>
          <w:sz w:val="22"/>
          <w:szCs w:val="22"/>
          <w:lang w:val="en-GB"/>
        </w:rPr>
        <w:t>, H</w:t>
      </w:r>
      <w:r>
        <w:rPr>
          <w:rFonts w:asciiTheme="minorHAnsi" w:hAnsiTheme="minorHAnsi"/>
          <w:sz w:val="22"/>
          <w:szCs w:val="22"/>
          <w:lang w:val="en-GB"/>
        </w:rPr>
        <w:t>f</w:t>
      </w:r>
      <w:r w:rsidRPr="00D80AF7">
        <w:rPr>
          <w:rFonts w:asciiTheme="minorHAnsi" w:hAnsiTheme="minorHAnsi"/>
          <w:sz w:val="22"/>
          <w:szCs w:val="22"/>
          <w:lang w:val="en-GB"/>
        </w:rPr>
        <w:t>, N</w:t>
      </w:r>
      <w:r>
        <w:rPr>
          <w:rFonts w:asciiTheme="minorHAnsi" w:hAnsiTheme="minorHAnsi"/>
          <w:sz w:val="22"/>
          <w:szCs w:val="22"/>
          <w:lang w:val="en-GB"/>
        </w:rPr>
        <w:t>b</w:t>
      </w:r>
      <w:r w:rsidRPr="00D80AF7">
        <w:rPr>
          <w:rFonts w:asciiTheme="minorHAnsi" w:hAnsiTheme="minorHAnsi"/>
          <w:sz w:val="22"/>
          <w:szCs w:val="22"/>
          <w:lang w:val="en-GB"/>
        </w:rPr>
        <w:t xml:space="preserve"> and </w:t>
      </w:r>
      <w:r>
        <w:rPr>
          <w:rFonts w:asciiTheme="minorHAnsi" w:hAnsiTheme="minorHAnsi"/>
          <w:sz w:val="22"/>
          <w:szCs w:val="22"/>
          <w:lang w:val="en-GB"/>
        </w:rPr>
        <w:t>Ta</w:t>
      </w:r>
      <w:r w:rsidRPr="00D80AF7">
        <w:rPr>
          <w:rFonts w:asciiTheme="minorHAnsi" w:hAnsiTheme="minorHAnsi"/>
          <w:sz w:val="22"/>
          <w:szCs w:val="22"/>
          <w:lang w:val="en-GB"/>
        </w:rPr>
        <w:t xml:space="preserve"> </w:t>
      </w:r>
      <w:r>
        <w:rPr>
          <w:rFonts w:asciiTheme="minorHAnsi" w:hAnsiTheme="minorHAnsi"/>
          <w:sz w:val="22"/>
          <w:szCs w:val="22"/>
          <w:lang w:val="en-GB"/>
        </w:rPr>
        <w:t>are observed</w:t>
      </w:r>
      <w:r w:rsidRPr="00D80AF7">
        <w:rPr>
          <w:rFonts w:asciiTheme="minorHAnsi" w:hAnsiTheme="minorHAnsi"/>
          <w:sz w:val="22"/>
          <w:szCs w:val="22"/>
          <w:lang w:val="en-GB"/>
        </w:rPr>
        <w:t xml:space="preserve">. </w:t>
      </w:r>
      <w:r>
        <w:rPr>
          <w:rFonts w:asciiTheme="minorHAnsi" w:hAnsiTheme="minorHAnsi"/>
          <w:sz w:val="22"/>
          <w:szCs w:val="22"/>
          <w:lang w:val="en-GB"/>
        </w:rPr>
        <w:t>In contrast</w:t>
      </w:r>
      <w:r w:rsidRPr="00D80AF7">
        <w:rPr>
          <w:rFonts w:asciiTheme="minorHAnsi" w:hAnsiTheme="minorHAnsi"/>
          <w:sz w:val="22"/>
          <w:szCs w:val="22"/>
          <w:lang w:val="en-GB"/>
        </w:rPr>
        <w:t xml:space="preserve"> with Nb and Ta</w:t>
      </w:r>
      <w:r>
        <w:rPr>
          <w:rFonts w:asciiTheme="minorHAnsi" w:hAnsiTheme="minorHAnsi"/>
          <w:sz w:val="22"/>
          <w:szCs w:val="22"/>
          <w:lang w:val="en-GB"/>
        </w:rPr>
        <w:t>,</w:t>
      </w:r>
      <w:r w:rsidRPr="00D80AF7">
        <w:rPr>
          <w:rFonts w:asciiTheme="minorHAnsi" w:hAnsiTheme="minorHAnsi"/>
          <w:sz w:val="22"/>
          <w:szCs w:val="22"/>
          <w:lang w:val="en-GB"/>
        </w:rPr>
        <w:t xml:space="preserve"> whose stable phase is BCC at room temperature</w:t>
      </w:r>
      <w:r>
        <w:rPr>
          <w:rFonts w:asciiTheme="minorHAnsi" w:hAnsiTheme="minorHAnsi"/>
          <w:sz w:val="22"/>
          <w:szCs w:val="22"/>
          <w:lang w:val="en-GB"/>
        </w:rPr>
        <w:t xml:space="preserve"> </w:t>
      </w:r>
      <w:r w:rsidRPr="00D80AF7">
        <w:rPr>
          <w:rFonts w:asciiTheme="minorHAnsi" w:hAnsiTheme="minorHAnsi"/>
          <w:sz w:val="22"/>
          <w:szCs w:val="22"/>
          <w:lang w:val="en-GB"/>
        </w:rPr>
        <w:lastRenderedPageBreak/>
        <w:t xml:space="preserve">(RT), the </w:t>
      </w:r>
      <w:r w:rsidRPr="00D80AF7">
        <w:rPr>
          <w:rFonts w:asciiTheme="minorHAnsi" w:hAnsiTheme="minorHAnsi"/>
          <w:noProof/>
          <w:sz w:val="22"/>
          <w:szCs w:val="22"/>
          <w:lang w:val="en-GB"/>
        </w:rPr>
        <w:t>stable</w:t>
      </w:r>
      <w:r w:rsidRPr="00D80AF7">
        <w:rPr>
          <w:rFonts w:asciiTheme="minorHAnsi" w:hAnsiTheme="minorHAnsi"/>
          <w:sz w:val="22"/>
          <w:szCs w:val="22"/>
          <w:lang w:val="en-GB"/>
        </w:rPr>
        <w:t xml:space="preserve"> structure for Ti, Zr </w:t>
      </w:r>
      <w:r w:rsidR="006573E8">
        <w:rPr>
          <w:rFonts w:asciiTheme="minorHAnsi" w:hAnsiTheme="minorHAnsi"/>
          <w:sz w:val="22"/>
          <w:szCs w:val="22"/>
          <w:lang w:val="en-GB"/>
        </w:rPr>
        <w:t xml:space="preserve">and </w:t>
      </w:r>
      <w:r w:rsidRPr="00D80AF7">
        <w:rPr>
          <w:rFonts w:asciiTheme="minorHAnsi" w:hAnsiTheme="minorHAnsi"/>
          <w:sz w:val="22"/>
          <w:szCs w:val="22"/>
          <w:lang w:val="en-GB"/>
        </w:rPr>
        <w:t>Hf at RT is HCP</w:t>
      </w:r>
      <w:r>
        <w:rPr>
          <w:rFonts w:asciiTheme="minorHAnsi" w:hAnsiTheme="minorHAnsi"/>
          <w:sz w:val="22"/>
          <w:szCs w:val="22"/>
          <w:lang w:val="en-GB"/>
        </w:rPr>
        <w:t xml:space="preserve"> and</w:t>
      </w:r>
      <w:r w:rsidRPr="00D80AF7">
        <w:rPr>
          <w:rFonts w:asciiTheme="minorHAnsi" w:hAnsiTheme="minorHAnsi"/>
          <w:sz w:val="22"/>
          <w:szCs w:val="22"/>
          <w:lang w:val="en-GB"/>
        </w:rPr>
        <w:t xml:space="preserve"> the peak of </w:t>
      </w:r>
      <w:r w:rsidR="006573E8">
        <w:rPr>
          <w:rFonts w:asciiTheme="minorHAnsi" w:hAnsiTheme="minorHAnsi"/>
          <w:sz w:val="22"/>
          <w:szCs w:val="22"/>
          <w:lang w:val="en-GB"/>
        </w:rPr>
        <w:t xml:space="preserve">the </w:t>
      </w:r>
      <w:r w:rsidRPr="00D80AF7">
        <w:rPr>
          <w:rFonts w:asciiTheme="minorHAnsi" w:hAnsiTheme="minorHAnsi"/>
          <w:sz w:val="22"/>
          <w:szCs w:val="22"/>
          <w:lang w:val="en-GB"/>
        </w:rPr>
        <w:t>DOS at</w:t>
      </w:r>
      <w:r w:rsidR="006573E8">
        <w:rPr>
          <w:rFonts w:asciiTheme="minorHAnsi" w:hAnsiTheme="minorHAnsi"/>
          <w:sz w:val="22"/>
          <w:szCs w:val="22"/>
          <w:lang w:val="en-GB"/>
        </w:rPr>
        <w:t xml:space="preserve"> the</w:t>
      </w:r>
      <w:r w:rsidRPr="00D80AF7">
        <w:rPr>
          <w:rFonts w:asciiTheme="minorHAnsi" w:hAnsiTheme="minorHAnsi"/>
          <w:sz w:val="22"/>
          <w:szCs w:val="22"/>
          <w:lang w:val="en-GB"/>
        </w:rPr>
        <w:t xml:space="preserve"> </w:t>
      </w:r>
      <w:r w:rsidRPr="00D80AF7">
        <w:rPr>
          <w:rFonts w:asciiTheme="minorHAnsi" w:hAnsiTheme="minorHAnsi"/>
          <w:noProof/>
          <w:sz w:val="22"/>
          <w:szCs w:val="22"/>
          <w:lang w:val="en-GB"/>
        </w:rPr>
        <w:t>Fermi</w:t>
      </w:r>
      <w:r w:rsidRPr="00D80AF7">
        <w:rPr>
          <w:rFonts w:asciiTheme="minorHAnsi" w:hAnsiTheme="minorHAnsi"/>
          <w:sz w:val="22"/>
          <w:szCs w:val="22"/>
          <w:lang w:val="en-GB"/>
        </w:rPr>
        <w:t xml:space="preserve"> level</w:t>
      </w:r>
      <w:r>
        <w:rPr>
          <w:rFonts w:asciiTheme="minorHAnsi" w:hAnsiTheme="minorHAnsi"/>
          <w:sz w:val="22"/>
          <w:szCs w:val="22"/>
          <w:lang w:val="en-GB"/>
        </w:rPr>
        <w:t xml:space="preserve"> </w:t>
      </w:r>
      <w:r w:rsidRPr="00D80AF7">
        <w:rPr>
          <w:rFonts w:asciiTheme="minorHAnsi" w:hAnsiTheme="minorHAnsi"/>
          <w:sz w:val="22"/>
          <w:szCs w:val="22"/>
          <w:lang w:val="en-GB"/>
        </w:rPr>
        <w:t>(E</w:t>
      </w:r>
      <w:r w:rsidRPr="00D80AF7">
        <w:rPr>
          <w:rFonts w:asciiTheme="minorHAnsi" w:hAnsiTheme="minorHAnsi"/>
          <w:sz w:val="22"/>
          <w:szCs w:val="22"/>
          <w:vertAlign w:val="subscript"/>
          <w:lang w:val="en-GB"/>
        </w:rPr>
        <w:t>f</w:t>
      </w:r>
      <w:r w:rsidRPr="00D80AF7">
        <w:rPr>
          <w:rFonts w:asciiTheme="minorHAnsi" w:hAnsiTheme="minorHAnsi"/>
          <w:sz w:val="22"/>
          <w:szCs w:val="22"/>
          <w:lang w:val="en-GB"/>
        </w:rPr>
        <w:t xml:space="preserve">) </w:t>
      </w:r>
      <w:r>
        <w:rPr>
          <w:rFonts w:asciiTheme="minorHAnsi" w:hAnsiTheme="minorHAnsi"/>
          <w:sz w:val="22"/>
          <w:szCs w:val="22"/>
          <w:lang w:val="en-GB"/>
        </w:rPr>
        <w:t>for</w:t>
      </w:r>
      <w:r w:rsidRPr="00D80AF7">
        <w:rPr>
          <w:rFonts w:asciiTheme="minorHAnsi" w:hAnsiTheme="minorHAnsi"/>
          <w:sz w:val="22"/>
          <w:szCs w:val="22"/>
          <w:lang w:val="en-GB"/>
        </w:rPr>
        <w:t xml:space="preserve"> these three elements remain</w:t>
      </w:r>
      <w:r w:rsidR="006573E8">
        <w:rPr>
          <w:rFonts w:asciiTheme="minorHAnsi" w:hAnsiTheme="minorHAnsi"/>
          <w:sz w:val="22"/>
          <w:szCs w:val="22"/>
          <w:lang w:val="en-GB"/>
        </w:rPr>
        <w:t>s</w:t>
      </w:r>
      <w:r w:rsidRPr="00D80AF7">
        <w:rPr>
          <w:rFonts w:asciiTheme="minorHAnsi" w:hAnsiTheme="minorHAnsi"/>
          <w:sz w:val="22"/>
          <w:szCs w:val="22"/>
          <w:lang w:val="en-GB"/>
        </w:rPr>
        <w:t xml:space="preserve"> higher compared with BCC stable elements. </w:t>
      </w:r>
      <w:r>
        <w:rPr>
          <w:rFonts w:asciiTheme="minorHAnsi" w:hAnsiTheme="minorHAnsi"/>
          <w:sz w:val="22"/>
          <w:szCs w:val="22"/>
          <w:lang w:val="en-GB"/>
        </w:rPr>
        <w:t>Considering the</w:t>
      </w:r>
      <w:r w:rsidRPr="00D80AF7">
        <w:rPr>
          <w:rFonts w:asciiTheme="minorHAnsi" w:hAnsiTheme="minorHAnsi"/>
          <w:sz w:val="22"/>
          <w:szCs w:val="22"/>
          <w:lang w:val="en-GB"/>
        </w:rPr>
        <w:t xml:space="preserve"> total density of states</w:t>
      </w:r>
      <w:r>
        <w:rPr>
          <w:rFonts w:asciiTheme="minorHAnsi" w:hAnsiTheme="minorHAnsi"/>
          <w:sz w:val="22"/>
          <w:szCs w:val="22"/>
          <w:lang w:val="en-GB"/>
        </w:rPr>
        <w:t xml:space="preserve"> </w:t>
      </w:r>
      <w:r w:rsidRPr="00D80AF7">
        <w:rPr>
          <w:rFonts w:asciiTheme="minorHAnsi" w:hAnsiTheme="minorHAnsi"/>
          <w:sz w:val="22"/>
          <w:szCs w:val="22"/>
          <w:lang w:val="en-GB"/>
        </w:rPr>
        <w:t xml:space="preserve">(TDOS) of TiZrNbTa and TiZrHfTa, to determine the </w:t>
      </w:r>
      <w:r w:rsidRPr="00D80AF7">
        <w:rPr>
          <w:rFonts w:asciiTheme="minorHAnsi" w:hAnsiTheme="minorHAnsi"/>
          <w:noProof/>
          <w:sz w:val="22"/>
          <w:szCs w:val="22"/>
          <w:lang w:val="en-GB"/>
        </w:rPr>
        <w:t>stabilisation</w:t>
      </w:r>
      <w:r w:rsidRPr="00D80AF7">
        <w:rPr>
          <w:rFonts w:asciiTheme="minorHAnsi" w:hAnsiTheme="minorHAnsi"/>
          <w:sz w:val="22"/>
          <w:szCs w:val="22"/>
          <w:lang w:val="en-GB"/>
        </w:rPr>
        <w:t xml:space="preserve"> of their lattice structure, the peak split around </w:t>
      </w:r>
      <w:r w:rsidRPr="00D66B74">
        <w:rPr>
          <w:rFonts w:asciiTheme="minorHAnsi" w:hAnsiTheme="minorHAnsi"/>
          <w:i/>
          <w:sz w:val="22"/>
          <w:szCs w:val="22"/>
          <w:lang w:val="en-GB"/>
        </w:rPr>
        <w:t>E</w:t>
      </w:r>
      <w:r w:rsidRPr="00D66B74">
        <w:rPr>
          <w:rFonts w:asciiTheme="minorHAnsi" w:hAnsiTheme="minorHAnsi"/>
          <w:i/>
          <w:sz w:val="22"/>
          <w:szCs w:val="22"/>
          <w:vertAlign w:val="subscript"/>
          <w:lang w:val="en-GB"/>
        </w:rPr>
        <w:t>f</w:t>
      </w:r>
      <w:r w:rsidRPr="00D80AF7">
        <w:rPr>
          <w:rFonts w:asciiTheme="minorHAnsi" w:hAnsiTheme="minorHAnsi"/>
          <w:sz w:val="22"/>
          <w:szCs w:val="22"/>
          <w:lang w:val="en-GB"/>
        </w:rPr>
        <w:t xml:space="preserve"> is an important feature. The peak split induced by lattice distortion may shift states to a </w:t>
      </w:r>
      <w:r w:rsidRPr="00D80AF7">
        <w:rPr>
          <w:rFonts w:asciiTheme="minorHAnsi" w:hAnsiTheme="minorHAnsi"/>
          <w:noProof/>
          <w:sz w:val="22"/>
          <w:szCs w:val="22"/>
          <w:lang w:val="en-GB"/>
        </w:rPr>
        <w:t>higher</w:t>
      </w:r>
      <w:r w:rsidRPr="00D80AF7">
        <w:rPr>
          <w:rFonts w:asciiTheme="minorHAnsi" w:hAnsiTheme="minorHAnsi"/>
          <w:sz w:val="22"/>
          <w:szCs w:val="22"/>
          <w:lang w:val="en-GB"/>
        </w:rPr>
        <w:t xml:space="preserve"> energy level</w:t>
      </w:r>
      <w:r>
        <w:rPr>
          <w:rFonts w:asciiTheme="minorHAnsi" w:hAnsiTheme="minorHAnsi"/>
          <w:sz w:val="22"/>
          <w:szCs w:val="22"/>
          <w:lang w:val="en-GB"/>
        </w:rPr>
        <w:t>,</w:t>
      </w:r>
      <w:r w:rsidRPr="00D80AF7">
        <w:rPr>
          <w:rFonts w:asciiTheme="minorHAnsi" w:hAnsiTheme="minorHAnsi"/>
          <w:sz w:val="22"/>
          <w:szCs w:val="22"/>
          <w:lang w:val="en-GB"/>
        </w:rPr>
        <w:t xml:space="preserve"> which </w:t>
      </w:r>
      <w:r>
        <w:rPr>
          <w:rFonts w:asciiTheme="minorHAnsi" w:hAnsiTheme="minorHAnsi"/>
          <w:sz w:val="22"/>
          <w:szCs w:val="22"/>
          <w:lang w:val="en-GB"/>
        </w:rPr>
        <w:t>results in a</w:t>
      </w:r>
      <w:r w:rsidRPr="00D80AF7">
        <w:rPr>
          <w:rFonts w:asciiTheme="minorHAnsi" w:hAnsiTheme="minorHAnsi"/>
          <w:sz w:val="22"/>
          <w:szCs w:val="22"/>
          <w:lang w:val="en-GB"/>
        </w:rPr>
        <w:t xml:space="preserve"> decrease of single electron energy</w:t>
      </w:r>
      <w:r>
        <w:rPr>
          <w:rFonts w:asciiTheme="minorHAnsi" w:hAnsiTheme="minorHAnsi"/>
          <w:sz w:val="22"/>
          <w:szCs w:val="22"/>
          <w:lang w:val="en-GB"/>
        </w:rPr>
        <w:t xml:space="preserve"> </w:t>
      </w:r>
      <w:r w:rsidRPr="00D80AF7">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{"citationItems":[{"id":"ITEM-1","itemData":{"DOI":"10.1016/j.jallcom.2014.01.237","ISBN":"0925-8388","ISSN":"09258388","abstract":"The TiZrVNb and TiZrNbMoVx (x = 0-1.5) high-entropy alloys (HEAs) are single-phase solid solutions having the body centered cubic crystallographic structure. Here we use the ab initio exact muffin-tin orbitals method in combination with the coherent potential approximation to study the equilibrium bulk properties of the above refractory HEAs. We provide a detailed investigation of the effect of alloying elements on the electronic structure and elastic parameters. Our results indicate that vanadium enhances the anisotropy of TiZrNbMoVx. As an application of the present theoretical database, we verify the often quoted correlation between the valence electron concentration (VEC) and the micro-mechanical properties in the case of multi-component alloys. Furthermore, we predict that the present HEAs become elastically isotropic for VEC</w:instrText>
      </w:r>
      <w:r>
        <w:rPr>
          <w:rFonts w:ascii="Cambria Math" w:hAnsi="Cambria Math" w:cs="Cambria Math"/>
          <w:sz w:val="22"/>
          <w:szCs w:val="22"/>
          <w:lang w:val="en-GB"/>
        </w:rPr>
        <w:instrText>∼</w:instrText>
      </w:r>
      <w:r>
        <w:rPr>
          <w:rFonts w:asciiTheme="minorHAnsi" w:hAnsiTheme="minorHAnsi"/>
          <w:sz w:val="22"/>
          <w:szCs w:val="22"/>
          <w:lang w:val="en-GB"/>
        </w:rPr>
        <w:instrText xml:space="preserve">4.72. </w:instrText>
      </w:r>
      <w:r>
        <w:rPr>
          <w:rFonts w:ascii="Calibri" w:hAnsi="Calibri" w:cs="Calibri"/>
          <w:sz w:val="22"/>
          <w:szCs w:val="22"/>
          <w:lang w:val="en-GB"/>
        </w:rPr>
        <w:instrText>©</w:instrText>
      </w:r>
      <w:r>
        <w:rPr>
          <w:rFonts w:asciiTheme="minorHAnsi" w:hAnsiTheme="minorHAnsi"/>
          <w:sz w:val="22"/>
          <w:szCs w:val="22"/>
          <w:lang w:val="en-GB"/>
        </w:rPr>
        <w:instrText xml:space="preserve"> 2014 Elsevier B.V. All rights reserved.","author":[{"dropping-particle":"","family":"Tian","given":"Fuyang","non-dropping-particle":"","parse-names":false,"suffix":""},{"dropping-particle":"","family":"Varga","given":"Lajos Karoly","non-dropping-particle":"","parse-names":false,"suffix":""},{"dropping-particle":"","family":"Chen","given":"Nanxian","non-dropping-particle":"","parse-names":false,"suffix":""},{"dropping-particle":"","family":"Shen","given":"Jiang","non-dropping-particle":"","parse-names":false,"suffix":""},{"dropping-particle":"","family":"Vitos","given":"Levente","non-dropping-particle":"","parse-names":false,"suffix":""}],"container-title":"Journal of Alloys and Compounds","id":"ITEM-1","issued":{"date-parts":[["2014"]]},"title":"Ab initio design of elastically isotropic TiZrNbMoVx high-entropy alloys","type":"article-journal"},"uris":["http://www.mendeley.com/documents/?uuid=11ffa549-45a0-4157-8c75-fd8cfb3af1e0"]},{"id":"ITEM-2","itemData":{"DOI":"10.1016/j.intermet.2016.12.007","ISBN":"09669795","ISSN":"09669795","abstract":"We use the Hume-Rothery rules and ab initio mixing enthalpies to design novel high entropy alloys composed of late 3d metal (Mn, Fe, Co, Ni, Cu) and CrMoW. Results predict that CrMoW, CrMoWMn, CrMoWCo and CrMoWNi adopt single body-centered cubic (bcc) crystal structure. The ab initio calculations of elastic moduli and ideal strengths indicate that the bcc phase is more stable thermodynamically than the face-centered cubic (fcc) crystal structure for CrMoW, CrMoWMn, CrMoWNi HEAs, but the late 3d elements decreases the mechanical stability of the bcc phase. In particular Ni addition increases the intrinsic ductility and decreases the intrinsic strength of CrMoW alloy.","author":[{"dropping-particle":"","family":"Tian","given":"Fuyang","non-dropping-particle":"","parse-names":false,"suffix":""},{"dropping-particle":"","family":"Varga","given":"Lajos Károly","non-dropping-particle":"","parse-names":false,"suffix":""},{"dropping-particle":"","family":"Vitos","given":"Levente","non-dropping-particle":"","parse-names":false,"suffix":""}],"container-title":"Intermetallics","id":"ITEM-2","issued":{"date-parts":[["2017"]]},"title":"Predicting single phase CrMoWX high entropy alloys from empirical relations in combination with first-principles calculations","type":"article-journal"},"uris":["http://www.mendeley.com/documents/?uuid=d4e3e10e-c87d-416e-80ed-900587e7e5f1"]}],"mendeley":{"formattedCitation":"[11,16]","plainTextFormattedCitation":"[11,16]","previouslyFormattedCitation":"[11,16]"},"properties":{"noteIndex":0},"schema":"https://github.com/citation-style-language/schema/raw/master/csl-citation.json"}</w:instrText>
      </w:r>
      <w:r w:rsidRPr="00D80AF7">
        <w:rPr>
          <w:rFonts w:asciiTheme="minorHAnsi" w:hAnsiTheme="minorHAnsi"/>
          <w:sz w:val="22"/>
          <w:szCs w:val="22"/>
          <w:lang w:val="en-GB"/>
        </w:rPr>
        <w:fldChar w:fldCharType="separate"/>
      </w:r>
      <w:r w:rsidRPr="00C84C26">
        <w:rPr>
          <w:rFonts w:asciiTheme="minorHAnsi" w:hAnsiTheme="minorHAnsi"/>
          <w:noProof/>
          <w:sz w:val="22"/>
          <w:szCs w:val="22"/>
          <w:lang w:val="en-GB"/>
        </w:rPr>
        <w:t>[11,16]</w:t>
      </w:r>
      <w:r w:rsidRPr="00D80AF7">
        <w:rPr>
          <w:rFonts w:asciiTheme="minorHAnsi" w:hAnsiTheme="minorHAnsi"/>
          <w:sz w:val="22"/>
          <w:szCs w:val="22"/>
          <w:lang w:val="en-GB"/>
        </w:rPr>
        <w:fldChar w:fldCharType="end"/>
      </w:r>
      <w:r w:rsidRPr="00D80AF7">
        <w:rPr>
          <w:rFonts w:asciiTheme="minorHAnsi" w:hAnsiTheme="minorHAnsi"/>
          <w:sz w:val="22"/>
          <w:szCs w:val="22"/>
          <w:lang w:val="en-GB"/>
        </w:rPr>
        <w:t xml:space="preserve">. </w:t>
      </w:r>
    </w:p>
    <w:p w14:paraId="55054B83" w14:textId="77777777" w:rsidR="00B145BE" w:rsidRDefault="00B145BE" w:rsidP="00B145BE">
      <w:pPr>
        <w:pStyle w:val="Normal1"/>
        <w:keepNext/>
        <w:spacing w:after="120" w:line="360" w:lineRule="auto"/>
        <w:rPr>
          <w:rFonts w:hint="eastAsia"/>
        </w:rPr>
      </w:pPr>
      <w:r w:rsidRPr="00EE2580">
        <w:rPr>
          <w:noProof/>
          <w:lang w:val="en-GB"/>
        </w:rPr>
        <w:drawing>
          <wp:inline distT="0" distB="0" distL="0" distR="0" wp14:anchorId="1D9EB46F" wp14:editId="76E551CC">
            <wp:extent cx="6035040" cy="3970076"/>
            <wp:effectExtent l="0" t="0" r="3810" b="0"/>
            <wp:docPr id="228" name="图片 19" descr="地图上有字&#10;&#10;描述已自动生成">
              <a:extLst xmlns:a="http://schemas.openxmlformats.org/drawingml/2006/main">
                <a:ext uri="{FF2B5EF4-FFF2-40B4-BE49-F238E27FC236}">
                  <a16:creationId xmlns:a16="http://schemas.microsoft.com/office/drawing/2014/main" id="{95908DA9-29CC-4CEA-BC76-466DA31453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descr="地图上有字&#10;&#10;描述已自动生成">
                      <a:extLst>
                        <a:ext uri="{FF2B5EF4-FFF2-40B4-BE49-F238E27FC236}">
                          <a16:creationId xmlns:a16="http://schemas.microsoft.com/office/drawing/2014/main" id="{95908DA9-29CC-4CEA-BC76-466DA31453A5}"/>
                        </a:ext>
                      </a:extLst>
                    </pic:cNvPr>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6058716" cy="3985651"/>
                    </a:xfrm>
                    <a:prstGeom prst="rect">
                      <a:avLst/>
                    </a:prstGeom>
                  </pic:spPr>
                </pic:pic>
              </a:graphicData>
            </a:graphic>
          </wp:inline>
        </w:drawing>
      </w:r>
    </w:p>
    <w:p w14:paraId="472EC4C5" w14:textId="6CEB2F66" w:rsidR="00B145BE" w:rsidRPr="002D1E27" w:rsidRDefault="00B145BE" w:rsidP="00B145BE">
      <w:pPr>
        <w:pStyle w:val="Normal1"/>
        <w:spacing w:after="120" w:line="360" w:lineRule="auto"/>
        <w:jc w:val="both"/>
        <w:rPr>
          <w:rFonts w:asciiTheme="minorHAnsi" w:hAnsiTheme="minorHAnsi"/>
          <w:sz w:val="20"/>
          <w:szCs w:val="21"/>
          <w:lang w:val="en-GB"/>
        </w:rPr>
      </w:pPr>
      <w:bookmarkStart w:id="231" w:name="_Toc7364592"/>
      <w:bookmarkStart w:id="232" w:name="_Toc39312706"/>
      <w:r w:rsidRPr="00D80AF7">
        <w:rPr>
          <w:rFonts w:asciiTheme="minorHAnsi" w:hAnsiTheme="minorHAnsi"/>
          <w:b/>
          <w:sz w:val="20"/>
          <w:szCs w:val="21"/>
          <w:lang w:val="en-GB"/>
        </w:rPr>
        <w:t xml:space="preserve">Figure </w:t>
      </w:r>
      <w:r>
        <w:rPr>
          <w:rFonts w:asciiTheme="minorHAnsi" w:hAnsiTheme="minorHAnsi"/>
          <w:b/>
          <w:sz w:val="20"/>
          <w:szCs w:val="21"/>
          <w:lang w:val="en-GB"/>
        </w:rPr>
        <w:t>4-</w:t>
      </w:r>
      <w:r w:rsidRPr="008D0F6A">
        <w:rPr>
          <w:rFonts w:asciiTheme="minorHAnsi" w:hAnsiTheme="minorHAnsi"/>
          <w:b/>
          <w:sz w:val="20"/>
        </w:rPr>
        <w:fldChar w:fldCharType="begin"/>
      </w:r>
      <w:r w:rsidRPr="008D0F6A">
        <w:rPr>
          <w:rFonts w:asciiTheme="minorHAnsi" w:hAnsiTheme="minorHAnsi"/>
          <w:b/>
          <w:sz w:val="20"/>
        </w:rPr>
        <w:instrText xml:space="preserve"> SEQ Figure \* ARABIC </w:instrText>
      </w:r>
      <w:r w:rsidRPr="008D0F6A">
        <w:rPr>
          <w:rFonts w:asciiTheme="minorHAnsi" w:hAnsiTheme="minorHAnsi"/>
          <w:b/>
          <w:sz w:val="20"/>
        </w:rPr>
        <w:fldChar w:fldCharType="separate"/>
      </w:r>
      <w:r>
        <w:rPr>
          <w:rFonts w:asciiTheme="minorHAnsi" w:hAnsiTheme="minorHAnsi"/>
          <w:b/>
          <w:noProof/>
          <w:sz w:val="20"/>
        </w:rPr>
        <w:t>6</w:t>
      </w:r>
      <w:r w:rsidRPr="008D0F6A">
        <w:rPr>
          <w:rFonts w:asciiTheme="minorHAnsi" w:hAnsiTheme="minorHAnsi"/>
          <w:b/>
          <w:sz w:val="20"/>
        </w:rPr>
        <w:fldChar w:fldCharType="end"/>
      </w:r>
      <w:r w:rsidRPr="00D80AF7">
        <w:rPr>
          <w:rFonts w:asciiTheme="minorHAnsi" w:hAnsiTheme="minorHAnsi"/>
          <w:b/>
          <w:sz w:val="20"/>
          <w:szCs w:val="21"/>
          <w:lang w:val="en-GB"/>
        </w:rPr>
        <w:t xml:space="preserve"> </w:t>
      </w:r>
      <w:r w:rsidRPr="00D80AF7">
        <w:rPr>
          <w:rFonts w:asciiTheme="minorHAnsi" w:hAnsiTheme="minorHAnsi"/>
          <w:b/>
          <w:noProof/>
          <w:sz w:val="20"/>
          <w:szCs w:val="21"/>
          <w:lang w:val="en-GB"/>
        </w:rPr>
        <w:t>The density</w:t>
      </w:r>
      <w:r w:rsidRPr="00D80AF7">
        <w:rPr>
          <w:rFonts w:asciiTheme="minorHAnsi" w:hAnsiTheme="minorHAnsi"/>
          <w:b/>
          <w:sz w:val="20"/>
          <w:szCs w:val="21"/>
          <w:lang w:val="en-GB"/>
        </w:rPr>
        <w:t xml:space="preserve"> of states </w:t>
      </w:r>
      <w:r w:rsidR="00CD4365">
        <w:rPr>
          <w:rFonts w:asciiTheme="minorHAnsi" w:hAnsiTheme="minorHAnsi"/>
          <w:b/>
          <w:sz w:val="20"/>
          <w:szCs w:val="21"/>
          <w:lang w:val="en-GB"/>
        </w:rPr>
        <w:t xml:space="preserve">(DOS) </w:t>
      </w:r>
      <w:r w:rsidRPr="00D80AF7">
        <w:rPr>
          <w:rFonts w:asciiTheme="minorHAnsi" w:hAnsiTheme="minorHAnsi"/>
          <w:b/>
          <w:sz w:val="20"/>
          <w:szCs w:val="21"/>
          <w:lang w:val="en-GB"/>
        </w:rPr>
        <w:t>of different BCC structure materials</w:t>
      </w:r>
      <w:r w:rsidRPr="00D80AF7">
        <w:rPr>
          <w:rFonts w:asciiTheme="minorHAnsi" w:hAnsiTheme="minorHAnsi"/>
          <w:sz w:val="20"/>
          <w:szCs w:val="21"/>
          <w:lang w:val="en-GB"/>
        </w:rPr>
        <w:t xml:space="preserve"> (</w:t>
      </w:r>
      <w:r w:rsidRPr="00D80AF7">
        <w:rPr>
          <w:rFonts w:asciiTheme="minorHAnsi" w:hAnsiTheme="minorHAnsi"/>
          <w:b/>
          <w:sz w:val="20"/>
          <w:szCs w:val="21"/>
          <w:lang w:val="en-GB"/>
        </w:rPr>
        <w:t>a-b</w:t>
      </w:r>
      <w:r w:rsidRPr="00D80AF7">
        <w:rPr>
          <w:rFonts w:asciiTheme="minorHAnsi" w:hAnsiTheme="minorHAnsi"/>
          <w:sz w:val="20"/>
          <w:szCs w:val="21"/>
          <w:lang w:val="en-GB"/>
        </w:rPr>
        <w:t>)</w:t>
      </w:r>
      <w:r>
        <w:rPr>
          <w:rFonts w:asciiTheme="minorHAnsi" w:hAnsiTheme="minorHAnsi"/>
          <w:sz w:val="20"/>
          <w:szCs w:val="21"/>
          <w:lang w:val="en-GB"/>
        </w:rPr>
        <w:t xml:space="preserve"> t</w:t>
      </w:r>
      <w:r w:rsidRPr="00D80AF7">
        <w:rPr>
          <w:rFonts w:asciiTheme="minorHAnsi" w:hAnsiTheme="minorHAnsi"/>
          <w:sz w:val="20"/>
          <w:szCs w:val="21"/>
          <w:lang w:val="en-GB"/>
        </w:rPr>
        <w:t>otal and partial density of states of pure BCC metallic Ti</w:t>
      </w:r>
      <w:r w:rsidRPr="00D80AF7">
        <w:rPr>
          <w:rFonts w:asciiTheme="minorHAnsi" w:hAnsiTheme="minorHAnsi"/>
          <w:noProof/>
          <w:sz w:val="20"/>
          <w:szCs w:val="21"/>
          <w:lang w:val="en-GB"/>
        </w:rPr>
        <w:t>, Zr,</w:t>
      </w:r>
      <w:r w:rsidR="006573E8">
        <w:rPr>
          <w:rFonts w:asciiTheme="minorHAnsi" w:hAnsiTheme="minorHAnsi"/>
          <w:noProof/>
          <w:sz w:val="20"/>
          <w:szCs w:val="21"/>
          <w:lang w:val="en-GB"/>
        </w:rPr>
        <w:t xml:space="preserve"> </w:t>
      </w:r>
      <w:r w:rsidRPr="00D80AF7">
        <w:rPr>
          <w:rFonts w:asciiTheme="minorHAnsi" w:hAnsiTheme="minorHAnsi"/>
          <w:noProof/>
          <w:sz w:val="20"/>
          <w:szCs w:val="21"/>
          <w:lang w:val="en-GB"/>
        </w:rPr>
        <w:t>Hf,</w:t>
      </w:r>
      <w:r w:rsidR="006573E8">
        <w:rPr>
          <w:rFonts w:asciiTheme="minorHAnsi" w:hAnsiTheme="minorHAnsi"/>
          <w:noProof/>
          <w:sz w:val="20"/>
          <w:szCs w:val="21"/>
          <w:lang w:val="en-GB"/>
        </w:rPr>
        <w:t xml:space="preserve"> </w:t>
      </w:r>
      <w:r w:rsidRPr="00D80AF7">
        <w:rPr>
          <w:rFonts w:asciiTheme="minorHAnsi" w:hAnsiTheme="minorHAnsi"/>
          <w:noProof/>
          <w:sz w:val="20"/>
          <w:szCs w:val="21"/>
          <w:lang w:val="en-GB"/>
        </w:rPr>
        <w:t>Nb,</w:t>
      </w:r>
      <w:r w:rsidR="006573E8">
        <w:rPr>
          <w:rFonts w:asciiTheme="minorHAnsi" w:hAnsiTheme="minorHAnsi"/>
          <w:noProof/>
          <w:sz w:val="20"/>
          <w:szCs w:val="21"/>
          <w:lang w:val="en-GB"/>
        </w:rPr>
        <w:t xml:space="preserve"> </w:t>
      </w:r>
      <w:r w:rsidRPr="00D80AF7">
        <w:rPr>
          <w:rFonts w:asciiTheme="minorHAnsi" w:hAnsiTheme="minorHAnsi"/>
          <w:noProof/>
          <w:sz w:val="20"/>
          <w:szCs w:val="21"/>
          <w:lang w:val="en-GB"/>
        </w:rPr>
        <w:t>Ta</w:t>
      </w:r>
      <w:r>
        <w:rPr>
          <w:rFonts w:asciiTheme="minorHAnsi" w:hAnsiTheme="minorHAnsi"/>
          <w:noProof/>
          <w:sz w:val="20"/>
          <w:szCs w:val="21"/>
          <w:lang w:val="en-GB"/>
        </w:rPr>
        <w:t>; and</w:t>
      </w:r>
      <w:r w:rsidRPr="00D80AF7">
        <w:rPr>
          <w:rFonts w:asciiTheme="minorHAnsi" w:hAnsiTheme="minorHAnsi"/>
          <w:sz w:val="20"/>
          <w:szCs w:val="21"/>
          <w:lang w:val="en-GB"/>
        </w:rPr>
        <w:t xml:space="preserve"> (</w:t>
      </w:r>
      <w:r w:rsidRPr="00D80AF7">
        <w:rPr>
          <w:rFonts w:asciiTheme="minorHAnsi" w:hAnsiTheme="minorHAnsi"/>
          <w:b/>
          <w:sz w:val="20"/>
          <w:szCs w:val="21"/>
          <w:lang w:val="en-GB"/>
        </w:rPr>
        <w:t>c-d</w:t>
      </w:r>
      <w:r w:rsidRPr="00D80AF7">
        <w:rPr>
          <w:rFonts w:asciiTheme="minorHAnsi" w:hAnsiTheme="minorHAnsi"/>
          <w:sz w:val="20"/>
          <w:szCs w:val="21"/>
          <w:lang w:val="en-GB"/>
        </w:rPr>
        <w:t xml:space="preserve">) </w:t>
      </w:r>
      <w:r>
        <w:rPr>
          <w:rFonts w:asciiTheme="minorHAnsi" w:hAnsiTheme="minorHAnsi"/>
          <w:sz w:val="20"/>
          <w:szCs w:val="21"/>
          <w:lang w:val="en-GB"/>
        </w:rPr>
        <w:t>t</w:t>
      </w:r>
      <w:r w:rsidRPr="00D80AF7">
        <w:rPr>
          <w:rFonts w:asciiTheme="minorHAnsi" w:hAnsiTheme="minorHAnsi"/>
          <w:sz w:val="20"/>
          <w:szCs w:val="21"/>
          <w:lang w:val="en-GB"/>
        </w:rPr>
        <w:t xml:space="preserve">otal and partial density of states for </w:t>
      </w:r>
      <w:r>
        <w:rPr>
          <w:rFonts w:asciiTheme="minorHAnsi" w:hAnsiTheme="minorHAnsi"/>
          <w:sz w:val="20"/>
          <w:szCs w:val="21"/>
          <w:lang w:val="en-GB"/>
        </w:rPr>
        <w:t>BCC</w:t>
      </w:r>
      <w:r w:rsidRPr="00D80AF7">
        <w:rPr>
          <w:rFonts w:asciiTheme="minorHAnsi" w:hAnsiTheme="minorHAnsi"/>
          <w:sz w:val="20"/>
          <w:szCs w:val="21"/>
          <w:lang w:val="en-GB"/>
        </w:rPr>
        <w:t xml:space="preserve"> TiZrNbTa and TiZrHfTa refractory HEAs. Fermi energy level </w:t>
      </w:r>
      <w:r w:rsidRPr="00D80AF7">
        <w:rPr>
          <w:rFonts w:asciiTheme="minorHAnsi" w:hAnsiTheme="minorHAnsi"/>
          <w:noProof/>
          <w:sz w:val="20"/>
          <w:szCs w:val="21"/>
          <w:lang w:val="en-GB"/>
        </w:rPr>
        <w:t>is marked</w:t>
      </w:r>
      <w:r w:rsidRPr="00D80AF7">
        <w:rPr>
          <w:rFonts w:asciiTheme="minorHAnsi" w:hAnsiTheme="minorHAnsi"/>
          <w:sz w:val="20"/>
          <w:szCs w:val="21"/>
          <w:lang w:val="en-GB"/>
        </w:rPr>
        <w:t xml:space="preserve"> with a </w:t>
      </w:r>
      <w:r w:rsidRPr="00D80AF7">
        <w:rPr>
          <w:rFonts w:asciiTheme="minorHAnsi" w:hAnsiTheme="minorHAnsi"/>
          <w:noProof/>
          <w:sz w:val="20"/>
          <w:szCs w:val="21"/>
          <w:lang w:val="en-GB"/>
        </w:rPr>
        <w:t>vertical</w:t>
      </w:r>
      <w:r w:rsidRPr="00D80AF7">
        <w:rPr>
          <w:rFonts w:asciiTheme="minorHAnsi" w:hAnsiTheme="minorHAnsi"/>
          <w:sz w:val="20"/>
          <w:szCs w:val="21"/>
          <w:lang w:val="en-GB"/>
        </w:rPr>
        <w:t xml:space="preserve"> </w:t>
      </w:r>
      <w:r>
        <w:rPr>
          <w:rFonts w:asciiTheme="minorHAnsi" w:hAnsiTheme="minorHAnsi"/>
          <w:sz w:val="20"/>
          <w:szCs w:val="21"/>
          <w:lang w:val="en-GB"/>
        </w:rPr>
        <w:t>pink</w:t>
      </w:r>
      <w:r w:rsidRPr="00D80AF7">
        <w:rPr>
          <w:rFonts w:asciiTheme="minorHAnsi" w:hAnsiTheme="minorHAnsi"/>
          <w:sz w:val="20"/>
          <w:szCs w:val="21"/>
          <w:lang w:val="en-GB"/>
        </w:rPr>
        <w:t xml:space="preserve"> dash line.</w:t>
      </w:r>
      <w:bookmarkEnd w:id="231"/>
      <w:bookmarkEnd w:id="232"/>
      <w:r w:rsidRPr="00D80AF7">
        <w:rPr>
          <w:rFonts w:asciiTheme="minorHAnsi" w:hAnsiTheme="minorHAnsi"/>
          <w:sz w:val="20"/>
          <w:szCs w:val="21"/>
          <w:lang w:val="en-GB"/>
        </w:rPr>
        <w:t xml:space="preserve"> </w:t>
      </w:r>
    </w:p>
    <w:p w14:paraId="683F8DC9" w14:textId="1F510C7E" w:rsidR="00B145BE" w:rsidRDefault="00B145BE" w:rsidP="00B145BE">
      <w:pPr>
        <w:pStyle w:val="Normal1"/>
        <w:spacing w:after="60" w:line="360" w:lineRule="auto"/>
        <w:jc w:val="both"/>
        <w:rPr>
          <w:rFonts w:asciiTheme="minorHAnsi" w:hAnsiTheme="minorHAnsi"/>
          <w:sz w:val="22"/>
          <w:szCs w:val="22"/>
          <w:lang w:val="en-GB"/>
        </w:rPr>
      </w:pPr>
      <w:r>
        <w:rPr>
          <w:rFonts w:asciiTheme="minorHAnsi" w:hAnsiTheme="minorHAnsi"/>
          <w:sz w:val="22"/>
          <w:szCs w:val="22"/>
          <w:lang w:val="en-GB"/>
        </w:rPr>
        <w:t xml:space="preserve">The pseudogap is used to describe the partial energy gap possessed by the Fermi surface of a system. This </w:t>
      </w:r>
      <w:r w:rsidR="00CD4365">
        <w:rPr>
          <w:rFonts w:asciiTheme="minorHAnsi" w:hAnsiTheme="minorHAnsi"/>
          <w:sz w:val="22"/>
          <w:szCs w:val="22"/>
          <w:lang w:val="en-GB"/>
        </w:rPr>
        <w:t>was</w:t>
      </w:r>
      <w:r>
        <w:rPr>
          <w:rFonts w:asciiTheme="minorHAnsi" w:hAnsiTheme="minorHAnsi"/>
          <w:sz w:val="22"/>
          <w:szCs w:val="22"/>
          <w:lang w:val="en-GB"/>
        </w:rPr>
        <w:t xml:space="preserve"> </w:t>
      </w:r>
      <w:r w:rsidRPr="00D80AF7">
        <w:rPr>
          <w:rFonts w:asciiTheme="minorHAnsi" w:hAnsiTheme="minorHAnsi"/>
          <w:sz w:val="22"/>
          <w:szCs w:val="22"/>
          <w:lang w:val="en-GB"/>
        </w:rPr>
        <w:t xml:space="preserve">used to </w:t>
      </w:r>
      <w:r w:rsidR="006573E8">
        <w:rPr>
          <w:rFonts w:asciiTheme="minorHAnsi" w:hAnsiTheme="minorHAnsi"/>
          <w:sz w:val="22"/>
          <w:szCs w:val="22"/>
          <w:lang w:val="en-GB"/>
        </w:rPr>
        <w:t>determine</w:t>
      </w:r>
      <w:r w:rsidRPr="00D80AF7">
        <w:rPr>
          <w:rFonts w:asciiTheme="minorHAnsi" w:hAnsiTheme="minorHAnsi"/>
          <w:sz w:val="22"/>
          <w:szCs w:val="22"/>
          <w:lang w:val="en-GB"/>
        </w:rPr>
        <w:t xml:space="preserve"> the phase stabili</w:t>
      </w:r>
      <w:r>
        <w:rPr>
          <w:rFonts w:asciiTheme="minorHAnsi" w:hAnsiTheme="minorHAnsi"/>
          <w:sz w:val="22"/>
          <w:szCs w:val="22"/>
          <w:lang w:val="en-GB"/>
        </w:rPr>
        <w:t>s</w:t>
      </w:r>
      <w:r w:rsidRPr="00D80AF7">
        <w:rPr>
          <w:rFonts w:asciiTheme="minorHAnsi" w:hAnsiTheme="minorHAnsi"/>
          <w:sz w:val="22"/>
          <w:szCs w:val="22"/>
          <w:lang w:val="en-GB"/>
        </w:rPr>
        <w:t xml:space="preserve">ation of </w:t>
      </w:r>
      <w:r>
        <w:rPr>
          <w:rFonts w:asciiTheme="minorHAnsi" w:hAnsiTheme="minorHAnsi"/>
          <w:sz w:val="22"/>
          <w:szCs w:val="22"/>
          <w:lang w:val="en-GB"/>
        </w:rPr>
        <w:t xml:space="preserve">the </w:t>
      </w:r>
      <w:r w:rsidRPr="00D80AF7">
        <w:rPr>
          <w:rFonts w:asciiTheme="minorHAnsi" w:hAnsiTheme="minorHAnsi"/>
          <w:sz w:val="22"/>
          <w:szCs w:val="22"/>
          <w:lang w:val="en-GB"/>
        </w:rPr>
        <w:t xml:space="preserve">selected </w:t>
      </w:r>
      <w:r w:rsidRPr="007C247B">
        <w:rPr>
          <w:rFonts w:asciiTheme="minorHAnsi" w:hAnsiTheme="minorHAnsi"/>
          <w:noProof/>
          <w:sz w:val="22"/>
          <w:szCs w:val="22"/>
          <w:lang w:val="en-GB"/>
        </w:rPr>
        <w:t>system,</w:t>
      </w:r>
      <w:r w:rsidRPr="00D80AF7">
        <w:rPr>
          <w:rFonts w:asciiTheme="minorHAnsi" w:hAnsiTheme="minorHAnsi"/>
          <w:sz w:val="22"/>
          <w:szCs w:val="22"/>
          <w:lang w:val="en-GB"/>
        </w:rPr>
        <w:t xml:space="preserve"> since the </w:t>
      </w:r>
      <w:r>
        <w:rPr>
          <w:rFonts w:asciiTheme="minorHAnsi" w:hAnsiTheme="minorHAnsi"/>
          <w:noProof/>
          <w:sz w:val="22"/>
          <w:szCs w:val="22"/>
          <w:lang w:val="en-GB"/>
        </w:rPr>
        <w:t>F</w:t>
      </w:r>
      <w:r w:rsidRPr="007C247B">
        <w:rPr>
          <w:rFonts w:asciiTheme="minorHAnsi" w:hAnsiTheme="minorHAnsi"/>
          <w:noProof/>
          <w:sz w:val="22"/>
          <w:szCs w:val="22"/>
          <w:lang w:val="en-GB"/>
        </w:rPr>
        <w:t>ermi</w:t>
      </w:r>
      <w:r w:rsidRPr="00D80AF7">
        <w:rPr>
          <w:rFonts w:asciiTheme="minorHAnsi" w:hAnsiTheme="minorHAnsi"/>
          <w:sz w:val="22"/>
          <w:szCs w:val="22"/>
          <w:lang w:val="en-GB"/>
        </w:rPr>
        <w:t xml:space="preserve"> surface is derived </w:t>
      </w:r>
      <w:r>
        <w:rPr>
          <w:rFonts w:asciiTheme="minorHAnsi" w:hAnsiTheme="minorHAnsi"/>
          <w:sz w:val="22"/>
          <w:szCs w:val="22"/>
          <w:lang w:val="en-GB"/>
        </w:rPr>
        <w:t>by</w:t>
      </w:r>
      <w:r w:rsidRPr="00D80AF7">
        <w:rPr>
          <w:rFonts w:asciiTheme="minorHAnsi" w:hAnsiTheme="minorHAnsi"/>
          <w:sz w:val="22"/>
          <w:szCs w:val="22"/>
          <w:lang w:val="en-GB"/>
        </w:rPr>
        <w:t xml:space="preserve"> </w:t>
      </w:r>
      <w:r>
        <w:rPr>
          <w:rFonts w:asciiTheme="minorHAnsi" w:hAnsiTheme="minorHAnsi"/>
          <w:sz w:val="22"/>
          <w:szCs w:val="22"/>
          <w:lang w:val="en-GB"/>
        </w:rPr>
        <w:t>the consideration</w:t>
      </w:r>
      <w:r w:rsidRPr="00D80AF7">
        <w:rPr>
          <w:rFonts w:asciiTheme="minorHAnsi" w:hAnsiTheme="minorHAnsi"/>
          <w:sz w:val="22"/>
          <w:szCs w:val="22"/>
          <w:lang w:val="en-GB"/>
        </w:rPr>
        <w:t xml:space="preserve"> of periodicity and symmetry. This energy balance can </w:t>
      </w:r>
      <w:r w:rsidRPr="00D80AF7">
        <w:rPr>
          <w:rFonts w:asciiTheme="minorHAnsi" w:hAnsiTheme="minorHAnsi"/>
          <w:noProof/>
          <w:sz w:val="22"/>
          <w:szCs w:val="22"/>
          <w:lang w:val="en-GB"/>
        </w:rPr>
        <w:t>be further extended</w:t>
      </w:r>
      <w:r w:rsidRPr="00D80AF7">
        <w:rPr>
          <w:rFonts w:asciiTheme="minorHAnsi" w:hAnsiTheme="minorHAnsi"/>
          <w:sz w:val="22"/>
          <w:szCs w:val="22"/>
          <w:lang w:val="en-GB"/>
        </w:rPr>
        <w:t xml:space="preserve"> to determine the relation between the energy change of </w:t>
      </w:r>
      <w:r w:rsidR="006573E8">
        <w:rPr>
          <w:rFonts w:asciiTheme="minorHAnsi" w:hAnsiTheme="minorHAnsi"/>
          <w:sz w:val="22"/>
          <w:szCs w:val="22"/>
          <w:lang w:val="en-GB"/>
        </w:rPr>
        <w:t xml:space="preserve">the </w:t>
      </w:r>
      <w:r w:rsidRPr="00D80AF7">
        <w:rPr>
          <w:rFonts w:asciiTheme="minorHAnsi" w:hAnsiTheme="minorHAnsi"/>
          <w:sz w:val="22"/>
          <w:szCs w:val="22"/>
          <w:lang w:val="en-GB"/>
        </w:rPr>
        <w:t>electrostatic energy and kinetic energy</w:t>
      </w:r>
      <w:r>
        <w:rPr>
          <w:rFonts w:asciiTheme="minorHAnsi" w:hAnsiTheme="minorHAnsi"/>
          <w:sz w:val="22"/>
          <w:szCs w:val="22"/>
          <w:lang w:val="en-GB"/>
        </w:rPr>
        <w:t>,</w:t>
      </w:r>
      <w:r w:rsidRPr="00D80AF7">
        <w:rPr>
          <w:rFonts w:asciiTheme="minorHAnsi" w:hAnsiTheme="minorHAnsi"/>
          <w:sz w:val="22"/>
          <w:szCs w:val="22"/>
          <w:lang w:val="en-GB"/>
        </w:rPr>
        <w:t xml:space="preserve"> which can </w:t>
      </w:r>
      <w:r w:rsidRPr="00D80AF7">
        <w:rPr>
          <w:rFonts w:asciiTheme="minorHAnsi" w:hAnsiTheme="minorHAnsi"/>
          <w:noProof/>
          <w:sz w:val="22"/>
          <w:szCs w:val="22"/>
          <w:lang w:val="en-GB"/>
        </w:rPr>
        <w:t>also be</w:t>
      </w:r>
      <w:r w:rsidRPr="00D80AF7">
        <w:rPr>
          <w:rFonts w:asciiTheme="minorHAnsi" w:hAnsiTheme="minorHAnsi"/>
          <w:sz w:val="22"/>
          <w:szCs w:val="22"/>
          <w:lang w:val="en-GB"/>
        </w:rPr>
        <w:t xml:space="preserve"> used to </w:t>
      </w:r>
      <w:r>
        <w:rPr>
          <w:rFonts w:asciiTheme="minorHAnsi" w:hAnsiTheme="minorHAnsi"/>
          <w:sz w:val="22"/>
          <w:szCs w:val="22"/>
          <w:lang w:val="en-GB"/>
        </w:rPr>
        <w:t>inform</w:t>
      </w:r>
      <w:r w:rsidRPr="00D80AF7">
        <w:rPr>
          <w:rFonts w:asciiTheme="minorHAnsi" w:hAnsiTheme="minorHAnsi"/>
          <w:sz w:val="22"/>
          <w:szCs w:val="22"/>
          <w:lang w:val="en-GB"/>
        </w:rPr>
        <w:t xml:space="preserve"> the stability of th</w:t>
      </w:r>
      <w:r>
        <w:rPr>
          <w:rFonts w:asciiTheme="minorHAnsi" w:hAnsiTheme="minorHAnsi"/>
          <w:sz w:val="22"/>
          <w:szCs w:val="22"/>
          <w:lang w:val="en-GB"/>
        </w:rPr>
        <w:t>e</w:t>
      </w:r>
      <w:r w:rsidRPr="00D80AF7">
        <w:rPr>
          <w:rFonts w:asciiTheme="minorHAnsi" w:hAnsiTheme="minorHAnsi"/>
          <w:sz w:val="22"/>
          <w:szCs w:val="22"/>
          <w:lang w:val="en-GB"/>
        </w:rPr>
        <w:t xml:space="preserve"> lattice structure. Following this, </w:t>
      </w:r>
      <w:r>
        <w:rPr>
          <w:rFonts w:asciiTheme="minorHAnsi" w:hAnsiTheme="minorHAnsi"/>
          <w:sz w:val="22"/>
          <w:szCs w:val="22"/>
          <w:lang w:val="en-GB"/>
        </w:rPr>
        <w:t>when analysing the</w:t>
      </w:r>
      <w:r w:rsidRPr="00D80AF7">
        <w:rPr>
          <w:rFonts w:asciiTheme="minorHAnsi" w:hAnsiTheme="minorHAnsi"/>
          <w:sz w:val="22"/>
          <w:szCs w:val="22"/>
          <w:lang w:val="en-GB"/>
        </w:rPr>
        <w:t xml:space="preserve"> TDOS and PDOS of TiZrNbTa, TiZrHfTa and their </w:t>
      </w:r>
      <w:r w:rsidRPr="00D80AF7">
        <w:rPr>
          <w:rFonts w:asciiTheme="minorHAnsi" w:hAnsiTheme="minorHAnsi"/>
          <w:noProof/>
          <w:sz w:val="22"/>
          <w:szCs w:val="22"/>
          <w:lang w:val="en-GB"/>
        </w:rPr>
        <w:t>pure</w:t>
      </w:r>
      <w:r w:rsidRPr="00D80AF7">
        <w:rPr>
          <w:rFonts w:asciiTheme="minorHAnsi" w:hAnsiTheme="minorHAnsi"/>
          <w:sz w:val="22"/>
          <w:szCs w:val="22"/>
          <w:lang w:val="en-GB"/>
        </w:rPr>
        <w:t xml:space="preserve"> components, </w:t>
      </w:r>
      <w:r>
        <w:rPr>
          <w:rFonts w:asciiTheme="minorHAnsi" w:hAnsiTheme="minorHAnsi"/>
          <w:sz w:val="22"/>
          <w:szCs w:val="22"/>
          <w:lang w:val="en-GB"/>
        </w:rPr>
        <w:t>in contrast</w:t>
      </w:r>
      <w:r w:rsidRPr="00D80AF7">
        <w:rPr>
          <w:rFonts w:asciiTheme="minorHAnsi" w:hAnsiTheme="minorHAnsi"/>
          <w:sz w:val="22"/>
          <w:szCs w:val="22"/>
          <w:lang w:val="en-GB"/>
        </w:rPr>
        <w:t xml:space="preserve"> with IVB elements </w:t>
      </w:r>
      <w:r>
        <w:rPr>
          <w:rFonts w:asciiTheme="minorHAnsi" w:hAnsiTheme="minorHAnsi"/>
          <w:sz w:val="22"/>
          <w:szCs w:val="22"/>
          <w:lang w:val="en-GB"/>
        </w:rPr>
        <w:t>(</w:t>
      </w:r>
      <w:r w:rsidRPr="00D80AF7">
        <w:rPr>
          <w:rFonts w:asciiTheme="minorHAnsi" w:hAnsiTheme="minorHAnsi"/>
          <w:sz w:val="22"/>
          <w:szCs w:val="22"/>
          <w:lang w:val="en-GB"/>
        </w:rPr>
        <w:t>Ti</w:t>
      </w:r>
      <w:r w:rsidRPr="00D80AF7">
        <w:rPr>
          <w:rFonts w:asciiTheme="minorHAnsi" w:hAnsiTheme="minorHAnsi"/>
          <w:noProof/>
          <w:sz w:val="22"/>
          <w:szCs w:val="22"/>
          <w:lang w:val="en-GB"/>
        </w:rPr>
        <w:t>, Zr</w:t>
      </w:r>
      <w:r>
        <w:rPr>
          <w:rFonts w:asciiTheme="minorHAnsi" w:hAnsiTheme="minorHAnsi"/>
          <w:noProof/>
          <w:sz w:val="22"/>
          <w:szCs w:val="22"/>
          <w:lang w:val="en-GB"/>
        </w:rPr>
        <w:t xml:space="preserve"> </w:t>
      </w:r>
      <w:r w:rsidRPr="00D80AF7">
        <w:rPr>
          <w:rFonts w:asciiTheme="minorHAnsi" w:hAnsiTheme="minorHAnsi"/>
          <w:noProof/>
          <w:sz w:val="22"/>
          <w:szCs w:val="22"/>
          <w:lang w:val="en-GB"/>
        </w:rPr>
        <w:t>Hf</w:t>
      </w:r>
      <w:r>
        <w:rPr>
          <w:rFonts w:asciiTheme="minorHAnsi" w:hAnsiTheme="minorHAnsi"/>
          <w:sz w:val="22"/>
          <w:szCs w:val="22"/>
          <w:lang w:val="en-GB"/>
        </w:rPr>
        <w:t>)</w:t>
      </w:r>
      <w:r w:rsidRPr="00D80AF7">
        <w:rPr>
          <w:rFonts w:asciiTheme="minorHAnsi" w:hAnsiTheme="minorHAnsi"/>
          <w:sz w:val="22"/>
          <w:szCs w:val="22"/>
          <w:lang w:val="en-GB"/>
        </w:rPr>
        <w:t xml:space="preserve"> the trends </w:t>
      </w:r>
      <w:r w:rsidR="006573E8">
        <w:rPr>
          <w:rFonts w:asciiTheme="minorHAnsi" w:hAnsiTheme="minorHAnsi"/>
          <w:sz w:val="22"/>
          <w:szCs w:val="22"/>
          <w:lang w:val="en-GB"/>
        </w:rPr>
        <w:t xml:space="preserve">in </w:t>
      </w:r>
      <w:r w:rsidRPr="00D80AF7">
        <w:rPr>
          <w:rFonts w:asciiTheme="minorHAnsi" w:hAnsiTheme="minorHAnsi"/>
          <w:sz w:val="22"/>
          <w:szCs w:val="22"/>
          <w:lang w:val="en-GB"/>
        </w:rPr>
        <w:t xml:space="preserve">DOS at </w:t>
      </w:r>
      <w:r>
        <w:rPr>
          <w:rFonts w:asciiTheme="minorHAnsi" w:hAnsiTheme="minorHAnsi"/>
          <w:sz w:val="22"/>
          <w:szCs w:val="22"/>
          <w:lang w:val="en-GB"/>
        </w:rPr>
        <w:t xml:space="preserve">the </w:t>
      </w:r>
      <w:r w:rsidRPr="00D80AF7">
        <w:rPr>
          <w:rFonts w:asciiTheme="minorHAnsi" w:hAnsiTheme="minorHAnsi"/>
          <w:noProof/>
          <w:sz w:val="22"/>
          <w:szCs w:val="22"/>
          <w:lang w:val="en-GB"/>
        </w:rPr>
        <w:t>Fermi</w:t>
      </w:r>
      <w:r w:rsidRPr="00D80AF7">
        <w:rPr>
          <w:rFonts w:asciiTheme="minorHAnsi" w:hAnsiTheme="minorHAnsi"/>
          <w:sz w:val="22"/>
          <w:szCs w:val="22"/>
          <w:lang w:val="en-GB"/>
        </w:rPr>
        <w:t xml:space="preserve"> level </w:t>
      </w:r>
      <w:r>
        <w:rPr>
          <w:rFonts w:asciiTheme="minorHAnsi" w:hAnsiTheme="minorHAnsi"/>
          <w:sz w:val="22"/>
          <w:szCs w:val="22"/>
          <w:lang w:val="en-GB"/>
        </w:rPr>
        <w:t>for Nb and Ta</w:t>
      </w:r>
      <w:r w:rsidRPr="00D80AF7">
        <w:rPr>
          <w:rFonts w:asciiTheme="minorHAnsi" w:hAnsiTheme="minorHAnsi"/>
          <w:sz w:val="22"/>
          <w:szCs w:val="22"/>
          <w:lang w:val="en-GB"/>
        </w:rPr>
        <w:t xml:space="preserve"> </w:t>
      </w:r>
      <w:r w:rsidR="006573E8">
        <w:rPr>
          <w:rFonts w:asciiTheme="minorHAnsi" w:hAnsiTheme="minorHAnsi"/>
          <w:sz w:val="22"/>
          <w:szCs w:val="22"/>
          <w:lang w:val="en-GB"/>
        </w:rPr>
        <w:t>are</w:t>
      </w:r>
      <w:r>
        <w:rPr>
          <w:rFonts w:asciiTheme="minorHAnsi" w:hAnsiTheme="minorHAnsi"/>
          <w:sz w:val="22"/>
          <w:szCs w:val="22"/>
          <w:lang w:val="en-GB"/>
        </w:rPr>
        <w:t xml:space="preserve"> shown to decline </w:t>
      </w:r>
      <w:r w:rsidRPr="00D80AF7">
        <w:rPr>
          <w:rFonts w:asciiTheme="minorHAnsi" w:hAnsiTheme="minorHAnsi"/>
          <w:sz w:val="22"/>
          <w:szCs w:val="22"/>
          <w:lang w:val="en-GB"/>
        </w:rPr>
        <w:t xml:space="preserve">with the increase of energy. </w:t>
      </w:r>
      <w:r>
        <w:rPr>
          <w:rFonts w:asciiTheme="minorHAnsi" w:hAnsiTheme="minorHAnsi"/>
          <w:sz w:val="22"/>
          <w:szCs w:val="22"/>
          <w:lang w:val="en-GB"/>
        </w:rPr>
        <w:t>In comparison with</w:t>
      </w:r>
      <w:r w:rsidRPr="00D80AF7">
        <w:rPr>
          <w:rFonts w:asciiTheme="minorHAnsi" w:hAnsiTheme="minorHAnsi"/>
          <w:sz w:val="22"/>
          <w:szCs w:val="22"/>
          <w:lang w:val="en-GB"/>
        </w:rPr>
        <w:t xml:space="preserve"> the DOS </w:t>
      </w:r>
      <w:r>
        <w:rPr>
          <w:rFonts w:asciiTheme="minorHAnsi" w:hAnsiTheme="minorHAnsi"/>
          <w:sz w:val="22"/>
          <w:szCs w:val="22"/>
          <w:lang w:val="en-GB"/>
        </w:rPr>
        <w:t xml:space="preserve">of </w:t>
      </w:r>
      <w:r w:rsidRPr="00D80AF7">
        <w:rPr>
          <w:rFonts w:asciiTheme="minorHAnsi" w:hAnsiTheme="minorHAnsi"/>
          <w:sz w:val="22"/>
          <w:szCs w:val="22"/>
          <w:lang w:val="en-GB"/>
        </w:rPr>
        <w:t xml:space="preserve">pure components, the DOS of TiZrNbTa and TiZrHfTa are smoothed over by </w:t>
      </w:r>
      <w:r w:rsidRPr="00D80AF7">
        <w:rPr>
          <w:rFonts w:asciiTheme="minorHAnsi" w:hAnsiTheme="minorHAnsi"/>
          <w:sz w:val="22"/>
          <w:szCs w:val="22"/>
          <w:lang w:val="en-GB"/>
        </w:rPr>
        <w:lastRenderedPageBreak/>
        <w:t xml:space="preserve">chemical disorder </w:t>
      </w:r>
      <w:r>
        <w:rPr>
          <w:rFonts w:asciiTheme="minorHAnsi" w:hAnsiTheme="minorHAnsi"/>
          <w:sz w:val="22"/>
          <w:szCs w:val="22"/>
          <w:lang w:val="en-GB"/>
        </w:rPr>
        <w:t xml:space="preserve">of </w:t>
      </w:r>
      <w:r w:rsidRPr="00D80AF7">
        <w:rPr>
          <w:rFonts w:asciiTheme="minorHAnsi" w:hAnsiTheme="minorHAnsi"/>
          <w:sz w:val="22"/>
          <w:szCs w:val="22"/>
          <w:lang w:val="en-GB"/>
        </w:rPr>
        <w:t xml:space="preserve">HEAs which </w:t>
      </w:r>
      <w:r w:rsidRPr="00D80AF7">
        <w:rPr>
          <w:rFonts w:asciiTheme="minorHAnsi" w:hAnsiTheme="minorHAnsi"/>
          <w:noProof/>
          <w:sz w:val="22"/>
          <w:szCs w:val="22"/>
          <w:lang w:val="en-GB"/>
        </w:rPr>
        <w:t>indicate</w:t>
      </w:r>
      <w:r>
        <w:rPr>
          <w:rFonts w:asciiTheme="minorHAnsi" w:hAnsiTheme="minorHAnsi"/>
          <w:noProof/>
          <w:sz w:val="22"/>
          <w:szCs w:val="22"/>
          <w:lang w:val="en-GB"/>
        </w:rPr>
        <w:t>s that</w:t>
      </w:r>
      <w:r w:rsidRPr="00D80AF7">
        <w:rPr>
          <w:rFonts w:asciiTheme="minorHAnsi" w:hAnsiTheme="minorHAnsi"/>
          <w:sz w:val="22"/>
          <w:szCs w:val="22"/>
          <w:lang w:val="en-GB"/>
        </w:rPr>
        <w:t xml:space="preserve"> the effect of lattice distortion may </w:t>
      </w:r>
      <w:r w:rsidRPr="00D80AF7">
        <w:rPr>
          <w:rFonts w:asciiTheme="minorHAnsi" w:hAnsiTheme="minorHAnsi"/>
          <w:noProof/>
          <w:sz w:val="22"/>
          <w:szCs w:val="22"/>
          <w:lang w:val="en-GB"/>
        </w:rPr>
        <w:t>not be</w:t>
      </w:r>
      <w:r w:rsidRPr="00D80AF7">
        <w:rPr>
          <w:rFonts w:asciiTheme="minorHAnsi" w:hAnsiTheme="minorHAnsi"/>
          <w:sz w:val="22"/>
          <w:szCs w:val="22"/>
          <w:lang w:val="en-GB"/>
        </w:rPr>
        <w:t xml:space="preserve"> </w:t>
      </w:r>
      <w:r w:rsidRPr="00D80AF7">
        <w:rPr>
          <w:rFonts w:asciiTheme="minorHAnsi" w:hAnsiTheme="minorHAnsi"/>
          <w:noProof/>
          <w:sz w:val="22"/>
          <w:szCs w:val="22"/>
          <w:lang w:val="en-GB"/>
        </w:rPr>
        <w:t>useful</w:t>
      </w:r>
      <w:r w:rsidRPr="00D80AF7">
        <w:rPr>
          <w:rFonts w:asciiTheme="minorHAnsi" w:hAnsiTheme="minorHAnsi"/>
          <w:sz w:val="22"/>
          <w:szCs w:val="22"/>
          <w:lang w:val="en-GB"/>
        </w:rPr>
        <w:t xml:space="preserve"> in </w:t>
      </w:r>
      <w:r>
        <w:rPr>
          <w:rFonts w:asciiTheme="minorHAnsi" w:hAnsiTheme="minorHAnsi"/>
          <w:sz w:val="22"/>
          <w:szCs w:val="22"/>
          <w:lang w:val="en-GB"/>
        </w:rPr>
        <w:t xml:space="preserve">the </w:t>
      </w:r>
      <w:r w:rsidRPr="00D80AF7">
        <w:rPr>
          <w:rFonts w:asciiTheme="minorHAnsi" w:hAnsiTheme="minorHAnsi"/>
          <w:sz w:val="22"/>
          <w:szCs w:val="22"/>
          <w:lang w:val="en-GB"/>
        </w:rPr>
        <w:t xml:space="preserve">current RHEAs systems. </w:t>
      </w:r>
      <w:r>
        <w:rPr>
          <w:rFonts w:asciiTheme="minorHAnsi" w:hAnsiTheme="minorHAnsi"/>
          <w:sz w:val="22"/>
          <w:szCs w:val="22"/>
          <w:lang w:val="en-GB"/>
        </w:rPr>
        <w:t>Reviewing the</w:t>
      </w:r>
      <w:r w:rsidRPr="00D80AF7">
        <w:rPr>
          <w:rFonts w:asciiTheme="minorHAnsi" w:hAnsiTheme="minorHAnsi"/>
          <w:sz w:val="22"/>
          <w:szCs w:val="22"/>
          <w:lang w:val="en-GB"/>
        </w:rPr>
        <w:t xml:space="preserve"> PDOS of TiZrNbTa and TiZrHfTa components</w:t>
      </w:r>
      <w:r>
        <w:rPr>
          <w:rFonts w:asciiTheme="minorHAnsi" w:hAnsiTheme="minorHAnsi"/>
          <w:sz w:val="22"/>
          <w:szCs w:val="22"/>
          <w:lang w:val="en-GB"/>
        </w:rPr>
        <w:t xml:space="preserve"> and comparing these</w:t>
      </w:r>
      <w:r w:rsidRPr="00D80AF7">
        <w:rPr>
          <w:rFonts w:asciiTheme="minorHAnsi" w:hAnsiTheme="minorHAnsi"/>
          <w:sz w:val="22"/>
          <w:szCs w:val="22"/>
          <w:lang w:val="en-GB"/>
        </w:rPr>
        <w:t xml:space="preserve"> with </w:t>
      </w:r>
      <w:r>
        <w:rPr>
          <w:rFonts w:asciiTheme="minorHAnsi" w:hAnsiTheme="minorHAnsi"/>
          <w:sz w:val="22"/>
          <w:szCs w:val="22"/>
          <w:lang w:val="en-GB"/>
        </w:rPr>
        <w:t xml:space="preserve">the </w:t>
      </w:r>
      <w:r w:rsidRPr="00D80AF7">
        <w:rPr>
          <w:rFonts w:asciiTheme="minorHAnsi" w:hAnsiTheme="minorHAnsi"/>
          <w:sz w:val="22"/>
          <w:szCs w:val="22"/>
          <w:lang w:val="en-GB"/>
        </w:rPr>
        <w:t xml:space="preserve">DOS of their </w:t>
      </w:r>
      <w:r w:rsidRPr="00D80AF7">
        <w:rPr>
          <w:rFonts w:asciiTheme="minorHAnsi" w:hAnsiTheme="minorHAnsi"/>
          <w:noProof/>
          <w:sz w:val="22"/>
          <w:szCs w:val="22"/>
          <w:lang w:val="en-GB"/>
        </w:rPr>
        <w:t>pure</w:t>
      </w:r>
      <w:r w:rsidRPr="00D80AF7">
        <w:rPr>
          <w:rFonts w:asciiTheme="minorHAnsi" w:hAnsiTheme="minorHAnsi"/>
          <w:sz w:val="22"/>
          <w:szCs w:val="22"/>
          <w:lang w:val="en-GB"/>
        </w:rPr>
        <w:t xml:space="preserve"> components, the shape of PDOS of Ti, </w:t>
      </w:r>
      <w:r w:rsidRPr="00D80AF7">
        <w:rPr>
          <w:rFonts w:asciiTheme="minorHAnsi" w:hAnsiTheme="minorHAnsi"/>
          <w:noProof/>
          <w:sz w:val="22"/>
          <w:szCs w:val="22"/>
          <w:lang w:val="en-GB"/>
        </w:rPr>
        <w:t>Zr,</w:t>
      </w:r>
      <w:r w:rsidR="00E64F09">
        <w:rPr>
          <w:rFonts w:asciiTheme="minorHAnsi" w:hAnsiTheme="minorHAnsi"/>
          <w:noProof/>
          <w:sz w:val="22"/>
          <w:szCs w:val="22"/>
          <w:lang w:val="en-GB"/>
        </w:rPr>
        <w:t xml:space="preserve"> </w:t>
      </w:r>
      <w:r w:rsidRPr="00D80AF7">
        <w:rPr>
          <w:rFonts w:asciiTheme="minorHAnsi" w:hAnsiTheme="minorHAnsi"/>
          <w:noProof/>
          <w:sz w:val="22"/>
          <w:szCs w:val="22"/>
          <w:lang w:val="en-GB"/>
        </w:rPr>
        <w:t>Hf ,Ta</w:t>
      </w:r>
      <w:r w:rsidRPr="00D80AF7">
        <w:rPr>
          <w:rFonts w:asciiTheme="minorHAnsi" w:hAnsiTheme="minorHAnsi"/>
          <w:sz w:val="22"/>
          <w:szCs w:val="22"/>
          <w:lang w:val="en-GB"/>
        </w:rPr>
        <w:t xml:space="preserve"> changed most in TiZrHfTa</w:t>
      </w:r>
      <w:r>
        <w:rPr>
          <w:rFonts w:asciiTheme="minorHAnsi" w:hAnsiTheme="minorHAnsi"/>
          <w:sz w:val="22"/>
          <w:szCs w:val="22"/>
          <w:lang w:val="en-GB"/>
        </w:rPr>
        <w:t>,</w:t>
      </w:r>
      <w:r w:rsidRPr="00D80AF7">
        <w:rPr>
          <w:rFonts w:asciiTheme="minorHAnsi" w:hAnsiTheme="minorHAnsi"/>
          <w:sz w:val="22"/>
          <w:szCs w:val="22"/>
          <w:lang w:val="en-GB"/>
        </w:rPr>
        <w:t xml:space="preserve"> whil</w:t>
      </w:r>
      <w:r>
        <w:rPr>
          <w:rFonts w:asciiTheme="minorHAnsi" w:hAnsiTheme="minorHAnsi"/>
          <w:sz w:val="22"/>
          <w:szCs w:val="22"/>
          <w:lang w:val="en-GB"/>
        </w:rPr>
        <w:t>st</w:t>
      </w:r>
      <w:r w:rsidRPr="00D80AF7">
        <w:rPr>
          <w:rFonts w:asciiTheme="minorHAnsi" w:hAnsiTheme="minorHAnsi"/>
          <w:sz w:val="22"/>
          <w:szCs w:val="22"/>
          <w:lang w:val="en-GB"/>
        </w:rPr>
        <w:t xml:space="preserve"> the DOS of Ti, Zr, Nb, Ta </w:t>
      </w:r>
      <w:r>
        <w:rPr>
          <w:rFonts w:asciiTheme="minorHAnsi" w:hAnsiTheme="minorHAnsi"/>
          <w:sz w:val="22"/>
          <w:szCs w:val="22"/>
          <w:lang w:val="en-GB"/>
        </w:rPr>
        <w:t>were similar to</w:t>
      </w:r>
      <w:r w:rsidRPr="00D80AF7">
        <w:rPr>
          <w:rFonts w:asciiTheme="minorHAnsi" w:hAnsiTheme="minorHAnsi"/>
          <w:sz w:val="22"/>
          <w:szCs w:val="22"/>
          <w:lang w:val="en-GB"/>
        </w:rPr>
        <w:t xml:space="preserve"> the PDOS in </w:t>
      </w:r>
      <w:r w:rsidRPr="007C247B">
        <w:rPr>
          <w:rFonts w:asciiTheme="minorHAnsi" w:hAnsiTheme="minorHAnsi"/>
          <w:noProof/>
          <w:sz w:val="22"/>
          <w:szCs w:val="22"/>
          <w:lang w:val="en-GB"/>
        </w:rPr>
        <w:t>TiZrNbTa</w:t>
      </w:r>
      <w:r w:rsidRPr="00D80AF7">
        <w:rPr>
          <w:rFonts w:asciiTheme="minorHAnsi" w:hAnsiTheme="minorHAnsi"/>
          <w:sz w:val="22"/>
          <w:szCs w:val="22"/>
          <w:lang w:val="en-GB"/>
        </w:rPr>
        <w:t xml:space="preserve">. </w:t>
      </w:r>
      <w:r>
        <w:rPr>
          <w:rFonts w:asciiTheme="minorHAnsi" w:hAnsiTheme="minorHAnsi"/>
          <w:sz w:val="22"/>
          <w:szCs w:val="22"/>
          <w:lang w:val="en-GB"/>
        </w:rPr>
        <w:t>In contrast</w:t>
      </w:r>
      <w:r w:rsidRPr="00D80AF7">
        <w:rPr>
          <w:rFonts w:asciiTheme="minorHAnsi" w:hAnsiTheme="minorHAnsi"/>
          <w:sz w:val="22"/>
          <w:szCs w:val="22"/>
          <w:lang w:val="en-GB"/>
        </w:rPr>
        <w:t xml:space="preserve"> with TiZrNbTa whose d electrons </w:t>
      </w:r>
      <w:r w:rsidRPr="00D80AF7">
        <w:rPr>
          <w:rFonts w:asciiTheme="minorHAnsi" w:hAnsiTheme="minorHAnsi"/>
          <w:noProof/>
          <w:sz w:val="22"/>
          <w:szCs w:val="22"/>
          <w:lang w:val="en-GB"/>
        </w:rPr>
        <w:t>contributed</w:t>
      </w:r>
      <w:r w:rsidRPr="00D80AF7">
        <w:rPr>
          <w:rFonts w:asciiTheme="minorHAnsi" w:hAnsiTheme="minorHAnsi"/>
          <w:sz w:val="22"/>
          <w:szCs w:val="22"/>
          <w:lang w:val="en-GB"/>
        </w:rPr>
        <w:t xml:space="preserve"> most to the DOS peak at</w:t>
      </w:r>
      <w:r w:rsidR="00E64F09">
        <w:rPr>
          <w:rFonts w:asciiTheme="minorHAnsi" w:hAnsiTheme="minorHAnsi"/>
          <w:sz w:val="22"/>
          <w:szCs w:val="22"/>
          <w:lang w:val="en-GB"/>
        </w:rPr>
        <w:t xml:space="preserve"> the</w:t>
      </w:r>
      <w:r w:rsidRPr="00D80AF7">
        <w:rPr>
          <w:rFonts w:asciiTheme="minorHAnsi" w:hAnsiTheme="minorHAnsi"/>
          <w:sz w:val="22"/>
          <w:szCs w:val="22"/>
          <w:lang w:val="en-GB"/>
        </w:rPr>
        <w:t xml:space="preserve"> </w:t>
      </w:r>
      <w:r w:rsidRPr="00D80AF7">
        <w:rPr>
          <w:rFonts w:asciiTheme="minorHAnsi" w:hAnsiTheme="minorHAnsi"/>
          <w:noProof/>
          <w:sz w:val="22"/>
          <w:szCs w:val="22"/>
          <w:lang w:val="en-GB"/>
        </w:rPr>
        <w:t>Fermi</w:t>
      </w:r>
      <w:r w:rsidRPr="00D80AF7">
        <w:rPr>
          <w:rFonts w:asciiTheme="minorHAnsi" w:hAnsiTheme="minorHAnsi"/>
          <w:sz w:val="22"/>
          <w:szCs w:val="22"/>
          <w:lang w:val="en-GB"/>
        </w:rPr>
        <w:t xml:space="preserve"> level, </w:t>
      </w:r>
      <w:r>
        <w:rPr>
          <w:rFonts w:asciiTheme="minorHAnsi" w:hAnsiTheme="minorHAnsi"/>
          <w:sz w:val="22"/>
          <w:szCs w:val="22"/>
          <w:lang w:val="en-GB"/>
        </w:rPr>
        <w:t>for</w:t>
      </w:r>
      <w:r w:rsidRPr="00D80AF7">
        <w:rPr>
          <w:rFonts w:asciiTheme="minorHAnsi" w:hAnsiTheme="minorHAnsi"/>
          <w:sz w:val="22"/>
          <w:szCs w:val="22"/>
          <w:lang w:val="en-GB"/>
        </w:rPr>
        <w:t xml:space="preserve"> TiZrHfTa</w:t>
      </w:r>
      <w:r>
        <w:rPr>
          <w:rFonts w:asciiTheme="minorHAnsi" w:hAnsiTheme="minorHAnsi"/>
          <w:sz w:val="22"/>
          <w:szCs w:val="22"/>
          <w:lang w:val="en-GB"/>
        </w:rPr>
        <w:t xml:space="preserve"> the</w:t>
      </w:r>
      <w:r w:rsidRPr="00D80AF7">
        <w:rPr>
          <w:rFonts w:asciiTheme="minorHAnsi" w:hAnsiTheme="minorHAnsi"/>
          <w:sz w:val="22"/>
          <w:szCs w:val="22"/>
          <w:lang w:val="en-GB"/>
        </w:rPr>
        <w:t xml:space="preserve"> p states also </w:t>
      </w:r>
      <w:r w:rsidRPr="007C247B">
        <w:rPr>
          <w:rFonts w:asciiTheme="minorHAnsi" w:hAnsiTheme="minorHAnsi"/>
          <w:noProof/>
          <w:sz w:val="22"/>
          <w:szCs w:val="22"/>
          <w:lang w:val="en-GB"/>
        </w:rPr>
        <w:t>contribute</w:t>
      </w:r>
      <w:r w:rsidRPr="00D80AF7">
        <w:rPr>
          <w:rFonts w:asciiTheme="minorHAnsi" w:hAnsiTheme="minorHAnsi"/>
          <w:sz w:val="22"/>
          <w:szCs w:val="22"/>
          <w:lang w:val="en-GB"/>
        </w:rPr>
        <w:t xml:space="preserve"> to the </w:t>
      </w:r>
      <w:r w:rsidRPr="00D80AF7">
        <w:rPr>
          <w:rFonts w:asciiTheme="minorHAnsi" w:hAnsiTheme="minorHAnsi"/>
          <w:noProof/>
          <w:sz w:val="22"/>
          <w:szCs w:val="22"/>
          <w:lang w:val="en-GB"/>
        </w:rPr>
        <w:t>peak</w:t>
      </w:r>
      <w:r w:rsidRPr="00D80AF7">
        <w:rPr>
          <w:rFonts w:asciiTheme="minorHAnsi" w:hAnsiTheme="minorHAnsi"/>
          <w:sz w:val="22"/>
          <w:szCs w:val="22"/>
          <w:lang w:val="en-GB"/>
        </w:rPr>
        <w:t xml:space="preserve"> near to the </w:t>
      </w:r>
      <w:r w:rsidRPr="00D80AF7">
        <w:rPr>
          <w:rFonts w:asciiTheme="minorHAnsi" w:hAnsiTheme="minorHAnsi"/>
          <w:noProof/>
          <w:sz w:val="22"/>
          <w:szCs w:val="22"/>
          <w:lang w:val="en-GB"/>
        </w:rPr>
        <w:t>Fermi</w:t>
      </w:r>
      <w:r w:rsidRPr="00D80AF7">
        <w:rPr>
          <w:rFonts w:asciiTheme="minorHAnsi" w:hAnsiTheme="minorHAnsi"/>
          <w:sz w:val="22"/>
          <w:szCs w:val="22"/>
          <w:lang w:val="en-GB"/>
        </w:rPr>
        <w:t xml:space="preserve"> level</w:t>
      </w:r>
      <w:r>
        <w:rPr>
          <w:rFonts w:asciiTheme="minorHAnsi" w:hAnsiTheme="minorHAnsi"/>
          <w:sz w:val="22"/>
          <w:szCs w:val="22"/>
          <w:lang w:val="en-GB"/>
        </w:rPr>
        <w:t xml:space="preserve"> as a result</w:t>
      </w:r>
      <w:r w:rsidRPr="00D80AF7">
        <w:rPr>
          <w:rFonts w:asciiTheme="minorHAnsi" w:hAnsiTheme="minorHAnsi"/>
          <w:sz w:val="22"/>
          <w:szCs w:val="22"/>
          <w:lang w:val="en-GB"/>
        </w:rPr>
        <w:t xml:space="preserve"> of Hf substitution and </w:t>
      </w:r>
      <w:r>
        <w:rPr>
          <w:rFonts w:asciiTheme="minorHAnsi" w:hAnsiTheme="minorHAnsi"/>
          <w:sz w:val="22"/>
          <w:szCs w:val="22"/>
          <w:lang w:val="en-GB"/>
        </w:rPr>
        <w:t xml:space="preserve">are </w:t>
      </w:r>
      <w:r w:rsidRPr="00D80AF7">
        <w:rPr>
          <w:rFonts w:asciiTheme="minorHAnsi" w:hAnsiTheme="minorHAnsi"/>
          <w:sz w:val="22"/>
          <w:szCs w:val="22"/>
          <w:lang w:val="en-GB"/>
        </w:rPr>
        <w:t xml:space="preserve">considered as the </w:t>
      </w:r>
      <w:r w:rsidRPr="00D80AF7">
        <w:rPr>
          <w:rFonts w:asciiTheme="minorHAnsi" w:hAnsiTheme="minorHAnsi"/>
          <w:noProof/>
          <w:sz w:val="22"/>
          <w:szCs w:val="22"/>
          <w:lang w:val="en-GB"/>
        </w:rPr>
        <w:t>main</w:t>
      </w:r>
      <w:r w:rsidRPr="00D80AF7">
        <w:rPr>
          <w:rFonts w:asciiTheme="minorHAnsi" w:hAnsiTheme="minorHAnsi"/>
          <w:sz w:val="22"/>
          <w:szCs w:val="22"/>
          <w:lang w:val="en-GB"/>
        </w:rPr>
        <w:t xml:space="preserve"> factor to </w:t>
      </w:r>
      <w:r>
        <w:rPr>
          <w:rFonts w:asciiTheme="minorHAnsi" w:hAnsiTheme="minorHAnsi"/>
          <w:sz w:val="22"/>
          <w:szCs w:val="22"/>
          <w:lang w:val="en-GB"/>
        </w:rPr>
        <w:t xml:space="preserve">cause the </w:t>
      </w:r>
      <w:r w:rsidRPr="00D80AF7">
        <w:rPr>
          <w:rFonts w:asciiTheme="minorHAnsi" w:hAnsiTheme="minorHAnsi"/>
          <w:sz w:val="22"/>
          <w:szCs w:val="22"/>
          <w:lang w:val="en-GB"/>
        </w:rPr>
        <w:t xml:space="preserve">shift </w:t>
      </w:r>
      <w:r>
        <w:rPr>
          <w:rFonts w:asciiTheme="minorHAnsi" w:hAnsiTheme="minorHAnsi"/>
          <w:sz w:val="22"/>
          <w:szCs w:val="22"/>
          <w:lang w:val="en-GB"/>
        </w:rPr>
        <w:t xml:space="preserve">in </w:t>
      </w:r>
      <w:r w:rsidR="00E64F09">
        <w:rPr>
          <w:rFonts w:asciiTheme="minorHAnsi" w:hAnsiTheme="minorHAnsi"/>
          <w:sz w:val="22"/>
          <w:szCs w:val="22"/>
          <w:lang w:val="en-GB"/>
        </w:rPr>
        <w:t xml:space="preserve">the </w:t>
      </w:r>
      <w:r w:rsidRPr="00D80AF7">
        <w:rPr>
          <w:rFonts w:asciiTheme="minorHAnsi" w:hAnsiTheme="minorHAnsi"/>
          <w:sz w:val="22"/>
          <w:szCs w:val="22"/>
          <w:lang w:val="en-GB"/>
        </w:rPr>
        <w:t xml:space="preserve">peak to </w:t>
      </w:r>
      <w:r w:rsidR="00E64F09">
        <w:rPr>
          <w:rFonts w:asciiTheme="minorHAnsi" w:hAnsiTheme="minorHAnsi"/>
          <w:sz w:val="22"/>
          <w:szCs w:val="22"/>
          <w:lang w:val="en-GB"/>
        </w:rPr>
        <w:t xml:space="preserve">the </w:t>
      </w:r>
      <w:r w:rsidRPr="00D80AF7">
        <w:rPr>
          <w:rFonts w:asciiTheme="minorHAnsi" w:hAnsiTheme="minorHAnsi"/>
          <w:noProof/>
          <w:sz w:val="22"/>
          <w:szCs w:val="22"/>
          <w:lang w:val="en-GB"/>
        </w:rPr>
        <w:t>Fermi</w:t>
      </w:r>
      <w:r w:rsidRPr="00D80AF7">
        <w:rPr>
          <w:rFonts w:asciiTheme="minorHAnsi" w:hAnsiTheme="minorHAnsi"/>
          <w:sz w:val="22"/>
          <w:szCs w:val="22"/>
          <w:lang w:val="en-GB"/>
        </w:rPr>
        <w:t xml:space="preserve"> level. </w:t>
      </w:r>
      <w:r>
        <w:rPr>
          <w:rFonts w:asciiTheme="minorHAnsi" w:hAnsiTheme="minorHAnsi"/>
          <w:sz w:val="22"/>
          <w:szCs w:val="22"/>
          <w:lang w:val="en-GB"/>
        </w:rPr>
        <w:t>A</w:t>
      </w:r>
      <w:r w:rsidRPr="00D80AF7">
        <w:rPr>
          <w:rFonts w:asciiTheme="minorHAnsi" w:hAnsiTheme="minorHAnsi"/>
          <w:sz w:val="22"/>
          <w:szCs w:val="22"/>
          <w:lang w:val="en-GB"/>
        </w:rPr>
        <w:t xml:space="preserve">s shown in </w:t>
      </w:r>
      <w:r>
        <w:rPr>
          <w:rFonts w:asciiTheme="minorHAnsi" w:hAnsiTheme="minorHAnsi"/>
          <w:sz w:val="22"/>
          <w:szCs w:val="22"/>
          <w:lang w:val="en-GB"/>
        </w:rPr>
        <w:t>Fig</w:t>
      </w:r>
      <w:r w:rsidRPr="00D80AF7">
        <w:rPr>
          <w:rFonts w:asciiTheme="minorHAnsi" w:hAnsiTheme="minorHAnsi"/>
          <w:sz w:val="22"/>
          <w:szCs w:val="22"/>
          <w:lang w:val="en-GB"/>
        </w:rPr>
        <w:t>.</w:t>
      </w:r>
      <w:r>
        <w:rPr>
          <w:rFonts w:asciiTheme="minorHAnsi" w:hAnsiTheme="minorHAnsi"/>
          <w:sz w:val="22"/>
          <w:szCs w:val="22"/>
          <w:lang w:val="en-GB"/>
        </w:rPr>
        <w:t xml:space="preserve"> 4-6</w:t>
      </w:r>
      <w:r w:rsidRPr="00D80AF7">
        <w:rPr>
          <w:rFonts w:asciiTheme="minorHAnsi" w:hAnsiTheme="minorHAnsi"/>
          <w:sz w:val="22"/>
          <w:szCs w:val="22"/>
          <w:lang w:val="en-GB"/>
        </w:rPr>
        <w:t>(c-d)</w:t>
      </w:r>
      <w:r>
        <w:rPr>
          <w:rFonts w:asciiTheme="minorHAnsi" w:hAnsiTheme="minorHAnsi"/>
          <w:sz w:val="22"/>
          <w:szCs w:val="22"/>
          <w:lang w:val="en-GB"/>
        </w:rPr>
        <w:t xml:space="preserve"> for both </w:t>
      </w:r>
      <w:r w:rsidRPr="00D80AF7">
        <w:rPr>
          <w:rFonts w:asciiTheme="minorHAnsi" w:hAnsiTheme="minorHAnsi"/>
          <w:sz w:val="22"/>
          <w:szCs w:val="22"/>
          <w:lang w:val="en-GB"/>
        </w:rPr>
        <w:t>TiZrNbTa and TiZrHfTa the PDOS of Ti and Zr contribute</w:t>
      </w:r>
      <w:r>
        <w:rPr>
          <w:rFonts w:asciiTheme="minorHAnsi" w:hAnsiTheme="minorHAnsi"/>
          <w:sz w:val="22"/>
          <w:szCs w:val="22"/>
          <w:lang w:val="en-GB"/>
        </w:rPr>
        <w:t>d</w:t>
      </w:r>
      <w:r w:rsidRPr="00D80AF7">
        <w:rPr>
          <w:rFonts w:asciiTheme="minorHAnsi" w:hAnsiTheme="minorHAnsi"/>
          <w:sz w:val="22"/>
          <w:szCs w:val="22"/>
          <w:lang w:val="en-GB"/>
        </w:rPr>
        <w:t xml:space="preserve"> most </w:t>
      </w:r>
      <w:r w:rsidR="00E64F09">
        <w:rPr>
          <w:rFonts w:asciiTheme="minorHAnsi" w:hAnsiTheme="minorHAnsi"/>
          <w:sz w:val="22"/>
          <w:szCs w:val="22"/>
          <w:lang w:val="en-GB"/>
        </w:rPr>
        <w:t>to</w:t>
      </w:r>
      <w:r w:rsidRPr="00D80AF7">
        <w:rPr>
          <w:rFonts w:asciiTheme="minorHAnsi" w:hAnsiTheme="minorHAnsi"/>
          <w:sz w:val="22"/>
          <w:szCs w:val="22"/>
          <w:lang w:val="en-GB"/>
        </w:rPr>
        <w:t xml:space="preserve"> the peak of </w:t>
      </w:r>
      <w:r w:rsidR="00E64F09">
        <w:rPr>
          <w:rFonts w:asciiTheme="minorHAnsi" w:hAnsiTheme="minorHAnsi"/>
          <w:sz w:val="22"/>
          <w:szCs w:val="22"/>
          <w:lang w:val="en-GB"/>
        </w:rPr>
        <w:t xml:space="preserve">the </w:t>
      </w:r>
      <w:r w:rsidRPr="00D80AF7">
        <w:rPr>
          <w:rFonts w:asciiTheme="minorHAnsi" w:hAnsiTheme="minorHAnsi"/>
          <w:sz w:val="22"/>
          <w:szCs w:val="22"/>
          <w:lang w:val="en-GB"/>
        </w:rPr>
        <w:t xml:space="preserve">TDOS at </w:t>
      </w:r>
      <w:r w:rsidR="00E64F09">
        <w:rPr>
          <w:rFonts w:asciiTheme="minorHAnsi" w:hAnsiTheme="minorHAnsi"/>
          <w:sz w:val="22"/>
          <w:szCs w:val="22"/>
          <w:lang w:val="en-GB"/>
        </w:rPr>
        <w:t xml:space="preserve">the </w:t>
      </w:r>
      <w:r w:rsidRPr="00D80AF7">
        <w:rPr>
          <w:rFonts w:asciiTheme="minorHAnsi" w:hAnsiTheme="minorHAnsi"/>
          <w:noProof/>
          <w:sz w:val="22"/>
          <w:szCs w:val="22"/>
          <w:lang w:val="en-GB"/>
        </w:rPr>
        <w:t>Fermi</w:t>
      </w:r>
      <w:r w:rsidRPr="00D80AF7">
        <w:rPr>
          <w:rFonts w:asciiTheme="minorHAnsi" w:hAnsiTheme="minorHAnsi"/>
          <w:sz w:val="22"/>
          <w:szCs w:val="22"/>
          <w:lang w:val="en-GB"/>
        </w:rPr>
        <w:t xml:space="preserve"> level</w:t>
      </w:r>
      <w:r>
        <w:rPr>
          <w:rFonts w:asciiTheme="minorHAnsi" w:hAnsiTheme="minorHAnsi"/>
          <w:sz w:val="22"/>
          <w:szCs w:val="22"/>
          <w:lang w:val="en-GB"/>
        </w:rPr>
        <w:t>.</w:t>
      </w:r>
      <w:r w:rsidRPr="00D80AF7">
        <w:rPr>
          <w:rFonts w:asciiTheme="minorHAnsi" w:hAnsiTheme="minorHAnsi"/>
          <w:sz w:val="22"/>
          <w:szCs w:val="22"/>
          <w:lang w:val="en-GB"/>
        </w:rPr>
        <w:t xml:space="preserve"> </w:t>
      </w:r>
      <w:r>
        <w:rPr>
          <w:rFonts w:asciiTheme="minorHAnsi" w:hAnsiTheme="minorHAnsi"/>
          <w:sz w:val="22"/>
          <w:szCs w:val="22"/>
          <w:lang w:val="en-GB"/>
        </w:rPr>
        <w:t xml:space="preserve">However, </w:t>
      </w:r>
      <w:r w:rsidRPr="00D80AF7">
        <w:rPr>
          <w:rFonts w:asciiTheme="minorHAnsi" w:hAnsiTheme="minorHAnsi"/>
          <w:sz w:val="22"/>
          <w:szCs w:val="22"/>
          <w:lang w:val="en-GB"/>
        </w:rPr>
        <w:t>with the replacement of Nb by Hf</w:t>
      </w:r>
      <w:r>
        <w:rPr>
          <w:rFonts w:asciiTheme="minorHAnsi" w:hAnsiTheme="minorHAnsi"/>
          <w:sz w:val="22"/>
          <w:szCs w:val="22"/>
          <w:lang w:val="en-GB"/>
        </w:rPr>
        <w:t xml:space="preserve">, </w:t>
      </w:r>
      <w:r w:rsidRPr="00D80AF7">
        <w:rPr>
          <w:rFonts w:asciiTheme="minorHAnsi" w:hAnsiTheme="minorHAnsi"/>
          <w:sz w:val="22"/>
          <w:szCs w:val="22"/>
          <w:lang w:val="en-GB"/>
        </w:rPr>
        <w:t xml:space="preserve">the </w:t>
      </w:r>
      <w:r w:rsidRPr="00D80AF7">
        <w:rPr>
          <w:rFonts w:asciiTheme="minorHAnsi" w:hAnsiTheme="minorHAnsi"/>
          <w:noProof/>
          <w:sz w:val="22"/>
          <w:szCs w:val="22"/>
          <w:lang w:val="en-GB"/>
        </w:rPr>
        <w:t>Fermi</w:t>
      </w:r>
      <w:r w:rsidRPr="00D80AF7">
        <w:rPr>
          <w:rFonts w:asciiTheme="minorHAnsi" w:hAnsiTheme="minorHAnsi"/>
          <w:sz w:val="22"/>
          <w:szCs w:val="22"/>
          <w:lang w:val="en-GB"/>
        </w:rPr>
        <w:t xml:space="preserve"> level shift</w:t>
      </w:r>
      <w:r>
        <w:rPr>
          <w:rFonts w:asciiTheme="minorHAnsi" w:hAnsiTheme="minorHAnsi"/>
          <w:sz w:val="22"/>
          <w:szCs w:val="22"/>
          <w:lang w:val="en-GB"/>
        </w:rPr>
        <w:t>s</w:t>
      </w:r>
      <w:r w:rsidRPr="00D80AF7">
        <w:rPr>
          <w:rFonts w:asciiTheme="minorHAnsi" w:hAnsiTheme="minorHAnsi"/>
          <w:sz w:val="22"/>
          <w:szCs w:val="22"/>
          <w:lang w:val="en-GB"/>
        </w:rPr>
        <w:t xml:space="preserve"> from </w:t>
      </w:r>
      <w:r>
        <w:rPr>
          <w:rFonts w:asciiTheme="minorHAnsi" w:hAnsiTheme="minorHAnsi"/>
          <w:sz w:val="22"/>
          <w:szCs w:val="22"/>
          <w:lang w:val="en-GB"/>
        </w:rPr>
        <w:t xml:space="preserve">the </w:t>
      </w:r>
      <w:r w:rsidRPr="00D80AF7">
        <w:rPr>
          <w:rFonts w:asciiTheme="minorHAnsi" w:hAnsiTheme="minorHAnsi"/>
          <w:sz w:val="22"/>
          <w:szCs w:val="22"/>
          <w:lang w:val="en-GB"/>
        </w:rPr>
        <w:t>descending zone to the peak</w:t>
      </w:r>
      <w:r>
        <w:rPr>
          <w:rFonts w:asciiTheme="minorHAnsi" w:hAnsiTheme="minorHAnsi"/>
          <w:sz w:val="22"/>
          <w:szCs w:val="22"/>
          <w:lang w:val="en-GB"/>
        </w:rPr>
        <w:t xml:space="preserve"> when</w:t>
      </w:r>
      <w:r w:rsidRPr="00D80AF7">
        <w:rPr>
          <w:rFonts w:asciiTheme="minorHAnsi" w:hAnsiTheme="minorHAnsi"/>
          <w:sz w:val="22"/>
          <w:szCs w:val="22"/>
          <w:lang w:val="en-GB"/>
        </w:rPr>
        <w:t xml:space="preserve"> compared with TiZrNbTa</w:t>
      </w:r>
      <w:r>
        <w:rPr>
          <w:rFonts w:asciiTheme="minorHAnsi" w:hAnsiTheme="minorHAnsi"/>
          <w:sz w:val="22"/>
          <w:szCs w:val="22"/>
          <w:lang w:val="en-GB"/>
        </w:rPr>
        <w:t xml:space="preserve">. This ultimately leads </w:t>
      </w:r>
      <w:r w:rsidRPr="00D80AF7">
        <w:rPr>
          <w:rFonts w:asciiTheme="minorHAnsi" w:hAnsiTheme="minorHAnsi"/>
          <w:sz w:val="22"/>
          <w:szCs w:val="22"/>
          <w:lang w:val="en-GB"/>
        </w:rPr>
        <w:t xml:space="preserve">to </w:t>
      </w:r>
      <w:r w:rsidRPr="00D80AF7">
        <w:rPr>
          <w:rFonts w:asciiTheme="minorHAnsi" w:hAnsiTheme="minorHAnsi"/>
          <w:noProof/>
          <w:sz w:val="22"/>
          <w:szCs w:val="22"/>
          <w:lang w:val="en-GB"/>
        </w:rPr>
        <w:t>structural</w:t>
      </w:r>
      <w:r w:rsidRPr="00D80AF7">
        <w:rPr>
          <w:rFonts w:asciiTheme="minorHAnsi" w:hAnsiTheme="minorHAnsi"/>
          <w:sz w:val="22"/>
          <w:szCs w:val="22"/>
          <w:lang w:val="en-GB"/>
        </w:rPr>
        <w:t xml:space="preserve"> instability of TiZrHfTa. </w:t>
      </w:r>
    </w:p>
    <w:p w14:paraId="692F3826" w14:textId="737D81CF" w:rsidR="00B145BE" w:rsidRDefault="00B145BE" w:rsidP="00B145BE">
      <w:pPr>
        <w:pStyle w:val="Normal1"/>
        <w:spacing w:afterLines="60" w:after="144" w:line="360" w:lineRule="auto"/>
        <w:jc w:val="both"/>
        <w:rPr>
          <w:rFonts w:asciiTheme="minorHAnsi" w:hAnsiTheme="minorHAnsi"/>
          <w:sz w:val="22"/>
          <w:szCs w:val="22"/>
          <w:lang w:val="en-GB"/>
        </w:rPr>
      </w:pPr>
      <w:r>
        <w:rPr>
          <w:rFonts w:asciiTheme="minorHAnsi" w:hAnsiTheme="minorHAnsi"/>
          <w:sz w:val="22"/>
          <w:szCs w:val="22"/>
          <w:lang w:val="en-GB"/>
        </w:rPr>
        <w:t>This observation</w:t>
      </w:r>
      <w:r w:rsidRPr="00D80AF7">
        <w:rPr>
          <w:rFonts w:asciiTheme="minorHAnsi" w:hAnsiTheme="minorHAnsi"/>
          <w:sz w:val="22"/>
          <w:szCs w:val="22"/>
          <w:lang w:val="en-GB"/>
        </w:rPr>
        <w:t xml:space="preserve"> may</w:t>
      </w:r>
      <w:r>
        <w:rPr>
          <w:rFonts w:asciiTheme="minorHAnsi" w:hAnsiTheme="minorHAnsi"/>
          <w:sz w:val="22"/>
          <w:szCs w:val="22"/>
          <w:lang w:val="en-GB"/>
        </w:rPr>
        <w:t xml:space="preserve"> </w:t>
      </w:r>
      <w:r>
        <w:rPr>
          <w:rFonts w:asciiTheme="minorHAnsi" w:hAnsiTheme="minorHAnsi" w:hint="eastAsia"/>
          <w:sz w:val="22"/>
          <w:szCs w:val="22"/>
          <w:lang w:val="en-GB"/>
        </w:rPr>
        <w:t>also</w:t>
      </w:r>
      <w:r w:rsidRPr="00D80AF7">
        <w:rPr>
          <w:rFonts w:asciiTheme="minorHAnsi" w:hAnsiTheme="minorHAnsi"/>
          <w:sz w:val="22"/>
          <w:szCs w:val="22"/>
          <w:lang w:val="en-GB"/>
        </w:rPr>
        <w:t xml:space="preserve"> correlate </w:t>
      </w:r>
      <w:r w:rsidR="00C85374">
        <w:rPr>
          <w:rFonts w:asciiTheme="minorHAnsi" w:hAnsiTheme="minorHAnsi"/>
          <w:sz w:val="22"/>
          <w:szCs w:val="22"/>
          <w:lang w:val="en-GB"/>
        </w:rPr>
        <w:t>with</w:t>
      </w:r>
      <w:r w:rsidR="00C85374" w:rsidRPr="00D80AF7">
        <w:rPr>
          <w:rFonts w:asciiTheme="minorHAnsi" w:hAnsiTheme="minorHAnsi"/>
          <w:sz w:val="22"/>
          <w:szCs w:val="22"/>
          <w:lang w:val="en-GB"/>
        </w:rPr>
        <w:t xml:space="preserve"> </w:t>
      </w:r>
      <w:r w:rsidRPr="00D80AF7">
        <w:rPr>
          <w:rFonts w:asciiTheme="minorHAnsi" w:hAnsiTheme="minorHAnsi"/>
          <w:sz w:val="22"/>
          <w:szCs w:val="22"/>
          <w:lang w:val="en-GB"/>
        </w:rPr>
        <w:t xml:space="preserve">the </w:t>
      </w:r>
      <w:r>
        <w:rPr>
          <w:rFonts w:asciiTheme="minorHAnsi" w:hAnsiTheme="minorHAnsi"/>
          <w:sz w:val="22"/>
          <w:szCs w:val="22"/>
          <w:lang w:val="en-GB"/>
        </w:rPr>
        <w:t>activation</w:t>
      </w:r>
      <w:r w:rsidRPr="00D80AF7">
        <w:rPr>
          <w:rFonts w:asciiTheme="minorHAnsi" w:hAnsiTheme="minorHAnsi"/>
          <w:sz w:val="22"/>
          <w:szCs w:val="22"/>
          <w:lang w:val="en-GB"/>
        </w:rPr>
        <w:t xml:space="preserve"> of the </w:t>
      </w:r>
      <w:r w:rsidRPr="00D80AF7">
        <w:rPr>
          <w:rFonts w:asciiTheme="minorHAnsi" w:hAnsiTheme="minorHAnsi"/>
          <w:noProof/>
          <w:sz w:val="22"/>
          <w:szCs w:val="22"/>
          <w:lang w:val="en-GB"/>
        </w:rPr>
        <w:t>martensite</w:t>
      </w:r>
      <w:r w:rsidRPr="00D80AF7">
        <w:rPr>
          <w:rFonts w:asciiTheme="minorHAnsi" w:hAnsiTheme="minorHAnsi"/>
          <w:sz w:val="22"/>
          <w:szCs w:val="22"/>
          <w:lang w:val="en-GB"/>
        </w:rPr>
        <w:t xml:space="preserve"> phase in TiZrHfTa</w:t>
      </w:r>
      <w:r>
        <w:rPr>
          <w:rFonts w:asciiTheme="minorHAnsi" w:hAnsiTheme="minorHAnsi"/>
          <w:sz w:val="22"/>
          <w:szCs w:val="22"/>
          <w:lang w:val="en-GB"/>
        </w:rPr>
        <w:t>,</w:t>
      </w:r>
      <w:r w:rsidRPr="00D80AF7">
        <w:rPr>
          <w:rFonts w:asciiTheme="minorHAnsi" w:hAnsiTheme="minorHAnsi"/>
          <w:noProof/>
          <w:sz w:val="22"/>
          <w:szCs w:val="22"/>
          <w:lang w:val="en-GB"/>
        </w:rPr>
        <w:t xml:space="preserve"> as</w:t>
      </w:r>
      <w:r w:rsidRPr="00D80AF7">
        <w:rPr>
          <w:rFonts w:asciiTheme="minorHAnsi" w:hAnsiTheme="minorHAnsi"/>
          <w:sz w:val="22"/>
          <w:szCs w:val="22"/>
          <w:lang w:val="en-GB"/>
        </w:rPr>
        <w:t xml:space="preserve"> the origin of </w:t>
      </w:r>
      <w:r w:rsidRPr="00D80AF7">
        <w:rPr>
          <w:rFonts w:asciiTheme="minorHAnsi" w:hAnsiTheme="minorHAnsi"/>
          <w:noProof/>
          <w:sz w:val="22"/>
          <w:szCs w:val="22"/>
          <w:lang w:val="en-GB"/>
        </w:rPr>
        <w:t>orthorhombic</w:t>
      </w:r>
      <w:r w:rsidRPr="00D80AF7">
        <w:rPr>
          <w:rFonts w:asciiTheme="minorHAnsi" w:hAnsiTheme="minorHAnsi"/>
          <w:sz w:val="22"/>
          <w:szCs w:val="22"/>
          <w:lang w:val="en-GB"/>
        </w:rPr>
        <w:t xml:space="preserve"> martensite </w:t>
      </w:r>
      <w:r w:rsidRPr="00D80AF7">
        <w:rPr>
          <w:rFonts w:asciiTheme="minorHAnsi" w:hAnsiTheme="minorHAnsi"/>
          <w:noProof/>
          <w:sz w:val="22"/>
          <w:szCs w:val="22"/>
          <w:lang w:val="en-GB"/>
        </w:rPr>
        <w:t>is induced</w:t>
      </w:r>
      <w:r w:rsidRPr="00D80AF7">
        <w:rPr>
          <w:rFonts w:asciiTheme="minorHAnsi" w:hAnsiTheme="minorHAnsi"/>
          <w:sz w:val="22"/>
          <w:szCs w:val="22"/>
          <w:lang w:val="en-GB"/>
        </w:rPr>
        <w:t xml:space="preserve"> by instability towards deformation on the </w:t>
      </w:r>
      <w:r w:rsidRPr="00D80AF7">
        <w:rPr>
          <w:rFonts w:asciiTheme="minorHAnsi" w:hAnsiTheme="minorHAnsi"/>
          <w:noProof/>
          <w:sz w:val="22"/>
          <w:szCs w:val="22"/>
          <w:lang w:val="en-GB"/>
        </w:rPr>
        <w:t>{011}</w:t>
      </w:r>
      <w:r w:rsidRPr="00D66B74">
        <w:rPr>
          <w:rFonts w:asciiTheme="minorHAnsi" w:eastAsia="等线" w:hAnsiTheme="minorHAnsi"/>
          <w:noProof/>
          <w:sz w:val="22"/>
          <w:szCs w:val="22"/>
          <w:vertAlign w:val="subscript"/>
          <w:lang w:val="en-GB"/>
        </w:rPr>
        <w:t>β</w:t>
      </w:r>
      <w:r w:rsidRPr="00D80AF7">
        <w:rPr>
          <w:rFonts w:asciiTheme="minorHAnsi" w:hAnsiTheme="minorHAnsi"/>
          <w:sz w:val="22"/>
          <w:szCs w:val="22"/>
          <w:lang w:val="en-GB"/>
        </w:rPr>
        <w:t xml:space="preserve"> plane</w:t>
      </w:r>
      <w:r>
        <w:rPr>
          <w:rFonts w:asciiTheme="minorHAnsi" w:hAnsiTheme="minorHAnsi"/>
          <w:sz w:val="22"/>
          <w:szCs w:val="22"/>
          <w:lang w:val="en-GB"/>
        </w:rPr>
        <w:t xml:space="preserve"> </w:t>
      </w:r>
      <w:r w:rsidRPr="00D80AF7">
        <w:rPr>
          <w:rFonts w:asciiTheme="minorHAnsi" w:hAnsiTheme="minorHAnsi"/>
          <w:sz w:val="22"/>
          <w:szCs w:val="22"/>
          <w:lang w:val="en-GB"/>
        </w:rPr>
        <w:t>(smaller C’=(C</w:t>
      </w:r>
      <w:r w:rsidRPr="00D80AF7">
        <w:rPr>
          <w:rFonts w:asciiTheme="minorHAnsi" w:hAnsiTheme="minorHAnsi"/>
          <w:sz w:val="22"/>
          <w:szCs w:val="22"/>
          <w:vertAlign w:val="subscript"/>
          <w:lang w:val="en-GB"/>
        </w:rPr>
        <w:t>11</w:t>
      </w:r>
      <w:r w:rsidRPr="00D80AF7">
        <w:rPr>
          <w:rFonts w:asciiTheme="minorHAnsi" w:hAnsiTheme="minorHAnsi"/>
          <w:sz w:val="22"/>
          <w:szCs w:val="22"/>
          <w:lang w:val="en-GB"/>
        </w:rPr>
        <w:t>-C</w:t>
      </w:r>
      <w:r w:rsidRPr="00D80AF7">
        <w:rPr>
          <w:rFonts w:asciiTheme="minorHAnsi" w:hAnsiTheme="minorHAnsi"/>
          <w:sz w:val="22"/>
          <w:szCs w:val="22"/>
          <w:vertAlign w:val="subscript"/>
          <w:lang w:val="en-GB"/>
        </w:rPr>
        <w:t>12</w:t>
      </w:r>
      <w:r w:rsidRPr="00D80AF7">
        <w:rPr>
          <w:rFonts w:asciiTheme="minorHAnsi" w:hAnsiTheme="minorHAnsi"/>
          <w:sz w:val="22"/>
          <w:szCs w:val="22"/>
          <w:lang w:val="en-GB"/>
        </w:rPr>
        <w:t>)/2)</w:t>
      </w:r>
      <w:r>
        <w:rPr>
          <w:rFonts w:asciiTheme="minorHAnsi" w:hAnsiTheme="minorHAnsi"/>
          <w:sz w:val="22"/>
          <w:szCs w:val="22"/>
          <w:lang w:val="en-GB"/>
        </w:rPr>
        <w:t xml:space="preserve"> </w:t>
      </w:r>
      <w:r w:rsidRPr="00D80AF7">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{"citationItems":[{"id":"ITEM-1","itemData":{"ISBN":"110951851X","abstract":"Motivated by the prospect of lower cost Ti production processes, new directions in Ti alloy design were explored for naval and automotive applications. Building on the experience of the Steel Research Group at Northwestern University, an analogous design process was taken with titanium. As a new project, essential kinetic databases and models were developed for the design process and used to create a prototype design. Diffusion kinetic models were developed to predict the change in phase compositions and microstructure during heat treatment. Combining a mobility database created in this research with a licensed thermodynamic database, ThermoCalc and DICTRA software was used to model kinetic compositional changes in titanium alloys. Experimental diffusion couples were created and compared to DICTRA simulations to refine mobility parameters in the titanium mobility database. The software and database were able to predict homogenization times and the beta&amp;rarr;alpha plate thickening kinetics during cooling in the near-alpha Ti5111 alloy. The results of these models were compared to LEAP microanalysis and found to be in reasonable agreement. Powder metallurgy was explored using SPS at GM R&amp;amp;D to reduce the cost of titanium alloys. Fully dense Ti5111 alloys were produced and achieved similar microstructures to wrought Ti5111. High levels of oxygen in these alloys increased the strength while reducing the ductility. Preliminary Ti5111+Y alloys were created, where yttrium additions successfully gettered excess oxygen to create oxides. However, undesirable large oxides formed, indicating more research is needed into the homogeneous distribution of the yttrium powder to create finer oxides. Principles established in steels were used to optimize the beta phase transformation stability for martensite transformation toughening in titanium alloys. The Olson-Cohen kinetic model is calibrated to shear strains in titanium. A frictional work database is established for common alloying elements in titanium to model the effect of alloying elements on the Ms temperature in titanium. Available atomic volume data and collaborative first principles quantum mechanical calculations are combined to model the composition dependence of the transformation molar volume change. Composition analysis of the beta phase from the LEAP and Bolling-Richman experimental measurement of the M ssigma temperature defining mechanical transformation stability of the beta phase in Ti5111 provide…","author":[{"dropping-particle":"","family":"Tran","given":"Jamie","non-dropping-particle":"","parse-names":false,"suffix":""}],"container-title":"ProQuest Dissertations and Theses Global","id":"ITEM-1","issued":{"date-parts":[["2009"]]},"title":"Titanium by design: Trip titanium alloy","type":"article-journal"},"uris":["http://www.mendeley.com/documents/?uuid=d15ad644-32ec-4461-9857-2a153fb29ee4"]}],"mendeley":{"formattedCitation":"[29]","plainTextFormattedCitation":"[29]","previouslyFormattedCitation":"[28]"},"properties":{"noteIndex":0},"schema":"https://github.com/citation-style-language/schema/raw/master/csl-citation.json"}</w:instrText>
      </w:r>
      <w:r w:rsidRPr="00D80AF7">
        <w:rPr>
          <w:rFonts w:asciiTheme="minorHAnsi" w:hAnsiTheme="minorHAnsi"/>
          <w:sz w:val="22"/>
          <w:szCs w:val="22"/>
          <w:lang w:val="en-GB"/>
        </w:rPr>
        <w:fldChar w:fldCharType="separate"/>
      </w:r>
      <w:r w:rsidRPr="005C630B">
        <w:rPr>
          <w:rFonts w:asciiTheme="minorHAnsi" w:hAnsiTheme="minorHAnsi"/>
          <w:noProof/>
          <w:sz w:val="22"/>
          <w:szCs w:val="22"/>
          <w:lang w:val="en-GB"/>
        </w:rPr>
        <w:t>[29]</w:t>
      </w:r>
      <w:r w:rsidRPr="00D80AF7">
        <w:rPr>
          <w:rFonts w:asciiTheme="minorHAnsi" w:hAnsiTheme="minorHAnsi"/>
          <w:sz w:val="22"/>
          <w:szCs w:val="22"/>
          <w:lang w:val="en-GB"/>
        </w:rPr>
        <w:fldChar w:fldCharType="end"/>
      </w:r>
      <w:r w:rsidRPr="00D80AF7">
        <w:rPr>
          <w:rFonts w:asciiTheme="minorHAnsi" w:hAnsiTheme="minorHAnsi"/>
          <w:sz w:val="22"/>
          <w:szCs w:val="22"/>
          <w:lang w:val="en-GB"/>
        </w:rPr>
        <w:t>. Considering the Fermi energy level represents the highest kinetic energy of a particle at zero K condition</w:t>
      </w:r>
      <w:r>
        <w:rPr>
          <w:rFonts w:asciiTheme="minorHAnsi" w:hAnsiTheme="minorHAnsi"/>
          <w:sz w:val="22"/>
          <w:szCs w:val="22"/>
          <w:lang w:val="en-GB"/>
        </w:rPr>
        <w:t xml:space="preserve"> (</w:t>
      </w:r>
      <w:r w:rsidRPr="00D80AF7">
        <w:rPr>
          <w:rFonts w:asciiTheme="minorHAnsi" w:hAnsiTheme="minorHAnsi"/>
          <w:sz w:val="22"/>
          <w:szCs w:val="22"/>
          <w:lang w:val="en-GB"/>
        </w:rPr>
        <w:t>chemical potential</w:t>
      </w:r>
      <w:r>
        <w:rPr>
          <w:rFonts w:asciiTheme="minorHAnsi" w:hAnsiTheme="minorHAnsi"/>
          <w:sz w:val="22"/>
          <w:szCs w:val="22"/>
          <w:lang w:val="en-GB"/>
        </w:rPr>
        <w:t>)</w:t>
      </w:r>
      <w:r w:rsidRPr="00D80AF7">
        <w:rPr>
          <w:rFonts w:asciiTheme="minorHAnsi" w:hAnsiTheme="minorHAnsi"/>
          <w:sz w:val="22"/>
          <w:szCs w:val="22"/>
          <w:lang w:val="en-GB"/>
        </w:rPr>
        <w:t xml:space="preserve">, the change of </w:t>
      </w:r>
      <w:r>
        <w:rPr>
          <w:rFonts w:asciiTheme="minorHAnsi" w:hAnsiTheme="minorHAnsi"/>
          <w:noProof/>
          <w:sz w:val="22"/>
          <w:szCs w:val="22"/>
          <w:lang w:val="en-GB"/>
        </w:rPr>
        <w:t>F</w:t>
      </w:r>
      <w:r w:rsidRPr="007C247B">
        <w:rPr>
          <w:rFonts w:asciiTheme="minorHAnsi" w:hAnsiTheme="minorHAnsi"/>
          <w:noProof/>
          <w:sz w:val="22"/>
          <w:szCs w:val="22"/>
          <w:lang w:val="en-GB"/>
        </w:rPr>
        <w:t>ermi</w:t>
      </w:r>
      <w:r w:rsidRPr="00D80AF7">
        <w:rPr>
          <w:rFonts w:asciiTheme="minorHAnsi" w:hAnsiTheme="minorHAnsi"/>
          <w:sz w:val="22"/>
          <w:szCs w:val="22"/>
          <w:lang w:val="en-GB"/>
        </w:rPr>
        <w:t xml:space="preserve"> level will partially reflect the variation of the electronic structure in the system at </w:t>
      </w:r>
      <w:r>
        <w:rPr>
          <w:rFonts w:asciiTheme="minorHAnsi" w:hAnsiTheme="minorHAnsi"/>
          <w:sz w:val="22"/>
          <w:szCs w:val="22"/>
          <w:lang w:val="en-GB"/>
        </w:rPr>
        <w:t xml:space="preserve">zero </w:t>
      </w:r>
      <w:r w:rsidRPr="00D80AF7">
        <w:rPr>
          <w:rFonts w:asciiTheme="minorHAnsi" w:hAnsiTheme="minorHAnsi"/>
          <w:sz w:val="22"/>
          <w:szCs w:val="22"/>
          <w:lang w:val="en-GB"/>
        </w:rPr>
        <w:t xml:space="preserve">K. While in previous research, </w:t>
      </w:r>
      <w:r w:rsidR="00C85374">
        <w:rPr>
          <w:rFonts w:asciiTheme="minorHAnsi" w:hAnsiTheme="minorHAnsi"/>
          <w:sz w:val="22"/>
          <w:szCs w:val="22"/>
          <w:lang w:val="en-GB"/>
        </w:rPr>
        <w:t>using the</w:t>
      </w:r>
      <w:r w:rsidR="00C85374" w:rsidRPr="00D80AF7">
        <w:rPr>
          <w:rFonts w:asciiTheme="minorHAnsi" w:hAnsiTheme="minorHAnsi"/>
          <w:sz w:val="22"/>
          <w:szCs w:val="22"/>
          <w:lang w:val="en-GB"/>
        </w:rPr>
        <w:t xml:space="preserve"> </w:t>
      </w:r>
      <w:r w:rsidRPr="00D80AF7">
        <w:rPr>
          <w:rFonts w:asciiTheme="minorHAnsi" w:hAnsiTheme="minorHAnsi"/>
          <w:sz w:val="22"/>
          <w:szCs w:val="22"/>
          <w:lang w:val="en-GB"/>
        </w:rPr>
        <w:t xml:space="preserve">tight binding approximation, Pettifor </w:t>
      </w:r>
      <w:r w:rsidRPr="00D80AF7">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{"citationItems":[{"id":"ITEM-1","itemData":{"DOI":"10.1088/0022-3719/3/2/018","ISSN":"00223719","abstract":"The structure trend that is observed across the transition metal series as the number of valence electrons N increases 3 to 11 is explained quantitatively. The difference in the total one-electron band structure energy between the close-packed structures face-centred cubic and hexagonal close-packed is shown to determine completely which structure is favoured, whereas an additional hard-core repulsive contribution is necessary when comparing the body-centred cubic and close-packed structures at the noble metal end of the series. The calculations were performed assuming a model transition metal characterized by only the two d-resonance parameters epsilon d and Gamma , from which the densities of states for the three structures were obtained using energy levels calculated by the hybrid nearly- free-electron tight-binding scheme of Pettifor.","author":[{"dropping-particle":"","family":"Pettifor","given":"D. G.","non-dropping-particle":"","parse-names":false,"suffix":""}],"container-title":"Journal of Physics C: Solid State Physics","id":"ITEM-1","issued":{"date-parts":[["1970"]]},"title":"Theory of the crystal structures of transition metals","type":"article-journal"},"uris":["http://www.mendeley.com/documents/?uuid=1149ed65-8b3a-4b27-a2f7-c9919351aa59"]}],"mendeley":{"formattedCitation":"[32]","plainTextFormattedCitation":"[32]","previouslyFormattedCitation":"[31]"},"properties":{"noteIndex":0},"schema":"https://github.com/citation-style-language/schema/raw/master/csl-citation.json"}</w:instrText>
      </w:r>
      <w:r w:rsidRPr="00D80AF7">
        <w:rPr>
          <w:rFonts w:asciiTheme="minorHAnsi" w:hAnsiTheme="minorHAnsi"/>
          <w:sz w:val="22"/>
          <w:szCs w:val="22"/>
          <w:lang w:val="en-GB"/>
        </w:rPr>
        <w:fldChar w:fldCharType="separate"/>
      </w:r>
      <w:r w:rsidRPr="005C630B">
        <w:rPr>
          <w:rFonts w:asciiTheme="minorHAnsi" w:hAnsiTheme="minorHAnsi"/>
          <w:noProof/>
          <w:sz w:val="22"/>
          <w:szCs w:val="22"/>
          <w:lang w:val="en-GB"/>
        </w:rPr>
        <w:t>[32]</w:t>
      </w:r>
      <w:r w:rsidRPr="00D80AF7">
        <w:rPr>
          <w:rFonts w:asciiTheme="minorHAnsi" w:hAnsiTheme="minorHAnsi"/>
          <w:sz w:val="22"/>
          <w:szCs w:val="22"/>
          <w:lang w:val="en-GB"/>
        </w:rPr>
        <w:fldChar w:fldCharType="end"/>
      </w:r>
      <w:r>
        <w:rPr>
          <w:rFonts w:asciiTheme="minorHAnsi" w:hAnsiTheme="minorHAnsi"/>
          <w:sz w:val="22"/>
          <w:szCs w:val="22"/>
          <w:lang w:val="en-GB"/>
        </w:rPr>
        <w:t xml:space="preserve"> r</w:t>
      </w:r>
      <w:r w:rsidRPr="00D80AF7">
        <w:rPr>
          <w:rFonts w:asciiTheme="minorHAnsi" w:hAnsiTheme="minorHAnsi"/>
          <w:sz w:val="22"/>
          <w:szCs w:val="22"/>
          <w:lang w:val="en-GB"/>
        </w:rPr>
        <w:t>e</w:t>
      </w:r>
      <w:r>
        <w:rPr>
          <w:rFonts w:asciiTheme="minorHAnsi" w:hAnsiTheme="minorHAnsi"/>
          <w:sz w:val="22"/>
          <w:szCs w:val="22"/>
          <w:lang w:val="en-GB"/>
        </w:rPr>
        <w:t>arranged</w:t>
      </w:r>
      <w:r w:rsidRPr="00D80AF7">
        <w:rPr>
          <w:rFonts w:asciiTheme="minorHAnsi" w:hAnsiTheme="minorHAnsi"/>
          <w:sz w:val="22"/>
          <w:szCs w:val="22"/>
          <w:lang w:val="en-GB"/>
        </w:rPr>
        <w:t xml:space="preserve"> the </w:t>
      </w:r>
      <w:r>
        <w:rPr>
          <w:rFonts w:asciiTheme="minorHAnsi" w:hAnsiTheme="minorHAnsi"/>
          <w:sz w:val="22"/>
          <w:szCs w:val="22"/>
          <w:lang w:val="en-GB"/>
        </w:rPr>
        <w:t>consideration</w:t>
      </w:r>
      <w:r w:rsidRPr="00D80AF7">
        <w:rPr>
          <w:rFonts w:asciiTheme="minorHAnsi" w:hAnsiTheme="minorHAnsi"/>
          <w:sz w:val="22"/>
          <w:szCs w:val="22"/>
          <w:lang w:val="en-GB"/>
        </w:rPr>
        <w:t xml:space="preserve"> of </w:t>
      </w:r>
      <w:r w:rsidRPr="007C247B">
        <w:rPr>
          <w:rFonts w:asciiTheme="minorHAnsi" w:hAnsiTheme="minorHAnsi"/>
          <w:noProof/>
          <w:sz w:val="22"/>
          <w:szCs w:val="22"/>
          <w:lang w:val="en-GB"/>
        </w:rPr>
        <w:t>Mi</w:t>
      </w:r>
      <w:r>
        <w:rPr>
          <w:rFonts w:asciiTheme="minorHAnsi" w:hAnsiTheme="minorHAnsi"/>
          <w:noProof/>
          <w:sz w:val="22"/>
          <w:szCs w:val="22"/>
          <w:lang w:val="en-GB"/>
        </w:rPr>
        <w:t>edema'</w:t>
      </w:r>
      <w:r w:rsidRPr="007C247B">
        <w:rPr>
          <w:rFonts w:asciiTheme="minorHAnsi" w:hAnsiTheme="minorHAnsi"/>
          <w:noProof/>
          <w:sz w:val="22"/>
          <w:szCs w:val="22"/>
          <w:lang w:val="en-GB"/>
        </w:rPr>
        <w:t>s</w:t>
      </w:r>
      <w:r w:rsidRPr="00D80AF7">
        <w:rPr>
          <w:rFonts w:asciiTheme="minorHAnsi" w:hAnsiTheme="minorHAnsi"/>
          <w:sz w:val="22"/>
          <w:szCs w:val="22"/>
          <w:lang w:val="en-GB"/>
        </w:rPr>
        <w:t xml:space="preserve"> mixing enthalpy with deliberation </w:t>
      </w:r>
      <w:r>
        <w:rPr>
          <w:rFonts w:asciiTheme="minorHAnsi" w:hAnsiTheme="minorHAnsi"/>
          <w:sz w:val="22"/>
          <w:szCs w:val="22"/>
          <w:lang w:val="en-GB"/>
        </w:rPr>
        <w:t>relating to</w:t>
      </w:r>
      <w:r w:rsidRPr="00D80AF7">
        <w:rPr>
          <w:rFonts w:asciiTheme="minorHAnsi" w:hAnsiTheme="minorHAnsi"/>
          <w:sz w:val="22"/>
          <w:szCs w:val="22"/>
          <w:lang w:val="en-GB"/>
        </w:rPr>
        <w:t xml:space="preserve"> band filling of </w:t>
      </w:r>
      <w:r w:rsidRPr="00D66B74">
        <w:rPr>
          <w:rFonts w:asciiTheme="minorHAnsi" w:hAnsiTheme="minorHAnsi"/>
          <w:i/>
          <w:sz w:val="22"/>
          <w:szCs w:val="22"/>
          <w:lang w:val="en-GB"/>
        </w:rPr>
        <w:t>d</w:t>
      </w:r>
      <w:r w:rsidRPr="00D80AF7">
        <w:rPr>
          <w:rFonts w:asciiTheme="minorHAnsi" w:hAnsiTheme="minorHAnsi"/>
          <w:sz w:val="22"/>
          <w:szCs w:val="22"/>
          <w:lang w:val="en-GB"/>
        </w:rPr>
        <w:t>-electrons</w:t>
      </w:r>
      <w:r>
        <w:rPr>
          <w:rFonts w:asciiTheme="minorHAnsi" w:hAnsiTheme="minorHAnsi"/>
          <w:sz w:val="22"/>
          <w:szCs w:val="22"/>
          <w:lang w:val="en-GB"/>
        </w:rPr>
        <w:t xml:space="preserve"> and</w:t>
      </w:r>
      <w:r w:rsidRPr="00D80AF7">
        <w:rPr>
          <w:rFonts w:asciiTheme="minorHAnsi" w:hAnsiTheme="minorHAnsi"/>
          <w:sz w:val="22"/>
          <w:szCs w:val="22"/>
          <w:lang w:val="en-GB"/>
        </w:rPr>
        <w:t xml:space="preserve"> attractive and repulsive contributions. </w:t>
      </w:r>
      <w:r>
        <w:rPr>
          <w:rFonts w:asciiTheme="minorHAnsi" w:hAnsiTheme="minorHAnsi"/>
          <w:sz w:val="22"/>
          <w:szCs w:val="22"/>
          <w:lang w:val="en-GB"/>
        </w:rPr>
        <w:t xml:space="preserve">Leong </w:t>
      </w:r>
      <w:r w:rsidRPr="007F3A25">
        <w:rPr>
          <w:rFonts w:asciiTheme="minorHAnsi" w:hAnsiTheme="minorHAnsi"/>
          <w:i/>
          <w:sz w:val="22"/>
          <w:szCs w:val="22"/>
          <w:lang w:val="en-GB"/>
        </w:rPr>
        <w:t>et al.</w:t>
      </w:r>
      <w:r>
        <w:rPr>
          <w:rFonts w:asciiTheme="minorHAnsi" w:hAnsiTheme="minorHAnsi"/>
          <w:sz w:val="22"/>
          <w:szCs w:val="22"/>
          <w:lang w:val="en-GB"/>
        </w:rPr>
        <w:t xml:space="preserve"> </w:t>
      </w:r>
      <w:r w:rsidRPr="00D80AF7">
        <w:rPr>
          <w:rFonts w:asciiTheme="minorHAnsi" w:hAnsiTheme="minorHAnsi"/>
          <w:sz w:val="22"/>
          <w:szCs w:val="22"/>
          <w:lang w:val="en-GB"/>
        </w:rPr>
        <w:fldChar w:fldCharType="begin" w:fldLock="1"/>
      </w:r>
      <w:r>
        <w:rPr>
          <w:rFonts w:asciiTheme="minorHAnsi" w:hAnsiTheme="minorHAnsi"/>
          <w:sz w:val="22"/>
          <w:szCs w:val="22"/>
          <w:lang w:val="en-GB"/>
        </w:rPr>
        <w:instrText>ADDIN CSL_CITATION {"citationItems":[{"id":"ITEM-1","itemData":{"DOI":"10.1016/j.matchemphys.2017.09.001","ISSN":"02540584","abstract":"Analysis of the applicability of different electronegativity scales (XAllen, XPauling, and XMulliken) as a replacement for the empirical valence electron concentration (VEC) parameter to determine High Entropy Alloy (HEA) solid-solution stability is performed, using statistical methods (via cluster analysis and probability density function). The analysis is conducted on a dataset consisting of 617 entries. The results show that XAllenis better suited to predict solid-solution stability when utilising only one parameter. However, substituting XAllenfor XMullikenoffers better prediction in a biplot with the enthalpy of mixing (ΔH). An analysis of the VEC-ΔH biplot shows that phase separation in the biplots can be attributed to changes in the electronic structure.","author":[{"dropping-particle":"","family":"Leong","given":"Zhaoyuan","non-dropping-particle":"","parse-names":false,"suffix":""},{"dropping-particle":"","family":"Huang","given":"Yuhe","non-dropping-particle":"","parse-names":false,"suffix":""},{"dropping-particle":"","family":"Goodall","given":"Russell","non-dropping-particle":"","parse-names":false,"suffix":""},{"dropping-particle":"","family":"Todd","given":"Iain","non-dropping-particle":"","parse-names":false,"suffix":""}],"container-title":"Materials Chemistry and Physics","id":"ITEM-1","issued":{"date-parts":[["2018"]]},"title":"Electronegativity and enthalpy of mixing biplots for High Entropy Alloy solid solution prediction","type":"article-journal"},"uris":["http://www.mendeley.com/documents/?uuid=462b6ed7-2749-42d0-b81f-0fd257dd4a74"]}],"mendeley":{"formattedCitation":"[21]","plainTextFormattedCitation":"[21]","previouslyFormattedCitation":"[32]"},"properties":{"noteIndex":0},"schema":"https://github.com/citation-style-language/schema/raw/master/csl-citation.json"}</w:instrText>
      </w:r>
      <w:r w:rsidRPr="00D80AF7">
        <w:rPr>
          <w:rFonts w:asciiTheme="minorHAnsi" w:hAnsiTheme="minorHAnsi"/>
          <w:sz w:val="22"/>
          <w:szCs w:val="22"/>
          <w:lang w:val="en-GB"/>
        </w:rPr>
        <w:fldChar w:fldCharType="separate"/>
      </w:r>
      <w:r w:rsidRPr="005C630B">
        <w:rPr>
          <w:rFonts w:asciiTheme="minorHAnsi" w:hAnsiTheme="minorHAnsi"/>
          <w:noProof/>
          <w:sz w:val="22"/>
          <w:szCs w:val="22"/>
          <w:lang w:val="en-GB"/>
        </w:rPr>
        <w:t>[21]</w:t>
      </w:r>
      <w:r w:rsidRPr="00D80AF7">
        <w:rPr>
          <w:rFonts w:asciiTheme="minorHAnsi" w:hAnsiTheme="minorHAnsi"/>
          <w:sz w:val="22"/>
          <w:szCs w:val="22"/>
          <w:lang w:val="en-GB"/>
        </w:rPr>
        <w:fldChar w:fldCharType="end"/>
      </w:r>
      <w:r w:rsidRPr="00D80AF7">
        <w:rPr>
          <w:rFonts w:asciiTheme="minorHAnsi" w:hAnsiTheme="minorHAnsi"/>
          <w:sz w:val="22"/>
          <w:szCs w:val="22"/>
          <w:lang w:val="en-GB"/>
        </w:rPr>
        <w:t xml:space="preserve"> further </w:t>
      </w:r>
      <w:r w:rsidRPr="00D80AF7">
        <w:rPr>
          <w:rFonts w:asciiTheme="minorHAnsi" w:hAnsiTheme="minorHAnsi"/>
          <w:noProof/>
          <w:sz w:val="22"/>
          <w:szCs w:val="22"/>
          <w:lang w:val="en-GB"/>
        </w:rPr>
        <w:t>extend</w:t>
      </w:r>
      <w:r w:rsidR="00C85374">
        <w:rPr>
          <w:rFonts w:asciiTheme="minorHAnsi" w:hAnsiTheme="minorHAnsi"/>
          <w:noProof/>
          <w:sz w:val="22"/>
          <w:szCs w:val="22"/>
          <w:lang w:val="en-GB"/>
        </w:rPr>
        <w:t>ed</w:t>
      </w:r>
      <w:r w:rsidRPr="00D80AF7">
        <w:rPr>
          <w:rFonts w:asciiTheme="minorHAnsi" w:hAnsiTheme="minorHAnsi"/>
          <w:sz w:val="22"/>
          <w:szCs w:val="22"/>
          <w:lang w:val="en-GB"/>
        </w:rPr>
        <w:t xml:space="preserve"> the theory by approximat</w:t>
      </w:r>
      <w:r>
        <w:rPr>
          <w:rFonts w:asciiTheme="minorHAnsi" w:hAnsiTheme="minorHAnsi"/>
          <w:sz w:val="22"/>
          <w:szCs w:val="22"/>
          <w:lang w:val="en-GB"/>
        </w:rPr>
        <w:t>ing</w:t>
      </w:r>
      <w:r w:rsidRPr="00D80AF7">
        <w:rPr>
          <w:rFonts w:asciiTheme="minorHAnsi" w:hAnsiTheme="minorHAnsi"/>
          <w:sz w:val="22"/>
          <w:szCs w:val="22"/>
          <w:lang w:val="en-GB"/>
        </w:rPr>
        <w:t xml:space="preserve"> the expression of mixing enthalpy with Pauling electronegativity</w:t>
      </w:r>
      <w:r>
        <w:rPr>
          <w:rFonts w:asciiTheme="minorHAnsi" w:hAnsiTheme="minorHAnsi"/>
          <w:sz w:val="22"/>
          <w:szCs w:val="22"/>
          <w:lang w:val="en-GB"/>
        </w:rPr>
        <w:t>,</w:t>
      </w:r>
      <w:r w:rsidRPr="00D80AF7">
        <w:rPr>
          <w:rFonts w:asciiTheme="minorHAnsi" w:hAnsiTheme="minorHAnsi"/>
          <w:sz w:val="22"/>
          <w:szCs w:val="22"/>
          <w:lang w:val="en-GB"/>
        </w:rPr>
        <w:t xml:space="preserve"> which </w:t>
      </w:r>
      <w:r w:rsidRPr="00D80AF7">
        <w:rPr>
          <w:rFonts w:asciiTheme="minorHAnsi" w:hAnsiTheme="minorHAnsi"/>
          <w:noProof/>
          <w:sz w:val="22"/>
          <w:szCs w:val="22"/>
          <w:lang w:val="en-GB"/>
        </w:rPr>
        <w:t>correlate</w:t>
      </w:r>
      <w:r w:rsidR="00C85374">
        <w:rPr>
          <w:rFonts w:asciiTheme="minorHAnsi" w:hAnsiTheme="minorHAnsi"/>
          <w:noProof/>
          <w:sz w:val="22"/>
          <w:szCs w:val="22"/>
          <w:lang w:val="en-GB"/>
        </w:rPr>
        <w:t>d</w:t>
      </w:r>
      <w:r w:rsidRPr="00D80AF7">
        <w:rPr>
          <w:rFonts w:asciiTheme="minorHAnsi" w:hAnsiTheme="minorHAnsi"/>
          <w:sz w:val="22"/>
          <w:szCs w:val="22"/>
          <w:lang w:val="en-GB"/>
        </w:rPr>
        <w:t xml:space="preserve"> the meaning of mixing enthalpy and electronegativity. Thus, the meaning of mixing/formation enthalpy standard deviation </w:t>
      </w:r>
      <w:r w:rsidR="00CD4365">
        <w:rPr>
          <w:rFonts w:asciiTheme="minorHAnsi" w:hAnsiTheme="minorHAnsi"/>
          <w:sz w:val="22"/>
          <w:szCs w:val="22"/>
          <w:lang w:val="en-GB"/>
        </w:rPr>
        <w:t>can be summarised as</w:t>
      </w:r>
      <w:r w:rsidRPr="00D80AF7">
        <w:rPr>
          <w:rFonts w:asciiTheme="minorHAnsi" w:hAnsiTheme="minorHAnsi"/>
          <w:sz w:val="22"/>
          <w:szCs w:val="22"/>
          <w:lang w:val="en-GB"/>
        </w:rPr>
        <w:t xml:space="preserve"> a value to help </w:t>
      </w:r>
      <w:r>
        <w:rPr>
          <w:rFonts w:asciiTheme="minorHAnsi" w:hAnsiTheme="minorHAnsi"/>
          <w:sz w:val="22"/>
          <w:szCs w:val="22"/>
          <w:lang w:val="en-GB"/>
        </w:rPr>
        <w:t>inform</w:t>
      </w:r>
      <w:r w:rsidRPr="00D80AF7">
        <w:rPr>
          <w:rFonts w:asciiTheme="minorHAnsi" w:hAnsiTheme="minorHAnsi"/>
          <w:sz w:val="22"/>
          <w:szCs w:val="22"/>
          <w:lang w:val="en-GB"/>
        </w:rPr>
        <w:t xml:space="preserve"> the electronic environment in a </w:t>
      </w:r>
      <w:r w:rsidRPr="00D80AF7">
        <w:rPr>
          <w:rFonts w:asciiTheme="minorHAnsi" w:hAnsiTheme="minorHAnsi"/>
          <w:noProof/>
          <w:sz w:val="22"/>
          <w:szCs w:val="22"/>
          <w:lang w:val="en-GB"/>
        </w:rPr>
        <w:t>selected</w:t>
      </w:r>
      <w:r w:rsidRPr="00D80AF7">
        <w:rPr>
          <w:rFonts w:asciiTheme="minorHAnsi" w:hAnsiTheme="minorHAnsi"/>
          <w:sz w:val="22"/>
          <w:szCs w:val="22"/>
          <w:lang w:val="en-GB"/>
        </w:rPr>
        <w:t xml:space="preserve"> system</w:t>
      </w:r>
      <w:r>
        <w:rPr>
          <w:rFonts w:asciiTheme="minorHAnsi" w:hAnsiTheme="minorHAnsi"/>
          <w:sz w:val="22"/>
          <w:szCs w:val="22"/>
          <w:lang w:val="en-GB"/>
        </w:rPr>
        <w:t>,</w:t>
      </w:r>
      <w:r w:rsidRPr="00D80AF7">
        <w:rPr>
          <w:rFonts w:asciiTheme="minorHAnsi" w:hAnsiTheme="minorHAnsi"/>
          <w:sz w:val="22"/>
          <w:szCs w:val="22"/>
          <w:lang w:val="en-GB"/>
        </w:rPr>
        <w:t xml:space="preserve"> where </w:t>
      </w:r>
      <w:r>
        <w:rPr>
          <w:rFonts w:asciiTheme="minorHAnsi" w:hAnsiTheme="minorHAnsi"/>
          <w:sz w:val="22"/>
          <w:szCs w:val="22"/>
          <w:lang w:val="en-GB"/>
        </w:rPr>
        <w:t xml:space="preserve">the extent of </w:t>
      </w:r>
      <w:r w:rsidRPr="00D80AF7">
        <w:rPr>
          <w:rFonts w:asciiTheme="minorHAnsi" w:hAnsiTheme="minorHAnsi"/>
          <w:sz w:val="22"/>
          <w:szCs w:val="22"/>
          <w:lang w:val="en-GB"/>
        </w:rPr>
        <w:t>locali</w:t>
      </w:r>
      <w:r>
        <w:rPr>
          <w:rFonts w:asciiTheme="minorHAnsi" w:hAnsiTheme="minorHAnsi"/>
          <w:sz w:val="22"/>
          <w:szCs w:val="22"/>
          <w:lang w:val="en-GB"/>
        </w:rPr>
        <w:t>s</w:t>
      </w:r>
      <w:r w:rsidRPr="00D80AF7">
        <w:rPr>
          <w:rFonts w:asciiTheme="minorHAnsi" w:hAnsiTheme="minorHAnsi"/>
          <w:sz w:val="22"/>
          <w:szCs w:val="22"/>
          <w:lang w:val="en-GB"/>
        </w:rPr>
        <w:t xml:space="preserve">ation bonding can be approximated </w:t>
      </w:r>
      <w:r>
        <w:rPr>
          <w:rFonts w:asciiTheme="minorHAnsi" w:hAnsiTheme="minorHAnsi"/>
          <w:sz w:val="22"/>
          <w:szCs w:val="22"/>
          <w:lang w:val="en-GB"/>
        </w:rPr>
        <w:t>when</w:t>
      </w:r>
      <w:r w:rsidRPr="00D80AF7">
        <w:rPr>
          <w:rFonts w:asciiTheme="minorHAnsi" w:hAnsiTheme="minorHAnsi"/>
          <w:sz w:val="22"/>
          <w:szCs w:val="22"/>
          <w:lang w:val="en-GB"/>
        </w:rPr>
        <w:t xml:space="preserve"> comparing this parameter. </w:t>
      </w:r>
      <w:r>
        <w:rPr>
          <w:rFonts w:asciiTheme="minorHAnsi" w:hAnsiTheme="minorHAnsi"/>
          <w:sz w:val="22"/>
          <w:szCs w:val="22"/>
          <w:lang w:val="en-GB"/>
        </w:rPr>
        <w:t xml:space="preserve">In conclusion, with smaller formation enthalpy deviation, the PDOS of each component inherited the characteristics of the DOS of their pure elements for </w:t>
      </w:r>
      <w:r w:rsidRPr="00D80AF7">
        <w:rPr>
          <w:rFonts w:asciiTheme="minorHAnsi" w:hAnsiTheme="minorHAnsi"/>
          <w:sz w:val="22"/>
          <w:szCs w:val="22"/>
          <w:lang w:val="en-GB"/>
        </w:rPr>
        <w:t>TiZrNbTa</w:t>
      </w:r>
      <w:r>
        <w:rPr>
          <w:rFonts w:asciiTheme="minorHAnsi" w:hAnsiTheme="minorHAnsi"/>
          <w:sz w:val="22"/>
          <w:szCs w:val="22"/>
          <w:lang w:val="en-GB"/>
        </w:rPr>
        <w:t xml:space="preserve">. The PDOS of both Nb and Ta at the Fermi level is located at the descending zone for </w:t>
      </w:r>
      <w:r w:rsidRPr="00D80AF7">
        <w:rPr>
          <w:rFonts w:asciiTheme="minorHAnsi" w:hAnsiTheme="minorHAnsi"/>
          <w:sz w:val="22"/>
          <w:szCs w:val="22"/>
          <w:lang w:val="en-GB"/>
        </w:rPr>
        <w:t>TiZrNbTa</w:t>
      </w:r>
      <w:r>
        <w:rPr>
          <w:rFonts w:asciiTheme="minorHAnsi" w:hAnsiTheme="minorHAnsi"/>
          <w:sz w:val="22"/>
          <w:szCs w:val="22"/>
          <w:lang w:val="en-GB"/>
        </w:rPr>
        <w:t xml:space="preserve">. Hence this results in </w:t>
      </w:r>
      <w:r w:rsidRPr="00D80AF7">
        <w:rPr>
          <w:rFonts w:asciiTheme="minorHAnsi" w:hAnsiTheme="minorHAnsi"/>
          <w:sz w:val="22"/>
          <w:szCs w:val="22"/>
          <w:lang w:val="en-GB"/>
        </w:rPr>
        <w:t xml:space="preserve">higher </w:t>
      </w:r>
      <w:r w:rsidRPr="00D80AF7">
        <w:rPr>
          <w:rFonts w:asciiTheme="minorHAnsi" w:hAnsiTheme="minorHAnsi"/>
          <w:noProof/>
          <w:sz w:val="22"/>
          <w:szCs w:val="22"/>
          <w:lang w:val="en-GB"/>
        </w:rPr>
        <w:t>structural</w:t>
      </w:r>
      <w:r w:rsidRPr="00D80AF7">
        <w:rPr>
          <w:rFonts w:asciiTheme="minorHAnsi" w:hAnsiTheme="minorHAnsi"/>
          <w:sz w:val="22"/>
          <w:szCs w:val="22"/>
          <w:lang w:val="en-GB"/>
        </w:rPr>
        <w:t xml:space="preserve"> stability compared with TiZrHfTa</w:t>
      </w:r>
      <w:r>
        <w:rPr>
          <w:rFonts w:asciiTheme="minorHAnsi" w:hAnsiTheme="minorHAnsi"/>
          <w:sz w:val="22"/>
          <w:szCs w:val="22"/>
          <w:lang w:val="en-GB"/>
        </w:rPr>
        <w:t xml:space="preserve">. </w:t>
      </w:r>
      <w:r w:rsidRPr="00D80AF7">
        <w:rPr>
          <w:rFonts w:asciiTheme="minorHAnsi" w:hAnsiTheme="minorHAnsi"/>
          <w:sz w:val="22"/>
          <w:szCs w:val="22"/>
          <w:lang w:val="en-GB"/>
        </w:rPr>
        <w:t>For TiZrHfTa, the substitution of Nb with Hf not only increase</w:t>
      </w:r>
      <w:r>
        <w:rPr>
          <w:rFonts w:asciiTheme="minorHAnsi" w:hAnsiTheme="minorHAnsi"/>
          <w:sz w:val="22"/>
          <w:szCs w:val="22"/>
          <w:lang w:val="en-GB"/>
        </w:rPr>
        <w:t>d</w:t>
      </w:r>
      <w:r w:rsidRPr="00D80AF7">
        <w:rPr>
          <w:rFonts w:asciiTheme="minorHAnsi" w:hAnsiTheme="minorHAnsi"/>
          <w:sz w:val="22"/>
          <w:szCs w:val="22"/>
          <w:lang w:val="en-GB"/>
        </w:rPr>
        <w:t xml:space="preserve"> the formation enthalpy deviation</w:t>
      </w:r>
      <w:r>
        <w:rPr>
          <w:rFonts w:asciiTheme="minorHAnsi" w:hAnsiTheme="minorHAnsi"/>
          <w:sz w:val="22"/>
          <w:szCs w:val="22"/>
          <w:lang w:val="en-GB"/>
        </w:rPr>
        <w:t>,</w:t>
      </w:r>
      <w:r w:rsidRPr="00D80AF7">
        <w:rPr>
          <w:rFonts w:asciiTheme="minorHAnsi" w:hAnsiTheme="minorHAnsi"/>
          <w:sz w:val="22"/>
          <w:szCs w:val="22"/>
          <w:lang w:val="en-GB"/>
        </w:rPr>
        <w:t xml:space="preserve"> but also result</w:t>
      </w:r>
      <w:r>
        <w:rPr>
          <w:rFonts w:asciiTheme="minorHAnsi" w:hAnsiTheme="minorHAnsi"/>
          <w:sz w:val="22"/>
          <w:szCs w:val="22"/>
          <w:lang w:val="en-GB"/>
        </w:rPr>
        <w:t>ed</w:t>
      </w:r>
      <w:r w:rsidRPr="00D80AF7">
        <w:rPr>
          <w:rFonts w:asciiTheme="minorHAnsi" w:hAnsiTheme="minorHAnsi"/>
          <w:sz w:val="22"/>
          <w:szCs w:val="22"/>
          <w:lang w:val="en-GB"/>
        </w:rPr>
        <w:t xml:space="preserve"> in the decrease of lattice stability towards deformation.</w:t>
      </w:r>
    </w:p>
    <w:p w14:paraId="30E9C7E1" w14:textId="340E6733" w:rsidR="009F5163" w:rsidRDefault="009F5163" w:rsidP="00B145BE">
      <w:pPr>
        <w:pStyle w:val="Normal1"/>
        <w:spacing w:afterLines="60" w:after="144" w:line="360" w:lineRule="auto"/>
        <w:jc w:val="both"/>
        <w:rPr>
          <w:rFonts w:asciiTheme="minorHAnsi" w:hAnsiTheme="minorHAnsi"/>
          <w:sz w:val="22"/>
          <w:szCs w:val="22"/>
          <w:lang w:val="en-GB"/>
        </w:rPr>
      </w:pPr>
    </w:p>
    <w:p w14:paraId="2799DA9B" w14:textId="77777777" w:rsidR="009F5163" w:rsidRDefault="009F5163" w:rsidP="00B145BE">
      <w:pPr>
        <w:pStyle w:val="Normal1"/>
        <w:spacing w:afterLines="60" w:after="144" w:line="360" w:lineRule="auto"/>
        <w:jc w:val="both"/>
        <w:rPr>
          <w:rFonts w:asciiTheme="minorHAnsi" w:hAnsiTheme="minorHAnsi"/>
          <w:sz w:val="22"/>
          <w:szCs w:val="22"/>
          <w:lang w:val="en-GB"/>
        </w:rPr>
      </w:pPr>
    </w:p>
    <w:p w14:paraId="538A0BBB" w14:textId="77777777" w:rsidR="00B145BE" w:rsidRPr="00E062D9" w:rsidRDefault="00B145BE" w:rsidP="00B145BE">
      <w:pPr>
        <w:pStyle w:val="2"/>
        <w:spacing w:afterLines="60" w:after="144" w:line="360" w:lineRule="auto"/>
        <w:rPr>
          <w:rFonts w:asciiTheme="minorHAnsi" w:hAnsiTheme="minorHAnsi"/>
          <w:b/>
          <w:color w:val="auto"/>
          <w:sz w:val="32"/>
          <w:szCs w:val="32"/>
        </w:rPr>
      </w:pPr>
      <w:bookmarkStart w:id="233" w:name="_Toc22052536"/>
      <w:r w:rsidRPr="00E062D9">
        <w:rPr>
          <w:rFonts w:asciiTheme="minorHAnsi" w:hAnsiTheme="minorHAnsi"/>
          <w:b/>
          <w:color w:val="auto"/>
          <w:sz w:val="32"/>
          <w:szCs w:val="32"/>
        </w:rPr>
        <w:lastRenderedPageBreak/>
        <w:t xml:space="preserve">4.5 </w:t>
      </w:r>
      <w:r>
        <w:rPr>
          <w:rFonts w:asciiTheme="minorHAnsi" w:hAnsiTheme="minorHAnsi"/>
          <w:b/>
          <w:color w:val="auto"/>
          <w:sz w:val="32"/>
          <w:szCs w:val="32"/>
        </w:rPr>
        <w:t>Conclusions</w:t>
      </w:r>
      <w:bookmarkEnd w:id="233"/>
    </w:p>
    <w:p w14:paraId="71F0DD6C" w14:textId="6347647F" w:rsidR="00B145BE" w:rsidRPr="00D80AF7" w:rsidRDefault="00B145BE" w:rsidP="00B145BE">
      <w:pPr>
        <w:pStyle w:val="Normal1"/>
        <w:spacing w:afterLines="60" w:after="144" w:line="360" w:lineRule="auto"/>
        <w:jc w:val="both"/>
        <w:rPr>
          <w:rFonts w:asciiTheme="minorHAnsi" w:hAnsiTheme="minorHAnsi"/>
          <w:sz w:val="22"/>
          <w:lang w:val="en-GB"/>
        </w:rPr>
      </w:pPr>
      <w:r>
        <w:rPr>
          <w:rFonts w:asciiTheme="minorHAnsi" w:hAnsiTheme="minorHAnsi"/>
          <w:sz w:val="22"/>
          <w:lang w:val="en-GB"/>
        </w:rPr>
        <w:t>In this chapter,</w:t>
      </w:r>
      <w:r w:rsidRPr="00D80AF7">
        <w:rPr>
          <w:rFonts w:asciiTheme="minorHAnsi" w:hAnsiTheme="minorHAnsi"/>
          <w:sz w:val="22"/>
          <w:lang w:val="en-GB"/>
        </w:rPr>
        <w:t xml:space="preserve"> a new empirical parameter mixing/formation enthalpy deviation</w:t>
      </w:r>
      <w:r>
        <w:rPr>
          <w:rFonts w:asciiTheme="minorHAnsi" w:hAnsiTheme="minorHAnsi"/>
          <w:sz w:val="22"/>
          <w:lang w:val="en-GB"/>
        </w:rPr>
        <w:t xml:space="preserve"> was introduced,</w:t>
      </w:r>
      <w:r w:rsidRPr="00D80AF7">
        <w:rPr>
          <w:rFonts w:asciiTheme="minorHAnsi" w:hAnsiTheme="minorHAnsi"/>
          <w:sz w:val="22"/>
          <w:lang w:val="en-GB"/>
        </w:rPr>
        <w:t xml:space="preserve"> which can be applied to distinguish the formation of </w:t>
      </w:r>
      <w:r w:rsidRPr="00D80AF7">
        <w:rPr>
          <w:rFonts w:asciiTheme="minorHAnsi" w:hAnsiTheme="minorHAnsi"/>
          <w:noProof/>
          <w:sz w:val="22"/>
          <w:lang w:val="en-GB"/>
        </w:rPr>
        <w:t>simple</w:t>
      </w:r>
      <w:r w:rsidRPr="00D80AF7">
        <w:rPr>
          <w:rFonts w:asciiTheme="minorHAnsi" w:hAnsiTheme="minorHAnsi"/>
          <w:sz w:val="22"/>
          <w:lang w:val="en-GB"/>
        </w:rPr>
        <w:t xml:space="preserve"> solid solution phase</w:t>
      </w:r>
      <w:r>
        <w:rPr>
          <w:rFonts w:asciiTheme="minorHAnsi" w:hAnsiTheme="minorHAnsi"/>
          <w:sz w:val="22"/>
          <w:lang w:val="en-GB"/>
        </w:rPr>
        <w:t>s</w:t>
      </w:r>
      <w:r w:rsidRPr="00D80AF7">
        <w:rPr>
          <w:rFonts w:asciiTheme="minorHAnsi" w:hAnsiTheme="minorHAnsi"/>
          <w:sz w:val="22"/>
          <w:lang w:val="en-GB"/>
        </w:rPr>
        <w:t xml:space="preserve"> and complex intermetallic phases</w:t>
      </w:r>
      <w:r>
        <w:rPr>
          <w:rFonts w:asciiTheme="minorHAnsi" w:hAnsiTheme="minorHAnsi"/>
          <w:sz w:val="22"/>
          <w:lang w:val="en-GB"/>
        </w:rPr>
        <w:t xml:space="preserve"> of HEAs</w:t>
      </w:r>
      <w:r w:rsidRPr="00D80AF7">
        <w:rPr>
          <w:rFonts w:asciiTheme="minorHAnsi" w:hAnsiTheme="minorHAnsi"/>
          <w:sz w:val="22"/>
          <w:lang w:val="en-GB"/>
        </w:rPr>
        <w:t xml:space="preserve">. The relationship of </w:t>
      </w:r>
      <w:r w:rsidRPr="00E062D9">
        <w:rPr>
          <w:rFonts w:asciiTheme="minorHAnsi" w:hAnsiTheme="minorHAnsi"/>
          <w:i/>
          <w:sz w:val="22"/>
          <w:lang w:val="en-GB"/>
        </w:rPr>
        <w:t>VEC</w:t>
      </w:r>
      <w:r w:rsidRPr="00D80AF7">
        <w:rPr>
          <w:rFonts w:asciiTheme="minorHAnsi" w:hAnsiTheme="minorHAnsi"/>
          <w:sz w:val="22"/>
          <w:lang w:val="en-GB"/>
        </w:rPr>
        <w:t xml:space="preserve"> and mixing/formation enthalpy deviation </w:t>
      </w:r>
      <w:r>
        <w:rPr>
          <w:rFonts w:asciiTheme="minorHAnsi" w:hAnsiTheme="minorHAnsi"/>
          <w:sz w:val="22"/>
          <w:lang w:val="en-GB"/>
        </w:rPr>
        <w:t>against</w:t>
      </w:r>
      <w:r w:rsidRPr="00D80AF7">
        <w:rPr>
          <w:rFonts w:asciiTheme="minorHAnsi" w:hAnsiTheme="minorHAnsi"/>
          <w:sz w:val="22"/>
          <w:lang w:val="en-GB"/>
        </w:rPr>
        <w:t xml:space="preserve"> phase formation were </w:t>
      </w:r>
      <w:r w:rsidRPr="00D80AF7">
        <w:rPr>
          <w:rFonts w:asciiTheme="minorHAnsi" w:hAnsiTheme="minorHAnsi"/>
          <w:noProof/>
          <w:sz w:val="22"/>
          <w:lang w:val="en-GB"/>
        </w:rPr>
        <w:t>analysed</w:t>
      </w:r>
      <w:r w:rsidRPr="00D80AF7">
        <w:rPr>
          <w:rFonts w:asciiTheme="minorHAnsi" w:hAnsiTheme="minorHAnsi"/>
          <w:sz w:val="22"/>
          <w:lang w:val="en-GB"/>
        </w:rPr>
        <w:t xml:space="preserve"> through 6</w:t>
      </w:r>
      <w:r>
        <w:rPr>
          <w:rFonts w:asciiTheme="minorHAnsi" w:hAnsiTheme="minorHAnsi"/>
          <w:sz w:val="22"/>
          <w:lang w:val="en-GB"/>
        </w:rPr>
        <w:t>7</w:t>
      </w:r>
      <w:r w:rsidR="00CB4E3C">
        <w:rPr>
          <w:rFonts w:asciiTheme="minorHAnsi" w:hAnsiTheme="minorHAnsi"/>
          <w:sz w:val="22"/>
          <w:lang w:val="en-GB"/>
        </w:rPr>
        <w:t xml:space="preserve"> (65+2)</w:t>
      </w:r>
      <w:r>
        <w:rPr>
          <w:rFonts w:asciiTheme="minorHAnsi" w:hAnsiTheme="minorHAnsi"/>
          <w:sz w:val="22"/>
          <w:lang w:val="en-GB"/>
        </w:rPr>
        <w:t xml:space="preserve"> </w:t>
      </w:r>
      <w:r w:rsidRPr="00D80AF7">
        <w:rPr>
          <w:rFonts w:asciiTheme="minorHAnsi" w:hAnsiTheme="minorHAnsi"/>
          <w:sz w:val="22"/>
          <w:lang w:val="en-GB"/>
        </w:rPr>
        <w:t>Cantor</w:t>
      </w:r>
      <w:r>
        <w:rPr>
          <w:rFonts w:asciiTheme="minorHAnsi" w:hAnsiTheme="minorHAnsi"/>
          <w:sz w:val="22"/>
          <w:lang w:val="en-GB"/>
        </w:rPr>
        <w:t>-</w:t>
      </w:r>
      <w:r w:rsidRPr="00D80AF7">
        <w:rPr>
          <w:rFonts w:asciiTheme="minorHAnsi" w:hAnsiTheme="minorHAnsi"/>
          <w:sz w:val="22"/>
          <w:lang w:val="en-GB"/>
        </w:rPr>
        <w:t xml:space="preserve">type </w:t>
      </w:r>
      <w:r w:rsidRPr="00D80AF7">
        <w:rPr>
          <w:rFonts w:asciiTheme="minorHAnsi" w:hAnsiTheme="minorHAnsi"/>
          <w:noProof/>
          <w:sz w:val="22"/>
          <w:lang w:val="en-GB"/>
        </w:rPr>
        <w:t>equal</w:t>
      </w:r>
      <w:r w:rsidRPr="00D80AF7">
        <w:rPr>
          <w:rFonts w:asciiTheme="minorHAnsi" w:hAnsiTheme="minorHAnsi"/>
          <w:sz w:val="22"/>
          <w:lang w:val="en-GB"/>
        </w:rPr>
        <w:t xml:space="preserve">-molar multi-components HEAs. </w:t>
      </w:r>
      <w:r>
        <w:rPr>
          <w:rFonts w:asciiTheme="minorHAnsi" w:hAnsiTheme="minorHAnsi"/>
          <w:sz w:val="22"/>
          <w:lang w:val="en-GB"/>
        </w:rPr>
        <w:t>After analysing the</w:t>
      </w:r>
      <w:r w:rsidRPr="00D80AF7">
        <w:rPr>
          <w:rFonts w:asciiTheme="minorHAnsi" w:hAnsiTheme="minorHAnsi"/>
          <w:sz w:val="22"/>
          <w:lang w:val="en-GB"/>
        </w:rPr>
        <w:t xml:space="preserve"> phase formation </w:t>
      </w:r>
      <w:r>
        <w:rPr>
          <w:rFonts w:asciiTheme="minorHAnsi" w:hAnsiTheme="minorHAnsi"/>
          <w:sz w:val="22"/>
          <w:lang w:val="en-GB"/>
        </w:rPr>
        <w:t>of these HEAs</w:t>
      </w:r>
      <w:r w:rsidRPr="00D80AF7" w:rsidDel="005623AC">
        <w:rPr>
          <w:rFonts w:asciiTheme="minorHAnsi" w:hAnsiTheme="minorHAnsi"/>
          <w:sz w:val="22"/>
          <w:lang w:val="en-GB"/>
        </w:rPr>
        <w:t xml:space="preserve"> </w:t>
      </w:r>
      <w:r>
        <w:rPr>
          <w:rFonts w:asciiTheme="minorHAnsi" w:hAnsiTheme="minorHAnsi"/>
          <w:sz w:val="22"/>
          <w:lang w:val="en-GB"/>
        </w:rPr>
        <w:t>against</w:t>
      </w:r>
      <w:r w:rsidRPr="00D80AF7">
        <w:rPr>
          <w:rFonts w:asciiTheme="minorHAnsi" w:hAnsiTheme="minorHAnsi"/>
          <w:sz w:val="22"/>
          <w:lang w:val="en-GB"/>
        </w:rPr>
        <w:t xml:space="preserve"> mixing/formation enthalpy deviation, </w:t>
      </w:r>
      <w:r>
        <w:rPr>
          <w:rFonts w:asciiTheme="minorHAnsi" w:hAnsiTheme="minorHAnsi"/>
          <w:sz w:val="22"/>
          <w:lang w:val="en-GB"/>
        </w:rPr>
        <w:t>two RHEAs (</w:t>
      </w:r>
      <w:r w:rsidRPr="00D80AF7">
        <w:rPr>
          <w:rFonts w:asciiTheme="minorHAnsi" w:hAnsiTheme="minorHAnsi"/>
          <w:sz w:val="22"/>
          <w:lang w:val="en-GB"/>
        </w:rPr>
        <w:t>TiZrNbTa and TiZrHfTa</w:t>
      </w:r>
      <w:r>
        <w:rPr>
          <w:rFonts w:asciiTheme="minorHAnsi" w:hAnsiTheme="minorHAnsi"/>
          <w:sz w:val="22"/>
          <w:lang w:val="en-GB"/>
        </w:rPr>
        <w:t>)</w:t>
      </w:r>
      <w:r w:rsidRPr="00D80AF7">
        <w:rPr>
          <w:rFonts w:asciiTheme="minorHAnsi" w:hAnsiTheme="minorHAnsi"/>
          <w:sz w:val="22"/>
          <w:lang w:val="en-GB"/>
        </w:rPr>
        <w:t xml:space="preserve"> were </w:t>
      </w:r>
      <w:r w:rsidRPr="00D80AF7">
        <w:rPr>
          <w:rFonts w:asciiTheme="minorHAnsi" w:hAnsiTheme="minorHAnsi"/>
          <w:noProof/>
          <w:sz w:val="22"/>
          <w:lang w:val="en-GB"/>
        </w:rPr>
        <w:t>synthesised</w:t>
      </w:r>
      <w:r w:rsidRPr="00D80AF7">
        <w:rPr>
          <w:rFonts w:asciiTheme="minorHAnsi" w:hAnsiTheme="minorHAnsi"/>
          <w:sz w:val="22"/>
          <w:lang w:val="en-GB"/>
        </w:rPr>
        <w:t xml:space="preserve"> to </w:t>
      </w:r>
      <w:r>
        <w:rPr>
          <w:rFonts w:asciiTheme="minorHAnsi" w:hAnsiTheme="minorHAnsi"/>
          <w:sz w:val="22"/>
          <w:lang w:val="en-GB"/>
        </w:rPr>
        <w:t>help</w:t>
      </w:r>
      <w:r w:rsidRPr="00D80AF7">
        <w:rPr>
          <w:rFonts w:asciiTheme="minorHAnsi" w:hAnsiTheme="minorHAnsi"/>
          <w:sz w:val="22"/>
          <w:lang w:val="en-GB"/>
        </w:rPr>
        <w:t xml:space="preserve"> understand the </w:t>
      </w:r>
      <w:r w:rsidRPr="00D80AF7">
        <w:rPr>
          <w:rFonts w:asciiTheme="minorHAnsi" w:hAnsiTheme="minorHAnsi"/>
          <w:noProof/>
          <w:sz w:val="22"/>
          <w:lang w:val="en-GB"/>
        </w:rPr>
        <w:t>relationship</w:t>
      </w:r>
      <w:r w:rsidRPr="00D80AF7">
        <w:rPr>
          <w:rFonts w:asciiTheme="minorHAnsi" w:hAnsiTheme="minorHAnsi"/>
          <w:sz w:val="22"/>
          <w:lang w:val="en-GB"/>
        </w:rPr>
        <w:t xml:space="preserve"> between mixing/formation enthalpy deviation and mechanical performance</w:t>
      </w:r>
      <w:r>
        <w:rPr>
          <w:rFonts w:asciiTheme="minorHAnsi" w:hAnsiTheme="minorHAnsi"/>
          <w:sz w:val="22"/>
          <w:lang w:val="en-GB"/>
        </w:rPr>
        <w:t xml:space="preserve"> (compressive properties)</w:t>
      </w:r>
      <w:r w:rsidRPr="00D80AF7">
        <w:rPr>
          <w:rFonts w:asciiTheme="minorHAnsi" w:hAnsiTheme="minorHAnsi"/>
          <w:sz w:val="22"/>
          <w:lang w:val="en-GB"/>
        </w:rPr>
        <w:t>. Both TiZrNbTa and TiZrHfTa exhibit</w:t>
      </w:r>
      <w:r>
        <w:rPr>
          <w:rFonts w:asciiTheme="minorHAnsi" w:hAnsiTheme="minorHAnsi"/>
          <w:sz w:val="22"/>
          <w:lang w:val="en-GB"/>
        </w:rPr>
        <w:t>ed</w:t>
      </w:r>
      <w:r w:rsidRPr="00D80AF7">
        <w:rPr>
          <w:rFonts w:asciiTheme="minorHAnsi" w:hAnsiTheme="minorHAnsi"/>
          <w:sz w:val="22"/>
          <w:lang w:val="en-GB"/>
        </w:rPr>
        <w:t xml:space="preserve"> </w:t>
      </w:r>
      <w:r>
        <w:rPr>
          <w:rFonts w:asciiTheme="minorHAnsi" w:hAnsiTheme="minorHAnsi"/>
          <w:sz w:val="22"/>
          <w:lang w:val="en-GB"/>
        </w:rPr>
        <w:t xml:space="preserve">a </w:t>
      </w:r>
      <w:r w:rsidRPr="00D80AF7">
        <w:rPr>
          <w:rFonts w:asciiTheme="minorHAnsi" w:hAnsiTheme="minorHAnsi"/>
          <w:noProof/>
          <w:sz w:val="22"/>
          <w:lang w:val="en-GB"/>
        </w:rPr>
        <w:t>satisfactory</w:t>
      </w:r>
      <w:r w:rsidRPr="00D80AF7">
        <w:rPr>
          <w:rFonts w:asciiTheme="minorHAnsi" w:hAnsiTheme="minorHAnsi"/>
          <w:sz w:val="22"/>
          <w:lang w:val="en-GB"/>
        </w:rPr>
        <w:t xml:space="preserve"> combination </w:t>
      </w:r>
      <w:r w:rsidRPr="00D80AF7">
        <w:rPr>
          <w:rFonts w:asciiTheme="minorHAnsi" w:hAnsiTheme="minorHAnsi"/>
          <w:noProof/>
          <w:sz w:val="22"/>
          <w:lang w:val="en-GB"/>
        </w:rPr>
        <w:t>of strength</w:t>
      </w:r>
      <w:r w:rsidRPr="00D80AF7">
        <w:rPr>
          <w:rFonts w:asciiTheme="minorHAnsi" w:hAnsiTheme="minorHAnsi"/>
          <w:sz w:val="22"/>
          <w:lang w:val="en-GB"/>
        </w:rPr>
        <w:t xml:space="preserve"> and </w:t>
      </w:r>
      <w:r w:rsidRPr="00D80AF7">
        <w:rPr>
          <w:rFonts w:asciiTheme="minorHAnsi" w:hAnsiTheme="minorHAnsi"/>
          <w:noProof/>
          <w:sz w:val="22"/>
          <w:lang w:val="en-GB"/>
        </w:rPr>
        <w:t>flexibility</w:t>
      </w:r>
      <w:r w:rsidRPr="00D80AF7">
        <w:rPr>
          <w:rFonts w:asciiTheme="minorHAnsi" w:hAnsiTheme="minorHAnsi"/>
          <w:sz w:val="22"/>
          <w:lang w:val="en-GB"/>
        </w:rPr>
        <w:t xml:space="preserve">. Using XRD, SEM, EDX and TEM, the microstructure of as-cast TiZrNbTa and TiZrHfTa </w:t>
      </w:r>
      <w:r w:rsidRPr="00D80AF7">
        <w:rPr>
          <w:rFonts w:asciiTheme="minorHAnsi" w:hAnsiTheme="minorHAnsi"/>
          <w:noProof/>
          <w:sz w:val="22"/>
          <w:lang w:val="en-GB"/>
        </w:rPr>
        <w:t>were analysed</w:t>
      </w:r>
      <w:r w:rsidRPr="00D80AF7">
        <w:rPr>
          <w:rFonts w:asciiTheme="minorHAnsi" w:hAnsiTheme="minorHAnsi"/>
          <w:sz w:val="22"/>
          <w:lang w:val="en-GB"/>
        </w:rPr>
        <w:t xml:space="preserve">. </w:t>
      </w:r>
      <w:r>
        <w:rPr>
          <w:rFonts w:asciiTheme="minorHAnsi" w:hAnsiTheme="minorHAnsi"/>
          <w:sz w:val="22"/>
          <w:lang w:val="en-GB"/>
        </w:rPr>
        <w:t xml:space="preserve">In contrast with </w:t>
      </w:r>
      <w:r w:rsidRPr="00D80AF7">
        <w:rPr>
          <w:rFonts w:asciiTheme="minorHAnsi" w:hAnsiTheme="minorHAnsi"/>
          <w:sz w:val="22"/>
          <w:lang w:val="en-GB"/>
        </w:rPr>
        <w:t xml:space="preserve">BCC </w:t>
      </w:r>
      <w:r w:rsidRPr="00D80AF7">
        <w:rPr>
          <w:rFonts w:asciiTheme="minorHAnsi" w:hAnsiTheme="minorHAnsi"/>
          <w:noProof/>
          <w:sz w:val="22"/>
          <w:lang w:val="en-GB"/>
        </w:rPr>
        <w:t>stabilised</w:t>
      </w:r>
      <w:r w:rsidRPr="00D80AF7">
        <w:rPr>
          <w:rFonts w:asciiTheme="minorHAnsi" w:hAnsiTheme="minorHAnsi"/>
          <w:sz w:val="22"/>
          <w:lang w:val="en-GB"/>
        </w:rPr>
        <w:t xml:space="preserve"> TiZrNbTa, </w:t>
      </w:r>
      <w:r>
        <w:rPr>
          <w:rFonts w:asciiTheme="minorHAnsi" w:hAnsiTheme="minorHAnsi"/>
          <w:sz w:val="22"/>
          <w:lang w:val="en-GB"/>
        </w:rPr>
        <w:t>through</w:t>
      </w:r>
      <w:r w:rsidRPr="00D80AF7">
        <w:rPr>
          <w:rFonts w:asciiTheme="minorHAnsi" w:hAnsiTheme="minorHAnsi"/>
          <w:sz w:val="22"/>
          <w:lang w:val="en-GB"/>
        </w:rPr>
        <w:t xml:space="preserve"> the </w:t>
      </w:r>
      <w:r w:rsidRPr="00D80AF7">
        <w:rPr>
          <w:rFonts w:asciiTheme="minorHAnsi" w:hAnsiTheme="minorHAnsi"/>
          <w:noProof/>
          <w:sz w:val="22"/>
          <w:lang w:val="en-GB"/>
        </w:rPr>
        <w:t>substitution</w:t>
      </w:r>
      <w:r w:rsidRPr="00D80AF7">
        <w:rPr>
          <w:rFonts w:asciiTheme="minorHAnsi" w:hAnsiTheme="minorHAnsi"/>
          <w:sz w:val="22"/>
          <w:lang w:val="en-GB"/>
        </w:rPr>
        <w:t xml:space="preserve"> of Nb by Hf, </w:t>
      </w:r>
      <w:r>
        <w:rPr>
          <w:rFonts w:asciiTheme="minorHAnsi" w:hAnsiTheme="minorHAnsi"/>
          <w:sz w:val="22"/>
          <w:lang w:val="en-GB"/>
        </w:rPr>
        <w:t>a</w:t>
      </w:r>
      <w:r w:rsidRPr="00D80AF7">
        <w:rPr>
          <w:rFonts w:asciiTheme="minorHAnsi" w:hAnsiTheme="minorHAnsi"/>
          <w:sz w:val="22"/>
          <w:lang w:val="en-GB"/>
        </w:rPr>
        <w:t xml:space="preserve"> </w:t>
      </w:r>
      <w:r w:rsidRPr="00D80AF7">
        <w:rPr>
          <w:rFonts w:asciiTheme="minorHAnsi" w:hAnsiTheme="minorHAnsi"/>
          <w:noProof/>
          <w:sz w:val="22"/>
          <w:lang w:val="en-GB"/>
        </w:rPr>
        <w:t>martensit</w:t>
      </w:r>
      <w:r>
        <w:rPr>
          <w:rFonts w:asciiTheme="minorHAnsi" w:hAnsiTheme="minorHAnsi"/>
          <w:noProof/>
          <w:sz w:val="22"/>
          <w:lang w:val="en-GB"/>
        </w:rPr>
        <w:t>ic</w:t>
      </w:r>
      <w:r w:rsidRPr="00D80AF7">
        <w:rPr>
          <w:rFonts w:asciiTheme="minorHAnsi" w:hAnsiTheme="minorHAnsi"/>
          <w:sz w:val="22"/>
          <w:lang w:val="en-GB"/>
        </w:rPr>
        <w:t xml:space="preserve"> phase </w:t>
      </w:r>
      <w:r w:rsidRPr="00D80AF7">
        <w:rPr>
          <w:rFonts w:asciiTheme="minorHAnsi" w:hAnsiTheme="minorHAnsi"/>
          <w:noProof/>
          <w:sz w:val="22"/>
          <w:lang w:val="en-GB"/>
        </w:rPr>
        <w:t>was discovered</w:t>
      </w:r>
      <w:r w:rsidRPr="00D80AF7">
        <w:rPr>
          <w:rFonts w:asciiTheme="minorHAnsi" w:hAnsiTheme="minorHAnsi"/>
          <w:sz w:val="22"/>
          <w:lang w:val="en-GB"/>
        </w:rPr>
        <w:t xml:space="preserve"> in TiZrHfTa. To understand the underlying mechanism of transformation</w:t>
      </w:r>
      <w:r>
        <w:rPr>
          <w:rFonts w:asciiTheme="minorHAnsi" w:hAnsiTheme="minorHAnsi"/>
          <w:sz w:val="22"/>
          <w:lang w:val="en-GB"/>
        </w:rPr>
        <w:t xml:space="preserve"> occurring to produce this</w:t>
      </w:r>
      <w:r w:rsidRPr="00D80AF7">
        <w:rPr>
          <w:rFonts w:asciiTheme="minorHAnsi" w:hAnsiTheme="minorHAnsi"/>
          <w:sz w:val="22"/>
          <w:lang w:val="en-GB"/>
        </w:rPr>
        <w:t xml:space="preserve"> martensite phase, using </w:t>
      </w:r>
      <w:r w:rsidRPr="007F3A25">
        <w:rPr>
          <w:rFonts w:asciiTheme="minorHAnsi" w:hAnsiTheme="minorHAnsi"/>
          <w:i/>
          <w:sz w:val="22"/>
          <w:lang w:val="en-GB"/>
        </w:rPr>
        <w:t>ab initio</w:t>
      </w:r>
      <w:r w:rsidRPr="00D80AF7">
        <w:rPr>
          <w:rFonts w:asciiTheme="minorHAnsi" w:hAnsiTheme="minorHAnsi"/>
          <w:sz w:val="22"/>
          <w:lang w:val="en-GB"/>
        </w:rPr>
        <w:t xml:space="preserve"> tool</w:t>
      </w:r>
      <w:r>
        <w:rPr>
          <w:rFonts w:asciiTheme="minorHAnsi" w:hAnsiTheme="minorHAnsi"/>
          <w:sz w:val="22"/>
          <w:lang w:val="en-GB"/>
        </w:rPr>
        <w:t>s</w:t>
      </w:r>
      <w:r w:rsidRPr="00D80AF7">
        <w:rPr>
          <w:rFonts w:asciiTheme="minorHAnsi" w:hAnsiTheme="minorHAnsi"/>
          <w:sz w:val="22"/>
          <w:lang w:val="en-GB"/>
        </w:rPr>
        <w:t xml:space="preserve"> </w:t>
      </w:r>
      <w:r>
        <w:rPr>
          <w:rFonts w:asciiTheme="minorHAnsi" w:hAnsiTheme="minorHAnsi"/>
          <w:sz w:val="22"/>
          <w:lang w:val="en-GB"/>
        </w:rPr>
        <w:t>(</w:t>
      </w:r>
      <w:r w:rsidRPr="00D80AF7">
        <w:rPr>
          <w:rFonts w:asciiTheme="minorHAnsi" w:hAnsiTheme="minorHAnsi"/>
          <w:sz w:val="22"/>
          <w:lang w:val="en-GB"/>
        </w:rPr>
        <w:t>CASTEP and ATAT</w:t>
      </w:r>
      <w:r>
        <w:rPr>
          <w:rFonts w:asciiTheme="minorHAnsi" w:hAnsiTheme="minorHAnsi"/>
          <w:sz w:val="22"/>
          <w:lang w:val="en-GB"/>
        </w:rPr>
        <w:t>)</w:t>
      </w:r>
      <w:r w:rsidRPr="00D80AF7">
        <w:rPr>
          <w:rFonts w:asciiTheme="minorHAnsi" w:hAnsiTheme="minorHAnsi"/>
          <w:sz w:val="22"/>
          <w:lang w:val="en-GB"/>
        </w:rPr>
        <w:t xml:space="preserve">, the electronic structure of TiZrNbTa and TiZrHfTa were simulated and </w:t>
      </w:r>
      <w:r w:rsidRPr="00D80AF7">
        <w:rPr>
          <w:rFonts w:asciiTheme="minorHAnsi" w:hAnsiTheme="minorHAnsi"/>
          <w:noProof/>
          <w:sz w:val="22"/>
          <w:lang w:val="en-GB"/>
        </w:rPr>
        <w:t>analysed</w:t>
      </w:r>
      <w:r w:rsidRPr="00D80AF7">
        <w:rPr>
          <w:rFonts w:asciiTheme="minorHAnsi" w:hAnsiTheme="minorHAnsi"/>
          <w:sz w:val="22"/>
          <w:lang w:val="en-GB"/>
        </w:rPr>
        <w:t xml:space="preserve">. The DOS </w:t>
      </w:r>
      <w:r>
        <w:rPr>
          <w:rFonts w:asciiTheme="minorHAnsi" w:hAnsiTheme="minorHAnsi"/>
          <w:noProof/>
          <w:sz w:val="22"/>
          <w:lang w:val="en-GB"/>
        </w:rPr>
        <w:t>analyses</w:t>
      </w:r>
      <w:r w:rsidRPr="00D80AF7">
        <w:rPr>
          <w:rFonts w:asciiTheme="minorHAnsi" w:hAnsiTheme="minorHAnsi"/>
          <w:sz w:val="22"/>
          <w:lang w:val="en-GB"/>
        </w:rPr>
        <w:t xml:space="preserve"> </w:t>
      </w:r>
      <w:r>
        <w:rPr>
          <w:rFonts w:asciiTheme="minorHAnsi" w:hAnsiTheme="minorHAnsi"/>
          <w:sz w:val="22"/>
          <w:lang w:val="en-GB"/>
        </w:rPr>
        <w:t>enabled</w:t>
      </w:r>
      <w:r w:rsidRPr="00D80AF7">
        <w:rPr>
          <w:rFonts w:asciiTheme="minorHAnsi" w:hAnsiTheme="minorHAnsi"/>
          <w:sz w:val="22"/>
          <w:lang w:val="en-GB"/>
        </w:rPr>
        <w:t xml:space="preserve"> the tuning </w:t>
      </w:r>
      <w:r w:rsidR="00C85374">
        <w:rPr>
          <w:rFonts w:asciiTheme="minorHAnsi" w:hAnsiTheme="minorHAnsi"/>
          <w:sz w:val="22"/>
          <w:lang w:val="en-GB"/>
        </w:rPr>
        <w:t xml:space="preserve">of </w:t>
      </w:r>
      <w:r>
        <w:rPr>
          <w:rFonts w:asciiTheme="minorHAnsi" w:hAnsiTheme="minorHAnsi"/>
          <w:sz w:val="22"/>
          <w:lang w:val="en-GB"/>
        </w:rPr>
        <w:t xml:space="preserve">the </w:t>
      </w:r>
      <w:r w:rsidRPr="00D80AF7">
        <w:rPr>
          <w:rFonts w:asciiTheme="minorHAnsi" w:hAnsiTheme="minorHAnsi"/>
          <w:sz w:val="22"/>
          <w:lang w:val="en-GB"/>
        </w:rPr>
        <w:t xml:space="preserve">phase stability of RHEAs by tailoring </w:t>
      </w:r>
      <w:r w:rsidRPr="00D80AF7">
        <w:rPr>
          <w:rFonts w:asciiTheme="minorHAnsi" w:hAnsiTheme="minorHAnsi"/>
          <w:noProof/>
          <w:sz w:val="22"/>
          <w:lang w:val="en-GB"/>
        </w:rPr>
        <w:t>specific</w:t>
      </w:r>
      <w:r w:rsidRPr="00D80AF7">
        <w:rPr>
          <w:rFonts w:asciiTheme="minorHAnsi" w:hAnsiTheme="minorHAnsi"/>
          <w:sz w:val="22"/>
          <w:lang w:val="en-GB"/>
        </w:rPr>
        <w:t xml:space="preserve"> components</w:t>
      </w:r>
      <w:r>
        <w:rPr>
          <w:rFonts w:asciiTheme="minorHAnsi" w:hAnsiTheme="minorHAnsi"/>
          <w:sz w:val="22"/>
          <w:lang w:val="en-GB"/>
        </w:rPr>
        <w:t>. This aided in determining</w:t>
      </w:r>
      <w:r w:rsidRPr="00D80AF7">
        <w:rPr>
          <w:rFonts w:asciiTheme="minorHAnsi" w:hAnsiTheme="minorHAnsi"/>
          <w:sz w:val="22"/>
          <w:lang w:val="en-GB"/>
        </w:rPr>
        <w:t xml:space="preserve"> the effectiveness of using formation enthalpy standard deviation in the </w:t>
      </w:r>
      <w:r w:rsidRPr="00D80AF7">
        <w:rPr>
          <w:rFonts w:asciiTheme="minorHAnsi" w:hAnsiTheme="minorHAnsi"/>
          <w:noProof/>
          <w:sz w:val="22"/>
          <w:lang w:val="en-GB"/>
        </w:rPr>
        <w:t>design</w:t>
      </w:r>
      <w:r w:rsidRPr="00D80AF7">
        <w:rPr>
          <w:rFonts w:asciiTheme="minorHAnsi" w:hAnsiTheme="minorHAnsi"/>
          <w:sz w:val="22"/>
          <w:lang w:val="en-GB"/>
        </w:rPr>
        <w:t xml:space="preserve"> of </w:t>
      </w:r>
      <w:r>
        <w:rPr>
          <w:rFonts w:asciiTheme="minorHAnsi" w:hAnsiTheme="minorHAnsi"/>
          <w:sz w:val="22"/>
          <w:lang w:val="en-GB"/>
        </w:rPr>
        <w:t>BCC</w:t>
      </w:r>
      <w:r w:rsidRPr="00D80AF7">
        <w:rPr>
          <w:rFonts w:asciiTheme="minorHAnsi" w:hAnsiTheme="minorHAnsi"/>
          <w:sz w:val="22"/>
          <w:lang w:val="en-GB"/>
        </w:rPr>
        <w:t xml:space="preserve"> stable RHEAs. </w:t>
      </w:r>
      <w:r>
        <w:rPr>
          <w:rFonts w:asciiTheme="minorHAnsi" w:hAnsiTheme="minorHAnsi"/>
          <w:sz w:val="22"/>
          <w:lang w:val="en-GB"/>
        </w:rPr>
        <w:t>In a similar fashion</w:t>
      </w:r>
      <w:r w:rsidRPr="00D80AF7">
        <w:rPr>
          <w:rFonts w:asciiTheme="minorHAnsi" w:hAnsiTheme="minorHAnsi"/>
          <w:sz w:val="22"/>
          <w:lang w:val="en-GB"/>
        </w:rPr>
        <w:t xml:space="preserve"> to the effect of </w:t>
      </w:r>
      <w:r w:rsidRPr="00D80AF7">
        <w:rPr>
          <w:rFonts w:asciiTheme="minorHAnsi" w:eastAsia="等线" w:hAnsiTheme="minorHAnsi"/>
          <w:sz w:val="22"/>
          <w:lang w:val="en-GB"/>
        </w:rPr>
        <w:t>β</w:t>
      </w:r>
      <w:r w:rsidRPr="00D80AF7">
        <w:rPr>
          <w:rFonts w:asciiTheme="minorHAnsi" w:hAnsiTheme="minorHAnsi"/>
          <w:sz w:val="22"/>
          <w:lang w:val="en-GB"/>
        </w:rPr>
        <w:t xml:space="preserve"> </w:t>
      </w:r>
      <w:r w:rsidRPr="00D80AF7">
        <w:rPr>
          <w:rFonts w:asciiTheme="minorHAnsi" w:hAnsiTheme="minorHAnsi"/>
          <w:noProof/>
          <w:sz w:val="22"/>
          <w:lang w:val="en-GB"/>
        </w:rPr>
        <w:t>stabiliser</w:t>
      </w:r>
      <w:r w:rsidRPr="00D80AF7">
        <w:rPr>
          <w:rFonts w:asciiTheme="minorHAnsi" w:hAnsiTheme="minorHAnsi"/>
          <w:sz w:val="22"/>
          <w:lang w:val="en-GB"/>
        </w:rPr>
        <w:t xml:space="preserve"> in metastable Ti alloy, multi</w:t>
      </w:r>
      <w:r>
        <w:rPr>
          <w:rFonts w:asciiTheme="minorHAnsi" w:hAnsiTheme="minorHAnsi"/>
          <w:sz w:val="22"/>
          <w:lang w:val="en-GB"/>
        </w:rPr>
        <w:t>-</w:t>
      </w:r>
      <w:r w:rsidRPr="00D80AF7">
        <w:rPr>
          <w:rFonts w:asciiTheme="minorHAnsi" w:hAnsiTheme="minorHAnsi"/>
          <w:sz w:val="22"/>
          <w:lang w:val="en-GB"/>
        </w:rPr>
        <w:t xml:space="preserve">deformation mechanisms may </w:t>
      </w:r>
      <w:r>
        <w:rPr>
          <w:rFonts w:asciiTheme="minorHAnsi" w:hAnsiTheme="minorHAnsi"/>
          <w:sz w:val="22"/>
          <w:lang w:val="en-GB"/>
        </w:rPr>
        <w:t>be</w:t>
      </w:r>
      <w:r w:rsidRPr="00D80AF7">
        <w:rPr>
          <w:rFonts w:asciiTheme="minorHAnsi" w:hAnsiTheme="minorHAnsi"/>
          <w:sz w:val="22"/>
          <w:lang w:val="en-GB"/>
        </w:rPr>
        <w:t xml:space="preserve"> introduce</w:t>
      </w:r>
      <w:r>
        <w:rPr>
          <w:rFonts w:asciiTheme="minorHAnsi" w:hAnsiTheme="minorHAnsi"/>
          <w:sz w:val="22"/>
          <w:lang w:val="en-GB"/>
        </w:rPr>
        <w:t>d</w:t>
      </w:r>
      <w:r w:rsidRPr="00D80AF7">
        <w:rPr>
          <w:rFonts w:asciiTheme="minorHAnsi" w:hAnsiTheme="minorHAnsi"/>
          <w:sz w:val="22"/>
          <w:lang w:val="en-GB"/>
        </w:rPr>
        <w:t xml:space="preserve"> into RHEAs to increase their mechanical performance. </w:t>
      </w:r>
      <w:r>
        <w:rPr>
          <w:rFonts w:asciiTheme="minorHAnsi" w:hAnsiTheme="minorHAnsi"/>
          <w:sz w:val="22"/>
          <w:lang w:val="en-GB"/>
        </w:rPr>
        <w:t xml:space="preserve">Hence, with the use of </w:t>
      </w:r>
      <w:r w:rsidRPr="00D80AF7">
        <w:rPr>
          <w:rFonts w:asciiTheme="minorHAnsi" w:hAnsiTheme="minorHAnsi"/>
          <w:sz w:val="22"/>
          <w:lang w:val="en-GB"/>
        </w:rPr>
        <w:t>semi-empirical parameter</w:t>
      </w:r>
      <w:r>
        <w:rPr>
          <w:rFonts w:asciiTheme="minorHAnsi" w:hAnsiTheme="minorHAnsi"/>
          <w:sz w:val="22"/>
          <w:lang w:val="en-GB"/>
        </w:rPr>
        <w:t xml:space="preserve"> of</w:t>
      </w:r>
      <w:r w:rsidRPr="00D80AF7">
        <w:rPr>
          <w:rFonts w:asciiTheme="minorHAnsi" w:hAnsiTheme="minorHAnsi"/>
          <w:sz w:val="22"/>
          <w:lang w:val="en-GB"/>
        </w:rPr>
        <w:t xml:space="preserve"> formation enthalpy deviation </w:t>
      </w:r>
      <w:r>
        <w:rPr>
          <w:rFonts w:asciiTheme="minorHAnsi" w:hAnsiTheme="minorHAnsi"/>
          <w:sz w:val="22"/>
          <w:lang w:val="en-GB"/>
        </w:rPr>
        <w:t>in concert with</w:t>
      </w:r>
      <w:r w:rsidRPr="00D80AF7">
        <w:rPr>
          <w:rFonts w:asciiTheme="minorHAnsi" w:hAnsiTheme="minorHAnsi"/>
          <w:sz w:val="22"/>
          <w:lang w:val="en-GB"/>
        </w:rPr>
        <w:t xml:space="preserve"> </w:t>
      </w:r>
      <w:r w:rsidRPr="007F3A25">
        <w:rPr>
          <w:rFonts w:asciiTheme="minorHAnsi" w:hAnsiTheme="minorHAnsi"/>
          <w:i/>
          <w:sz w:val="22"/>
          <w:lang w:val="en-GB"/>
        </w:rPr>
        <w:t>ab initio</w:t>
      </w:r>
      <w:r w:rsidRPr="00D80AF7">
        <w:rPr>
          <w:rFonts w:asciiTheme="minorHAnsi" w:hAnsiTheme="minorHAnsi"/>
          <w:sz w:val="22"/>
          <w:lang w:val="en-GB"/>
        </w:rPr>
        <w:t xml:space="preserve"> tool</w:t>
      </w:r>
      <w:r>
        <w:rPr>
          <w:rFonts w:asciiTheme="minorHAnsi" w:hAnsiTheme="minorHAnsi"/>
          <w:sz w:val="22"/>
          <w:lang w:val="en-GB"/>
        </w:rPr>
        <w:t>s</w:t>
      </w:r>
      <w:r w:rsidRPr="00D80AF7">
        <w:rPr>
          <w:rFonts w:asciiTheme="minorHAnsi" w:hAnsiTheme="minorHAnsi"/>
          <w:sz w:val="22"/>
          <w:lang w:val="en-GB"/>
        </w:rPr>
        <w:t xml:space="preserve">, a new series </w:t>
      </w:r>
      <w:r>
        <w:rPr>
          <w:rFonts w:asciiTheme="minorHAnsi" w:hAnsiTheme="minorHAnsi"/>
          <w:sz w:val="22"/>
          <w:lang w:val="en-GB"/>
        </w:rPr>
        <w:t xml:space="preserve">of </w:t>
      </w:r>
      <w:r w:rsidRPr="00D80AF7">
        <w:rPr>
          <w:rFonts w:asciiTheme="minorHAnsi" w:hAnsiTheme="minorHAnsi"/>
          <w:sz w:val="22"/>
          <w:lang w:val="en-GB"/>
        </w:rPr>
        <w:t xml:space="preserve">RHEAs </w:t>
      </w:r>
      <w:r>
        <w:rPr>
          <w:rFonts w:asciiTheme="minorHAnsi" w:hAnsiTheme="minorHAnsi"/>
          <w:sz w:val="22"/>
          <w:lang w:val="en-GB"/>
        </w:rPr>
        <w:t>possessing</w:t>
      </w:r>
      <w:r w:rsidRPr="00D80AF7">
        <w:rPr>
          <w:rFonts w:asciiTheme="minorHAnsi" w:hAnsiTheme="minorHAnsi"/>
          <w:sz w:val="22"/>
          <w:lang w:val="en-GB"/>
        </w:rPr>
        <w:t xml:space="preserve"> TRIP and TWIP </w:t>
      </w:r>
      <w:r>
        <w:rPr>
          <w:rFonts w:asciiTheme="minorHAnsi" w:hAnsiTheme="minorHAnsi"/>
          <w:sz w:val="22"/>
          <w:lang w:val="en-GB"/>
        </w:rPr>
        <w:t>characteristics</w:t>
      </w:r>
      <w:r w:rsidRPr="00D80AF7">
        <w:rPr>
          <w:rFonts w:asciiTheme="minorHAnsi" w:hAnsiTheme="minorHAnsi"/>
          <w:sz w:val="22"/>
          <w:lang w:val="en-GB"/>
        </w:rPr>
        <w:t xml:space="preserve"> may </w:t>
      </w:r>
      <w:r>
        <w:rPr>
          <w:rFonts w:asciiTheme="minorHAnsi" w:hAnsiTheme="minorHAnsi"/>
          <w:sz w:val="22"/>
          <w:lang w:val="en-GB"/>
        </w:rPr>
        <w:t>potentially</w:t>
      </w:r>
      <w:r w:rsidRPr="00D80AF7">
        <w:rPr>
          <w:rFonts w:asciiTheme="minorHAnsi" w:hAnsiTheme="minorHAnsi"/>
          <w:sz w:val="22"/>
          <w:lang w:val="en-GB"/>
        </w:rPr>
        <w:t xml:space="preserve"> be designed.  </w:t>
      </w:r>
    </w:p>
    <w:p w14:paraId="406B65EE" w14:textId="77777777" w:rsidR="00B145BE" w:rsidRDefault="00B145BE" w:rsidP="00B145BE">
      <w:pPr>
        <w:pStyle w:val="Normal1"/>
        <w:spacing w:after="120" w:line="360" w:lineRule="auto"/>
        <w:jc w:val="both"/>
        <w:rPr>
          <w:rFonts w:asciiTheme="minorHAnsi" w:hAnsiTheme="minorHAnsi"/>
          <w:sz w:val="22"/>
          <w:lang w:val="en-GB"/>
        </w:rPr>
      </w:pPr>
    </w:p>
    <w:p w14:paraId="7332324D" w14:textId="77777777" w:rsidR="00B145BE" w:rsidRDefault="00B145BE" w:rsidP="00B145BE">
      <w:pPr>
        <w:pStyle w:val="Normal1"/>
        <w:spacing w:after="120" w:line="360" w:lineRule="auto"/>
        <w:jc w:val="both"/>
        <w:rPr>
          <w:rFonts w:asciiTheme="minorHAnsi" w:hAnsiTheme="minorHAnsi"/>
          <w:sz w:val="22"/>
          <w:lang w:val="en-GB"/>
        </w:rPr>
      </w:pPr>
    </w:p>
    <w:p w14:paraId="67C0A1D1" w14:textId="77777777" w:rsidR="00B145BE" w:rsidRDefault="00B145BE" w:rsidP="00B145BE">
      <w:pPr>
        <w:pStyle w:val="Normal1"/>
        <w:spacing w:after="120" w:line="360" w:lineRule="auto"/>
        <w:jc w:val="both"/>
        <w:rPr>
          <w:rFonts w:asciiTheme="minorHAnsi" w:hAnsiTheme="minorHAnsi"/>
          <w:sz w:val="22"/>
          <w:lang w:val="en-GB"/>
        </w:rPr>
      </w:pPr>
    </w:p>
    <w:p w14:paraId="640CB3DA" w14:textId="77777777" w:rsidR="00B145BE" w:rsidRDefault="00B145BE" w:rsidP="00B145BE">
      <w:pPr>
        <w:pStyle w:val="Normal1"/>
        <w:spacing w:after="120" w:line="360" w:lineRule="auto"/>
        <w:jc w:val="both"/>
        <w:rPr>
          <w:rFonts w:asciiTheme="minorHAnsi" w:hAnsiTheme="minorHAnsi"/>
          <w:sz w:val="22"/>
          <w:lang w:val="en-GB"/>
        </w:rPr>
      </w:pPr>
    </w:p>
    <w:p w14:paraId="565CA5BC" w14:textId="77777777" w:rsidR="00B145BE" w:rsidRDefault="00B145BE" w:rsidP="00B145BE">
      <w:pPr>
        <w:pStyle w:val="Normal1"/>
        <w:spacing w:after="120" w:line="360" w:lineRule="auto"/>
        <w:jc w:val="both"/>
        <w:rPr>
          <w:rFonts w:asciiTheme="minorHAnsi" w:hAnsiTheme="minorHAnsi"/>
          <w:sz w:val="22"/>
          <w:lang w:val="en-GB"/>
        </w:rPr>
      </w:pPr>
    </w:p>
    <w:p w14:paraId="3B4EFA95" w14:textId="77777777" w:rsidR="00B145BE" w:rsidRDefault="00B145BE" w:rsidP="00B145BE">
      <w:pPr>
        <w:pStyle w:val="Normal1"/>
        <w:spacing w:after="120" w:line="360" w:lineRule="auto"/>
        <w:jc w:val="both"/>
        <w:rPr>
          <w:rFonts w:asciiTheme="minorHAnsi" w:hAnsiTheme="minorHAnsi"/>
          <w:sz w:val="22"/>
          <w:lang w:val="en-GB"/>
        </w:rPr>
      </w:pPr>
    </w:p>
    <w:p w14:paraId="5FF00570" w14:textId="77777777" w:rsidR="00B145BE" w:rsidRDefault="00B145BE" w:rsidP="00B145BE">
      <w:pPr>
        <w:pStyle w:val="Normal1"/>
        <w:spacing w:after="120" w:line="360" w:lineRule="auto"/>
        <w:jc w:val="both"/>
        <w:rPr>
          <w:rFonts w:asciiTheme="minorHAnsi" w:hAnsiTheme="minorHAnsi"/>
          <w:sz w:val="22"/>
          <w:lang w:val="en-GB"/>
        </w:rPr>
      </w:pPr>
    </w:p>
    <w:p w14:paraId="160D7554" w14:textId="77777777" w:rsidR="00B145BE" w:rsidRDefault="00B145BE" w:rsidP="00B145BE">
      <w:pPr>
        <w:pStyle w:val="Normal1"/>
        <w:spacing w:after="120" w:line="360" w:lineRule="auto"/>
        <w:jc w:val="both"/>
        <w:rPr>
          <w:rFonts w:asciiTheme="minorHAnsi" w:hAnsiTheme="minorHAnsi"/>
          <w:sz w:val="22"/>
          <w:lang w:val="en-GB"/>
        </w:rPr>
      </w:pPr>
    </w:p>
    <w:p w14:paraId="2A707A4B" w14:textId="77777777" w:rsidR="00B145BE" w:rsidRDefault="00B145BE" w:rsidP="00B145BE">
      <w:pPr>
        <w:pStyle w:val="Normal1"/>
        <w:spacing w:after="120" w:line="360" w:lineRule="auto"/>
        <w:jc w:val="both"/>
        <w:rPr>
          <w:rFonts w:asciiTheme="minorHAnsi" w:hAnsiTheme="minorHAnsi"/>
          <w:sz w:val="22"/>
          <w:lang w:val="en-GB"/>
        </w:rPr>
      </w:pPr>
    </w:p>
    <w:p w14:paraId="38106A96" w14:textId="77777777" w:rsidR="00B145BE" w:rsidRDefault="00B145BE" w:rsidP="00B145BE">
      <w:pPr>
        <w:pStyle w:val="2"/>
        <w:spacing w:after="120" w:line="360" w:lineRule="auto"/>
        <w:rPr>
          <w:rFonts w:asciiTheme="minorHAnsi" w:hAnsiTheme="minorHAnsi"/>
          <w:sz w:val="22"/>
          <w:lang w:val="en-GB"/>
        </w:rPr>
      </w:pPr>
      <w:bookmarkStart w:id="234" w:name="_Toc22052537"/>
      <w:r w:rsidRPr="00E062D9">
        <w:rPr>
          <w:rFonts w:asciiTheme="minorHAnsi" w:hAnsiTheme="minorHAnsi"/>
          <w:b/>
          <w:color w:val="auto"/>
          <w:sz w:val="32"/>
          <w:szCs w:val="32"/>
        </w:rPr>
        <w:lastRenderedPageBreak/>
        <w:t>4.</w:t>
      </w:r>
      <w:r>
        <w:rPr>
          <w:rFonts w:asciiTheme="minorHAnsi" w:hAnsiTheme="minorHAnsi"/>
          <w:b/>
          <w:color w:val="auto"/>
          <w:sz w:val="32"/>
          <w:szCs w:val="32"/>
        </w:rPr>
        <w:t>6 References</w:t>
      </w:r>
      <w:bookmarkEnd w:id="234"/>
    </w:p>
    <w:p w14:paraId="68D5C013"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fldChar w:fldCharType="begin" w:fldLock="1"/>
      </w:r>
      <w:r>
        <w:instrText xml:space="preserve">ADDIN Mendeley Bibliography CSL_BIBLIOGRAPHY </w:instrText>
      </w:r>
      <w:r>
        <w:fldChar w:fldCharType="separate"/>
      </w:r>
      <w:r w:rsidRPr="005C630B">
        <w:rPr>
          <w:rFonts w:ascii="Calibri" w:hAnsi="Calibri" w:cs="Times New Roman"/>
          <w:noProof/>
          <w:szCs w:val="24"/>
        </w:rPr>
        <w:t>[1]</w:t>
      </w:r>
      <w:r w:rsidRPr="005C630B">
        <w:rPr>
          <w:rFonts w:ascii="Calibri" w:hAnsi="Calibri" w:cs="Times New Roman"/>
          <w:noProof/>
          <w:szCs w:val="24"/>
        </w:rPr>
        <w:tab/>
        <w:t>B. Gludovatz, A. Hohenwarter, D. Catoor, E.H. Chang, E.P. George, R.O. Ritchie, A fracture-resistant high-entropy alloy for cryogenic applications, Science (80-. ). (2014). doi:10.1126/science.1254581.</w:t>
      </w:r>
    </w:p>
    <w:p w14:paraId="6B3692F5"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[2]</w:t>
      </w:r>
      <w:r w:rsidRPr="005C630B">
        <w:rPr>
          <w:rFonts w:ascii="Calibri" w:hAnsi="Calibri" w:cs="Times New Roman"/>
          <w:noProof/>
          <w:szCs w:val="24"/>
        </w:rPr>
        <w:tab/>
        <w:t>T. Yang, Y.L. Zhao, Y. Tong, Z.B. Jiao, J. Wei, J.X. Cai, X.D. Han, D. Chen, A. Hu, J.J. Kai, K. Lu, Y. Liu, C.T. Liu, Multicomponent intermetallic nanoparticles and superb mechanical behaviors of complex alloys, Science (80-. ). (2018). doi:10.1126/science.aas8815.</w:t>
      </w:r>
    </w:p>
    <w:p w14:paraId="27B0BD16"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[3]</w:t>
      </w:r>
      <w:r w:rsidRPr="005C630B">
        <w:rPr>
          <w:rFonts w:ascii="Calibri" w:hAnsi="Calibri" w:cs="Times New Roman"/>
          <w:noProof/>
          <w:szCs w:val="24"/>
        </w:rPr>
        <w:tab/>
        <w:t>Z. Lei, X. Liu, Y. Wu, H. Wang, S. Jiang, S. Wang, X. Hui, Y. Wu, B. Gault, P. Kontis, D. Raabe, L. Gu, Q. Zhang, H. Chen, H. Wang, J. Liu, K. An, Q. Zeng, T.G. Nieh, Z. Lu, Enhanced strength and ductility in a high-entropy alloy via ordered oxygen complexes, Nature. (2018). doi:10.1038/s41586-018-0685-y.</w:t>
      </w:r>
    </w:p>
    <w:p w14:paraId="4252C70A"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[4]</w:t>
      </w:r>
      <w:r w:rsidRPr="005C630B">
        <w:rPr>
          <w:rFonts w:ascii="Calibri" w:hAnsi="Calibri" w:cs="Times New Roman"/>
          <w:noProof/>
          <w:szCs w:val="24"/>
        </w:rPr>
        <w:tab/>
        <w:t>Z. Li, K.G. Pradeep, Y. Deng, D. Raabe, C.C. Tasan, Metastable high-entropy dual-phase alloys overcome the strength-ductility trade-off, Nature. (2016). doi:10.1038/nature17981.</w:t>
      </w:r>
    </w:p>
    <w:p w14:paraId="7CAAA07F"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[5]</w:t>
      </w:r>
      <w:r w:rsidRPr="005C630B">
        <w:rPr>
          <w:rFonts w:ascii="Calibri" w:hAnsi="Calibri" w:cs="Times New Roman"/>
          <w:noProof/>
          <w:szCs w:val="24"/>
        </w:rPr>
        <w:tab/>
        <w:t>O.N. Senkov, G.B. Wilks, D.B. Miracle, C.P. Chuang, P.K. Liaw, Refractory high-entropy alloys, Intermetallics. (2010). doi:10.1016/j.intermet.2010.05.014.</w:t>
      </w:r>
    </w:p>
    <w:p w14:paraId="38DC2E7C"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[6]</w:t>
      </w:r>
      <w:r w:rsidRPr="005C630B">
        <w:rPr>
          <w:rFonts w:ascii="Calibri" w:hAnsi="Calibri" w:cs="Times New Roman"/>
          <w:noProof/>
          <w:szCs w:val="24"/>
        </w:rPr>
        <w:tab/>
        <w:t>J. Chen, X. Zhou, W. Wang, B. Liu, Y. Lv, W. Yang, D. Xu, Y. Liu, A review on fundamental of high entropy alloys with promising high–temperature properties, J. Alloys Compd. (2018). doi:10.1016/j.jallcom.2018.05.067.</w:t>
      </w:r>
    </w:p>
    <w:p w14:paraId="71F018BF"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[7]</w:t>
      </w:r>
      <w:r w:rsidRPr="005C630B">
        <w:rPr>
          <w:rFonts w:ascii="Calibri" w:hAnsi="Calibri" w:cs="Times New Roman"/>
          <w:noProof/>
          <w:szCs w:val="24"/>
        </w:rPr>
        <w:tab/>
        <w:t>O.N. Senkov, D.B. Miracle, K.J. Chaput, J.P. Couzinie, Development and exploration of refractory high entropy alloys - A review, J. Mater. Res. (2018). doi:10.1557/jmr.2018.153.</w:t>
      </w:r>
    </w:p>
    <w:p w14:paraId="22F23F17"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[8]</w:t>
      </w:r>
      <w:r w:rsidRPr="005C630B">
        <w:rPr>
          <w:rFonts w:ascii="Calibri" w:hAnsi="Calibri" w:cs="Times New Roman"/>
          <w:noProof/>
          <w:szCs w:val="24"/>
        </w:rPr>
        <w:tab/>
        <w:t>A.H. Cottrell, Theory of dislocations, Prog. Met. Phys. (1953). doi:10.1016/0502-8205(53)90018-5.</w:t>
      </w:r>
    </w:p>
    <w:p w14:paraId="426B17D1"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[9]</w:t>
      </w:r>
      <w:r w:rsidRPr="005C630B">
        <w:rPr>
          <w:rFonts w:ascii="Calibri" w:hAnsi="Calibri" w:cs="Times New Roman"/>
          <w:noProof/>
          <w:szCs w:val="24"/>
        </w:rPr>
        <w:tab/>
        <w:t>M.A. Meyers, O. Vöhringer, V.A. Lubarda, The onset of twinning in metals: A constitutive description, Acta Mater. (2001). doi:10.1016/S1359-6454(01)00300-7.</w:t>
      </w:r>
    </w:p>
    <w:p w14:paraId="217D8B30"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[10]</w:t>
      </w:r>
      <w:r w:rsidRPr="005C630B">
        <w:rPr>
          <w:rFonts w:ascii="Calibri" w:hAnsi="Calibri" w:cs="Times New Roman"/>
          <w:noProof/>
          <w:szCs w:val="24"/>
        </w:rPr>
        <w:tab/>
        <w:t>P. Cao, X. Ni, F. Tian, L.K. Varga, L. Vitos, Ab initio study of AlxMoNbTiV high-entropy alloys, J. Phys. Condens. Matter. (2015). doi:10.1088/0953-8984/27/7/075401.</w:t>
      </w:r>
    </w:p>
    <w:p w14:paraId="6851773E"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[11]</w:t>
      </w:r>
      <w:r w:rsidRPr="005C630B">
        <w:rPr>
          <w:rFonts w:ascii="Calibri" w:hAnsi="Calibri" w:cs="Times New Roman"/>
          <w:noProof/>
          <w:szCs w:val="24"/>
        </w:rPr>
        <w:tab/>
        <w:t>F. Tian, L.K. Varga, N. Chen, J. Shen, L. Vitos, Ab initio design of elastically isotropic TiZrNbMoVx high-entropy alloys, J. Alloys Compd. (2014). doi:10.1016/j.jallcom.2014.01.237.</w:t>
      </w:r>
    </w:p>
    <w:p w14:paraId="18587851"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lastRenderedPageBreak/>
        <w:t>[12]</w:t>
      </w:r>
      <w:r w:rsidRPr="005C630B">
        <w:rPr>
          <w:rFonts w:ascii="Calibri" w:hAnsi="Calibri" w:cs="Times New Roman"/>
          <w:noProof/>
          <w:szCs w:val="24"/>
        </w:rPr>
        <w:tab/>
        <w:t>F. Tian, L. Delczeg, N. Chen, L.K. Varga, J. Shen, L. Vitos, Structural stability of NiCoFeCrAlx high-entropy alloy from ab initio theory, Phys. Rev. B - Condens. Matter Mater. Phys. (2013). doi:10.1103/PhysRevB.88.085128.</w:t>
      </w:r>
    </w:p>
    <w:p w14:paraId="150C7965"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[13]</w:t>
      </w:r>
      <w:r w:rsidRPr="005C630B">
        <w:rPr>
          <w:rFonts w:ascii="Calibri" w:hAnsi="Calibri" w:cs="Times New Roman"/>
          <w:noProof/>
          <w:szCs w:val="24"/>
        </w:rPr>
        <w:tab/>
        <w:t>Y. Zhang, X. Yang, P.K. Liaw, Alloy design and properties optimization of high-entropy alloys, JOM. (2012). doi:10.1007/s11837-012-0366-5.</w:t>
      </w:r>
    </w:p>
    <w:p w14:paraId="1A99D37D"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[14]</w:t>
      </w:r>
      <w:r w:rsidRPr="005C630B">
        <w:rPr>
          <w:rFonts w:ascii="Calibri" w:hAnsi="Calibri" w:cs="Times New Roman"/>
          <w:noProof/>
          <w:szCs w:val="24"/>
        </w:rPr>
        <w:tab/>
        <w:t>S.Y. Chen, X. Yang, K.A. Dahmen, P.K. Liaw, Y. Zhang, Microstructures and crackling noise of AlxNbTiMoV high entropy alloys, Entropy. (2014). doi:10.3390/e16020870.</w:t>
      </w:r>
    </w:p>
    <w:p w14:paraId="1A5313F1"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[15]</w:t>
      </w:r>
      <w:r w:rsidRPr="005C630B">
        <w:rPr>
          <w:rFonts w:ascii="Calibri" w:hAnsi="Calibri" w:cs="Times New Roman"/>
          <w:noProof/>
          <w:szCs w:val="24"/>
        </w:rPr>
        <w:tab/>
        <w:t>F. Tian, L.K. Varga, J. Shen, L. Vitos, Calculating elastic constants in high-entropy alloys using the coherent potential approximation: Current issues and errors, Comput. Mater. Sci. (2016). doi:10.1016/j.commatsci.2015.09.058.</w:t>
      </w:r>
    </w:p>
    <w:p w14:paraId="0030BA81"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[16]</w:t>
      </w:r>
      <w:r w:rsidRPr="005C630B">
        <w:rPr>
          <w:rFonts w:ascii="Calibri" w:hAnsi="Calibri" w:cs="Times New Roman"/>
          <w:noProof/>
          <w:szCs w:val="24"/>
        </w:rPr>
        <w:tab/>
        <w:t>F. Tian, L.K. Varga, L. Vitos, Predicting single phase CrMoWX high entropy alloys from empirical relations in combination with first-principles calculations, Intermetallics. (2017). doi:10.1016/j.intermet.2016.12.007.</w:t>
      </w:r>
    </w:p>
    <w:p w14:paraId="686F91F2"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[17]</w:t>
      </w:r>
      <w:r w:rsidRPr="005C630B">
        <w:rPr>
          <w:rFonts w:ascii="Calibri" w:hAnsi="Calibri" w:cs="Times New Roman"/>
          <w:noProof/>
          <w:szCs w:val="24"/>
        </w:rPr>
        <w:tab/>
        <w:t>L.A. Domínguez, R. Goodall, I. Todd, Prediction and validation of quaternary high entropy alloys using statistical approaches, Mater. Sci. Technol. (2015). doi:10.1179/1743284715Y.0000000019.</w:t>
      </w:r>
    </w:p>
    <w:p w14:paraId="1B3EDBC4"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[18]</w:t>
      </w:r>
      <w:r w:rsidRPr="005C630B">
        <w:rPr>
          <w:rFonts w:ascii="Calibri" w:hAnsi="Calibri" w:cs="Times New Roman"/>
          <w:noProof/>
          <w:szCs w:val="24"/>
        </w:rPr>
        <w:tab/>
        <w:t>M.X. Ren, B.S. Li, H.Z. Fu, Formation condition of solid solution type high-entropy alloy, Trans. Nonferrous Met. Soc. China (English Ed. (2013). doi:10.1016/S1003-6326(13)62557-1.</w:t>
      </w:r>
    </w:p>
    <w:p w14:paraId="5581B0D0"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[19]</w:t>
      </w:r>
      <w:r w:rsidRPr="005C630B">
        <w:rPr>
          <w:rFonts w:ascii="Calibri" w:hAnsi="Calibri" w:cs="Times New Roman"/>
          <w:noProof/>
          <w:szCs w:val="24"/>
        </w:rPr>
        <w:tab/>
        <w:t>H.A. Murdoch, C.A. Schuh, Estimation of grain boundary segregation enthalpy and its role in stable nanocrystalline alloy design, J. Mater. Res. (2013). doi:10.1557/jmr.2013.211.</w:t>
      </w:r>
    </w:p>
    <w:p w14:paraId="6B6907C2"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[20]</w:t>
      </w:r>
      <w:r w:rsidRPr="005C630B">
        <w:rPr>
          <w:rFonts w:ascii="Calibri" w:hAnsi="Calibri" w:cs="Times New Roman"/>
          <w:noProof/>
          <w:szCs w:val="24"/>
        </w:rPr>
        <w:tab/>
        <w:t>D.G. Pettifor, A Quantum-Mechanical Critique of the Miedema Rules for Alloy Formation, Solid State Phys. - Adv. Res. Appl. (1987). doi:10.1016/S0081-1947(08)60690-6.</w:t>
      </w:r>
    </w:p>
    <w:p w14:paraId="375B8268"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[21]</w:t>
      </w:r>
      <w:r w:rsidRPr="005C630B">
        <w:rPr>
          <w:rFonts w:ascii="Calibri" w:hAnsi="Calibri" w:cs="Times New Roman"/>
          <w:noProof/>
          <w:szCs w:val="24"/>
        </w:rPr>
        <w:tab/>
        <w:t>Z. Leong, Y. Huang, R. Goodall, I. Todd, Electronegativity and enthalpy of mixing biplots for High Entropy Alloy solid solution prediction, Mater. Chem. Phys. (2018). doi:10.1016/j.matchemphys.2017.09.001.</w:t>
      </w:r>
    </w:p>
    <w:p w14:paraId="4CA69D08"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[22]</w:t>
      </w:r>
      <w:r w:rsidRPr="005C630B">
        <w:rPr>
          <w:rFonts w:ascii="Calibri" w:hAnsi="Calibri" w:cs="Times New Roman"/>
          <w:noProof/>
          <w:szCs w:val="24"/>
        </w:rPr>
        <w:tab/>
        <w:t>D.J. Thouless, Electrons in disordered systems and the theory of localization, Phys. Rep. (1974). doi:10.1016/0370-1573(74)90029-5.</w:t>
      </w:r>
    </w:p>
    <w:p w14:paraId="2EE32029"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[23]</w:t>
      </w:r>
      <w:r w:rsidRPr="005C630B">
        <w:rPr>
          <w:rFonts w:ascii="Calibri" w:hAnsi="Calibri" w:cs="Times New Roman"/>
          <w:noProof/>
          <w:szCs w:val="24"/>
        </w:rPr>
        <w:tab/>
        <w:t>U. Häussermann, S. Wengert, P. Hofmann, A. Savin, O. Jepsen, R. Nesper, Localization of Electrons in Intermetallic Phases Containing Aluminum, Angew. Chemie Int. Ed. English. (1994). doi:10.1002/anie.199420691.</w:t>
      </w:r>
    </w:p>
    <w:p w14:paraId="5A55A015"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lastRenderedPageBreak/>
        <w:t>[24]</w:t>
      </w:r>
      <w:r w:rsidRPr="005C630B">
        <w:rPr>
          <w:rFonts w:ascii="Calibri" w:hAnsi="Calibri" w:cs="Times New Roman"/>
          <w:noProof/>
          <w:szCs w:val="24"/>
        </w:rPr>
        <w:tab/>
        <w:t>D. Nguyen-Manh, D.G. Pettifor, Electronic structure, phase stability and elastic moduli of AB transition metal aluminides, Intermetallics. (1999). doi:10.1016/S0966-9795(99)00040-0.</w:t>
      </w:r>
    </w:p>
    <w:p w14:paraId="21EB21A5"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[25]</w:t>
      </w:r>
      <w:r w:rsidRPr="005C630B">
        <w:rPr>
          <w:rFonts w:ascii="Calibri" w:hAnsi="Calibri" w:cs="Times New Roman"/>
          <w:noProof/>
          <w:szCs w:val="24"/>
        </w:rPr>
        <w:tab/>
        <w:t>Z. Leong, J.S. Wróbel, S.L. Dudarev, R. Goodall, I. Todd, D. Nguyen-Manh, The Effect of Electronic Structure on the Phases Present in High Entropy Alloys, Sci. Rep. (2017). doi:10.1038/srep39803.</w:t>
      </w:r>
    </w:p>
    <w:p w14:paraId="54766C84"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[26]</w:t>
      </w:r>
      <w:r w:rsidRPr="005C630B">
        <w:rPr>
          <w:rFonts w:ascii="Calibri" w:hAnsi="Calibri" w:cs="Times New Roman"/>
          <w:noProof/>
          <w:szCs w:val="24"/>
        </w:rPr>
        <w:tab/>
        <w:t>A. Takeuchi, A. Inoue, Classification of Bulk Metallic Glasses by Atomic Size Difference, Heat of Mixing and Period of Constituent Elements and Its Application to Characterization of the Main Alloying Element, Mater. Trans. (2006). doi:10.2320/matertrans.46.2817.</w:t>
      </w:r>
    </w:p>
    <w:p w14:paraId="5E2DD8EC"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[27]</w:t>
      </w:r>
      <w:r w:rsidRPr="005C630B">
        <w:rPr>
          <w:rFonts w:ascii="Calibri" w:hAnsi="Calibri" w:cs="Times New Roman"/>
          <w:noProof/>
          <w:szCs w:val="24"/>
        </w:rPr>
        <w:tab/>
        <w:t>M.C. Troparevsky, J.R. Morris, P.R.C. Kent, A.R. Lupini, G.M. Stocks, Criteria for predicting the formation of single-phase high-entropy alloys, Phys. Rev. X. (2015). doi:10.1103/PhysRevX.5.011041.</w:t>
      </w:r>
    </w:p>
    <w:p w14:paraId="1FE7AED4"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[28]</w:t>
      </w:r>
      <w:r w:rsidRPr="005C630B">
        <w:rPr>
          <w:rFonts w:ascii="Calibri" w:hAnsi="Calibri" w:cs="Times New Roman"/>
          <w:noProof/>
          <w:szCs w:val="24"/>
        </w:rPr>
        <w:tab/>
        <w:t>X. Yang, Y. Zhang, P.K. Liaw, Microstructure and compressive properties of NbTiVTaAlxhigh entropy alloys, in: Procedia Eng., 2012. doi:10.1016/j.proeng.2012.03.043.</w:t>
      </w:r>
    </w:p>
    <w:p w14:paraId="162AAD5F"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[29]</w:t>
      </w:r>
      <w:r w:rsidRPr="005C630B">
        <w:rPr>
          <w:rFonts w:ascii="Calibri" w:hAnsi="Calibri" w:cs="Times New Roman"/>
          <w:noProof/>
          <w:szCs w:val="24"/>
        </w:rPr>
        <w:tab/>
        <w:t>J. Tran, Titanium by design: Trip titanium alloy, ProQuest Diss. Theses Glob. (2009).</w:t>
      </w:r>
    </w:p>
    <w:p w14:paraId="7E49CB62"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[30]</w:t>
      </w:r>
      <w:r w:rsidRPr="005C630B">
        <w:rPr>
          <w:rFonts w:ascii="Calibri" w:hAnsi="Calibri" w:cs="Times New Roman"/>
          <w:noProof/>
          <w:szCs w:val="24"/>
        </w:rPr>
        <w:tab/>
        <w:t>C. Leyens, M. Peters, Titanium and Titanium Alloys: Fundamentals and Applications, 2003. doi:10.1002/3527602119.</w:t>
      </w:r>
    </w:p>
    <w:p w14:paraId="700C5F71"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5C630B">
        <w:rPr>
          <w:rFonts w:ascii="Calibri" w:hAnsi="Calibri" w:cs="Times New Roman"/>
          <w:noProof/>
          <w:szCs w:val="24"/>
        </w:rPr>
        <w:t>[31]</w:t>
      </w:r>
      <w:r w:rsidRPr="005C630B">
        <w:rPr>
          <w:rFonts w:ascii="Calibri" w:hAnsi="Calibri" w:cs="Times New Roman"/>
          <w:noProof/>
          <w:szCs w:val="24"/>
        </w:rPr>
        <w:tab/>
        <w:t>S. Ankem, C.. Greene, Recent developments in microstructure/property relationships of beta titanium alloys, Mater. Sci. Eng. A. (1999). doi:10.1016/S0921-5093(98)01170-8.</w:t>
      </w:r>
    </w:p>
    <w:p w14:paraId="25B6612C" w14:textId="77777777" w:rsidR="00B145BE" w:rsidRPr="005C630B" w:rsidRDefault="00B145BE" w:rsidP="00B145BE">
      <w:pPr>
        <w:widowControl w:val="0"/>
        <w:autoSpaceDE w:val="0"/>
        <w:autoSpaceDN w:val="0"/>
        <w:adjustRightInd w:val="0"/>
        <w:spacing w:after="120" w:line="360" w:lineRule="auto"/>
        <w:ind w:left="640" w:hanging="640"/>
        <w:rPr>
          <w:rFonts w:ascii="Calibri" w:hAnsi="Calibri"/>
          <w:noProof/>
        </w:rPr>
      </w:pPr>
      <w:r w:rsidRPr="005C630B">
        <w:rPr>
          <w:rFonts w:ascii="Calibri" w:hAnsi="Calibri" w:cs="Times New Roman"/>
          <w:noProof/>
          <w:szCs w:val="24"/>
        </w:rPr>
        <w:t>[32]</w:t>
      </w:r>
      <w:r w:rsidRPr="005C630B">
        <w:rPr>
          <w:rFonts w:ascii="Calibri" w:hAnsi="Calibri" w:cs="Times New Roman"/>
          <w:noProof/>
          <w:szCs w:val="24"/>
        </w:rPr>
        <w:tab/>
        <w:t>D.G. Pettifor, Theory of the crystal structures of transition metals, J. Phys. C Solid State Phys. (1970). doi:10.1088/0022-3719/3/2/018.</w:t>
      </w:r>
    </w:p>
    <w:p w14:paraId="4EE9719D" w14:textId="60BA96D8" w:rsidR="001C513B" w:rsidRPr="00D211DC" w:rsidRDefault="00B145BE" w:rsidP="00B145BE">
      <w:pPr>
        <w:pStyle w:val="Normal1"/>
        <w:spacing w:after="120" w:line="360" w:lineRule="auto"/>
        <w:rPr>
          <w:rFonts w:asciiTheme="minorHAnsi" w:hAnsiTheme="minorHAnsi"/>
          <w:lang w:val="en-GB"/>
        </w:rPr>
      </w:pPr>
      <w:r>
        <w:rPr>
          <w:rFonts w:asciiTheme="minorHAnsi" w:hAnsiTheme="minorHAnsi"/>
          <w:sz w:val="22"/>
          <w:lang w:val="en-GB"/>
        </w:rPr>
        <w:fldChar w:fldCharType="end"/>
      </w:r>
    </w:p>
    <w:p w14:paraId="6CB87092" w14:textId="77777777" w:rsidR="001C513B" w:rsidRDefault="001C513B"/>
    <w:p w14:paraId="7AC37763" w14:textId="77777777" w:rsidR="001C513B" w:rsidRDefault="001C513B"/>
    <w:p w14:paraId="37C815F7" w14:textId="77777777" w:rsidR="001C513B" w:rsidRDefault="001C513B"/>
    <w:p w14:paraId="11FF6818" w14:textId="77777777" w:rsidR="001C513B" w:rsidRDefault="001C513B"/>
    <w:p w14:paraId="16EC1D52" w14:textId="77777777" w:rsidR="00B145BE" w:rsidRPr="001E3029" w:rsidRDefault="00B145BE" w:rsidP="00B145BE">
      <w:pPr>
        <w:pStyle w:val="1"/>
        <w:spacing w:before="0" w:afterLines="60" w:after="144" w:line="360" w:lineRule="auto"/>
        <w:jc w:val="both"/>
        <w:rPr>
          <w:rFonts w:asciiTheme="minorHAnsi" w:hAnsiTheme="minorHAnsi"/>
          <w:b/>
          <w:color w:val="000000" w:themeColor="text1"/>
          <w:lang w:bidi="hi-IN"/>
        </w:rPr>
      </w:pPr>
      <w:bookmarkStart w:id="235" w:name="_Toc22052538"/>
      <w:r w:rsidRPr="001E3029">
        <w:rPr>
          <w:rFonts w:asciiTheme="minorHAnsi" w:hAnsiTheme="minorHAnsi"/>
          <w:b/>
          <w:color w:val="000000" w:themeColor="text1"/>
          <w:lang w:bidi="hi-IN"/>
        </w:rPr>
        <w:lastRenderedPageBreak/>
        <w:t>Chapter 5 Introduction of TWIP and TRIP effect into RHEAs by metastable engineering</w:t>
      </w:r>
      <w:bookmarkEnd w:id="235"/>
      <w:r w:rsidRPr="001E3029">
        <w:rPr>
          <w:rFonts w:asciiTheme="minorHAnsi" w:hAnsiTheme="minorHAnsi"/>
          <w:b/>
          <w:color w:val="000000" w:themeColor="text1"/>
          <w:lang w:bidi="hi-IN"/>
        </w:rPr>
        <w:t xml:space="preserve"> </w:t>
      </w:r>
    </w:p>
    <w:p w14:paraId="7B2D9D0A" w14:textId="77777777" w:rsidR="00B145BE" w:rsidRPr="005F6FF5" w:rsidRDefault="00B145BE" w:rsidP="00B145BE">
      <w:pPr>
        <w:pStyle w:val="2"/>
        <w:spacing w:before="0" w:afterLines="60" w:after="144" w:line="360" w:lineRule="auto"/>
        <w:rPr>
          <w:rFonts w:asciiTheme="minorHAnsi" w:hAnsiTheme="minorHAnsi"/>
          <w:b/>
          <w:color w:val="000000" w:themeColor="text1"/>
          <w:sz w:val="32"/>
          <w:szCs w:val="32"/>
          <w:lang w:bidi="hi-IN"/>
        </w:rPr>
      </w:pPr>
      <w:bookmarkStart w:id="236" w:name="_Toc22052539"/>
      <w:r w:rsidRPr="001E3029">
        <w:rPr>
          <w:rFonts w:asciiTheme="minorHAnsi" w:hAnsiTheme="minorHAnsi"/>
          <w:b/>
          <w:color w:val="000000" w:themeColor="text1"/>
          <w:sz w:val="32"/>
          <w:szCs w:val="32"/>
          <w:lang w:bidi="hi-IN"/>
        </w:rPr>
        <w:t>5.1 Preface</w:t>
      </w:r>
      <w:bookmarkEnd w:id="236"/>
    </w:p>
    <w:p w14:paraId="1FEE8910" w14:textId="5D65465A" w:rsidR="00B145BE" w:rsidRPr="001C513B" w:rsidRDefault="00B145BE" w:rsidP="00B145BE">
      <w:pPr>
        <w:spacing w:afterLines="60" w:after="144" w:line="360" w:lineRule="auto"/>
        <w:jc w:val="both"/>
        <w:rPr>
          <w:rFonts w:ascii="Calibri" w:eastAsia="等线" w:hAnsi="Calibri" w:cs="Times New Roman"/>
        </w:rPr>
      </w:pPr>
      <w:r w:rsidRPr="001C513B">
        <w:rPr>
          <w:rFonts w:ascii="Calibri" w:eastAsia="等线" w:hAnsi="Calibri" w:cs="Times New Roman"/>
        </w:rPr>
        <w:t xml:space="preserve">In </w:t>
      </w:r>
      <w:r>
        <w:rPr>
          <w:rFonts w:ascii="Calibri" w:eastAsia="等线" w:hAnsi="Calibri" w:cs="Times New Roman"/>
        </w:rPr>
        <w:t>C</w:t>
      </w:r>
      <w:r w:rsidRPr="001C513B">
        <w:rPr>
          <w:rFonts w:ascii="Calibri" w:eastAsia="等线" w:hAnsi="Calibri" w:cs="Times New Roman"/>
        </w:rPr>
        <w:t>hapter</w:t>
      </w:r>
      <w:r>
        <w:rPr>
          <w:rFonts w:ascii="Calibri" w:eastAsia="等线" w:hAnsi="Calibri" w:cs="Times New Roman"/>
        </w:rPr>
        <w:t xml:space="preserve"> 4</w:t>
      </w:r>
      <w:r w:rsidRPr="001C513B">
        <w:rPr>
          <w:rFonts w:ascii="Calibri" w:eastAsia="等线" w:hAnsi="Calibri" w:cs="Times New Roman"/>
        </w:rPr>
        <w:t xml:space="preserve">, </w:t>
      </w:r>
      <w:r>
        <w:rPr>
          <w:rFonts w:ascii="Calibri" w:eastAsia="等线" w:hAnsi="Calibri" w:cs="Times New Roman"/>
        </w:rPr>
        <w:t xml:space="preserve">the </w:t>
      </w:r>
      <w:r w:rsidRPr="001C513B">
        <w:rPr>
          <w:rFonts w:ascii="Calibri" w:eastAsia="等线" w:hAnsi="Calibri" w:cs="Times New Roman"/>
        </w:rPr>
        <w:t>method</w:t>
      </w:r>
      <w:r>
        <w:rPr>
          <w:rFonts w:ascii="Calibri" w:eastAsia="等线" w:hAnsi="Calibri" w:cs="Times New Roman"/>
        </w:rPr>
        <w:t xml:space="preserve"> of screening HEAs</w:t>
      </w:r>
      <w:r w:rsidRPr="001C513B">
        <w:rPr>
          <w:rFonts w:ascii="Calibri" w:eastAsia="等线" w:hAnsi="Calibri" w:cs="Times New Roman"/>
        </w:rPr>
        <w:t xml:space="preserve"> based on </w:t>
      </w:r>
      <w:r w:rsidR="00C53823">
        <w:rPr>
          <w:rFonts w:ascii="Calibri" w:eastAsia="等线" w:hAnsi="Calibri" w:cs="Times New Roman"/>
        </w:rPr>
        <w:t xml:space="preserve">the </w:t>
      </w:r>
      <w:r w:rsidRPr="001C513B">
        <w:rPr>
          <w:rFonts w:ascii="Calibri" w:eastAsia="等线" w:hAnsi="Calibri" w:cs="Times New Roman"/>
        </w:rPr>
        <w:t>semi-empirical parameter</w:t>
      </w:r>
      <w:r>
        <w:rPr>
          <w:rFonts w:ascii="Calibri" w:eastAsia="等线" w:hAnsi="Calibri" w:cs="Times New Roman"/>
        </w:rPr>
        <w:t>s</w:t>
      </w:r>
      <w:r w:rsidRPr="001C513B">
        <w:rPr>
          <w:rFonts w:ascii="Calibri" w:eastAsia="等线" w:hAnsi="Calibri" w:cs="Times New Roman"/>
        </w:rPr>
        <w:t xml:space="preserve"> </w:t>
      </w:r>
      <m:oMath>
        <m:sSub>
          <m:sSubPr>
            <m:ctrlPr>
              <w:rPr>
                <w:rFonts w:ascii="Cambria Math" w:eastAsia="等线" w:hAnsi="Cambria Math" w:cs="Times New Roman"/>
                <w:i/>
              </w:rPr>
            </m:ctrlPr>
          </m:sSubPr>
          <m:e>
            <m:r>
              <w:rPr>
                <w:rFonts w:ascii="Cambria Math" w:eastAsia="等线" w:hAnsi="Cambria Math" w:cs="Times New Roman"/>
              </w:rPr>
              <m:t>σ</m:t>
            </m:r>
          </m:e>
          <m:sub>
            <m:r>
              <m:rPr>
                <m:sty m:val="p"/>
              </m:rPr>
              <w:rPr>
                <w:rFonts w:ascii="Cambria Math" w:eastAsia="等线" w:hAnsi="Cambria Math" w:cs="Times New Roman"/>
              </w:rPr>
              <m:t>∆</m:t>
            </m:r>
            <m:sSub>
              <m:sSubPr>
                <m:ctrlPr>
                  <w:rPr>
                    <w:rFonts w:ascii="Cambria Math" w:eastAsia="等线" w:hAnsi="Cambria Math" w:cs="Times New Roman"/>
                  </w:rPr>
                </m:ctrlPr>
              </m:sSubPr>
              <m:e>
                <m:r>
                  <w:rPr>
                    <w:rFonts w:ascii="Cambria Math" w:eastAsia="等线" w:hAnsi="Cambria Math" w:cs="Times New Roman"/>
                  </w:rPr>
                  <m:t>H</m:t>
                </m:r>
              </m:e>
              <m:sub>
                <m:r>
                  <w:rPr>
                    <w:rFonts w:ascii="Cambria Math" w:eastAsia="等线" w:hAnsi="Cambria Math" w:cs="Times New Roman"/>
                  </w:rPr>
                  <m:t>mixing</m:t>
                </m:r>
              </m:sub>
            </m:sSub>
          </m:sub>
        </m:sSub>
      </m:oMath>
      <w:r>
        <w:rPr>
          <w:rFonts w:ascii="Calibri" w:eastAsia="等线" w:hAnsi="Calibri" w:cs="Times New Roman"/>
        </w:rPr>
        <w:t>,</w:t>
      </w:r>
      <w:r w:rsidRPr="001C513B">
        <w:rPr>
          <w:rFonts w:ascii="Calibri" w:eastAsia="等线" w:hAnsi="Calibri" w:cs="Times New Roman"/>
        </w:rPr>
        <w:t xml:space="preserve"> </w:t>
      </w:r>
      <m:oMath>
        <m:sSub>
          <m:sSubPr>
            <m:ctrlPr>
              <w:rPr>
                <w:rFonts w:ascii="Cambria Math" w:eastAsia="等线" w:hAnsi="Cambria Math" w:cs="Times New Roman"/>
                <w:i/>
              </w:rPr>
            </m:ctrlPr>
          </m:sSubPr>
          <m:e>
            <m:r>
              <w:rPr>
                <w:rFonts w:ascii="Cambria Math" w:eastAsia="等线" w:hAnsi="Cambria Math" w:cs="Times New Roman"/>
              </w:rPr>
              <m:t>σ</m:t>
            </m:r>
          </m:e>
          <m:sub>
            <m:r>
              <m:rPr>
                <m:sty m:val="p"/>
              </m:rPr>
              <w:rPr>
                <w:rFonts w:ascii="Cambria Math" w:eastAsia="等线" w:hAnsi="Cambria Math" w:cs="Times New Roman"/>
              </w:rPr>
              <m:t>∆</m:t>
            </m:r>
            <m:sSub>
              <m:sSubPr>
                <m:ctrlPr>
                  <w:rPr>
                    <w:rFonts w:ascii="Cambria Math" w:eastAsia="等线" w:hAnsi="Cambria Math" w:cs="Times New Roman"/>
                  </w:rPr>
                </m:ctrlPr>
              </m:sSubPr>
              <m:e>
                <m:r>
                  <w:rPr>
                    <w:rFonts w:ascii="Cambria Math" w:eastAsia="等线" w:hAnsi="Cambria Math" w:cs="Times New Roman"/>
                  </w:rPr>
                  <m:t>H</m:t>
                </m:r>
              </m:e>
              <m:sub>
                <m:r>
                  <w:rPr>
                    <w:rFonts w:ascii="Cambria Math" w:eastAsia="等线" w:hAnsi="Cambria Math" w:cs="Times New Roman"/>
                  </w:rPr>
                  <m:t>formation</m:t>
                </m:r>
              </m:sub>
            </m:sSub>
          </m:sub>
        </m:sSub>
      </m:oMath>
      <w:r w:rsidRPr="001C513B">
        <w:rPr>
          <w:rFonts w:ascii="Calibri" w:eastAsia="等线" w:hAnsi="Calibri" w:cs="Times New Roman"/>
        </w:rPr>
        <w:t xml:space="preserve"> and </w:t>
      </w:r>
      <w:r w:rsidRPr="00E679EC">
        <w:rPr>
          <w:rFonts w:ascii="Calibri" w:eastAsia="等线" w:hAnsi="Calibri" w:cs="Times New Roman"/>
          <w:i/>
          <w:iCs/>
        </w:rPr>
        <w:t>VEC</w:t>
      </w:r>
      <w:r>
        <w:rPr>
          <w:rFonts w:ascii="Calibri" w:eastAsia="等线" w:hAnsi="Calibri" w:cs="Times New Roman"/>
        </w:rPr>
        <w:t xml:space="preserve"> was used</w:t>
      </w:r>
      <w:r w:rsidRPr="001C513B">
        <w:rPr>
          <w:rFonts w:ascii="Calibri" w:eastAsia="等线" w:hAnsi="Calibri" w:cs="Times New Roman"/>
        </w:rPr>
        <w:t xml:space="preserve">. </w:t>
      </w:r>
      <w:r>
        <w:rPr>
          <w:rFonts w:ascii="Calibri" w:eastAsia="等线" w:hAnsi="Calibri" w:cs="Times New Roman"/>
        </w:rPr>
        <w:t>Accordingly, t</w:t>
      </w:r>
      <w:r w:rsidRPr="001C513B">
        <w:rPr>
          <w:rFonts w:ascii="Calibri" w:eastAsia="等线" w:hAnsi="Calibri" w:cs="Times New Roman"/>
        </w:rPr>
        <w:t xml:space="preserve">wo simple phase BCC quaternary </w:t>
      </w:r>
      <w:r>
        <w:rPr>
          <w:rFonts w:ascii="Calibri" w:eastAsia="等线" w:hAnsi="Calibri" w:cs="Times New Roman"/>
        </w:rPr>
        <w:t xml:space="preserve">RHEAs, </w:t>
      </w:r>
      <w:r w:rsidRPr="001C513B">
        <w:rPr>
          <w:rFonts w:ascii="Calibri" w:eastAsia="等线" w:hAnsi="Calibri" w:cs="Times New Roman"/>
        </w:rPr>
        <w:t>TiZrNbTa and TiZrHfTa</w:t>
      </w:r>
      <w:r>
        <w:rPr>
          <w:rFonts w:ascii="Calibri" w:eastAsia="等线" w:hAnsi="Calibri" w:cs="Times New Roman"/>
        </w:rPr>
        <w:t>, were developed. These materials were shown to</w:t>
      </w:r>
      <w:r w:rsidRPr="001C513B">
        <w:rPr>
          <w:rFonts w:ascii="Calibri" w:eastAsia="等线" w:hAnsi="Calibri" w:cs="Times New Roman"/>
        </w:rPr>
        <w:t xml:space="preserve"> exhibit </w:t>
      </w:r>
      <w:r>
        <w:rPr>
          <w:rFonts w:ascii="Calibri" w:eastAsia="等线" w:hAnsi="Calibri" w:cs="Times New Roman"/>
        </w:rPr>
        <w:t xml:space="preserve">good levels of ductility under compressive loading with </w:t>
      </w:r>
      <w:r w:rsidRPr="001C513B">
        <w:rPr>
          <w:rFonts w:ascii="Calibri" w:eastAsia="等线" w:hAnsi="Calibri" w:cs="Times New Roman"/>
        </w:rPr>
        <w:t>over 40% and 20% strain</w:t>
      </w:r>
      <w:r>
        <w:rPr>
          <w:rFonts w:ascii="Calibri" w:eastAsia="等线" w:hAnsi="Calibri" w:cs="Times New Roman"/>
        </w:rPr>
        <w:t xml:space="preserve"> achieved for </w:t>
      </w:r>
      <w:r w:rsidRPr="001C513B">
        <w:rPr>
          <w:rFonts w:ascii="Calibri" w:eastAsia="等线" w:hAnsi="Calibri" w:cs="Times New Roman"/>
        </w:rPr>
        <w:t>TiZrNbTa and TiZrHfTa</w:t>
      </w:r>
      <w:r>
        <w:rPr>
          <w:rFonts w:ascii="Calibri" w:eastAsia="等线" w:hAnsi="Calibri" w:cs="Times New Roman"/>
        </w:rPr>
        <w:t>,</w:t>
      </w:r>
      <w:r w:rsidRPr="001C513B">
        <w:rPr>
          <w:rFonts w:ascii="Calibri" w:eastAsia="等线" w:hAnsi="Calibri" w:cs="Times New Roman"/>
        </w:rPr>
        <w:t xml:space="preserve"> respectively. However, </w:t>
      </w:r>
      <w:r>
        <w:rPr>
          <w:rFonts w:ascii="Calibri" w:eastAsia="等线" w:hAnsi="Calibri" w:cs="Times New Roman"/>
        </w:rPr>
        <w:t>as observed for</w:t>
      </w:r>
      <w:r w:rsidRPr="001C513B">
        <w:rPr>
          <w:rFonts w:ascii="Calibri" w:eastAsia="等线" w:hAnsi="Calibri" w:cs="Times New Roman"/>
        </w:rPr>
        <w:t xml:space="preserve"> most ductile RHEAs, </w:t>
      </w:r>
      <w:r>
        <w:rPr>
          <w:rFonts w:ascii="Calibri" w:eastAsia="等线" w:hAnsi="Calibri" w:cs="Times New Roman"/>
        </w:rPr>
        <w:t xml:space="preserve">the </w:t>
      </w:r>
      <w:r w:rsidRPr="001C513B">
        <w:rPr>
          <w:rFonts w:ascii="Calibri" w:eastAsia="等线" w:hAnsi="Calibri" w:cs="Times New Roman"/>
        </w:rPr>
        <w:t xml:space="preserve">outstanding mechanical performance exhibited during compression </w:t>
      </w:r>
      <w:r>
        <w:rPr>
          <w:rFonts w:ascii="Calibri" w:eastAsia="等线" w:hAnsi="Calibri" w:cs="Times New Roman"/>
        </w:rPr>
        <w:t>loading was not shown in tensile loading for</w:t>
      </w:r>
      <w:r w:rsidRPr="001C513B">
        <w:rPr>
          <w:rFonts w:ascii="Calibri" w:eastAsia="等线" w:hAnsi="Calibri" w:cs="Times New Roman"/>
        </w:rPr>
        <w:t xml:space="preserve"> both of TiZrHfTa and TiZrNbTa</w:t>
      </w:r>
      <w:r>
        <w:rPr>
          <w:rFonts w:ascii="Calibri" w:eastAsia="等线" w:hAnsi="Calibri" w:cs="Times New Roman"/>
        </w:rPr>
        <w:t xml:space="preserve"> </w:t>
      </w:r>
      <w:r w:rsidRPr="001C513B">
        <w:rPr>
          <w:rFonts w:ascii="Calibri" w:eastAsia="等线" w:hAnsi="Calibri" w:cs="Times New Roman"/>
        </w:rPr>
        <w:fldChar w:fldCharType="begin" w:fldLock="1"/>
      </w:r>
      <w:r>
        <w:rPr>
          <w:rFonts w:ascii="Calibri" w:eastAsia="等线" w:hAnsi="Calibri" w:cs="Times New Roman"/>
        </w:rPr>
        <w:instrText>ADDIN CSL_CITATION {"citationItems":[{"id":"ITEM-1","itemData":{"DOI":"10.1002/adma.201701678","ISBN":"1521-4095","ISSN":"15214095","PMID":"28590527","abstract":"High-entropy alloys (HEAs) in which interesting physical, chemical, and structural properties are being continuously revealed have recently attracted extensive attention. Body-centered cubic (bcc) HEAs, particularly those based on refractory elements are promising for high-temperature application but generally fail by early cracking with limited plasticity at room temperature, which limits their malleability and widespread uses. Here, the “metastability-engineering” strategy is exploited in brittle bcc HEAs via tailoring the stability of the constituent phases, and transformation-induced ductility and work-hardening capability are successfully achieved. This not only sheds new insights on the development of HEAs with excellent combination of strength and ductility, but also has great implications on overcoming the long-standing strength–ductility tradeoff of metallic materials in general.","author":[{"dropping-particle":"","family":"Huang","given":"Hailong","non-dropping-particle":"","parse-names":false,"suffix":""},{"dropping-particle":"","family":"Wu","given":"Yuan","non-dropping-particle":"","parse-names":false,"suffix":""},{"dropping-particle":"","family":"He","given":"Junyang","non-dropping-particle":"","parse-names":false,"suffix":""},{"dropping-particle":"","family":"Wang","given":"Hui","non-dropping-particle":"","parse-names":false,"suffix":""},{"dropping-particle":"","family":"Liu","given":"Xiongjun","non-dropping-particle":"","parse-names":false,"suffix":""},{"dropping-particle":"","family":"An","given":"Ke","non-dropping-particle":"","parse-names":false,"suffix":""},{"dropping-particle":"","family":"Wu","given":"Wei","non-dropping-particle":"","parse-names":false,"suffix":""},{"dropping-particle":"","family":"Lu","given":"Zhaoping","non-dropping-particle":"","parse-names":false,"suffix":""}],"container-title":"Advanced Materials","id":"ITEM-1","issued":{"date-parts":[["2017"]]},"title":"Phase-Transformation Ductilization of Brittle High-Entropy Alloys via Metastability Engineering","type":"article-journal"},"uris":["http://www.mendeley.com/documents/?uuid=a70db21f-f0c1-4d7a-8de8-59b660f6fd83"]},{"id":"ITEM-2","itemData":{"DOI":"10.1016/j.intermet.2018.01.017","ISSN":"09669795","PMID":"20223479","abstract":"In this work, the evolution of microstructure and fundamental mechanical properties with Mo concentration in the arc-melted (TiZrNb</w:instrText>
      </w:r>
      <w:r>
        <w:rPr>
          <w:rFonts w:ascii="Calibri" w:eastAsia="等线" w:hAnsi="Calibri" w:cs="Times New Roman" w:hint="eastAsia"/>
        </w:rPr>
        <w:instrText xml:space="preserve">Ta)100-xMox (0 </w:instrText>
      </w:r>
      <w:r>
        <w:rPr>
          <w:rFonts w:ascii="Calibri" w:eastAsia="等线" w:hAnsi="Calibri" w:cs="Times New Roman" w:hint="eastAsia"/>
        </w:rPr>
        <w:instrText>≤</w:instrText>
      </w:r>
      <w:r>
        <w:rPr>
          <w:rFonts w:ascii="Calibri" w:eastAsia="等线" w:hAnsi="Calibri" w:cs="Times New Roman" w:hint="eastAsia"/>
        </w:rPr>
        <w:instrText xml:space="preserve"> x </w:instrText>
      </w:r>
      <w:r>
        <w:rPr>
          <w:rFonts w:ascii="Calibri" w:eastAsia="等线" w:hAnsi="Calibri" w:cs="Times New Roman" w:hint="eastAsia"/>
        </w:rPr>
        <w:instrText>≤</w:instrText>
      </w:r>
      <w:r>
        <w:rPr>
          <w:rFonts w:ascii="Calibri" w:eastAsia="等线" w:hAnsi="Calibri" w:cs="Times New Roman" w:hint="eastAsia"/>
        </w:rPr>
        <w:instrText xml:space="preserve"> 20) high-entropy alloys (HEAs) are investigated. The arc-melted (TiZrNbTa)100-xMox alloys structurally consist of two bcc phases. The change in volume fractions of two phases in the microstructure is insignificant with Mo concentratio</w:instrText>
      </w:r>
      <w:r>
        <w:rPr>
          <w:rFonts w:ascii="Calibri" w:eastAsia="等线" w:hAnsi="Calibri" w:cs="Times New Roman"/>
        </w:rPr>
        <w:instrText xml:space="preserve">n, at levels of </w:instrText>
      </w:r>
      <w:r>
        <w:rPr>
          <w:rFonts w:ascii="Cambria Math" w:eastAsia="等线" w:hAnsi="Cambria Math" w:cs="Cambria Math"/>
        </w:rPr>
        <w:instrText>∼</w:instrText>
      </w:r>
      <w:r>
        <w:rPr>
          <w:rFonts w:ascii="Calibri" w:eastAsia="等线" w:hAnsi="Calibri" w:cs="Times New Roman"/>
        </w:rPr>
        <w:instrText xml:space="preserve">75% for bcc1 and </w:instrText>
      </w:r>
      <w:r>
        <w:rPr>
          <w:rFonts w:ascii="Cambria Math" w:eastAsia="等线" w:hAnsi="Cambria Math" w:cs="Cambria Math"/>
        </w:rPr>
        <w:instrText>∼</w:instrText>
      </w:r>
      <w:r>
        <w:rPr>
          <w:rFonts w:ascii="Calibri" w:eastAsia="等线" w:hAnsi="Calibri" w:cs="Times New Roman"/>
        </w:rPr>
        <w:instrText>25% for bcc2. The increases in microhardness and Young's modulus of the alloys linearly scale with Mo concentration. To compromise the strength and ductility, the (TiZrNbTa)90Mo10 exhibits an optimal combination of stiff</w:instrText>
      </w:r>
      <w:r>
        <w:rPr>
          <w:rFonts w:ascii="Calibri" w:eastAsia="等线" w:hAnsi="Calibri" w:cs="Times New Roman" w:hint="eastAsia"/>
        </w:rPr>
        <w:instrText>ness (E = 137 GPa), compressive yield strength (</w:instrText>
      </w:r>
      <w:r>
        <w:rPr>
          <w:rFonts w:ascii="Calibri" w:eastAsia="等线" w:hAnsi="Calibri" w:cs="Times New Roman" w:hint="eastAsia"/>
        </w:rPr>
        <w:instrText>σ</w:instrText>
      </w:r>
      <w:r>
        <w:rPr>
          <w:rFonts w:ascii="Calibri" w:eastAsia="等线" w:hAnsi="Calibri" w:cs="Times New Roman" w:hint="eastAsia"/>
        </w:rPr>
        <w:instrText>y = 1370 MPa) and deformability (</w:instrText>
      </w:r>
      <w:r>
        <w:rPr>
          <w:rFonts w:ascii="Calibri" w:eastAsia="等线" w:hAnsi="Calibri" w:cs="Times New Roman" w:hint="eastAsia"/>
        </w:rPr>
        <w:instrText>ε</w:instrText>
      </w:r>
      <w:r>
        <w:rPr>
          <w:rFonts w:ascii="Calibri" w:eastAsia="等线" w:hAnsi="Calibri" w:cs="Times New Roman" w:hint="eastAsia"/>
        </w:rPr>
        <w:instrText xml:space="preserve">p </w:instrText>
      </w:r>
      <w:r>
        <w:rPr>
          <w:rFonts w:ascii="Calibri" w:eastAsia="等线" w:hAnsi="Calibri" w:cs="Times New Roman" w:hint="eastAsia"/>
        </w:rPr>
        <w:instrText>≈</w:instrText>
      </w:r>
      <w:r>
        <w:rPr>
          <w:rFonts w:ascii="Calibri" w:eastAsia="等线" w:hAnsi="Calibri" w:cs="Times New Roman" w:hint="eastAsia"/>
        </w:rPr>
        <w:instrText xml:space="preserve"> 25%). In addition, it is indicated that dislocation widths in bcc lattice of refractory HEAs are insensitive to the alloying complexity, reflecting that the Peierls bar</w:instrText>
      </w:r>
      <w:r>
        <w:rPr>
          <w:rFonts w:ascii="Calibri" w:eastAsia="等线" w:hAnsi="Calibri" w:cs="Times New Roman"/>
        </w:rPr>
        <w:instrText>rier is excluded as a predominant factor of strengthening. Furthermore, a simple model is proposed to reveal the solid solution hardening (SSH) in bcc refractory HEAs, in which the solid solutions are treated as an imposition of distortion-free and distorted lattices. By applying this model to archived refractory HEAs, the predicted yield strength agrees well with experimentally measured values. It provides a simple empirical tool used for predicting the strength of bcc refractory HEAs and to assist new alloy design.","author":[{"dropping-particle":"","family":"Wang","given":"Shao Ping","non-dropping-particle":"","parse-names":false,"suffix":""},{"dropping-particle":"","family":"Xu","given":"Jian","non-dropping-particle":"","parse-names":false,"suffix":""}],"container-title":"Intermetallics","id":"ITEM-2","issued":{"date-parts":[["2018"]]},"title":"(TiZrNbTa)-Mo high-entropy alloys: Dependence of microstructure and mechanical properties on Mo concentration and modeling of solid solution strengthening","type":"article-journal"},"uris":["http://www.mendeley.com/documents/?uuid=b62a5a1f-5e26-4113-bbf4-b25779d04459"]}],"mendeley":{"formattedCitation":"[1,2]","plainTextFormattedCitation":"[1,2]","previouslyFormattedCitation":"[1,2]"},"properties":{"noteIndex":0},"schema":"https://github.com/citation-style-language/schema/raw/master/csl-citation.json"}</w:instrText>
      </w:r>
      <w:r w:rsidRPr="001C513B">
        <w:rPr>
          <w:rFonts w:ascii="Calibri" w:eastAsia="等线" w:hAnsi="Calibri" w:cs="Times New Roman"/>
        </w:rPr>
        <w:fldChar w:fldCharType="separate"/>
      </w:r>
      <w:r w:rsidRPr="001C513B">
        <w:rPr>
          <w:rFonts w:ascii="Calibri" w:eastAsia="等线" w:hAnsi="Calibri" w:cs="Times New Roman"/>
          <w:noProof/>
        </w:rPr>
        <w:t>[1,2]</w:t>
      </w:r>
      <w:r w:rsidRPr="001C513B">
        <w:rPr>
          <w:rFonts w:ascii="Calibri" w:eastAsia="等线" w:hAnsi="Calibri" w:cs="Times New Roman"/>
        </w:rPr>
        <w:fldChar w:fldCharType="end"/>
      </w:r>
      <w:r w:rsidRPr="001C513B">
        <w:rPr>
          <w:rFonts w:ascii="Calibri" w:eastAsia="等线" w:hAnsi="Calibri" w:cs="Times New Roman"/>
        </w:rPr>
        <w:t xml:space="preserve">. This </w:t>
      </w:r>
      <w:r>
        <w:rPr>
          <w:rFonts w:ascii="Calibri" w:eastAsia="等线" w:hAnsi="Calibri" w:cs="Times New Roman"/>
        </w:rPr>
        <w:t>was</w:t>
      </w:r>
      <w:r w:rsidRPr="001C513B">
        <w:rPr>
          <w:rFonts w:ascii="Calibri" w:eastAsia="等线" w:hAnsi="Calibri" w:cs="Times New Roman"/>
        </w:rPr>
        <w:t xml:space="preserve"> attributed to a</w:t>
      </w:r>
      <w:r>
        <w:rPr>
          <w:rFonts w:ascii="Calibri" w:eastAsia="等线" w:hAnsi="Calibri" w:cs="Times New Roman"/>
        </w:rPr>
        <w:t>n inherent</w:t>
      </w:r>
      <w:r w:rsidRPr="001C513B">
        <w:rPr>
          <w:rFonts w:ascii="Calibri" w:eastAsia="等线" w:hAnsi="Calibri" w:cs="Times New Roman"/>
        </w:rPr>
        <w:t xml:space="preserve"> lack of </w:t>
      </w:r>
      <w:r>
        <w:rPr>
          <w:rFonts w:ascii="Calibri" w:eastAsia="等线" w:hAnsi="Calibri" w:cs="Times New Roman"/>
        </w:rPr>
        <w:t>strain (</w:t>
      </w:r>
      <w:r w:rsidRPr="001C513B">
        <w:rPr>
          <w:rFonts w:ascii="Calibri" w:eastAsia="等线" w:hAnsi="Calibri" w:cs="Times New Roman"/>
        </w:rPr>
        <w:t>work</w:t>
      </w:r>
      <w:r>
        <w:rPr>
          <w:rFonts w:ascii="Calibri" w:eastAsia="等线" w:hAnsi="Calibri" w:cs="Times New Roman"/>
        </w:rPr>
        <w:t>)</w:t>
      </w:r>
      <w:r w:rsidRPr="001C513B">
        <w:rPr>
          <w:rFonts w:ascii="Calibri" w:eastAsia="等线" w:hAnsi="Calibri" w:cs="Times New Roman"/>
        </w:rPr>
        <w:t xml:space="preserve"> hardening</w:t>
      </w:r>
      <w:r>
        <w:rPr>
          <w:rFonts w:ascii="Calibri" w:eastAsia="等线" w:hAnsi="Calibri" w:cs="Times New Roman"/>
        </w:rPr>
        <w:t>,</w:t>
      </w:r>
      <w:r w:rsidRPr="001C513B">
        <w:rPr>
          <w:rFonts w:ascii="Calibri" w:eastAsia="等线" w:hAnsi="Calibri" w:cs="Times New Roman"/>
        </w:rPr>
        <w:t xml:space="preserve"> </w:t>
      </w:r>
      <w:r>
        <w:rPr>
          <w:rFonts w:ascii="Calibri" w:eastAsia="等线" w:hAnsi="Calibri" w:cs="Times New Roman"/>
        </w:rPr>
        <w:t xml:space="preserve">attributed to the </w:t>
      </w:r>
      <w:r w:rsidRPr="001C513B">
        <w:rPr>
          <w:rFonts w:ascii="Calibri" w:eastAsia="等线" w:hAnsi="Calibri" w:cs="Times New Roman"/>
        </w:rPr>
        <w:t>tension-compress</w:t>
      </w:r>
      <w:r w:rsidR="00C53823">
        <w:rPr>
          <w:rFonts w:ascii="Calibri" w:eastAsia="等线" w:hAnsi="Calibri" w:cs="Times New Roman"/>
        </w:rPr>
        <w:t>ion</w:t>
      </w:r>
      <w:r w:rsidRPr="001C513B">
        <w:rPr>
          <w:rFonts w:ascii="Calibri" w:eastAsia="等线" w:hAnsi="Calibri" w:cs="Times New Roman"/>
        </w:rPr>
        <w:t xml:space="preserve">-asymmetry phenomenon </w:t>
      </w:r>
      <w:r>
        <w:rPr>
          <w:rFonts w:ascii="Calibri" w:eastAsia="等线" w:hAnsi="Calibri" w:cs="Times New Roman"/>
        </w:rPr>
        <w:t>found</w:t>
      </w:r>
      <w:r w:rsidRPr="001C513B">
        <w:rPr>
          <w:rFonts w:ascii="Calibri" w:eastAsia="等线" w:hAnsi="Calibri" w:cs="Times New Roman"/>
        </w:rPr>
        <w:t xml:space="preserve"> in many metallic materials</w:t>
      </w:r>
      <w:r>
        <w:rPr>
          <w:rFonts w:ascii="Calibri" w:eastAsia="等线" w:hAnsi="Calibri" w:cs="Times New Roman"/>
        </w:rPr>
        <w:t xml:space="preserve"> </w:t>
      </w:r>
      <w:r w:rsidRPr="001C513B">
        <w:rPr>
          <w:rFonts w:ascii="Calibri" w:eastAsia="等线" w:hAnsi="Calibri" w:cs="Times New Roman"/>
        </w:rPr>
        <w:fldChar w:fldCharType="begin" w:fldLock="1"/>
      </w:r>
      <w:r>
        <w:rPr>
          <w:rFonts w:ascii="Calibri" w:eastAsia="等线" w:hAnsi="Calibri" w:cs="Times New Roman"/>
        </w:rPr>
        <w:instrText>ADDIN CSL_CITATION {"citationItems":[{"id":"ITEM-1","itemData":{"DOI":"10.1038/nmat797","ISBN":"1476-1122 (Print)\\r1476-1122 (Linking)","ISSN":"14761122","PMID":"12652661","abstract":"Nanocrystalline alloys with grain sizes less than 100 nanometres are very strong, but tend to fail rapidly during plastic deformation. A new composite alloy with an unusual microstructure is able to achieve high plasticity by controlling the instabilities responsible for early failure.\\nOne exciting benefit of reducing grain sizes in a material to the nanoscale is a tremendous gain in mechanical strength. Indeed, many nanocrystalline alloys produced in recent years have strengths up to an order of magnitude higher than their coarse-grained counterparts.","author":[{"dropping-particle":"","family":"Ma","given":"En","non-dropping-particle":"","parse-names":false,"suffix":""}],"container-title":"Nature Materials","id":"ITEM-1","issued":{"date-parts":[["2003"]]},"title":"Nanocrystalline materials: Controlling plastic instability","type":"article"},"uris":["http://www.mendeley.com/documents/?uuid=77e61adf-2d1c-4eb1-aa31-255c80629cd7","http://www.mendeley.com/documents/?uuid=1085299c-7480-474e-82fd-e708599b0ea9"]},{"id":"ITEM-2","itemData":{"DOI":"10.1007/BF02825707","ISBN":"0360-2133","ISSN":"0360-2133","abstract":"The effect of plastic deformation mode on tensile properties of quenched commercial/3-phase titanium alloys has been investigated at approximately constant grain size and oxygen content. In addition, stability of/3-phase has been estimated from w-reflections or diffuse streaking in electron diffraction patterns in a manner similar to the previous works on binary/3-phase titanium alloys. Dominant mode of plastic deformation is {332} (113) twinning in the alloys with large instability of/3-phase, such as Ti-11.5Mo-6Zr-4.5Sn and Ti-15Mo-5Zr, and is crystallographic slip in the alloys with small instability of/3-phase, such as Ti-15Mo-5Zr-3A1, Ti-3A1-8V-6Cr-4Mo-4Zr, Ti-15V-3Cr-3A1-3Sn, Ti-8Mo-8V-2Fe-3A1, and Ti-13V-11Cr-3A1, Twinning leads to low yield strength and large elongation, while slip results in high yield strength and small elongation in agreement with binary and ternary/3-phase titanium alloys.","author":[{"dropping-particle":"","family":"Hanada","given":"S.","non-dropping-particle":"","parse-names":false,"suffix":""},{"dropping-particle":"","family":"Izumi","given":"O.","non-dropping-particle":"","parse-names":false,"suffix":""}],"container-title":"Metallurgical Transactions A","id":"ITEM-2","issued":{"date-parts":[["1987"]]},"title":"Correlation of tensile properties, deformation modes, and phase stability in commercial β-phase titanium alloys","type":"article-journal"},"uris":["http://www.mendeley.com/documents/?uuid=a20cf19b-b0bd-49dd-a582-da820f834e68"]},{"id":"ITEM-3","itemData":{"DOI":"10.1063/1.2037192","ISBN":"0003-6951","ISSN":"00036951","PMID":"12702870","abstract":"Here we report a non-toxic beta-type titanium alloy exhibiting unstable elastic and plastic deformation behavior. Elastic instability leads to remarkable elastic softening, i.e., the decrease of incipient Young's modulus with slight pre-straining. In spite of partial recovery during room-temperature aging, a stable modulus of 33 GPa matching that of human bone can be maintained. Plastic instability causes highly-localized deformation which is very effective in grain refinement but contributes little to strength. We thus obtain soft nanostructured metallic materials (NMMs): The flow stress increases by only similar to 5.5% as coarse grains are reduced to below 50 nm, in contrast with several times increase for previously-reported NMMs.","author":[{"dropping-particle":"","family":"Hao","given":"Y. L.","non-dropping-particle":"","parse-names":false,"suffix":""},{"dropping-particle":"","family":"Li","given":"S. J.","non-dropping-particle":"","parse-names":false,"suffix":""},{"dropping-particle":"","family":"Sun","given":"S. Y.","non-dropping-particle":"","parse-names":false,"suffix":""},{"dropping-particle":"","family":"Zheng","given":"C. Y.","non-dropping-particle":"","parse-names":false,"suffix":""},{"dropping-particle":"","family":"Hu","given":"Q. M.","non-dropping-particle":"","parse-names":false,"suffix":""},{"dropping-particle":"","family":"Yang","given":"R.","non-dropping-particle":"","parse-names":false,"suffix":""}],"container-title":"Applied Physics Letters","id":"ITEM-3","issued":{"date-parts":[["2005"]]},"title":"Super-elastic titanium alloy with unstable plastic deformation","type":"article-journal"},"uris":["http://www.mendeley.com/documents/?uuid=b113e0b0-af03-4ffb-ac00-4f00161269a6","http://www.mendeley.com/documents/?uuid=f7c7d6f1-3199-47f4-86d6-d6dfdcea2cbe"]},{"id":"ITEM-4","itemData":{"DOI":"10.1016/1359-6454(96)00012-2","ISBN":"1359-6454","ISSN":"13596454","abstract":"The plastic flow behaviour of a β-titanium alloy (Ti-15% Mo) was investigated over a wide range of temperatures and strain rates covering those conditions where the ω-phase forms dynamically. Portevin-Le Chatelier (PLC) effect was observed in this alloy at temperatures between 575 and 775 K at a strain rate of 1.31 × 10-4 s-1. The serra ted flow behaviour of this alloy could be suppressed by rendering the matrix β-phase more stable against the β to ω transformation. PLC bands formed in this alloy, studied at different levels of magnification using light, scanning electron and transmission electron microscopy, showed a high density of deformation bands within the macroscopic PLC band. The following mechanism of serrated flow is proposed: the load drop is ascribed to the sudden flow associated with the formation of deformation bands within which ω-particles were destroyed while the subsequent load rise results from pinning of dislocations by ω-particles forming dynamically.Copyright © 1996 Acta Metallurgica Inc.","author":[{"dropping-particle":"","family":"Banerjee","given":"S.","non-dropping-particle":"","parse-names":false,"suffix":""},{"dropping-particle":"","family":"Naik","given":"U. M.","non-dropping-particle":"","parse-names":false,"suffix":""}],"container-title":"Acta Materialia","id":"ITEM-4","issued":{"date-parts":[["1996"]]},"title":"Plastic instability in an omega forming Ti-15% Mo alloy","type":"article-journal"},"uris":["http://www.mendeley.com/documents/?uuid=fadafe1b-3582-4cb9-9064-ac1d7bd246c0","http://www.mendeley.com/documents/?uuid=7c9c3024-9fcd-4252-804a-e2f2cc92c0ec"]},{"id":"ITEM-5","itemData":{"DOI":"10.1016/j.msea.2004.06.055","ISBN":"0921-5093","ISSN":"09215093","PMID":"8083743","abstract":"Equal channel angular pressing (ECAP) technique, which involves a simple large shear deformation during passage through two intersecting channels, was applied to the AZ31 Mg alloy to make an ultrafine-grained microstructure. ECAP temperature was controlled to decrease with pass number to maximize the grain refinement efficiency with preventing cracking. The first and second pressings were conducted at 593 K, while the third and fourth pressings were conducted at 523 and 473 K, respectively. The degree of grain refinement and homogeneity of grain-size distribution increased with pass number. After four passes, the reasonably homogeneous microstructure composed of fine and equiaxed grains was obtained. The stability of the ECAPed structure at elevated temperatures was examined by annealing the four-passed materials over a wide range of temperature between 473 and 773 K. Measurement of activation energies for static grain growth shows the presence of three different values depending on the temperature range investigated: Q = 0.78Qgb(activation for grain boundary diffusion) in the low temperature range 473-523 K, Q = 0.27Qgbin the intermediate temperature range 523-673 K and Q = 0.84QL(activation for lattice diffusion) or Q = 1.23Qgbin the high temperature range 673-773 K. The abnormally low Q value in the intermediate temperature range may not represent the true activation energy. Progressive decrease in dislocation density by enhanced recovery with increasing temperature may be the cause of the result. After ECAP, the yield stresses (YS) of the ECAPed AZ31 alloys decreased while their elongations increased. Enlarged strain hardening exponent after ECAP is the key factor considered to bring in the tensile-elongation increase, while modification of texture for easier slip on basal planes during ECAP is believed to be responsible for the yield stress decrease. © 2004 Elsevier B.V. All rights reserved.","author":[{"dropping-particle":"","family":"Kim","given":"H. K.","non-dropping-particle":"","parse-names":false,"suffix":""},{"dropping-particle":"","family":"Kim","given":"W. J.","non-dropping-particle":"","parse-names":false,"suffix":""}],"container-title":"Materials Science and Engineering A","id":"ITEM-5","issued":{"date-parts":[["2004"]]},"title":"Microstructural instability and strength of an AZ31 Mg alloy after severe plastic deformation","type":"article-journal"},"uris":["http://www.mendeley.com/documents/?uuid=4981de2d-e082-4c78-89ac-b872d3b3f114","http://www.mendeley.com/documents/?uuid=1db22b7c-75b7-4920-affd-e570f55a479a"]}],"mendeley":{"formattedCitation":"[3–7]","plainTextFormattedCitation":"[3–7]","previouslyFormattedCitation":"[3–7]"},"properties":{"noteIndex":0},"schema":"https://github.com/citation-style-language/schema/raw/master/csl-citation.json"}</w:instrText>
      </w:r>
      <w:r w:rsidRPr="001C513B">
        <w:rPr>
          <w:rFonts w:ascii="Calibri" w:eastAsia="等线" w:hAnsi="Calibri" w:cs="Times New Roman"/>
        </w:rPr>
        <w:fldChar w:fldCharType="separate"/>
      </w:r>
      <w:r w:rsidRPr="001C513B">
        <w:rPr>
          <w:rFonts w:ascii="Calibri" w:eastAsia="等线" w:hAnsi="Calibri" w:cs="Times New Roman"/>
          <w:noProof/>
        </w:rPr>
        <w:t>[3–7]</w:t>
      </w:r>
      <w:r w:rsidRPr="001C513B">
        <w:rPr>
          <w:rFonts w:ascii="Calibri" w:eastAsia="等线" w:hAnsi="Calibri" w:cs="Times New Roman"/>
        </w:rPr>
        <w:fldChar w:fldCharType="end"/>
      </w:r>
      <w:r>
        <w:rPr>
          <w:rFonts w:ascii="Calibri" w:eastAsia="等线" w:hAnsi="Calibri" w:cs="Times New Roman"/>
        </w:rPr>
        <w:t>. This clearly reduces the applica</w:t>
      </w:r>
      <w:r w:rsidR="00C53823">
        <w:rPr>
          <w:rFonts w:ascii="Calibri" w:eastAsia="等线" w:hAnsi="Calibri" w:cs="Times New Roman"/>
        </w:rPr>
        <w:t>bility</w:t>
      </w:r>
      <w:r>
        <w:rPr>
          <w:rFonts w:ascii="Calibri" w:eastAsia="等线" w:hAnsi="Calibri" w:cs="Times New Roman"/>
        </w:rPr>
        <w:t xml:space="preserve"> of these materials. Hence, r</w:t>
      </w:r>
      <w:r w:rsidRPr="001C513B">
        <w:rPr>
          <w:rFonts w:ascii="Calibri" w:eastAsia="等线" w:hAnsi="Calibri" w:cs="Times New Roman"/>
        </w:rPr>
        <w:t xml:space="preserve">ealising this limitation, </w:t>
      </w:r>
      <w:r>
        <w:rPr>
          <w:rFonts w:ascii="Calibri" w:eastAsia="等线" w:hAnsi="Calibri" w:cs="Times New Roman"/>
        </w:rPr>
        <w:t>there is a requirement for further</w:t>
      </w:r>
      <w:r w:rsidRPr="001C513B">
        <w:rPr>
          <w:rFonts w:ascii="Calibri" w:eastAsia="等线" w:hAnsi="Calibri" w:cs="Times New Roman"/>
        </w:rPr>
        <w:t xml:space="preserve"> deformation mechanisms to be introduced into the</w:t>
      </w:r>
      <w:r>
        <w:rPr>
          <w:rFonts w:ascii="Calibri" w:eastAsia="等线" w:hAnsi="Calibri" w:cs="Times New Roman"/>
        </w:rPr>
        <w:t xml:space="preserve">se alloy systems, to aid in sustaining strain and hence increasing </w:t>
      </w:r>
      <w:r w:rsidR="004F7EF4">
        <w:rPr>
          <w:rFonts w:ascii="Calibri" w:eastAsia="等线" w:hAnsi="Calibri" w:cs="Times New Roman"/>
        </w:rPr>
        <w:t>work</w:t>
      </w:r>
      <w:r>
        <w:rPr>
          <w:rFonts w:ascii="Calibri" w:eastAsia="等线" w:hAnsi="Calibri" w:cs="Times New Roman"/>
        </w:rPr>
        <w:t xml:space="preserve"> hardening to</w:t>
      </w:r>
      <w:r w:rsidRPr="001C513B">
        <w:rPr>
          <w:rFonts w:ascii="Calibri" w:eastAsia="等线" w:hAnsi="Calibri" w:cs="Times New Roman"/>
        </w:rPr>
        <w:t xml:space="preserve"> maintain</w:t>
      </w:r>
      <w:r>
        <w:rPr>
          <w:rFonts w:ascii="Calibri" w:eastAsia="等线" w:hAnsi="Calibri" w:cs="Times New Roman"/>
        </w:rPr>
        <w:t xml:space="preserve"> </w:t>
      </w:r>
      <w:r w:rsidRPr="001C513B">
        <w:rPr>
          <w:rFonts w:ascii="Calibri" w:eastAsia="等线" w:hAnsi="Calibri" w:cs="Times New Roman"/>
        </w:rPr>
        <w:t xml:space="preserve">strength </w:t>
      </w:r>
      <w:r>
        <w:rPr>
          <w:rFonts w:ascii="Calibri" w:eastAsia="等线" w:hAnsi="Calibri" w:cs="Times New Roman"/>
        </w:rPr>
        <w:t>during deformation</w:t>
      </w:r>
      <w:r w:rsidRPr="001C513B">
        <w:rPr>
          <w:rFonts w:ascii="Calibri" w:eastAsia="等线" w:hAnsi="Calibri" w:cs="Times New Roman"/>
        </w:rPr>
        <w:t xml:space="preserve">. </w:t>
      </w:r>
    </w:p>
    <w:p w14:paraId="1D0CEB2E" w14:textId="603EE517" w:rsidR="00B145BE" w:rsidRPr="001C513B" w:rsidRDefault="00B145BE" w:rsidP="00B145BE">
      <w:pPr>
        <w:spacing w:afterLines="60" w:after="144" w:line="360" w:lineRule="auto"/>
        <w:jc w:val="both"/>
        <w:rPr>
          <w:rFonts w:ascii="Calibri" w:eastAsia="等线" w:hAnsi="Calibri" w:cs="Times New Roman"/>
        </w:rPr>
      </w:pPr>
      <w:r w:rsidRPr="001C513B">
        <w:rPr>
          <w:rFonts w:ascii="Calibri" w:eastAsia="等线" w:hAnsi="Calibri" w:cs="Times New Roman"/>
        </w:rPr>
        <w:t xml:space="preserve">It </w:t>
      </w:r>
      <w:r>
        <w:rPr>
          <w:rFonts w:ascii="Calibri" w:eastAsia="等线" w:hAnsi="Calibri" w:cs="Times New Roman"/>
        </w:rPr>
        <w:t>is well accepted</w:t>
      </w:r>
      <w:r w:rsidRPr="001C513B">
        <w:rPr>
          <w:rFonts w:ascii="Calibri" w:eastAsia="等线" w:hAnsi="Calibri" w:cs="Times New Roman"/>
        </w:rPr>
        <w:t xml:space="preserve"> </w:t>
      </w:r>
      <w:r>
        <w:rPr>
          <w:rFonts w:ascii="Calibri" w:eastAsia="等线" w:hAnsi="Calibri" w:cs="Times New Roman"/>
        </w:rPr>
        <w:t xml:space="preserve">that </w:t>
      </w:r>
      <w:r w:rsidRPr="001C513B">
        <w:rPr>
          <w:rFonts w:ascii="Calibri" w:eastAsia="等线" w:hAnsi="Calibri" w:cs="Times New Roman"/>
        </w:rPr>
        <w:t xml:space="preserve">the most efficient method </w:t>
      </w:r>
      <w:r>
        <w:rPr>
          <w:rFonts w:ascii="Calibri" w:eastAsia="等线" w:hAnsi="Calibri" w:cs="Times New Roman"/>
        </w:rPr>
        <w:t>to</w:t>
      </w:r>
      <w:r w:rsidRPr="001C513B">
        <w:rPr>
          <w:rFonts w:ascii="Calibri" w:eastAsia="等线" w:hAnsi="Calibri" w:cs="Times New Roman"/>
        </w:rPr>
        <w:t xml:space="preserve"> promote mechanical performance in metallic </w:t>
      </w:r>
      <w:r>
        <w:rPr>
          <w:rFonts w:ascii="Calibri" w:eastAsia="等线" w:hAnsi="Calibri" w:cs="Times New Roman"/>
        </w:rPr>
        <w:t>systems, lies</w:t>
      </w:r>
      <w:r w:rsidRPr="001C513B">
        <w:rPr>
          <w:rFonts w:ascii="Calibri" w:eastAsia="等线" w:hAnsi="Calibri" w:cs="Times New Roman"/>
        </w:rPr>
        <w:t xml:space="preserve"> in utilising stress-induced phase transformations and mechanical twinning as deformation mechanisms (as th</w:t>
      </w:r>
      <w:r w:rsidR="00C53823">
        <w:rPr>
          <w:rFonts w:ascii="Calibri" w:eastAsia="等线" w:hAnsi="Calibri" w:cs="Times New Roman"/>
        </w:rPr>
        <w:t>ese</w:t>
      </w:r>
      <w:r w:rsidRPr="001C513B">
        <w:rPr>
          <w:rFonts w:ascii="Calibri" w:eastAsia="等线" w:hAnsi="Calibri" w:cs="Times New Roman"/>
        </w:rPr>
        <w:t xml:space="preserve"> increase the work hardening </w:t>
      </w:r>
      <w:r w:rsidR="003E6655">
        <w:rPr>
          <w:rFonts w:ascii="Calibri" w:eastAsia="等线" w:hAnsi="Calibri" w:cs="Times New Roman"/>
        </w:rPr>
        <w:t>cap</w:t>
      </w:r>
      <w:r w:rsidRPr="001C513B">
        <w:rPr>
          <w:rFonts w:ascii="Calibri" w:eastAsia="等线" w:hAnsi="Calibri" w:cs="Times New Roman"/>
        </w:rPr>
        <w:t>ability)</w:t>
      </w:r>
      <w:r>
        <w:rPr>
          <w:rFonts w:ascii="Calibri" w:eastAsia="等线" w:hAnsi="Calibri" w:cs="Times New Roman"/>
        </w:rPr>
        <w:t xml:space="preserve"> </w:t>
      </w:r>
      <w:r w:rsidRPr="001C513B">
        <w:rPr>
          <w:rFonts w:ascii="Calibri" w:eastAsia="等线" w:hAnsi="Calibri" w:cs="Times New Roman"/>
        </w:rPr>
        <w:fldChar w:fldCharType="begin" w:fldLock="1"/>
      </w:r>
      <w:r>
        <w:rPr>
          <w:rFonts w:ascii="Calibri" w:eastAsia="等线" w:hAnsi="Calibri" w:cs="Times New Roman"/>
        </w:rPr>
        <w:instrText>ADDIN CSL_CITATION {"citationItems":[{"id":"ITEM-1","itemData":{"DOI":"10.1016/j.jmps.2005.03.004","ISBN":"0022-5096","ISSN":"00225096","abstract":"We study the mechanical behavior of a class of multiphase carbon steels where metastable austenite at room temperature is found in grains dispersed in a ferrite-based matrix. During mechanical loading, the austenite undergoes a displacive phase change and transforms into martensite. This transformation is accommodated by plastic deformations in the surrounding matrix. Experimental results show that the presence of austenite typically enhances the ductility and strength of the steel. We use a recently developed model (Turteltaub and Suiker, 2005) to analyze in detail the contribution of the martensitic transformation to the overall stress-strain response of a specimen containing a single island of austenite embedded in a ferrite-based matrix. Results show that the performance of the material depends strongly on the lattice orientation of the austenite with respect to the loading direction. More importantly, we identify cases in which the presence of austenite can in fact be detrimental in terms of strength, which is relevant information in order to improve the behavior of this class of steels. © 2005 Elsevier Ltd. All rights reserved.","author":[{"dropping-particle":"","family":"Turteltaub","given":"S.","non-dropping-particle":"","parse-names":false,"suffix":""},{"dropping-particle":"","family":"Suiker","given":"A. S.J.","non-dropping-particle":"","parse-names":false,"suffix":""}],"container-title":"Journal of the Mechanics and Physics of Solids","id":"ITEM-1","issued":{"date-parts":[["2005"]]},"title":"Transformation-induced plasticity in ferrous alloys","type":"article-journal"},"uris":["http://www.mendeley.com/documents/?uuid=eae190b6-aa57-4ed7-8ae0-d03667b2e47b"]},{"id":"ITEM-2","itemData":{"DOI":"10.1179/030634582790427316","ISBN":"0306-3453","ISSN":"0306-3453","PMID":"2385044","abstract":"The author suggests that deformation-induced martensitic transformation can be understood only in terms of the effect of applied stress rather than the effect of strain. An increase in elongation is obtained when martensites are formed during deformation. This phenomenon is transformation-induced plasticity (TRIP). The cause and various controlling factors of TRIP are discussed. Industrial application of the phenomenon is briefly described.","author":[{"dropping-particle":"","family":"Tamura","given":"I.","non-dropping-particle":"","parse-names":false,"suffix":""}],"container-title":"Metal Science","id":"ITEM-2","issued":{"date-parts":[["1982"]]},"title":"Deformation-induced martensitic transformation and transformation-induced plasticity in steels","type":"article-journal"},"uris":["http://www.mendeley.com/documents/?uuid=de380180-14eb-42ff-a540-f9a8558d95fd"]},{"id":"ITEM-3","itemData":{"DOI":"10.1115/1.3101930","ISSN":"08827958","abstract":"This review article attempts to explain TRIP generally and its appearance in different materials. Continuum mechanics formulations are mainly used to explain this phase change phenomenon. An overview is given of the published literature which is often not very easily accessible. Technological aspects are presented, such as constitutive equations of materials showing TRIP. Aspects of material selection and future material design are also treated. This article contains 315 references. © 1996 American Society of Mechanical Engineers.","container-title":"Advanced Materials and Processes","id":"ITEM-3","issued":{"date-parts":[["2005"]]},"title":"Transformation induced plasticity","type":"article-journal"},"uris":["http://www.mendeley.com/documents/?uuid=a6c23f90-0d2b-4bb8-8382-5bca67deaa1b"]},{"id":"ITEM-4","itemData":{"ISBN":"110951851X","abstract":"Motivated by the prospect of lower cost Ti production processes, new directions in Ti alloy design were explored for naval and automotive applications. Building on the experience of the Steel Research Group at Northwestern University, an analogous design process was taken with titanium. As a new project, essential kinetic databases and models were developed for the design process and used to create a prototype design. Diffusion kinetic models were developed to predict the change in phase compositions and microstructure during heat treatment. Combining a mobility database created in this research with a licensed thermodynamic database, ThermoCalc and DICTRA software was used to model kinetic compositional changes in titanium alloys. Experimental diffusion couples were created and compared to DICTRA simulations to refine mobility parameters in the titanium mobility database. The software and database were able to predict homogenization times and the beta&amp;rarr;alpha plate thickening kinetics during cooling in the near-alpha Ti5111 alloy. The results of these models were compared to LEAP microanalysis and found to be in reasonable agreement. Powder metallurgy was explored using SPS at GM R&amp;amp;D to reduce the cost of titanium alloys. Fully dense Ti5111 alloys were produced and achieved similar microstructures to wrought Ti5111. High levels of oxygen in these alloys increased the strength while reducing the ductility. Preliminary Ti5111+Y alloys were created, where yttrium additions successfully gettered excess oxygen to create oxides. However, undesirable large oxides formed, indicating more research is needed into the homogeneous distribution of the yttrium powder to create finer oxides. Principles established in steels were used to optimize the beta phase transformation stability for martensite transformation toughening in titanium alloys. The Olson-Cohen kinetic model is calibrated to shear strains in titanium. A frictional work database is established for common alloying elements in titanium to model the effect of alloying elements on the Ms temperature in titanium. Available atomic volume data and collaborative first principles quantum mechanical calculations are combined to model the composition dependence of the transformation molar volume change. Composition analysis of the beta phase from the LEAP and Bolling-Richman experimental measurement of the M ssigma temperature defining mechanical transformation stability of the beta phase in Ti5111 provide…","author":[{"dropping-particle":"","family":"Tran","given":"Jamie","non-dropping-particle":"","parse-names":false,"suffix":""}],"container-title":"ProQuest Dissertations and Theses Global","id":"ITEM-4","issued":{"date-parts":[["2009"]]},"title":"Titanium by design: Trip titanium alloy","type":"article-journal"},"uris":["http://www.mendeley.com/documents/?uuid=d15ad644-32ec-4461-9857-2a153fb29ee4"]},{"id":"ITEM-5","itemData":{"DOI":"10.1016/j.scriptamat.2012.01.049","ISBN":"1359-6462","ISSN":"13596462","PMID":"9986980","abstract":"In this work, preliminary results are presented on attempts to develop a new family of titanium alloys with high ductility induced by combined transformation-induced plasticity and twinning-induced plasticity effects. Mechanical tests carried out on a binary β-metastable Ti-12 wt.% Mo alloy designed by a formulati</w:instrText>
      </w:r>
      <w:r>
        <w:rPr>
          <w:rFonts w:ascii="Calibri" w:eastAsia="等线" w:hAnsi="Calibri" w:cs="Times New Roman" w:hint="eastAsia"/>
        </w:rPr>
        <w:instrText xml:space="preserve">on strategy based on the \"d-electron alloy design\" show a very high work hardening rate. X-ray diffraction, electron backscattered diffraction and transmission electron microscopy reveal the mechanical activation of twinning and of </w:instrText>
      </w:r>
      <w:r>
        <w:rPr>
          <w:rFonts w:ascii="Calibri" w:eastAsia="等线" w:hAnsi="Calibri" w:cs="Times New Roman" w:hint="eastAsia"/>
        </w:rPr>
        <w:instrText>α′</w:instrText>
      </w:r>
      <w:r>
        <w:rPr>
          <w:rFonts w:ascii="Calibri" w:eastAsia="等线" w:hAnsi="Calibri" w:cs="Times New Roman" w:hint="eastAsia"/>
        </w:rPr>
        <w:instrText xml:space="preserve">, </w:instrText>
      </w:r>
      <w:r>
        <w:rPr>
          <w:rFonts w:ascii="Calibri" w:eastAsia="等线" w:hAnsi="Calibri" w:cs="Times New Roman" w:hint="eastAsia"/>
        </w:rPr>
        <w:instrText>α″</w:instrText>
      </w:r>
      <w:r>
        <w:rPr>
          <w:rFonts w:ascii="Calibri" w:eastAsia="等线" w:hAnsi="Calibri" w:cs="Times New Roman" w:hint="eastAsia"/>
        </w:rPr>
        <w:instrText xml:space="preserve"> and </w:instrText>
      </w:r>
      <w:r>
        <w:rPr>
          <w:rFonts w:ascii="Calibri" w:eastAsia="等线" w:hAnsi="Calibri" w:cs="Times New Roman" w:hint="eastAsia"/>
        </w:rPr>
        <w:instrText>ω</w:instrText>
      </w:r>
      <w:r>
        <w:rPr>
          <w:rFonts w:ascii="Calibri" w:eastAsia="等线" w:hAnsi="Calibri" w:cs="Times New Roman" w:hint="eastAsia"/>
        </w:rPr>
        <w:instrText xml:space="preserve"> phases. </w:instrText>
      </w:r>
      <w:r>
        <w:rPr>
          <w:rFonts w:ascii="Calibri" w:eastAsia="等线" w:hAnsi="Calibri" w:cs="Times New Roman"/>
        </w:rPr>
        <w:instrText>© 2012 Acta Materialia Inc. Published by Elsevier Ltd. All rights reserved.","author":[{"dropping-particle":"","family":"Marteleur","given":"Matthieu","non-dropping-particle":"","parse-names":false,"suffix":""},{"dropping-particle":"","family":"Sun","given":"Fan","non-dropping-particle":"","parse-names":false,"suffix":""},{"dropping-particle":"","family":"Gloriant","given":"Thierry","non-dropping-particle":"","parse-names":false,"suffix":""},{"dropping-particle":"","family":"Vermaut","given":"Philippe","non-dropping-particle":"","parse-names":false,"suffix":""},{"dropping-particle":"","family":"Jacques","given":"Pascal J.","non-dropping-particle":"","parse-names":false,"suffix":""},{"dropping-particle":"","family":"Prima","given":"Frédéric","non-dropping-particle":"","parse-names":false,"suffix":""}],"container-title":"Scripta Materialia","id":"ITEM-5","issued":{"date-parts":[["2012"]]},"title":"On the design of new β-metastable titanium alloys with improved work hardening rate thanks to simultaneous TRIP and TWIP effects","type":"article-journal"},"uris":["http://www.mendeley.com/documents/?uuid=1090121d-4d47-4101-802f-3f4768a75559"]},{"id":"ITEM-6","itemData":{"DOI":"10.1002/bmb.15","ISSN":"1470-8175","PMID":"21591059","abstract":"Austenitic twinning induced plasticity (TWIP) steels have low to intermediate stacking fault energy and hence undergo extensive mechanical twinning during deformation, which in turn leads a good combination of both strength and ductility. Considerable experimental research has been conducted to examine its microstructure and texture evolution, and a limited amount of work has also been done to model its work-hardening behavior. However, no attempt exists to quantitatively estimate the strain from twinning and to qualitatively estimate the resulting texture change during the deformation of polycrystalline austenitic TWIP steel. The present work is aimed at solving this problem. A physical model based on the mathematical geometry of crystallography of mechanical twinning has been developed in this work and computer programs have been written to implement the calculations. The results give the exact values of true strain due to twinning, which is a function of the volume fraction of twin plates, matrix texture and intensity of texture. Compared with experimental results on ductility, which is generally above 85% elongation, the calculated true strain is substantially smaller, consistent with the occurrence of mechanisms of plastic deformation other than twinning. The attempt to calculate the texture change is partially successful because the twinning mode only dominates at low strains, for instance during tensile testing with a true strain less than 0.4. A program of future work has been compiled in the light of these results.","author":[{"dropping-particle":"","family":"Qin","given":"Bo","non-dropping-particle":"","parse-names":false,"suffix":""},{"dropping-particle":"","family":"Bhadeshia","given":"Professor H K D H","non-dropping-particle":"","parse-names":false,"suffix":""}],"container-title":"Graduate Institute of Ferrous Technology","id":"ITEM-6","issued":{"date-parts":[["2007"]]},"title":"Crystallography of TWIP Steel","type":"article-journal"},"uris":["http://www.mendeley.com/documents/?uuid=bb24493b-ff3f-423d-896c-0920b6ba6e88","http://www.mendeley.com/documents/?uuid=f3f69d37-254f-4650-a352-2191890dfde1"]},{"id":"ITEM-7","itemData":{"DOI":"10.1179/1743284711Y.0000000095","ISBN":"0267-0836","ISSN":"0267-0836","abstract":"High Mn Twinning-Induced Plasticity (TWIP) steel is a new type of structural steel, characterized by both a high strength and a superior formability. TWIP steel offers an extraordinary opportunity to adjust the mechanical properties of steel by modifying the strain hardening. The use of TWIP steel may therefore lead to a considerable lightweighting of steel components, a reduction of material use, and an improved press forming behavior. These key advantages will help implement current automotive vehicle design trends which emphasize a reduction of green-house gas emissions and a lowering of fuel consumption. In addition, high strength TWIP steel will effectively contribute to weight containment in vehicles equipped with hybrid and electric motors, as these are considerably heavier than conventional motors. The present review addresses all aspects of the physical metallurgy of the high strength TWIP steel with a special emphasis on the properties and key advantages of TWIP sheet steel products relevant to automotive applications. 2","author":[{"dropping-particle":"","family":"Cooman","given":"B C","non-dropping-particle":"De","parse-names":false,"suffix":""},{"dropping-particle":"","family":"Kwon","given":"O","non-dropping-particle":"","parse-names":false,"suffix":""},{"dropping-particle":"","family":"Chin","given":"K-G","non-dropping-particle":"","parse-names":false,"suffix":""}],"container-title":"Materials Science and Technology","id":"ITEM-7","issued":{"date-parts":[["2012"]]},"title":"State-of-the-knowledge on TWIP steel","type":"article-journal"},"uris":["http://www.mendeley.com/documents/?uuid=3fd52bf9-ff78-4304-8aba-27d11a0d1358","http://www.mendeley.com/documents/?uuid=35ee6ef8-7b0e-4c95-8b84-cfceef55fe2e"]},{"id":"ITEM-8","itemData":{"DOI":"10.1016/j.actamat.2017.06.046","ISBN":"1359-6462","ISSN":"13596454","PMID":"15160800","abstract":"This article reviews original work and important new developments in the field of deformation behavior of high manganese face-centered cubic γ-Fe alloys. Owing to their exceptional mechanical properties, these alloys, referred to as twinning-induced plasticity, or TWIP, steels, have come to the fore as prime candidate materials for light-weight applications, notably in automotive, shipbuilding, and oil and gas industries. It is established that a superior combination of strength and ductility exhibited by TWIP steels is associated with a specific character of the variation of the dislocation density. The defining feature of TWIP steels is the small magnitude of the intrinsic stacking fault energy. In addition to limiting the dynamic recovery rate, the low stacking fault energy of TWIP steels results in the formation of isolated stacking faults and deformation twins, which reduces the dislocation mean free path. Both effects lead to an increased strain hardening rate. Despite the progress made, there are still considerable differences between the models proposed for the microstructural evolution during the deformation of TWIP steels and the concomitant strain hardening behavior. The review surveys the experimental literature, summarizes the current modeling concepts, and identifies the outstanding issues with TWIP steels that require the attention of the materials science community. Suggestions for the directions of future research on twinning-induced plasticity steels are offered.","author":[{"dropping-particle":"","family":"Cooman","given":"Bruno C.","non-dropping-particle":"De","parse-names":false,"suffix":""},{"dropping-particle":"","family":"Estrin","given":"Yuri","non-dropping-particle":"","parse-names":false,"suffix":""},{"dropping-particle":"","family":"Kim","given":"Sung Kyu","non-dropping-particle":"","parse-names":false,"suffix":""}],"container-title":"Acta Materialia","id":"ITEM-8","issued":{"date-parts":[["2018"]]},"title":"Twinning-induced plasticity (TWIP) steels","type":"article"},"uris":["http://www.mendeley.com/documents/?uuid=77f52943-4cdb-4ed2-a470-9c61c3d2923e","http://www.mendeley.com/documents/?uuid=f5cbeaf7-2bf7-486f-8c91-9c225cb767e0"]}],"mendeley":{"formattedCitation":"[8–15]","plainTextFormattedCitation":"[8–15]","previouslyFormattedCitation":"[8–15]"},"properties":{"noteIndex":0},"schema":"https://github.com/citation-style-language/schema/raw/master/csl-citation.json"}</w:instrText>
      </w:r>
      <w:r w:rsidRPr="001C513B">
        <w:rPr>
          <w:rFonts w:ascii="Calibri" w:eastAsia="等线" w:hAnsi="Calibri" w:cs="Times New Roman"/>
        </w:rPr>
        <w:fldChar w:fldCharType="separate"/>
      </w:r>
      <w:r w:rsidRPr="001C513B">
        <w:rPr>
          <w:rFonts w:ascii="Calibri" w:eastAsia="等线" w:hAnsi="Calibri" w:cs="Times New Roman"/>
          <w:noProof/>
        </w:rPr>
        <w:t>[8–15]</w:t>
      </w:r>
      <w:r w:rsidRPr="001C513B">
        <w:rPr>
          <w:rFonts w:ascii="Calibri" w:eastAsia="等线" w:hAnsi="Calibri" w:cs="Times New Roman"/>
        </w:rPr>
        <w:fldChar w:fldCharType="end"/>
      </w:r>
      <w:r w:rsidRPr="001C513B">
        <w:rPr>
          <w:rFonts w:ascii="Calibri" w:eastAsia="等线" w:hAnsi="Calibri" w:cs="Times New Roman"/>
        </w:rPr>
        <w:t>. Examples are high-Mn Steel and Ti-based biomedical alloys. By tuning phase stability and stacking fault energy (SFE), deformation mechanisms can be tailored such as dislocation glide to TWIP and TRIP cooperation</w:t>
      </w:r>
      <w:r w:rsidRPr="001C513B">
        <w:rPr>
          <w:rFonts w:ascii="Calibri" w:eastAsia="等线" w:hAnsi="Calibri" w:cs="Times New Roman"/>
        </w:rPr>
        <w:fldChar w:fldCharType="begin" w:fldLock="1"/>
      </w:r>
      <w:r>
        <w:rPr>
          <w:rFonts w:ascii="Calibri" w:eastAsia="等线" w:hAnsi="Calibri" w:cs="Times New Roman"/>
        </w:rPr>
        <w:instrText xml:space="preserve">ADDIN CSL_CITATION {"citationItems":[{"id":"ITEM-1","itemData":{"DOI":"10.1016/j.actamat.2014.01.001","ISBN":"13596454","ISSN":"13596454","PMID":"14814773","abstract":"The stacking fault and interfacial energies of three transformation- and twinning-induced plasticity steels (TRIP/TWIP) (Fe-22/25/28Mn-3Al-3Si wt.%) were determined by experimental and theoretical methods. Analysis of Shockley partial dislocation configurations in the three alloys using weak-beam dark-field transmission electron microscopy yielded stacking fault energy (SFE) values of 15 ± 3, 21 ± 3 and 39 ± 5 mJ m-2 for alloys with 22, 25 and 28 wt.% Mn, respectively. The experimental SFE includes a coherency strain energy of </w:instrText>
      </w:r>
      <w:r>
        <w:rPr>
          <w:rFonts w:ascii="Cambria Math" w:eastAsia="等线" w:hAnsi="Cambria Math" w:cs="Cambria Math"/>
        </w:rPr>
        <w:instrText>∼</w:instrText>
      </w:r>
      <w:r>
        <w:rPr>
          <w:rFonts w:ascii="Calibri" w:eastAsia="等线" w:hAnsi="Calibri" w:cs="Times New Roman"/>
        </w:rPr>
        <w:instrText>1-4 mJ m-2, determined by X-ray diffraction, which arises from the contraction in volume of the stacking fault upon the face-centered cubic (fcc) to hexagonal close-packed (hcp) phase transformation. The ideal SFE, computed as the difference between the experimental SFE and the coherency strain energy, is equal to14 ± 3, 19 ± 3 and 35 ± 5 mJ m-2, respectively. These SFE values were used in conjunction with a thermodynamic model developed in the present work to calculate the free energy difference of the fcc and hcp phases and to determine a probable range for the fcc/hcp interfacial energy in the three Fe-Mn-(Al-Si) steels investigated. In addition, the interfacial energies of three Fe-18Mn-0.6C-0/1.5(Al/Si) TWIP and five Fe-16/18/20/22/25Mn binary alloys were also determined from experimental data in the literature. The interfacial energy ranged from 8 to 12 mJ m-2 in the TRIP/TWIP steels and from 15 to 33 mJ m-2 in the binary Fe-Mn alloys. The interfacial energy exhibits a strong dependence on the difference in Gibbs energy of the individual fcc and hcp phases. Accordingly, an empirical description of this parameter is proposed to improve the accuracy of thermodynamic SFE calculations.© 2014 Acta Materialia Inc. Published by Elsevier Ltd. All rights reserved.","author":[{"dropping-particle":"","family":"Pierce","given":"D. T.","non-dropping-particle":"","parse-names":false,"suffix":""},{"dropping-particle":"","family":"Jiménez","given":"J. A.","non-dropping-particle":"","parse-names":false,"suffix":""},{"dropping-particle":"","family":"Bentley","given":"J.","non-dropping-particle":"","parse-names":false,"suffix":""},{"dropping-particle":"","family":"Raabe","given":"D.","non-dropping-particle":"","parse-names":false,"suffix":""},{"dropping-particle":"","family":"Oskay","given":"C.","non-dropping-particle":"","parse-names":false,"suffix":""},{"dropping-particle":"","family":"Wittig","given":"J. E.","non-dropping-particle":"","parse-names":false,"suffix":""}],"container-title":"Acta Materialia","id":"ITEM-1","issued":{"date-parts":[["2014"]]},"title":"The influence of manganese content on the stacking fault and austenite/ε-martensite interfacial energies in Fe-Mn-(Al-Si) steels investigated by experiment and theory","type":"article-journal"},"uris":["http://www.mendeley.com/documents/?uuid=02a17970-a993-48f6-bd15-e53613f65058"]},{"id":"ITEM-2","itemData":{"DOI":"10.1016/j.actamat.2015.11.026","ISBN":"1359-6454","ISSN":"13596454","abstract":"A metastable β Ti-10V-3Fe-3Al-0.27O (wt.%) alloy was subjected to thermo-mechanical processing to induce α and ω phase formation, so that the alloy can exhibit the features responsible for both transformation induced plasticity (TRIP) and twinning induced plasticity (TWIP) behaviour during deformation. The alloy thereafter was deformed at different strain rates (10-3, 10-1, 101, 10</w:instrText>
      </w:r>
      <w:r>
        <w:rPr>
          <w:rFonts w:ascii="Calibri" w:eastAsia="等线" w:hAnsi="Calibri" w:cs="Times New Roman" w:hint="eastAsia"/>
        </w:rPr>
        <w:instrText>2 s-1) at ambient temperature. At slow strain rate (</w:instrText>
      </w:r>
      <w:r>
        <w:rPr>
          <w:rFonts w:ascii="Calibri" w:eastAsia="等线" w:hAnsi="Calibri" w:cs="Times New Roman" w:hint="eastAsia"/>
        </w:rPr>
        <w:instrText>≤</w:instrText>
      </w:r>
      <w:r>
        <w:rPr>
          <w:rFonts w:ascii="Calibri" w:eastAsia="等线" w:hAnsi="Calibri" w:cs="Times New Roman" w:hint="eastAsia"/>
        </w:rPr>
        <w:instrText xml:space="preserve">10-3 s-1), in addition to slip the alloy displayed a dominant deformation mechanism with </w:instrText>
      </w:r>
      <w:r>
        <w:rPr>
          <w:rFonts w:ascii="Calibri" w:eastAsia="等线" w:hAnsi="Calibri" w:cs="Times New Roman" w:hint="eastAsia"/>
        </w:rPr>
        <w:instrText>α″</w:instrText>
      </w:r>
      <w:r>
        <w:rPr>
          <w:rFonts w:ascii="Calibri" w:eastAsia="等线" w:hAnsi="Calibri" w:cs="Times New Roman" w:hint="eastAsia"/>
        </w:rPr>
        <w:instrText xml:space="preserve"> martensite formation, where mechanical {332}&lt;113&gt;</w:instrText>
      </w:r>
      <w:r>
        <w:rPr>
          <w:rFonts w:ascii="Calibri" w:eastAsia="等线" w:hAnsi="Calibri" w:cs="Times New Roman" w:hint="eastAsia"/>
        </w:rPr>
        <w:instrText>β</w:instrText>
      </w:r>
      <w:r>
        <w:rPr>
          <w:rFonts w:ascii="Calibri" w:eastAsia="等线" w:hAnsi="Calibri" w:cs="Times New Roman" w:hint="eastAsia"/>
        </w:rPr>
        <w:instrText xml:space="preserve"> twinning and deformation-induced </w:instrText>
      </w:r>
      <w:r>
        <w:rPr>
          <w:rFonts w:ascii="Calibri" w:eastAsia="等线" w:hAnsi="Calibri" w:cs="Times New Roman" w:hint="eastAsia"/>
        </w:rPr>
        <w:instrText>ω</w:instrText>
      </w:r>
      <w:r>
        <w:rPr>
          <w:rFonts w:ascii="Calibri" w:eastAsia="等线" w:hAnsi="Calibri" w:cs="Times New Roman" w:hint="eastAsia"/>
        </w:rPr>
        <w:instrText xml:space="preserve"> phase were also activate</w:instrText>
      </w:r>
      <w:r>
        <w:rPr>
          <w:rFonts w:ascii="Calibri" w:eastAsia="等线" w:hAnsi="Calibri" w:cs="Times New Roman"/>
        </w:rPr>
        <w:instrText>d. At an intermediate strain rate, 10-1 s-1, there was a competition between stress-induced phase transformations and stress-induced twinning deformation mechanisms. With increasing strain rate to 101 s-1 or higher; it was found that the dominant deformation mode was twinning. These results have been correlated with the β phase stability of the samples.","author":[{"dropping-particle":"","family":"Ahmed","given":"Mansur","non-dropping-particle":"","parse-names":false,"suffix":""},{"dropping-particle":"","family":"Wexler","given":"David","non-dropping-particle":"","parse-names":false,"suffix":""},{"dropping-particle":"","family":"Casillas","given":"Gilberto","non-dropping-particle":"","parse-names":false,"suffix":""},{"dropping-particle":"","family":"Savvakin","given":"Dmytro G.","non-dropping-particle":"","parse-names":false,"suffix":""},{"dropping-particle":"V.","family":"Pereloma","given":"Elena","non-dropping-particle":"","parse-names":false,"suffix":""}],"container-title":"Acta Materialia","id":"ITEM-2","issued":{"date-parts":[["2016"]]},"title":"Strain rate dependence of deformation-induced transformation and twinning in a metastable titanium alloy","type":"article-journal"},"uris":["http://www.mendeley.com/documents/?uuid=ce811429-c9fd-43d5-840e-2261a9a12566"]},{"id":"ITEM-3","itemData":{"DOI":"10.1016/j.actamat.2016.07.032","ISBN":"13596454","ISSN":"13596454","abstract":"A dislocation density-based crystal plasticity model incorporating both transformation-induced plasticity (TRIP) and twinning-induced plasticity (TWIP) is presented. The approach is a physically-based model which reflects microstructure investigations of ε-martensite, twins and dislocation structures in high manganese steels. Validation of the model was conducted using experimental data for a TRIP/TWIP Fe-22Mn-0.6C steel. The model is able to predict, based on the difference in the stacking fault energies, the activation of TRIP and/or TWIP deformation mechanisms at different temperatures.","author":[{"dropping-particle":"","family":"Wong","given":"Su Leen","non-dropping-particle":"","parse-names":false,"suffix":""},{"dropping-particle":"","family":"Madivala","given":"Manjunatha","non-dropping-particle":"","parse-names":false,"suffix":""},{"dropping-particle":"","family":"Prahl","given":"Ulrich","non-dropping-particle":"","parse-names":false,"suffix":""},{"dropping-particle":"","family":"Roters","given":"Franz","non-dropping-particle":"","parse-names":false,"suffix":""},{"dropping-particle":"","family":"Raabe","given":"Dierk","non-dropping-particle":"","parse-names":false,"suffix":""}],"container-title":"Acta Materialia","id":"ITEM-3","issued":{"date-parts":[["2016"]]},"title":"A crystal plasticity model for twinning- and transformation-induced plasticity","type":"article-journal"},"uris":["http://www.mendeley.com/documents/?uuid=973b2bb1-35ab-4664-862e-7676bcf3c159"]}],"mendeley":{"formattedCitation":"[16–18]","plainTextFormattedCitation":"[16–18]","previouslyFormattedCitation":"[16–18]"},"properties":{"noteIndex":0},"schema":"https://github.com/citation-style-language/schema/raw/master/csl-citation.json"}</w:instrText>
      </w:r>
      <w:r w:rsidRPr="001C513B">
        <w:rPr>
          <w:rFonts w:ascii="Calibri" w:eastAsia="等线" w:hAnsi="Calibri" w:cs="Times New Roman"/>
        </w:rPr>
        <w:fldChar w:fldCharType="separate"/>
      </w:r>
      <w:r w:rsidRPr="001C513B">
        <w:rPr>
          <w:rFonts w:ascii="Calibri" w:eastAsia="等线" w:hAnsi="Calibri" w:cs="Times New Roman"/>
          <w:noProof/>
        </w:rPr>
        <w:t>[16–18]</w:t>
      </w:r>
      <w:r w:rsidRPr="001C513B">
        <w:rPr>
          <w:rFonts w:ascii="Calibri" w:eastAsia="等线" w:hAnsi="Calibri" w:cs="Times New Roman"/>
        </w:rPr>
        <w:fldChar w:fldCharType="end"/>
      </w:r>
      <w:r w:rsidRPr="001C513B">
        <w:rPr>
          <w:rFonts w:ascii="Calibri" w:eastAsia="等线" w:hAnsi="Calibri" w:cs="Times New Roman"/>
        </w:rPr>
        <w:t xml:space="preserve">. </w:t>
      </w:r>
      <w:r>
        <w:rPr>
          <w:rFonts w:ascii="Calibri" w:eastAsia="等线" w:hAnsi="Calibri" w:cs="Times New Roman"/>
        </w:rPr>
        <w:t>Using</w:t>
      </w:r>
      <w:r w:rsidRPr="001C513B">
        <w:rPr>
          <w:rFonts w:ascii="Calibri" w:eastAsia="等线" w:hAnsi="Calibri" w:cs="Times New Roman"/>
        </w:rPr>
        <w:t xml:space="preserve"> SFE</w:t>
      </w:r>
      <w:r>
        <w:rPr>
          <w:rFonts w:ascii="Calibri" w:eastAsia="等线" w:hAnsi="Calibri" w:cs="Times New Roman"/>
        </w:rPr>
        <w:t xml:space="preserve"> as an example, for high-</w:t>
      </w:r>
      <w:r w:rsidRPr="001C513B">
        <w:rPr>
          <w:rFonts w:ascii="Calibri" w:eastAsia="等线" w:hAnsi="Calibri" w:cs="Times New Roman"/>
        </w:rPr>
        <w:t xml:space="preserve">Mn </w:t>
      </w:r>
      <w:r>
        <w:rPr>
          <w:rFonts w:ascii="Calibri" w:eastAsia="等线" w:hAnsi="Calibri" w:cs="Times New Roman"/>
        </w:rPr>
        <w:t>s</w:t>
      </w:r>
      <w:r w:rsidRPr="001C513B">
        <w:rPr>
          <w:rFonts w:ascii="Calibri" w:eastAsia="等线" w:hAnsi="Calibri" w:cs="Times New Roman"/>
        </w:rPr>
        <w:t xml:space="preserve">teel, the value of SFE is tunable by varying the addition of Mn in </w:t>
      </w:r>
      <w:r>
        <w:rPr>
          <w:rFonts w:ascii="Calibri" w:eastAsia="等线" w:hAnsi="Calibri" w:cs="Times New Roman"/>
        </w:rPr>
        <w:t>s</w:t>
      </w:r>
      <w:r w:rsidRPr="001C513B">
        <w:rPr>
          <w:rFonts w:ascii="Calibri" w:eastAsia="等线" w:hAnsi="Calibri" w:cs="Times New Roman"/>
        </w:rPr>
        <w:t>teel</w:t>
      </w:r>
      <w:r>
        <w:rPr>
          <w:rFonts w:ascii="Calibri" w:eastAsia="等线" w:hAnsi="Calibri" w:cs="Times New Roman"/>
        </w:rPr>
        <w:t xml:space="preserve"> </w:t>
      </w:r>
      <w:r w:rsidRPr="001C513B">
        <w:rPr>
          <w:rFonts w:ascii="Calibri" w:eastAsia="等线" w:hAnsi="Calibri" w:cs="Times New Roman"/>
        </w:rPr>
        <w:fldChar w:fldCharType="begin" w:fldLock="1"/>
      </w:r>
      <w:r>
        <w:rPr>
          <w:rFonts w:ascii="Calibri" w:eastAsia="等线" w:hAnsi="Calibri" w:cs="Times New Roman"/>
        </w:rPr>
        <w:instrText xml:space="preserve">ADDIN CSL_CITATION {"citationItems":[{"id":"ITEM-1","itemData":{"DOI":"10.1016/j.actamat.2014.01.001","ISBN":"13596454","ISSN":"13596454","PMID":"14814773","abstract":"The stacking fault and interfacial energies of three transformation- and twinning-induced plasticity steels (TRIP/TWIP) (Fe-22/25/28Mn-3Al-3Si wt.%) were determined by experimental and theoretical methods. Analysis of Shockley partial dislocation configurations in the three alloys using weak-beam dark-field transmission electron microscopy yielded stacking fault energy (SFE) values of 15 ± 3, 21 ± 3 and 39 ± 5 mJ m-2 for alloys with 22, 25 and 28 wt.% Mn, respectively. The experimental SFE includes a coherency strain energy of </w:instrText>
      </w:r>
      <w:r>
        <w:rPr>
          <w:rFonts w:ascii="Cambria Math" w:eastAsia="等线" w:hAnsi="Cambria Math" w:cs="Cambria Math"/>
        </w:rPr>
        <w:instrText>∼</w:instrText>
      </w:r>
      <w:r>
        <w:rPr>
          <w:rFonts w:ascii="Calibri" w:eastAsia="等线" w:hAnsi="Calibri" w:cs="Times New Roman"/>
        </w:rPr>
        <w:instrText>1-4 mJ m-2, determined by X-ray diffraction, which arises from the contraction in volume of the stacking fault upon the face-centered cubic (fcc) to hexagonal close-packed (hcp) phase transformation. The ideal SFE, computed as the difference between the experimental SFE and the coherency strain energy, is equal to14 ± 3, 19 ± 3 and 35 ± 5 mJ m-2, respectively. These SFE values were used in conjunction with a thermodynamic model developed in the present work to calculate the free energy difference of the fcc and hcp phases and to determine a probable range for the fcc/hcp interfacial energy in the three Fe-Mn-(Al-Si) steels investigated. In addition, the interfacial energies of three Fe-18Mn-0.6C-0/1.5(Al/Si) TWIP and five Fe-16/18/20/22/25Mn binary alloys were also determined from experimental data in the literature. The interfacial energy ranged from 8 to 12 mJ m-2 in the TRIP/TWIP steels and from 15 to 33 mJ m-2 in the binary Fe-Mn alloys. The interfacial energy exhibits a strong dependence on the difference in Gibbs energy of the individual fcc and hcp phases. Accordingly, an empirical description of this parameter is proposed to improve the accuracy of thermodynamic SFE calculations.© 2014 Acta Materialia Inc. Published by Elsevier Ltd. All rights reserved.","author":[{"dropping-particle":"","family":"Pierce","given":"D. T.","non-dropping-particle":"","parse-names":false,"suffix":""},{"dropping-particle":"","family":"Jiménez","given":"J. A.","non-dropping-particle":"","parse-names":false,"suffix":""},{"dropping-particle":"","family":"Bentley","given":"J.","non-dropping-particle":"","parse-names":false,"suffix":""},{"dropping-particle":"","family":"Raabe","given":"D.","non-dropping-particle":"","parse-names":false,"suffix":""},{"dropping-particle":"","family":"Oskay","given":"C.","non-dropping-particle":"","parse-names":false,"suffix":""},{"dropping-particle":"","family":"Wittig","given":"J. E.","non-dropping-particle":"","parse-names":false,"suffix":""}],"container-title":"Acta Materialia","id":"ITEM-1","issued":{"date-parts":[["2014"]]},"title":"The influence of manganese content on the stacking fault and austenite/ε-martensite interfacial energies in Fe-Mn-(Al-Si) steels investigated by experiment and theory","type":"article-journal"},"uris":["http://www.mendeley.com/documents/?uuid=02a17970-a993-48f6-bd15-e53613f65058"]}],"mendeley":{"formattedCitation":"[16]","plainTextFormattedCitation":"[16]","previouslyFormattedCitation":"[16]"},"properties":{"noteIndex":0},"schema":"https://github.com/citation-style-language/schema/raw/master/csl-citation.json"}</w:instrText>
      </w:r>
      <w:r w:rsidRPr="001C513B">
        <w:rPr>
          <w:rFonts w:ascii="Calibri" w:eastAsia="等线" w:hAnsi="Calibri" w:cs="Times New Roman"/>
        </w:rPr>
        <w:fldChar w:fldCharType="separate"/>
      </w:r>
      <w:r w:rsidRPr="001C513B">
        <w:rPr>
          <w:rFonts w:ascii="Calibri" w:eastAsia="等线" w:hAnsi="Calibri" w:cs="Times New Roman"/>
          <w:noProof/>
        </w:rPr>
        <w:t>[16]</w:t>
      </w:r>
      <w:r w:rsidRPr="001C513B">
        <w:rPr>
          <w:rFonts w:ascii="Calibri" w:eastAsia="等线" w:hAnsi="Calibri" w:cs="Times New Roman"/>
        </w:rPr>
        <w:fldChar w:fldCharType="end"/>
      </w:r>
      <w:r w:rsidRPr="001C513B">
        <w:rPr>
          <w:rFonts w:ascii="Calibri" w:eastAsia="等线" w:hAnsi="Calibri" w:cs="Times New Roman"/>
        </w:rPr>
        <w:t xml:space="preserve">. </w:t>
      </w:r>
      <w:r>
        <w:rPr>
          <w:rFonts w:ascii="Calibri" w:eastAsia="等线" w:hAnsi="Calibri" w:cs="Times New Roman"/>
        </w:rPr>
        <w:t>When examining the change from</w:t>
      </w:r>
      <w:r w:rsidRPr="001C513B">
        <w:rPr>
          <w:rFonts w:ascii="Calibri" w:eastAsia="等线" w:hAnsi="Calibri" w:cs="Times New Roman"/>
        </w:rPr>
        <w:t xml:space="preserve"> high to low additions of Mn </w:t>
      </w:r>
      <w:r>
        <w:rPr>
          <w:rFonts w:ascii="Calibri" w:eastAsia="等线" w:hAnsi="Calibri" w:cs="Times New Roman"/>
        </w:rPr>
        <w:t xml:space="preserve">in these </w:t>
      </w:r>
      <w:r w:rsidRPr="001C513B">
        <w:rPr>
          <w:rFonts w:ascii="Calibri" w:eastAsia="等线" w:hAnsi="Calibri" w:cs="Times New Roman"/>
        </w:rPr>
        <w:t>steel</w:t>
      </w:r>
      <w:r>
        <w:rPr>
          <w:rFonts w:ascii="Calibri" w:eastAsia="等线" w:hAnsi="Calibri" w:cs="Times New Roman"/>
        </w:rPr>
        <w:t>s</w:t>
      </w:r>
      <w:r w:rsidRPr="001C513B">
        <w:rPr>
          <w:rFonts w:ascii="Calibri" w:eastAsia="等线" w:hAnsi="Calibri" w:cs="Times New Roman"/>
        </w:rPr>
        <w:t xml:space="preserve">, </w:t>
      </w:r>
      <w:r>
        <w:rPr>
          <w:rFonts w:ascii="Calibri" w:eastAsia="等线" w:hAnsi="Calibri" w:cs="Times New Roman"/>
        </w:rPr>
        <w:t xml:space="preserve">a </w:t>
      </w:r>
      <w:r w:rsidRPr="001C513B">
        <w:rPr>
          <w:rFonts w:ascii="Calibri" w:eastAsia="等线" w:hAnsi="Calibri" w:cs="Times New Roman"/>
        </w:rPr>
        <w:t xml:space="preserve">reduction </w:t>
      </w:r>
      <w:r>
        <w:rPr>
          <w:rFonts w:ascii="Calibri" w:eastAsia="等线" w:hAnsi="Calibri" w:cs="Times New Roman"/>
        </w:rPr>
        <w:t>in</w:t>
      </w:r>
      <w:r w:rsidRPr="001C513B">
        <w:rPr>
          <w:rFonts w:ascii="Calibri" w:eastAsia="等线" w:hAnsi="Calibri" w:cs="Times New Roman"/>
        </w:rPr>
        <w:t xml:space="preserve"> SFE</w:t>
      </w:r>
      <w:r>
        <w:rPr>
          <w:rFonts w:ascii="Calibri" w:eastAsia="等线" w:hAnsi="Calibri" w:cs="Times New Roman"/>
        </w:rPr>
        <w:t xml:space="preserve"> was detected and result</w:t>
      </w:r>
      <w:r w:rsidR="00C53823">
        <w:rPr>
          <w:rFonts w:ascii="Calibri" w:eastAsia="等线" w:hAnsi="Calibri" w:cs="Times New Roman"/>
        </w:rPr>
        <w:t>ed</w:t>
      </w:r>
      <w:r>
        <w:rPr>
          <w:rFonts w:ascii="Calibri" w:eastAsia="等线" w:hAnsi="Calibri" w:cs="Times New Roman"/>
        </w:rPr>
        <w:t xml:space="preserve"> in</w:t>
      </w:r>
      <w:r w:rsidRPr="001C513B">
        <w:rPr>
          <w:rFonts w:ascii="Calibri" w:eastAsia="等线" w:hAnsi="Calibri" w:cs="Times New Roman"/>
        </w:rPr>
        <w:t xml:space="preserve"> the deformation mechanism</w:t>
      </w:r>
      <w:r>
        <w:rPr>
          <w:rFonts w:ascii="Calibri" w:eastAsia="等线" w:hAnsi="Calibri" w:cs="Times New Roman"/>
        </w:rPr>
        <w:t>s</w:t>
      </w:r>
      <w:r w:rsidRPr="001C513B">
        <w:rPr>
          <w:rFonts w:ascii="Calibri" w:eastAsia="等线" w:hAnsi="Calibri" w:cs="Times New Roman"/>
        </w:rPr>
        <w:t xml:space="preserve"> chang</w:t>
      </w:r>
      <w:r w:rsidR="00C53823">
        <w:rPr>
          <w:rFonts w:ascii="Calibri" w:eastAsia="等线" w:hAnsi="Calibri" w:cs="Times New Roman"/>
        </w:rPr>
        <w:t>ing</w:t>
      </w:r>
      <w:r w:rsidRPr="001C513B">
        <w:rPr>
          <w:rFonts w:ascii="Calibri" w:eastAsia="等线" w:hAnsi="Calibri" w:cs="Times New Roman"/>
        </w:rPr>
        <w:t xml:space="preserve"> from (i) </w:t>
      </w:r>
      <w:r>
        <w:rPr>
          <w:rFonts w:ascii="Calibri" w:eastAsia="等线" w:hAnsi="Calibri" w:cs="Times New Roman"/>
        </w:rPr>
        <w:t>d</w:t>
      </w:r>
      <w:r w:rsidRPr="001C513B">
        <w:rPr>
          <w:rFonts w:ascii="Calibri" w:eastAsia="等线" w:hAnsi="Calibri" w:cs="Times New Roman"/>
        </w:rPr>
        <w:t xml:space="preserve">islocation </w:t>
      </w:r>
      <w:r>
        <w:rPr>
          <w:rFonts w:ascii="Calibri" w:eastAsia="等线" w:hAnsi="Calibri" w:cs="Times New Roman"/>
        </w:rPr>
        <w:t>g</w:t>
      </w:r>
      <w:r w:rsidRPr="001C513B">
        <w:rPr>
          <w:rFonts w:ascii="Calibri" w:eastAsia="等线" w:hAnsi="Calibri" w:cs="Times New Roman"/>
        </w:rPr>
        <w:t>lide</w:t>
      </w:r>
      <w:r>
        <w:rPr>
          <w:rFonts w:ascii="Calibri" w:eastAsia="等线" w:hAnsi="Calibri" w:cs="Times New Roman"/>
        </w:rPr>
        <w:t>;</w:t>
      </w:r>
      <w:r w:rsidRPr="001C513B">
        <w:rPr>
          <w:rFonts w:ascii="Calibri" w:eastAsia="等线" w:hAnsi="Calibri" w:cs="Times New Roman"/>
        </w:rPr>
        <w:t xml:space="preserve"> to (ii) </w:t>
      </w:r>
      <w:r>
        <w:rPr>
          <w:rFonts w:ascii="Calibri" w:eastAsia="等线" w:hAnsi="Calibri" w:cs="Times New Roman"/>
        </w:rPr>
        <w:t>d</w:t>
      </w:r>
      <w:r w:rsidRPr="001C513B">
        <w:rPr>
          <w:rFonts w:ascii="Calibri" w:eastAsia="等线" w:hAnsi="Calibri" w:cs="Times New Roman"/>
        </w:rPr>
        <w:t xml:space="preserve">islocation </w:t>
      </w:r>
      <w:r>
        <w:rPr>
          <w:rFonts w:ascii="Calibri" w:eastAsia="等线" w:hAnsi="Calibri" w:cs="Times New Roman"/>
        </w:rPr>
        <w:t>g</w:t>
      </w:r>
      <w:r w:rsidRPr="001C513B">
        <w:rPr>
          <w:rFonts w:ascii="Calibri" w:eastAsia="等线" w:hAnsi="Calibri" w:cs="Times New Roman"/>
        </w:rPr>
        <w:t>lide cooperat</w:t>
      </w:r>
      <w:r>
        <w:rPr>
          <w:rFonts w:ascii="Calibri" w:eastAsia="等线" w:hAnsi="Calibri" w:cs="Times New Roman"/>
        </w:rPr>
        <w:t>ing</w:t>
      </w:r>
      <w:r w:rsidRPr="001C513B">
        <w:rPr>
          <w:rFonts w:ascii="Calibri" w:eastAsia="等线" w:hAnsi="Calibri" w:cs="Times New Roman"/>
        </w:rPr>
        <w:t xml:space="preserve"> with </w:t>
      </w:r>
      <w:r w:rsidRPr="001C513B">
        <w:rPr>
          <w:rFonts w:ascii="Calibri" w:eastAsia="等线" w:hAnsi="Calibri" w:cs="Times New Roman" w:hint="eastAsia"/>
        </w:rPr>
        <w:t>stress</w:t>
      </w:r>
      <w:r>
        <w:rPr>
          <w:rFonts w:ascii="Calibri" w:eastAsia="等线" w:hAnsi="Calibri" w:cs="Times New Roman"/>
        </w:rPr>
        <w:t>-</w:t>
      </w:r>
      <w:r w:rsidRPr="001C513B">
        <w:rPr>
          <w:rFonts w:ascii="Calibri" w:eastAsia="等线" w:hAnsi="Calibri" w:cs="Times New Roman" w:hint="eastAsia"/>
        </w:rPr>
        <w:t>induced</w:t>
      </w:r>
      <w:r w:rsidRPr="001C513B">
        <w:rPr>
          <w:rFonts w:ascii="Calibri" w:eastAsia="等线" w:hAnsi="Calibri" w:cs="Times New Roman"/>
        </w:rPr>
        <w:t xml:space="preserve"> </w:t>
      </w:r>
      <w:r w:rsidRPr="001C513B">
        <w:rPr>
          <w:rFonts w:ascii="Calibri" w:eastAsia="等线" w:hAnsi="Calibri" w:cs="Times New Roman" w:hint="eastAsia"/>
        </w:rPr>
        <w:t>martensit</w:t>
      </w:r>
      <w:r>
        <w:rPr>
          <w:rFonts w:ascii="Calibri" w:eastAsia="等线" w:hAnsi="Calibri" w:cs="Times New Roman"/>
        </w:rPr>
        <w:t>ic</w:t>
      </w:r>
      <w:r w:rsidRPr="001C513B">
        <w:rPr>
          <w:rFonts w:ascii="Calibri" w:eastAsia="等线" w:hAnsi="Calibri" w:cs="Times New Roman"/>
        </w:rPr>
        <w:t xml:space="preserve"> phase transformation</w:t>
      </w:r>
      <w:r>
        <w:rPr>
          <w:rFonts w:ascii="Calibri" w:eastAsia="等线" w:hAnsi="Calibri" w:cs="Times New Roman"/>
        </w:rPr>
        <w:t>; then finally</w:t>
      </w:r>
      <w:r w:rsidRPr="001C513B">
        <w:rPr>
          <w:rFonts w:ascii="Calibri" w:eastAsia="等线" w:hAnsi="Calibri" w:cs="Times New Roman"/>
        </w:rPr>
        <w:t xml:space="preserve"> to (iii) </w:t>
      </w:r>
      <w:r>
        <w:rPr>
          <w:rFonts w:ascii="Calibri" w:eastAsia="等线" w:hAnsi="Calibri" w:cs="Times New Roman"/>
        </w:rPr>
        <w:t>d</w:t>
      </w:r>
      <w:r w:rsidRPr="001C513B">
        <w:rPr>
          <w:rFonts w:ascii="Calibri" w:eastAsia="等线" w:hAnsi="Calibri" w:cs="Times New Roman"/>
        </w:rPr>
        <w:t xml:space="preserve">islocation </w:t>
      </w:r>
      <w:r w:rsidR="0045524B">
        <w:rPr>
          <w:rFonts w:ascii="Calibri" w:eastAsia="等线" w:hAnsi="Calibri" w:cs="Times New Roman"/>
        </w:rPr>
        <w:t>g</w:t>
      </w:r>
      <w:r w:rsidRPr="001C513B">
        <w:rPr>
          <w:rFonts w:ascii="Calibri" w:eastAsia="等线" w:hAnsi="Calibri" w:cs="Times New Roman"/>
        </w:rPr>
        <w:t>lide together with mechanical twinning. Origin</w:t>
      </w:r>
      <w:r>
        <w:rPr>
          <w:rFonts w:ascii="Calibri" w:eastAsia="等线" w:hAnsi="Calibri" w:cs="Times New Roman"/>
        </w:rPr>
        <w:t>ating</w:t>
      </w:r>
      <w:r w:rsidRPr="001C513B">
        <w:rPr>
          <w:rFonts w:ascii="Calibri" w:eastAsia="等线" w:hAnsi="Calibri" w:cs="Times New Roman"/>
        </w:rPr>
        <w:t xml:space="preserve"> from </w:t>
      </w:r>
      <w:r>
        <w:rPr>
          <w:rFonts w:ascii="Calibri" w:eastAsia="等线" w:hAnsi="Calibri" w:cs="Times New Roman"/>
        </w:rPr>
        <w:t xml:space="preserve">the effects of </w:t>
      </w:r>
      <w:r w:rsidRPr="001C513B">
        <w:rPr>
          <w:rFonts w:ascii="Calibri" w:eastAsia="等线" w:hAnsi="Calibri" w:cs="Times New Roman"/>
        </w:rPr>
        <w:t>stacking fault</w:t>
      </w:r>
      <w:r>
        <w:rPr>
          <w:rFonts w:ascii="Calibri" w:eastAsia="等线" w:hAnsi="Calibri" w:cs="Times New Roman"/>
        </w:rPr>
        <w:t xml:space="preserve"> energies</w:t>
      </w:r>
      <w:r w:rsidRPr="001C513B">
        <w:rPr>
          <w:rFonts w:ascii="Calibri" w:eastAsia="等线" w:hAnsi="Calibri" w:cs="Times New Roman"/>
        </w:rPr>
        <w:t xml:space="preserve">, the generation of mechanical twinning </w:t>
      </w:r>
      <w:r>
        <w:rPr>
          <w:rFonts w:ascii="Calibri" w:eastAsia="等线" w:hAnsi="Calibri" w:cs="Times New Roman"/>
        </w:rPr>
        <w:t>shares</w:t>
      </w:r>
      <w:r w:rsidRPr="001C513B">
        <w:rPr>
          <w:rFonts w:ascii="Calibri" w:eastAsia="等线" w:hAnsi="Calibri" w:cs="Times New Roman"/>
        </w:rPr>
        <w:t xml:space="preserve"> similar activation mechanism</w:t>
      </w:r>
      <w:r>
        <w:rPr>
          <w:rFonts w:ascii="Calibri" w:eastAsia="等线" w:hAnsi="Calibri" w:cs="Times New Roman"/>
        </w:rPr>
        <w:t>s</w:t>
      </w:r>
      <w:r w:rsidRPr="001C513B">
        <w:rPr>
          <w:rFonts w:ascii="Calibri" w:eastAsia="等线" w:hAnsi="Calibri" w:cs="Times New Roman"/>
        </w:rPr>
        <w:t xml:space="preserve"> with stress</w:t>
      </w:r>
      <w:r>
        <w:rPr>
          <w:rFonts w:ascii="Calibri" w:eastAsia="等线" w:hAnsi="Calibri" w:cs="Times New Roman"/>
        </w:rPr>
        <w:t>-</w:t>
      </w:r>
      <w:r w:rsidRPr="001C513B">
        <w:rPr>
          <w:rFonts w:ascii="Calibri" w:eastAsia="等线" w:hAnsi="Calibri" w:cs="Times New Roman"/>
        </w:rPr>
        <w:t>induced martensitic phase</w:t>
      </w:r>
      <w:r>
        <w:rPr>
          <w:rFonts w:ascii="Calibri" w:eastAsia="等线" w:hAnsi="Calibri" w:cs="Times New Roman"/>
        </w:rPr>
        <w:t xml:space="preserve"> formation, </w:t>
      </w:r>
      <w:r w:rsidRPr="001C513B">
        <w:rPr>
          <w:rFonts w:ascii="Calibri" w:eastAsia="等线" w:hAnsi="Calibri" w:cs="Times New Roman"/>
        </w:rPr>
        <w:t xml:space="preserve">which </w:t>
      </w:r>
      <w:r>
        <w:rPr>
          <w:rFonts w:ascii="Calibri" w:eastAsia="等线" w:hAnsi="Calibri" w:cs="Times New Roman"/>
        </w:rPr>
        <w:t xml:space="preserve">thus </w:t>
      </w:r>
      <w:r w:rsidRPr="001C513B">
        <w:rPr>
          <w:rFonts w:ascii="Calibri" w:eastAsia="等线" w:hAnsi="Calibri" w:cs="Times New Roman"/>
        </w:rPr>
        <w:t xml:space="preserve">enables the </w:t>
      </w:r>
      <w:r>
        <w:rPr>
          <w:rFonts w:ascii="Calibri" w:eastAsia="等线" w:hAnsi="Calibri" w:cs="Times New Roman"/>
        </w:rPr>
        <w:t>occurrence</w:t>
      </w:r>
      <w:r w:rsidRPr="001C513B">
        <w:rPr>
          <w:rFonts w:ascii="Calibri" w:eastAsia="等线" w:hAnsi="Calibri" w:cs="Times New Roman"/>
        </w:rPr>
        <w:t xml:space="preserve"> of TWIP and TRIP in these materials to be tuned by </w:t>
      </w:r>
      <w:r>
        <w:rPr>
          <w:rFonts w:ascii="Calibri" w:eastAsia="等线" w:hAnsi="Calibri" w:cs="Times New Roman"/>
        </w:rPr>
        <w:t>this</w:t>
      </w:r>
      <w:r w:rsidRPr="001C513B">
        <w:rPr>
          <w:rFonts w:ascii="Calibri" w:eastAsia="等线" w:hAnsi="Calibri" w:cs="Times New Roman"/>
        </w:rPr>
        <w:t xml:space="preserve"> single parameter </w:t>
      </w:r>
      <w:r w:rsidRPr="001C513B">
        <w:rPr>
          <w:rFonts w:ascii="Calibri" w:eastAsia="等线" w:hAnsi="Calibri" w:cs="Times New Roman"/>
        </w:rPr>
        <w:fldChar w:fldCharType="begin" w:fldLock="1"/>
      </w:r>
      <w:r>
        <w:rPr>
          <w:rFonts w:ascii="Calibri" w:eastAsia="等线" w:hAnsi="Calibri" w:cs="Times New Roman"/>
        </w:rPr>
        <w:instrText>ADDIN CSL_CITATION {"citationItems":[{"id":"ITEM-1","itemData":{"DOI":"10.1016/S0749-6419(00)00015-2","ISBN":"4937153161","ISSN":"07496419","abstract":"Deformation twinning, martensitic phase transformation and mechanical properties of austenitic Fe-(15-3</w:instrText>
      </w:r>
      <w:r>
        <w:rPr>
          <w:rFonts w:ascii="Calibri" w:eastAsia="等线" w:hAnsi="Calibri" w:cs="Times New Roman" w:hint="eastAsia"/>
        </w:rPr>
        <w:instrText xml:space="preserve">0) wt.%Mn steels with additions of aluminium and silicon have been investigated. It is known that additions of aluminium increase the stacking fault energy </w:instrText>
      </w:r>
      <w:r>
        <w:rPr>
          <w:rFonts w:ascii="Calibri" w:eastAsia="等线" w:hAnsi="Calibri" w:cs="Times New Roman" w:hint="eastAsia"/>
        </w:rPr>
        <w:instrText>γ</w:instrText>
      </w:r>
      <w:r>
        <w:rPr>
          <w:rFonts w:ascii="Calibri" w:eastAsia="等线" w:hAnsi="Calibri" w:cs="Times New Roman" w:hint="eastAsia"/>
        </w:rPr>
        <w:instrText xml:space="preserve">fccand therefore strongly suppress the </w:instrText>
      </w:r>
      <w:r>
        <w:rPr>
          <w:rFonts w:ascii="Calibri" w:eastAsia="等线" w:hAnsi="Calibri" w:cs="Times New Roman" w:hint="eastAsia"/>
        </w:rPr>
        <w:instrText>γ</w:instrText>
      </w:r>
      <w:r>
        <w:rPr>
          <w:rFonts w:ascii="Calibri" w:eastAsia="等线" w:hAnsi="Calibri" w:cs="Times New Roman" w:hint="eastAsia"/>
        </w:rPr>
        <w:instrText xml:space="preserve"> </w:instrText>
      </w:r>
      <w:r>
        <w:rPr>
          <w:rFonts w:ascii="Calibri" w:eastAsia="等线" w:hAnsi="Calibri" w:cs="Times New Roman" w:hint="eastAsia"/>
        </w:rPr>
        <w:instrText>→</w:instrText>
      </w:r>
      <w:r>
        <w:rPr>
          <w:rFonts w:ascii="Calibri" w:eastAsia="等线" w:hAnsi="Calibri" w:cs="Times New Roman" w:hint="eastAsia"/>
        </w:rPr>
        <w:instrText xml:space="preserve"> </w:instrText>
      </w:r>
      <w:r>
        <w:rPr>
          <w:rFonts w:ascii="Calibri" w:eastAsia="等线" w:hAnsi="Calibri" w:cs="Times New Roman" w:hint="eastAsia"/>
        </w:rPr>
        <w:instrText>ε</w:instrText>
      </w:r>
      <w:r>
        <w:rPr>
          <w:rFonts w:ascii="Calibri" w:eastAsia="等线" w:hAnsi="Calibri" w:cs="Times New Roman" w:hint="eastAsia"/>
        </w:rPr>
        <w:instrText xml:space="preserve"> transformation while silicon decrease </w:instrText>
      </w:r>
      <w:r>
        <w:rPr>
          <w:rFonts w:ascii="Calibri" w:eastAsia="等线" w:hAnsi="Calibri" w:cs="Times New Roman" w:hint="eastAsia"/>
        </w:rPr>
        <w:instrText>γ</w:instrText>
      </w:r>
      <w:r>
        <w:rPr>
          <w:rFonts w:ascii="Calibri" w:eastAsia="等线" w:hAnsi="Calibri" w:cs="Times New Roman" w:hint="eastAsia"/>
        </w:rPr>
        <w:instrText xml:space="preserve">fccand sustains the </w:instrText>
      </w:r>
      <w:r>
        <w:rPr>
          <w:rFonts w:ascii="Calibri" w:eastAsia="等线" w:hAnsi="Calibri" w:cs="Times New Roman" w:hint="eastAsia"/>
        </w:rPr>
        <w:instrText>γ</w:instrText>
      </w:r>
      <w:r>
        <w:rPr>
          <w:rFonts w:ascii="Calibri" w:eastAsia="等线" w:hAnsi="Calibri" w:cs="Times New Roman" w:hint="eastAsia"/>
        </w:rPr>
        <w:instrText xml:space="preserve"> </w:instrText>
      </w:r>
      <w:r>
        <w:rPr>
          <w:rFonts w:ascii="Calibri" w:eastAsia="等线" w:hAnsi="Calibri" w:cs="Times New Roman" w:hint="eastAsia"/>
        </w:rPr>
        <w:instrText>→</w:instrText>
      </w:r>
      <w:r>
        <w:rPr>
          <w:rFonts w:ascii="Calibri" w:eastAsia="等线" w:hAnsi="Calibri" w:cs="Times New Roman" w:hint="eastAsia"/>
        </w:rPr>
        <w:instrText xml:space="preserve"> </w:instrText>
      </w:r>
      <w:r>
        <w:rPr>
          <w:rFonts w:ascii="Calibri" w:eastAsia="等线" w:hAnsi="Calibri" w:cs="Times New Roman" w:hint="eastAsia"/>
        </w:rPr>
        <w:instrText>ε</w:instrText>
      </w:r>
      <w:r>
        <w:rPr>
          <w:rFonts w:ascii="Calibri" w:eastAsia="等线" w:hAnsi="Calibri" w:cs="Times New Roman" w:hint="eastAsia"/>
        </w:rPr>
        <w:instrText xml:space="preserve"> transformation. The </w:instrText>
      </w:r>
      <w:r>
        <w:rPr>
          <w:rFonts w:ascii="Calibri" w:eastAsia="等线" w:hAnsi="Calibri" w:cs="Times New Roman" w:hint="eastAsia"/>
        </w:rPr>
        <w:instrText>γ</w:instrText>
      </w:r>
      <w:r>
        <w:rPr>
          <w:rFonts w:ascii="Calibri" w:eastAsia="等线" w:hAnsi="Calibri" w:cs="Times New Roman" w:hint="eastAsia"/>
        </w:rPr>
        <w:instrText xml:space="preserve"> </w:instrText>
      </w:r>
      <w:r>
        <w:rPr>
          <w:rFonts w:ascii="Calibri" w:eastAsia="等线" w:hAnsi="Calibri" w:cs="Times New Roman" w:hint="eastAsia"/>
        </w:rPr>
        <w:instrText>→</w:instrText>
      </w:r>
      <w:r>
        <w:rPr>
          <w:rFonts w:ascii="Calibri" w:eastAsia="等线" w:hAnsi="Calibri" w:cs="Times New Roman" w:hint="eastAsia"/>
        </w:rPr>
        <w:instrText xml:space="preserve"> </w:instrText>
      </w:r>
      <w:r>
        <w:rPr>
          <w:rFonts w:ascii="Calibri" w:eastAsia="等线" w:hAnsi="Calibri" w:cs="Times New Roman" w:hint="eastAsia"/>
        </w:rPr>
        <w:instrText>ε</w:instrText>
      </w:r>
      <w:r>
        <w:rPr>
          <w:rFonts w:ascii="Calibri" w:eastAsia="等线" w:hAnsi="Calibri" w:cs="Times New Roman" w:hint="eastAsia"/>
        </w:rPr>
        <w:instrText xml:space="preserve"> phase transformation takes place in steels with </w:instrText>
      </w:r>
      <w:r>
        <w:rPr>
          <w:rFonts w:ascii="Calibri" w:eastAsia="等线" w:hAnsi="Calibri" w:cs="Times New Roman" w:hint="eastAsia"/>
        </w:rPr>
        <w:instrText>γ</w:instrText>
      </w:r>
      <w:r>
        <w:rPr>
          <w:rFonts w:ascii="Calibri" w:eastAsia="等线" w:hAnsi="Calibri" w:cs="Times New Roman" w:hint="eastAsia"/>
        </w:rPr>
        <w:instrText>fcc</w:instrText>
      </w:r>
      <w:r>
        <w:rPr>
          <w:rFonts w:ascii="Calibri" w:eastAsia="等线" w:hAnsi="Calibri" w:cs="Times New Roman" w:hint="eastAsia"/>
        </w:rPr>
        <w:instrText>≤</w:instrText>
      </w:r>
      <w:r>
        <w:rPr>
          <w:rFonts w:ascii="Calibri" w:eastAsia="等线" w:hAnsi="Calibri" w:cs="Times New Roman" w:hint="eastAsia"/>
        </w:rPr>
        <w:instrText>20 mJ/m2. For steels with higher stacking fault energy twinning is the main deformation mechanism. Tensile tests were carried out at different strain rates and temp</w:instrText>
      </w:r>
      <w:r>
        <w:rPr>
          <w:rFonts w:ascii="Calibri" w:eastAsia="等线" w:hAnsi="Calibri" w:cs="Times New Roman"/>
        </w:rPr>
        <w:instrText xml:space="preserve">eratures. The formation of twins, α- and ε- martensite during plastic deformation was analysed by optical microscopy, X-ray diffraction, scanning electron microscopy (SEM) and transmission electron microscopy (TEM). The developed light weight high manganese TRIP ('transformation induced plasticity') and TWIP ('twinning induced plasticity') steels exhibit high flow stress (600-1100 MPa) and extremely large elongation (60-95%) even at extremely high strain rates of about 103s-1. Recent trends in the automotive industry towards improved safety standards and a reduced weight as well as a more rational and cost effective manufacturing have led to great interest in these high strength and 'super tough' steels.","author":[{"dropping-particle":"","family":"Grässel","given":"O.","non-dropping-particle":"","parse-names":false,"suffix":""},{"dropping-particle":"","family":"Krüger","given":"L.","non-dropping-particle":"","parse-names":false,"suffix":""},{"dropping-particle":"","family":"Frommeyer","given":"G.","non-dropping-particle":"","parse-names":false,"suffix":""},{"dropping-particle":"","family":"Meyer","given":"L. W.","non-dropping-particle":"","parse-names":false,"suffix":""}],"container-title":"International journal of plasticity","id":"ITEM-1","issued":{"date-parts":[["2000"]]},"title":"High strength Fe-Mn-(Al, Si) TRIP/TWIP steels development - properties - application","type":"article-journal"},"uris":["http://www.mendeley.com/documents/?uuid=20f7e4fc-8b89-4f33-9de3-45470e696cb5"]},{"id":"ITEM-2","itemData":{"DOI":"10.1016/j.actamat.2014.01.001","ISBN":"13596454","ISSN":"13596454","PMID":"14814773","abstract":"The stacking fault and interfacial energies of three transformation- and twinning-induced plasticity steels (TRIP/TWIP) (Fe-22/25/28Mn-3Al-3Si wt.%) were determined by experimental and theoretical methods. Analysis of Shockley partial dislocation configurations in the three alloys using weak-beam dark-field transmission electron microscopy yielded stacking fault energy (SFE) values of 15 ± 3, 21 ± 3 and 39 ± 5 mJ m-2 for alloys with 22, 25 and 28 wt.% Mn, respectively. The experimental SFE includes a coherency strain energy of </w:instrText>
      </w:r>
      <w:r>
        <w:rPr>
          <w:rFonts w:ascii="Cambria Math" w:eastAsia="等线" w:hAnsi="Cambria Math" w:cs="Cambria Math"/>
        </w:rPr>
        <w:instrText>∼</w:instrText>
      </w:r>
      <w:r>
        <w:rPr>
          <w:rFonts w:ascii="Calibri" w:eastAsia="等线" w:hAnsi="Calibri" w:cs="Times New Roman"/>
        </w:rPr>
        <w:instrText>1-4 mJ m-2, determined by X-ray diffraction, which arises from the contraction in volume of the stacking fault upon the face-centered cubic (fcc) to hexagonal close-packed (hcp) phase transformation. The ideal SFE, computed as the difference between the experimental SFE and the coherency strain energy, is equal to14 ± 3, 19 ± 3 and 35 ± 5 mJ m-2, respectively. These SFE values were used in conjunction with a thermodynamic model developed in the present work to calculate the free energy difference of the fcc and hcp phases and to determine a probable range for the fcc/hcp interfacial energy in the three Fe-Mn-(Al-Si) steels investigated. In addition, the interfacial energies of three Fe-18Mn-0.6C-0/1.5(Al/Si) TWIP and five Fe-16/18/20/22/25Mn binary alloys were also determined from experimental data in the literature. The interfacial energy ranged from 8 to 12 mJ m-2 in the TRIP/TWIP steels and from 15 to 33 mJ m-2 in the binary Fe-Mn alloys. The interfacial energy exhibits a strong dependence on the difference in Gibbs energy of the individual fcc and hcp phases. Accordingly, an empirical description of this parameter is proposed to improve the accuracy of thermodynamic SFE calculations.© 2014 Acta Materialia Inc. Published by Elsevier Ltd. All rights reserved.","author":[{"dropping-particle":"","family":"Pierce","given":"D. T.","non-dropping-particle":"","parse-names":false,"suffix":""},{"dropping-particle":"","family":"Jiménez","given":"J. A.","non-dropping-particle":"","parse-names":false,"suffix":""},{"dropping-particle":"","family":"Bentley","given":"J.","non-dropping-particle":"","parse-names":false,"suffix":""},{"dropping-particle":"","family":"Raabe","given":"D.","non-dropping-particle":"","parse-names":false,"suffix":""},{"dropping-particle":"","family":"Oskay","given":"C.","non-dropping-particle":"","parse-names":false,"suffix":""},{"dropping-particle":"","family":"Wittig","given":"J. E.","non-dropping-particle":"","parse-names":false,"suffix":""}],"container-title":"Acta Materialia","id":"ITEM-2","issued":{"date-parts":[["2014"]]},"title":"The influence of manganese content on the stacking fault and austenite/ε-martensite interfacial energies in Fe-Mn-(Al-Si) steels investigated by experiment and theory","type":"article-journal"},"uris":["http://www.mendeley.com/documents/?uuid=02a17970-a993-48f6-bd15-e53613f65058"]}],"mendeley":{"formattedCitation":"[16,19]","plainTextFormattedCitation":"[16,19]","previouslyFormattedCitation":"[16,19]"},"properties":{"noteIndex":0},"schema":"https://github.com/citation-style-language/schema/raw/master/csl-citation.json"}</w:instrText>
      </w:r>
      <w:r w:rsidRPr="001C513B">
        <w:rPr>
          <w:rFonts w:ascii="Calibri" w:eastAsia="等线" w:hAnsi="Calibri" w:cs="Times New Roman"/>
        </w:rPr>
        <w:fldChar w:fldCharType="separate"/>
      </w:r>
      <w:r w:rsidRPr="001C513B">
        <w:rPr>
          <w:rFonts w:ascii="Calibri" w:eastAsia="等线" w:hAnsi="Calibri" w:cs="Times New Roman"/>
          <w:noProof/>
        </w:rPr>
        <w:t>[16,19]</w:t>
      </w:r>
      <w:r w:rsidRPr="001C513B">
        <w:rPr>
          <w:rFonts w:ascii="Calibri" w:eastAsia="等线" w:hAnsi="Calibri" w:cs="Times New Roman"/>
        </w:rPr>
        <w:fldChar w:fldCharType="end"/>
      </w:r>
      <w:r w:rsidRPr="001C513B">
        <w:rPr>
          <w:rFonts w:ascii="Calibri" w:eastAsia="等线" w:hAnsi="Calibri" w:cs="Times New Roman"/>
        </w:rPr>
        <w:t>. There are also two different pathways for TRIP formation in steels with varying Mn content</w:t>
      </w:r>
      <w:r>
        <w:rPr>
          <w:rFonts w:ascii="Calibri" w:eastAsia="等线" w:hAnsi="Calibri" w:cs="Times New Roman"/>
        </w:rPr>
        <w:t>, namely (a)</w:t>
      </w:r>
      <w:r w:rsidRPr="001C513B">
        <w:rPr>
          <w:rFonts w:ascii="Calibri" w:eastAsia="等线" w:hAnsi="Calibri" w:cs="Times New Roman"/>
        </w:rPr>
        <w:t xml:space="preserve"> the transformation path </w:t>
      </w:r>
      <w:r>
        <w:rPr>
          <w:rFonts w:ascii="Calibri" w:eastAsia="等线" w:hAnsi="Calibri" w:cs="Times New Roman"/>
        </w:rPr>
        <w:t>which transforms</w:t>
      </w:r>
      <w:r w:rsidRPr="001C513B">
        <w:rPr>
          <w:rFonts w:ascii="Calibri" w:eastAsia="等线" w:hAnsi="Calibri" w:cs="Times New Roman"/>
        </w:rPr>
        <w:t xml:space="preserve"> FCC</w:t>
      </w:r>
      <w:r>
        <w:rPr>
          <w:rFonts w:ascii="Calibri" w:eastAsia="等线" w:hAnsi="Calibri" w:cs="Times New Roman"/>
        </w:rPr>
        <w:t xml:space="preserve"> </w:t>
      </w:r>
      <w:r w:rsidRPr="001C513B">
        <w:rPr>
          <w:rFonts w:ascii="Calibri" w:eastAsia="等线" w:hAnsi="Calibri" w:cs="Times New Roman"/>
        </w:rPr>
        <w:t>austenite to a BCC or body centric tetragonal (BCT) structure</w:t>
      </w:r>
      <w:r>
        <w:rPr>
          <w:rFonts w:ascii="Calibri" w:eastAsia="等线" w:hAnsi="Calibri" w:cs="Times New Roman"/>
        </w:rPr>
        <w:t xml:space="preserve"> </w:t>
      </w:r>
      <w:r w:rsidRPr="001C513B">
        <w:rPr>
          <w:rFonts w:ascii="Calibri" w:eastAsia="等线" w:hAnsi="Calibri" w:cs="Times New Roman"/>
        </w:rPr>
        <w:fldChar w:fldCharType="begin" w:fldLock="1"/>
      </w:r>
      <w:r>
        <w:rPr>
          <w:rFonts w:ascii="Calibri" w:eastAsia="等线" w:hAnsi="Calibri" w:cs="Times New Roman"/>
        </w:rPr>
        <w:instrText>ADDIN CSL_CITATION {"citationItems":[{"id":"ITEM-1","itemData":{"DOI":"10.1016/j.ijplas.2015.11.004","ISBN":"0749-6419","ISSN":"07496419","abstract":"The additional deep cryogenic treatment process prior to intercritical annealing was employed to tailor the mechanical stability of austenite grains in a new medium Mn steel. As a consequence, the medium Mn steel after intercritical annealing contains the austenite grains with different mechanical stability due to the different grain size and C content. The large austenite grains with low C content transform to martensite prior to the strain of 9.5% due to their low mechanical stability and provide the transformation-induced plasticity (TRIP) effect during tensile test. On the other hand, the small austenite grains with high C content have high mechanical stability and proper stacking fault energy, therefore do not transform to martensite but offer the twinning-induced plasticity (TWIP) effect from 9.5% strain up to fracture. Subsequently some of the twinned austenite grains provide the nucleation site for martensite formation from the strain of 26.2% up to fracture, providing the TRIP effect again in the large strain regime. In summary, the present novel medium Mn steel has TRIP effect firstly, followed by TWIP effect and then TWIP + TRIP effects during tensile test, therefore demonstrating enhanced work hardening behavior and excellent tensile properties.","author":[{"dropping-particle":"","family":"He","given":"B. B.","non-dropping-particle":"","parse-names":false,"suffix":""},{"dropping-particle":"","family":"Luo","given":"H. W.","non-dropping-particle":"","parse-names":false,"suffix":""},{"dropping-particle":"","family":"Huang","given":"M. X.","non-dropping-particle":"","parse-names":false,"suffix":""}],"container-title":"International Journal of Plasticity","id":"ITEM-1","issued":{"date-parts":[["2016"]]},"title":"Experimental investigation on a novel medium Mn steel combining transformation-induced plasticity and twinning-induced plasticity effects","type":"article-journal"},"uris":["http://www.mendeley.com/documents/?uuid=5c28e66e-0b11-478f-b0f1-3c5e9f951547"]},{"id":"ITEM-2","itemData":{"DOI":"10.1007/s11661-006-0002-5","ISBN":"1073-5623","ISSN":"10735623","abstract":"The influence of Cr and N addit</w:instrText>
      </w:r>
      <w:r>
        <w:rPr>
          <w:rFonts w:ascii="Calibri" w:eastAsia="等线" w:hAnsi="Calibri" w:cs="Times New Roman" w:hint="eastAsia"/>
        </w:rPr>
        <w:instrText xml:space="preserve">ions on the mechanical properties of a Fe-Mn-C steel was investigated. The chemical composition was found to have a pronounced effect on the strain-hardening behavior, due to the strain-induced sequence of the </w:instrText>
      </w:r>
      <w:r>
        <w:rPr>
          <w:rFonts w:ascii="Calibri" w:eastAsia="等线" w:hAnsi="Calibri" w:cs="Times New Roman" w:hint="eastAsia"/>
        </w:rPr>
        <w:instrText></w:instrText>
      </w:r>
      <w:r>
        <w:rPr>
          <w:rFonts w:ascii="Calibri" w:eastAsia="等线" w:hAnsi="Calibri" w:cs="Times New Roman" w:hint="eastAsia"/>
        </w:rPr>
        <w:instrText>:</w:instrText>
      </w:r>
      <w:r>
        <w:rPr>
          <w:rFonts w:ascii="Calibri" w:eastAsia="等线" w:hAnsi="Calibri" w:cs="Times New Roman" w:hint="eastAsia"/>
        </w:rPr>
        <w:instrText></w:instrText>
      </w:r>
      <w:r>
        <w:rPr>
          <w:rFonts w:ascii="Calibri" w:eastAsia="等线" w:hAnsi="Calibri" w:cs="Times New Roman" w:hint="eastAsia"/>
        </w:rPr>
        <w:instrText>:</w:instrText>
      </w:r>
      <w:r>
        <w:rPr>
          <w:rFonts w:ascii="Calibri" w:eastAsia="等线" w:hAnsi="Calibri" w:cs="Times New Roman" w:hint="eastAsia"/>
        </w:rPr>
        <w:instrText></w:instrText>
      </w:r>
      <w:r>
        <w:rPr>
          <w:rFonts w:ascii="Calibri" w:eastAsia="等线" w:hAnsi="Calibri" w:cs="Times New Roman" w:hint="eastAsia"/>
        </w:rPr>
        <w:instrText xml:space="preserve"> martensitic transformations. It was found that Cr and N suppress this transformation sequence. At Cr levels higher than 7.5 mass pct, no </w:instrText>
      </w:r>
      <w:r>
        <w:rPr>
          <w:rFonts w:ascii="Calibri" w:eastAsia="等线" w:hAnsi="Calibri" w:cs="Times New Roman" w:hint="eastAsia"/>
        </w:rPr>
        <w:instrText></w:instrText>
      </w:r>
      <w:r>
        <w:rPr>
          <w:rFonts w:ascii="Calibri" w:eastAsia="等线" w:hAnsi="Calibri" w:cs="Times New Roman" w:hint="eastAsia"/>
        </w:rPr>
        <w:instrText xml:space="preserve"> martensite was formed, which led to a pronounced improvement of the ductility. The differences in transformation behav- ior can be attributed to the chan</w:instrText>
      </w:r>
      <w:r>
        <w:rPr>
          <w:rFonts w:ascii="Calibri" w:eastAsia="等线" w:hAnsi="Calibri" w:cs="Times New Roman"/>
        </w:rPr>
        <w:instrText>ge in the intrinsic stacking-fault energy (ISFE): in the compositional range studied, Cr and N additions cause an increase of the ISFE.","author":[{"dropping-particle":"","family":"Bracke","given":"Lieven","non-dropping-particle":"","parse-names":false,"suffix":""},{"dropping-particle":"","family":"Mertens","given":"Geert","non-dropping-particle":"","parse-names":false,"suffix":""},{"dropping-particle":"","family":"Penning","given":"Jan","non-dropping-particle":"","parse-names":false,"suffix":""},{"dropping-particle":"","family":"Cooman","given":"Bruno C.","non-dropping-particle":"De","parse-names":false,"suffix":""},{"dropping-particle":"","family":"Liebeherr","given":"Martin","non-dropping-particle":"","parse-names":false,"suffix":""},{"dropping-particle":"","family":"Akdut","given":"Nuri","non-dropping-particle":"","parse-names":false,"suffix":""}],"container-title":"Metallurgical and Materials Transactions A: Physical Metallurgy and Materials Science","id":"ITEM-2","issued":{"date-parts":[["2006"]]},"title":"Influence of phase transformations on the mechanical properties of high-strength austenitic Fe-Mn-Cr steel","type":"article-journal"},"uris":["http://www.mendeley.com/documents/?uuid=acbc6f46-bdb4-4f3f-9665-ec467e3630e4"]}],"mendeley":{"formattedCitation":"[20,21]","plainTextFormattedCitation":"[20,21]","previouslyFormattedCitation":"[20,21]"},"properties":{"noteIndex":0},"schema":"https://github.com/citation-style-language/schema/raw/master/csl-citation.json"}</w:instrText>
      </w:r>
      <w:r w:rsidRPr="001C513B">
        <w:rPr>
          <w:rFonts w:ascii="Calibri" w:eastAsia="等线" w:hAnsi="Calibri" w:cs="Times New Roman"/>
        </w:rPr>
        <w:fldChar w:fldCharType="separate"/>
      </w:r>
      <w:r w:rsidRPr="001C513B">
        <w:rPr>
          <w:rFonts w:ascii="Calibri" w:eastAsia="等线" w:hAnsi="Calibri" w:cs="Times New Roman"/>
          <w:noProof/>
        </w:rPr>
        <w:t>[20,21]</w:t>
      </w:r>
      <w:r w:rsidRPr="001C513B">
        <w:rPr>
          <w:rFonts w:ascii="Calibri" w:eastAsia="等线" w:hAnsi="Calibri" w:cs="Times New Roman"/>
        </w:rPr>
        <w:fldChar w:fldCharType="end"/>
      </w:r>
      <w:r>
        <w:rPr>
          <w:rFonts w:ascii="Calibri" w:eastAsia="等线" w:hAnsi="Calibri" w:cs="Times New Roman"/>
        </w:rPr>
        <w:t>; and (b) w</w:t>
      </w:r>
      <w:r w:rsidRPr="001C513B">
        <w:rPr>
          <w:rFonts w:ascii="Calibri" w:eastAsia="等线" w:hAnsi="Calibri" w:cs="Times New Roman"/>
        </w:rPr>
        <w:t xml:space="preserve">ith increasing content of Mn, </w:t>
      </w:r>
      <w:r w:rsidRPr="001C513B">
        <w:rPr>
          <w:rFonts w:ascii="Calibri" w:eastAsia="等线" w:hAnsi="Calibri" w:cs="Times New Roman" w:hint="eastAsia"/>
        </w:rPr>
        <w:t>the</w:t>
      </w:r>
      <w:r w:rsidRPr="001C513B">
        <w:rPr>
          <w:rFonts w:ascii="Calibri" w:eastAsia="等线" w:hAnsi="Calibri" w:cs="Times New Roman"/>
        </w:rPr>
        <w:t xml:space="preserve"> </w:t>
      </w:r>
      <w:r w:rsidRPr="001C513B">
        <w:rPr>
          <w:rFonts w:ascii="Calibri" w:eastAsia="等线" w:hAnsi="Calibri" w:cs="Times New Roman" w:hint="eastAsia"/>
        </w:rPr>
        <w:t>stress</w:t>
      </w:r>
      <w:r>
        <w:rPr>
          <w:rFonts w:ascii="Calibri" w:eastAsia="等线" w:hAnsi="Calibri" w:cs="Times New Roman"/>
        </w:rPr>
        <w:t>-</w:t>
      </w:r>
      <w:r w:rsidRPr="001C513B">
        <w:rPr>
          <w:rFonts w:ascii="Calibri" w:eastAsia="等线" w:hAnsi="Calibri" w:cs="Times New Roman" w:hint="eastAsia"/>
        </w:rPr>
        <w:lastRenderedPageBreak/>
        <w:t>induced</w:t>
      </w:r>
      <w:r w:rsidRPr="001C513B">
        <w:rPr>
          <w:rFonts w:ascii="Calibri" w:eastAsia="等线" w:hAnsi="Calibri" w:cs="Times New Roman"/>
        </w:rPr>
        <w:t xml:space="preserve"> martensi</w:t>
      </w:r>
      <w:r w:rsidRPr="001C513B">
        <w:rPr>
          <w:rFonts w:ascii="Calibri" w:eastAsia="等线" w:hAnsi="Calibri" w:cs="Times New Roman" w:hint="eastAsia"/>
        </w:rPr>
        <w:t>t</w:t>
      </w:r>
      <w:r>
        <w:rPr>
          <w:rFonts w:ascii="Calibri" w:eastAsia="等线" w:hAnsi="Calibri" w:cs="Times New Roman"/>
        </w:rPr>
        <w:t>ic</w:t>
      </w:r>
      <w:r w:rsidRPr="001C513B">
        <w:rPr>
          <w:rFonts w:ascii="Calibri" w:eastAsia="等线" w:hAnsi="Calibri" w:cs="Times New Roman"/>
        </w:rPr>
        <w:t xml:space="preserve"> phase transformation </w:t>
      </w:r>
      <w:r w:rsidRPr="001C513B">
        <w:rPr>
          <w:rFonts w:ascii="Calibri" w:eastAsia="等线" w:hAnsi="Calibri" w:cs="Times New Roman" w:hint="eastAsia"/>
        </w:rPr>
        <w:t>favour</w:t>
      </w:r>
      <w:r>
        <w:rPr>
          <w:rFonts w:ascii="Calibri" w:eastAsia="等线" w:hAnsi="Calibri" w:cs="Times New Roman"/>
        </w:rPr>
        <w:t>s</w:t>
      </w:r>
      <w:r w:rsidRPr="001C513B">
        <w:rPr>
          <w:rFonts w:ascii="Calibri" w:eastAsia="等线" w:hAnsi="Calibri" w:cs="Times New Roman"/>
        </w:rPr>
        <w:t xml:space="preserve"> transform</w:t>
      </w:r>
      <w:r>
        <w:rPr>
          <w:rFonts w:ascii="Calibri" w:eastAsia="等线" w:hAnsi="Calibri" w:cs="Times New Roman"/>
        </w:rPr>
        <w:t>ation of</w:t>
      </w:r>
      <w:r w:rsidRPr="001C513B">
        <w:rPr>
          <w:rFonts w:ascii="Calibri" w:eastAsia="等线" w:hAnsi="Calibri" w:cs="Times New Roman"/>
        </w:rPr>
        <w:t xml:space="preserve"> FCC austenite </w:t>
      </w:r>
      <w:r>
        <w:rPr>
          <w:rFonts w:ascii="Calibri" w:eastAsia="等线" w:hAnsi="Calibri" w:cs="Times New Roman"/>
        </w:rPr>
        <w:t>to</w:t>
      </w:r>
      <w:r w:rsidRPr="001C513B">
        <w:rPr>
          <w:rFonts w:ascii="Calibri" w:eastAsia="等线" w:hAnsi="Calibri" w:cs="Times New Roman"/>
        </w:rPr>
        <w:t xml:space="preserve"> </w:t>
      </w:r>
      <w:r w:rsidR="00C3021B">
        <w:rPr>
          <w:rFonts w:ascii="Calibri" w:eastAsia="等线" w:hAnsi="Calibri" w:cs="Times New Roman"/>
        </w:rPr>
        <w:t xml:space="preserve">HCP </w:t>
      </w:r>
      <w:r>
        <w:rPr>
          <w:rFonts w:ascii="Calibri" w:eastAsia="等线" w:hAnsi="Calibri" w:cs="Times New Roman"/>
        </w:rPr>
        <w:t>structure</w:t>
      </w:r>
      <w:r w:rsidRPr="001C513B">
        <w:rPr>
          <w:rFonts w:ascii="Calibri" w:eastAsia="等线" w:hAnsi="Calibri" w:cs="Times New Roman"/>
        </w:rPr>
        <w:t xml:space="preserve"> </w:t>
      </w:r>
      <w:r>
        <w:rPr>
          <w:rFonts w:ascii="Calibri" w:eastAsia="等线" w:hAnsi="Calibri" w:cs="Times New Roman"/>
        </w:rPr>
        <w:t>as opposed to</w:t>
      </w:r>
      <w:r w:rsidRPr="001C513B">
        <w:rPr>
          <w:rFonts w:ascii="Calibri" w:eastAsia="等线" w:hAnsi="Calibri" w:cs="Times New Roman"/>
        </w:rPr>
        <w:t xml:space="preserve"> </w:t>
      </w:r>
      <w:r>
        <w:rPr>
          <w:rFonts w:ascii="Calibri" w:eastAsia="等线" w:hAnsi="Calibri" w:cs="Times New Roman"/>
        </w:rPr>
        <w:t>transformation to</w:t>
      </w:r>
      <w:r w:rsidRPr="001C513B">
        <w:rPr>
          <w:rFonts w:ascii="Calibri" w:eastAsia="等线" w:hAnsi="Calibri" w:cs="Times New Roman"/>
        </w:rPr>
        <w:t xml:space="preserve"> BCC</w:t>
      </w:r>
      <w:r>
        <w:rPr>
          <w:rFonts w:ascii="Calibri" w:eastAsia="等线" w:hAnsi="Calibri" w:cs="Times New Roman"/>
        </w:rPr>
        <w:t xml:space="preserve"> structure</w:t>
      </w:r>
      <w:r w:rsidRPr="001C513B">
        <w:rPr>
          <w:rFonts w:ascii="Calibri" w:eastAsia="等线" w:hAnsi="Calibri" w:cs="Times New Roman"/>
        </w:rPr>
        <w:t xml:space="preserve">. </w:t>
      </w:r>
      <w:r>
        <w:rPr>
          <w:rFonts w:ascii="Calibri" w:eastAsia="等线" w:hAnsi="Calibri" w:cs="Times New Roman"/>
        </w:rPr>
        <w:t>It should be noted</w:t>
      </w:r>
      <w:r w:rsidRPr="001C513B">
        <w:rPr>
          <w:rFonts w:ascii="Calibri" w:eastAsia="等线" w:hAnsi="Calibri" w:cs="Times New Roman"/>
        </w:rPr>
        <w:t xml:space="preserve"> that between deformation mechanism</w:t>
      </w:r>
      <w:r>
        <w:rPr>
          <w:rFonts w:ascii="Calibri" w:eastAsia="等线" w:hAnsi="Calibri" w:cs="Times New Roman"/>
        </w:rPr>
        <w:t>s</w:t>
      </w:r>
      <w:r w:rsidRPr="001C513B">
        <w:rPr>
          <w:rFonts w:ascii="Calibri" w:eastAsia="等线" w:hAnsi="Calibri" w:cs="Times New Roman"/>
        </w:rPr>
        <w:t xml:space="preserve"> stage (ii) and (iii), there should be a certain range of Mn </w:t>
      </w:r>
      <w:r>
        <w:rPr>
          <w:rFonts w:ascii="Calibri" w:eastAsia="等线" w:hAnsi="Calibri" w:cs="Times New Roman"/>
        </w:rPr>
        <w:t>addition that</w:t>
      </w:r>
      <w:r w:rsidRPr="001C513B">
        <w:rPr>
          <w:rFonts w:ascii="Calibri" w:eastAsia="等线" w:hAnsi="Calibri" w:cs="Times New Roman"/>
        </w:rPr>
        <w:t xml:space="preserve"> </w:t>
      </w:r>
      <w:r>
        <w:rPr>
          <w:rFonts w:ascii="Calibri" w:eastAsia="等线" w:hAnsi="Calibri" w:cs="Times New Roman"/>
        </w:rPr>
        <w:t>allows</w:t>
      </w:r>
      <w:r w:rsidRPr="001C513B">
        <w:rPr>
          <w:rFonts w:ascii="Calibri" w:eastAsia="等线" w:hAnsi="Calibri" w:cs="Times New Roman"/>
        </w:rPr>
        <w:t xml:space="preserve"> TRIP and TWIP to cooperate simultaneously. </w:t>
      </w:r>
      <w:r>
        <w:rPr>
          <w:rFonts w:ascii="Calibri" w:eastAsia="等线" w:hAnsi="Calibri" w:cs="Times New Roman"/>
        </w:rPr>
        <w:t>By l</w:t>
      </w:r>
      <w:r w:rsidRPr="001C513B">
        <w:rPr>
          <w:rFonts w:ascii="Calibri" w:eastAsia="等线" w:hAnsi="Calibri" w:cs="Times New Roman"/>
        </w:rPr>
        <w:t>ow</w:t>
      </w:r>
      <w:r>
        <w:rPr>
          <w:rFonts w:ascii="Calibri" w:eastAsia="等线" w:hAnsi="Calibri" w:cs="Times New Roman"/>
        </w:rPr>
        <w:t>er</w:t>
      </w:r>
      <w:r w:rsidRPr="001C513B">
        <w:rPr>
          <w:rFonts w:ascii="Calibri" w:eastAsia="等线" w:hAnsi="Calibri" w:cs="Times New Roman"/>
        </w:rPr>
        <w:t>ing the Mn</w:t>
      </w:r>
      <w:r>
        <w:rPr>
          <w:rFonts w:ascii="Calibri" w:eastAsia="等线" w:hAnsi="Calibri" w:cs="Times New Roman"/>
        </w:rPr>
        <w:t xml:space="preserve"> content</w:t>
      </w:r>
      <w:r w:rsidRPr="001C513B">
        <w:rPr>
          <w:rFonts w:ascii="Calibri" w:eastAsia="等线" w:hAnsi="Calibri" w:cs="Times New Roman"/>
        </w:rPr>
        <w:t xml:space="preserve">, the SFE was reduced to </w:t>
      </w:r>
      <w:r>
        <w:rPr>
          <w:rFonts w:ascii="Calibri" w:eastAsia="等线" w:hAnsi="Calibri" w:cs="Times New Roman"/>
        </w:rPr>
        <w:t>a particular</w:t>
      </w:r>
      <w:r w:rsidRPr="001C513B">
        <w:rPr>
          <w:rFonts w:ascii="Calibri" w:eastAsia="等线" w:hAnsi="Calibri" w:cs="Times New Roman"/>
        </w:rPr>
        <w:t xml:space="preserve"> level which enable</w:t>
      </w:r>
      <w:r>
        <w:rPr>
          <w:rFonts w:ascii="Calibri" w:eastAsia="等线" w:hAnsi="Calibri" w:cs="Times New Roman"/>
        </w:rPr>
        <w:t>d</w:t>
      </w:r>
      <w:r w:rsidRPr="001C513B">
        <w:rPr>
          <w:rFonts w:ascii="Calibri" w:eastAsia="等线" w:hAnsi="Calibri" w:cs="Times New Roman"/>
        </w:rPr>
        <w:t xml:space="preserve"> TWIP and TRIP </w:t>
      </w:r>
      <w:r>
        <w:rPr>
          <w:rFonts w:ascii="Calibri" w:eastAsia="等线" w:hAnsi="Calibri" w:cs="Times New Roman"/>
        </w:rPr>
        <w:t>to be</w:t>
      </w:r>
      <w:r w:rsidRPr="001C513B">
        <w:rPr>
          <w:rFonts w:ascii="Calibri" w:eastAsia="等线" w:hAnsi="Calibri" w:cs="Times New Roman"/>
        </w:rPr>
        <w:t xml:space="preserve"> simultaneously</w:t>
      </w:r>
      <w:r>
        <w:rPr>
          <w:rFonts w:ascii="Calibri" w:eastAsia="等线" w:hAnsi="Calibri" w:cs="Times New Roman"/>
        </w:rPr>
        <w:t xml:space="preserve"> activated</w:t>
      </w:r>
      <w:r w:rsidRPr="001C513B">
        <w:rPr>
          <w:rFonts w:ascii="Calibri" w:eastAsia="等线" w:hAnsi="Calibri" w:cs="Times New Roman"/>
        </w:rPr>
        <w:t xml:space="preserve"> </w:t>
      </w:r>
      <w:r>
        <w:rPr>
          <w:rFonts w:ascii="Calibri" w:eastAsia="等线" w:hAnsi="Calibri" w:cs="Times New Roman"/>
        </w:rPr>
        <w:t xml:space="preserve">in </w:t>
      </w:r>
      <w:r w:rsidRPr="001C513B">
        <w:rPr>
          <w:rFonts w:ascii="Calibri" w:eastAsia="等线" w:hAnsi="Calibri" w:cs="Times New Roman"/>
        </w:rPr>
        <w:t xml:space="preserve">25% Mn content </w:t>
      </w:r>
      <w:r w:rsidR="00C53823">
        <w:rPr>
          <w:rFonts w:ascii="Calibri" w:eastAsia="等线" w:hAnsi="Calibri" w:cs="Times New Roman"/>
        </w:rPr>
        <w:t>s</w:t>
      </w:r>
      <w:r w:rsidRPr="001C513B">
        <w:rPr>
          <w:rFonts w:ascii="Calibri" w:eastAsia="等线" w:hAnsi="Calibri" w:cs="Times New Roman"/>
        </w:rPr>
        <w:t>teel. Further</w:t>
      </w:r>
      <w:r>
        <w:rPr>
          <w:rFonts w:ascii="Calibri" w:eastAsia="等线" w:hAnsi="Calibri" w:cs="Times New Roman"/>
        </w:rPr>
        <w:t>more</w:t>
      </w:r>
      <w:r w:rsidRPr="001C513B">
        <w:rPr>
          <w:rFonts w:ascii="Calibri" w:eastAsia="等线" w:hAnsi="Calibri" w:cs="Times New Roman"/>
        </w:rPr>
        <w:t xml:space="preserve">, the metastable engineering method was applied </w:t>
      </w:r>
      <w:r w:rsidR="00C53823">
        <w:rPr>
          <w:rFonts w:ascii="Calibri" w:eastAsia="等线" w:hAnsi="Calibri" w:cs="Times New Roman"/>
        </w:rPr>
        <w:t>to</w:t>
      </w:r>
      <w:r w:rsidR="00C53823" w:rsidRPr="001C513B">
        <w:rPr>
          <w:rFonts w:ascii="Calibri" w:eastAsia="等线" w:hAnsi="Calibri" w:cs="Times New Roman"/>
        </w:rPr>
        <w:t xml:space="preserve"> </w:t>
      </w:r>
      <w:r w:rsidRPr="001C513B">
        <w:rPr>
          <w:rFonts w:ascii="Calibri" w:eastAsia="等线" w:hAnsi="Calibri" w:cs="Times New Roman"/>
        </w:rPr>
        <w:t>HEA system</w:t>
      </w:r>
      <w:r>
        <w:rPr>
          <w:rFonts w:ascii="Calibri" w:eastAsia="等线" w:hAnsi="Calibri" w:cs="Times New Roman"/>
        </w:rPr>
        <w:t>s</w:t>
      </w:r>
      <w:r w:rsidRPr="001C513B">
        <w:rPr>
          <w:rFonts w:ascii="Calibri" w:eastAsia="等线" w:hAnsi="Calibri" w:cs="Times New Roman"/>
        </w:rPr>
        <w:t xml:space="preserve"> to </w:t>
      </w:r>
      <w:r>
        <w:rPr>
          <w:rFonts w:ascii="Calibri" w:eastAsia="等线" w:hAnsi="Calibri" w:cs="Times New Roman"/>
        </w:rPr>
        <w:t>aid in</w:t>
      </w:r>
      <w:r w:rsidRPr="001C513B">
        <w:rPr>
          <w:rFonts w:ascii="Calibri" w:eastAsia="等线" w:hAnsi="Calibri" w:cs="Times New Roman"/>
        </w:rPr>
        <w:t xml:space="preserve"> promot</w:t>
      </w:r>
      <w:r>
        <w:rPr>
          <w:rFonts w:ascii="Calibri" w:eastAsia="等线" w:hAnsi="Calibri" w:cs="Times New Roman"/>
        </w:rPr>
        <w:t xml:space="preserve">ing good </w:t>
      </w:r>
      <w:r w:rsidRPr="001C513B">
        <w:rPr>
          <w:rFonts w:ascii="Calibri" w:eastAsia="等线" w:hAnsi="Calibri" w:cs="Times New Roman"/>
        </w:rPr>
        <w:t xml:space="preserve">mechanical </w:t>
      </w:r>
      <w:r>
        <w:rPr>
          <w:rFonts w:ascii="Calibri" w:eastAsia="等线" w:hAnsi="Calibri" w:cs="Times New Roman"/>
        </w:rPr>
        <w:t>properties for</w:t>
      </w:r>
      <w:r w:rsidRPr="001C513B">
        <w:rPr>
          <w:rFonts w:ascii="Calibri" w:eastAsia="等线" w:hAnsi="Calibri" w:cs="Times New Roman"/>
        </w:rPr>
        <w:t xml:space="preserve"> the most well-known </w:t>
      </w:r>
      <w:r w:rsidR="00C53823">
        <w:rPr>
          <w:rFonts w:ascii="Calibri" w:eastAsia="等线" w:hAnsi="Calibri" w:cs="Times New Roman"/>
        </w:rPr>
        <w:t>‘C</w:t>
      </w:r>
      <w:r w:rsidRPr="001C513B">
        <w:rPr>
          <w:rFonts w:ascii="Calibri" w:eastAsia="等线" w:hAnsi="Calibri" w:cs="Times New Roman"/>
        </w:rPr>
        <w:t>antor</w:t>
      </w:r>
      <w:r w:rsidR="00C53823">
        <w:rPr>
          <w:rFonts w:ascii="Calibri" w:eastAsia="等线" w:hAnsi="Calibri" w:cs="Times New Roman"/>
        </w:rPr>
        <w:t>’</w:t>
      </w:r>
      <w:r w:rsidRPr="001C513B">
        <w:rPr>
          <w:rFonts w:ascii="Calibri" w:eastAsia="等线" w:hAnsi="Calibri" w:cs="Times New Roman"/>
        </w:rPr>
        <w:t xml:space="preserve"> CoCrFeNiMn HEAs</w:t>
      </w:r>
      <w:r w:rsidRPr="001C513B">
        <w:rPr>
          <w:rFonts w:ascii="Calibri" w:eastAsia="等线" w:hAnsi="Calibri" w:cs="Times New Roman"/>
        </w:rPr>
        <w:fldChar w:fldCharType="begin" w:fldLock="1"/>
      </w:r>
      <w:r>
        <w:rPr>
          <w:rFonts w:ascii="Calibri" w:eastAsia="等线" w:hAnsi="Calibri" w:cs="Times New Roman"/>
        </w:rPr>
        <w:instrText>ADDIN CSL_CITATION {"citationItems":[{"id":"ITEM-1","itemData":{"DOI":"10.1038/srep40704","ISBN":"2045-2322 (Electronic) 2045-2322 (Linking)","ISSN":"20452322","PMID":"28079175","abstract":"High-entropy alloys (HEAs) consisting of multiple principle elements provide an avenue for realizing exceptional mechanical, physical and chemical properties. We report a novel strategy for designing a new class of HEAs incorporating the additional interstitial element carbon. This results in joint activation of twinning- and transformation-induced plasticity (TWIP and TRIP) by tuning the matrix phase's instability in a metastable TRIP-assisted dual-phase HEA. Besides TWIP and TRIP, such alloys benefit from massive substitutional and interstitial solid solution strengthening as well as from the composite effect associated with its dual-phase structure. Nanosize particle formation and grain size reduction are also utilized. The new interstitial TWIP-TRIP-HEA thus unifies all metallic strengthening mechanisms in one material, leading to twice the tensile strength compared to a single-phase HEA with similar composition, yet, at identical ductility.","author":[{"dropping-particle":"","family":"Li","given":"Zhiming","non-dropping-particle":"","parse-names":false,"suffix":""},{"dropping-particle":"","family":"Tasan","given":"Cemal Cem","non-dropping-particle":"","parse-names":false,"suffix":""},{"dropping-particle":"","family":"Springer","given":"Hauke","non-dropping-particle":"","parse-names":false,"suffix":""},{"dropping-particle":"","family":"Gault","given":"Baptiste","non-dropping-particle":"","parse-names":false,"suffix":""},{"dropping-particle":"","family":"Raabe","given":"Dierk","non-dropping-particle":"","parse-names":false,"suffix":""}],"container-title":"Scientific Reports","id":"ITEM-1","issued":{"date-parts":[["2017"]]},"title":"Interstitial atoms enable joint twinning and transformation induced plasticity in strong and ductile high-entropy alloys","type":"article-journal"},"uris":["http://www.mendeley.com/documents/?uuid=c7455a60-96a1-4e22-952d-b474fbdf1317"]},{"id":"ITEM-2","itemData":{"DOI":"10.1038/nature17981","ISBN":"0028-0836","ISSN":"14764687","PMID":"27279217","abstract":"Metals have been mankind's most essential materials for thousands of years; however, their use is affected by ecological and economical concerns. Alloys with higher strength and ductility could alleviate some of these concerns by reducing weight and improving energy efficiency. However, most metallurgical mechanisms for increasing strength lead to ductility loss, an effect referred to as the strength-ductility trade-off. Here we present a metastability-engineering strategy in which we design nanostructured, bulk high-entropy alloys with multiple compositionally equivalent high-entropy phases. High-entropy alloys were originally proposed to benefit from phase stabilization through entropy maximization. Yet here, motivated by recent work that relaxes the strict restrictions on high-entropy alloy compositions by demonstrating the weakness of this connection, the concept is overturned. We decrease phase stability to achieve two key benefits: interface hardening due to a dual-phase microstructure (resulting from reduced thermal stability of the high-temperature phase); and transformation-induced hardening (resulting from the reduced mechanical stability of the room-temperature phase). This combines the best of two worlds: extensive hardening due to the decreased phase stability known from advanced steels and massive solid-solution strengthening of high-entropy alloys. In our transformation-induced plasticity-assisted, dual-phase high-entropy alloy (TRIP-DP-HEA), these two contributions lead respectively to enhanced trans-grain and inter-grain slip resistance, and hence, increased strength. Moreover, the increased strain hardening capacity that is enabled by dislocation hardening of the stable phase and transformation-induced hardening of the metastable phase produces increased ductility. This combined increase in strength and ductility distinguishes the TRIP-DP-HEA alloy from other recently developed structural materials. This metastability-engineering strategy should thus usefully guide design in the near-infinite compositional space of high-entropy alloys.","author":[{"dropping-particle":"","family":"Li","given":"Zhiming","non-dropping-particle":"","parse-names":false,"suffix":""},{"dropping-particle":"","family":"Pradeep","given":"Konda Gokuldoss","non-dropping-particle":"","parse-names":false,"suffix":""},{"dropping-particle":"","family":"Deng","given":"Yun","non-dropping-particle":"","parse-names":false,"suffix":""},{"dropping-particle":"","family":"Raabe","given":"Dierk","non-dropping-particle":"","parse-names":false,"suffix":""},{"dropping-particle":"","family":"Tasan","given":"Cemal Cem","non-dropping-particle":"","parse-names":false,"suffix":""}],"container-title":"Nature","id":"ITEM-2","issued":{"date-parts":[["2016"]]},"title":"Metastable high-entropy dual-phase alloys overcome the strength-ductility trade-off","type":"article-journal"},"uris":["http://www.mendeley.com/documents/?uuid=082f25b9-5d2c-4b7f-b69b-80e2c555b8ca"]},{"id":"ITEM-3","itemData":{"DOI":"10.1016/j.actamat.2017.03.069","ISBN":"13596454","ISSN":"13596454","abstract":"We present a systematic microstructure oriented mechanical property investigation for a newly developed class of transformation-induced plasticity-assisted dual-phase high-entropy alloys (TRIP-DP-HEAs) with varying grain sizes and phase fractions. The DP-HEAs in both, as-homogenized and recrystallized states consist of a face-centered cubic (FCC) matrix containing a high-density of stacking faults and a laminate hexagonal close-packed (HCP) phase. No elemental segregation was observed in grain interiors or at interfaces even down to near-atomic resolution, as confirmed by energy-dispersive X-ray spectroscopy and atom probe tomography. The strength-ductility combinations of the recrystallized DP-HEAs (Fe50Mn30Co10Cr10) with varying FCC grain sizes and HCP phase fractions prior to deformation are superior to those of the recrystallized equiatomic single-phase Cantor reference HEA (Fe20Mn20Ni20Co20Cr20). The multiple deformation micro-mechanisms (including strain-induced transformation from FCC to HCP phase) and dynamic strain partitioning behavior among the two phases are revealed in detail. Both, strength and ductility of the DP-HEAs increase with decreasing the average FCC matrix grain size and increasing the HCP phase fraction prior to loading (in the range of 10–35%) due to the resulting enhanced stability of the FCC matrix. These insights are used to project some future directions for designing advanced TRIP-HEAs through the adjustment of the matrix phase's stability by alloy tuning and grain size effects.","author":[{"dropping-particle":"","family":"Li","given":"Zhiming","non-dropping-particle":"","parse-names":false,"suffix":""},{"dropping-particle":"","family":"Tasan","given":"Cemal Cem","non-dropping-particle":"","parse-names":false,"suffix":""},{"dropping-particle":"","family":"Pradeep","given":"Konda Gokuldoss","non-dropping-particle":"","parse-names":false,"suffix":""},{"dropping-particle":"","family":"Raabe","given":"Dierk","non-dropping-particle":"","parse-names":false,"suffix":""}],"container-title":"Acta Materialia","id":"ITEM-3","issued":{"date-parts":[["2017"]]},"title":"A TRIP-assisted dual-phase high-entropy alloy: Grain size and phase fraction effects on deformation behavior","type":"article-journal"},"uris":["http://www.mendeley.com/documents/?uuid=8217745e-99df-4905-a59b-66827e38e19a"]},{"id":"ITEM-4","itemData":{"DOI":"10.1016/j.actamat.2015.04.014","ISBN":"13596454","ISSN":"13596454","abstract":"We introduce a liquid metallurgy synthesized, non-equiatomic Fe&lt;inf&gt;40&lt;/inf&gt;Mn&lt;inf&gt;40&lt;/inf&gt;Co&lt;inf&gt;10&lt;/inf&gt;Cr&lt;inf&gt;10&lt;/inf&gt; high entropy alloy that is designed to undergo mechanically-induced twinning upon deformation at room temperature. Microstructure characterization, carried out using SEM, TEM and APT shows a homogeneous fcc structured single phase solid solution in the as-cast, hot-rolled and homogenized states. Investigations of the deformation substructures at specific strain levels with electron channeling contrast imaging (ECCI) combined with EBSD reveal a clear change in the deformation mechanisms of the designed alloy starting from dislocation slip to twinning as a function of strain. Such twinning induced plasticity has only been observed under cryogenic conditions in the equiatomic FeMnNiCoCr high entropy alloy. Thus, despite the decreased contribution of solid solution strengthening, the tensile properties of the introduced lean alloy at room temperature are found to be comparable to that of the well-studied five component FeMnNiCoCr system.","author":[{"dropping-particle":"","family":"Deng","given":"Y.","non-dropping-particle":"","parse-names":false,"suffix":""},{"dropping-particle":"","family":"Tasan","given":"C. C.","non-dropping-particle":"","parse-names":false,"suffix":""},{"dropping-particle":"","family":"Pradeep","given":"K. G.","non-dropping-particle":"","parse-names":false,"suffix":""},{"dropping-particle":"","family":"Springer","given":"H.","non-dropping-particle":"","parse-names":false,"suffix":""},{"dropping-particle":"","family":"Kostka","given":"A.","non-dropping-particle":"","parse-names":false,"suffix":""},{"dropping-particle":"","family":"Raabe","given":"D.","non-dropping-particle":"","parse-names":false,"suffix":""}],"container-title":"Acta Materialia","id":"ITEM-4","issued":{"date-parts":[["2015"]]},"title":"Design of a twinning-induced plasticity high entropy alloy","type":"article-journal"},"uris":["http://www.mendeley.com/documents/?uuid=4d3e3d2f-70a0-4617-88b1-847e108297e4"]}],"mendeley":{"formattedCitation":"[22–25]","plainTextFormattedCitation":"[22–25]","previouslyFormattedCitation":"[22–25]"},"properties":{"noteIndex":0},"schema":"https://github.com/citation-style-language/schema/raw/master/csl-citation.json"}</w:instrText>
      </w:r>
      <w:r w:rsidRPr="001C513B">
        <w:rPr>
          <w:rFonts w:ascii="Calibri" w:eastAsia="等线" w:hAnsi="Calibri" w:cs="Times New Roman"/>
        </w:rPr>
        <w:fldChar w:fldCharType="separate"/>
      </w:r>
      <w:r w:rsidRPr="001C513B">
        <w:rPr>
          <w:rFonts w:ascii="Calibri" w:eastAsia="等线" w:hAnsi="Calibri" w:cs="Times New Roman"/>
          <w:noProof/>
        </w:rPr>
        <w:t>[22–25]</w:t>
      </w:r>
      <w:r w:rsidRPr="001C513B">
        <w:rPr>
          <w:rFonts w:ascii="Calibri" w:eastAsia="等线" w:hAnsi="Calibri" w:cs="Times New Roman"/>
        </w:rPr>
        <w:fldChar w:fldCharType="end"/>
      </w:r>
      <w:r w:rsidRPr="001C513B">
        <w:rPr>
          <w:rFonts w:ascii="Calibri" w:eastAsia="等线" w:hAnsi="Calibri" w:cs="Times New Roman"/>
        </w:rPr>
        <w:t xml:space="preserve">. </w:t>
      </w:r>
      <w:r>
        <w:rPr>
          <w:rFonts w:ascii="Calibri" w:eastAsia="等线" w:hAnsi="Calibri" w:cs="Times New Roman"/>
        </w:rPr>
        <w:t>When</w:t>
      </w:r>
      <w:r w:rsidRPr="001C513B">
        <w:rPr>
          <w:rFonts w:ascii="Calibri" w:eastAsia="等线" w:hAnsi="Calibri" w:cs="Times New Roman"/>
        </w:rPr>
        <w:t xml:space="preserve"> increas</w:t>
      </w:r>
      <w:r>
        <w:rPr>
          <w:rFonts w:ascii="Calibri" w:eastAsia="等线" w:hAnsi="Calibri" w:cs="Times New Roman"/>
        </w:rPr>
        <w:t>ing</w:t>
      </w:r>
      <w:r w:rsidRPr="001C513B">
        <w:rPr>
          <w:rFonts w:ascii="Calibri" w:eastAsia="等线" w:hAnsi="Calibri" w:cs="Times New Roman"/>
        </w:rPr>
        <w:t xml:space="preserve"> Mn content in </w:t>
      </w:r>
      <w:r>
        <w:rPr>
          <w:rFonts w:ascii="Calibri" w:eastAsia="等线" w:hAnsi="Calibri" w:cs="Times New Roman"/>
        </w:rPr>
        <w:t xml:space="preserve">the </w:t>
      </w:r>
      <w:r w:rsidRPr="001C513B">
        <w:rPr>
          <w:rFonts w:ascii="Calibri" w:eastAsia="等线" w:hAnsi="Calibri" w:cs="Times New Roman"/>
        </w:rPr>
        <w:t>CoCrFeNiMn system</w:t>
      </w:r>
      <w:r>
        <w:rPr>
          <w:rFonts w:ascii="Calibri" w:eastAsia="等线" w:hAnsi="Calibri" w:cs="Times New Roman"/>
        </w:rPr>
        <w:t xml:space="preserve"> (hence lowering</w:t>
      </w:r>
      <w:r w:rsidRPr="001C513B">
        <w:rPr>
          <w:rFonts w:ascii="Calibri" w:eastAsia="等线" w:hAnsi="Calibri" w:cs="Times New Roman"/>
        </w:rPr>
        <w:t xml:space="preserve"> SFE and FCC matrix phase stability</w:t>
      </w:r>
      <w:r>
        <w:rPr>
          <w:rFonts w:ascii="Calibri" w:eastAsia="等线" w:hAnsi="Calibri" w:cs="Times New Roman"/>
        </w:rPr>
        <w:t>)</w:t>
      </w:r>
      <w:r w:rsidRPr="001C513B">
        <w:rPr>
          <w:rFonts w:ascii="Calibri" w:eastAsia="等线" w:hAnsi="Calibri" w:cs="Times New Roman"/>
        </w:rPr>
        <w:t xml:space="preserve">, joint </w:t>
      </w:r>
      <w:r>
        <w:rPr>
          <w:rFonts w:ascii="Calibri" w:eastAsia="等线" w:hAnsi="Calibri" w:cs="Times New Roman"/>
        </w:rPr>
        <w:t>activation</w:t>
      </w:r>
      <w:r w:rsidRPr="001C513B">
        <w:rPr>
          <w:rFonts w:ascii="Calibri" w:eastAsia="等线" w:hAnsi="Calibri" w:cs="Times New Roman"/>
        </w:rPr>
        <w:t xml:space="preserve"> of TWIP and TRIP </w:t>
      </w:r>
      <w:r>
        <w:rPr>
          <w:rFonts w:ascii="Calibri" w:eastAsia="等线" w:hAnsi="Calibri" w:cs="Times New Roman"/>
        </w:rPr>
        <w:t xml:space="preserve">occurred </w:t>
      </w:r>
      <w:r w:rsidRPr="001C513B">
        <w:rPr>
          <w:rFonts w:ascii="Calibri" w:eastAsia="等线" w:hAnsi="Calibri" w:cs="Times New Roman"/>
        </w:rPr>
        <w:t>in a metastable TRIP-assisted dual-phase HEA</w:t>
      </w:r>
      <w:r>
        <w:rPr>
          <w:rFonts w:ascii="Calibri" w:eastAsia="等线" w:hAnsi="Calibri" w:cs="Times New Roman"/>
        </w:rPr>
        <w:t xml:space="preserve"> </w:t>
      </w:r>
      <w:r w:rsidRPr="001C513B">
        <w:rPr>
          <w:rFonts w:ascii="Calibri" w:eastAsia="等线" w:hAnsi="Calibri" w:cs="Times New Roman"/>
        </w:rPr>
        <w:fldChar w:fldCharType="begin" w:fldLock="1"/>
      </w:r>
      <w:r>
        <w:rPr>
          <w:rFonts w:ascii="Calibri" w:eastAsia="等线" w:hAnsi="Calibri" w:cs="Times New Roman"/>
        </w:rPr>
        <w:instrText>ADDIN CSL_CITATION {"citationItems":[{"id":"ITEM-1","itemData":{"DOI":"10.1038/nature17981","ISBN":"0028-0836","ISSN":"14764687","PMID":"27279217","abstract":"Metals have been mankind's most essential materials for thousands of years; however, their use is affected by ecological and economical concerns. Alloys with higher strength and ductility could alleviate some of these concerns by reducing weight and improving energy efficiency. However, most metallurgical mechanisms for increasing strength lead to ductility loss, an effect referred to as the strength-ductility trade-off. Here we present a metastability-engineering strategy in which we design nanostructured, bulk high-entropy alloys with multiple compositionally equivalent high-entropy phases. High-entropy alloys were originally proposed to benefit from phase stabilization through entropy maximization. Yet here, motivated by recent work that relaxes the strict restrictions on high-entropy alloy compositions by demonstrating the weakness of this connection, the concept is overturned. We decrease phase stability to achieve two key benefits: interface hardening due to a dual-phase microstructure (resulting from reduced thermal stability of the high-temperature phase); and transformation-induced hardening (resulting from the reduced mechanical stability of the room-temperature phase). This combines the best of two worlds: extensive hardening due to the decreased phase stability known from advanced steels and massive solid-solution strengthening of high-entropy alloys. In our transformation-induced plasticity-assisted, dual-phase high-entropy alloy (TRIP-DP-HEA), these two contributions lead respectively to enhanced trans-grain and inter-grain slip resistance, and hence, increased strength. Moreover, the increased strain hardening capacity that is enabled by dislocation hardening of the stable phase and transformation-induced hardening of the metastable phase produces increased ductility. This combined increase in strength and ductility distinguishes the TRIP-DP-HEA alloy from other recently developed structural materials. This metastability-engineering strategy should thus usefully guide design in the near-infinite compositional space of high-entropy alloys.","author":[{"dropping-particle":"","family":"Li","given":"Zhiming","non-dropping-particle":"","parse-names":false,"suffix":""},{"dropping-particle":"","family":"Pradeep","given":"Konda Gokuldoss","non-dropping-particle":"","parse-names":false,"suffix":""},{"dropping-particle":"","family":"Deng","given":"Yun","non-dropping-particle":"","parse-names":false,"suffix":""},{"dropping-particle":"","family":"Raabe","given":"Dierk","non-dropping-particle":"","parse-names":false,"suffix":""},{"dropping-particle":"","family":"Tasan","given":"Cemal Cem","non-dropping-particle":"","parse-names":false,"suffix":""}],"container-title":"Nature","id":"ITEM-1","issued":{"date-parts":[["2016"]]},"title":"Metastable high-entropy dual-phase alloys overcome the strength-ductility trade-off","type":"article-journal"},"uris":["http://www.mendeley.com/documents/?uuid=082f25b9-5d2c-4b7f-b69b-80e2c555b8ca"]},{"id":"ITEM-2","itemData":{"DOI":"10.1038/srep40704","ISBN":"2045-2322 (Electronic) 2045-2322 (Linking)","ISSN":"20452322","PMID":"28079175","abstract":"High-entropy alloys (HEAs) consisting of multiple principle elements provide an avenue for realizing exceptional mechanical, physical and chemical properties. We report a novel strategy for designing a new class of HEAs incorporating the additional interstitial element carbon. This results in joint activation of twinning- and transformation-induced plasticity (TWIP and TRIP) by tuning the matrix phase's instability in a metastable TRIP-assisted dual-phase HEA. Besides TWIP and TRIP, such alloys benefit from massive substitutional and interstitial solid solution strengthening as well as from the composite effect associated with its dual-phase structure. Nanosize particle formation and grain size reduction are also utilized. The new interstitial TWIP-TRIP-HEA thus unifies all metallic strengthening mechanisms in one material, leading to twice the tensile strength compared to a single-phase HEA with similar composition, yet, at identical ductility.","author":[{"dropping-particle":"","family":"Li","given":"Zhiming","non-dropping-particle":"","parse-names":false,"suffix":""},{"dropping-particle":"","family":"Tasan","given":"Cemal Cem","non-dropping-particle":"","parse-names":false,"suffix":""},{"dropping-particle":"","family":"Springer","given":"Hauke","non-dropping-particle":"","parse-names":false,"suffix":""},{"dropping-particle":"","family":"Gault","given":"Baptiste","non-dropping-particle":"","parse-names":false,"suffix":""},{"dropping-particle":"","family":"Raabe","given":"Dierk","non-dropping-particle":"","parse-names":false,"suffix":""}],"container-title":"Scientific Reports","id":"ITEM-2","issued":{"date-parts":[["2017"]]},"title":"Interstitial atoms enable joint twinning and transformation induced plasticity in strong and ductile high-entropy alloys","type":"article-journal"},"uris":["http://www.mendeley.com/documents/?uuid=c7455a60-96a1-4e22-952d-b474fbdf1317"]}],"mendeley":{"formattedCitation":"[22,23]","plainTextFormattedCitation":"[22,23]","previouslyFormattedCitation":"[22,23]"},"properties":{"noteIndex":0},"schema":"https://github.com/citation-style-language/schema/raw/master/csl-citation.json"}</w:instrText>
      </w:r>
      <w:r w:rsidRPr="001C513B">
        <w:rPr>
          <w:rFonts w:ascii="Calibri" w:eastAsia="等线" w:hAnsi="Calibri" w:cs="Times New Roman"/>
        </w:rPr>
        <w:fldChar w:fldCharType="separate"/>
      </w:r>
      <w:r w:rsidRPr="001C513B">
        <w:rPr>
          <w:rFonts w:ascii="Calibri" w:eastAsia="等线" w:hAnsi="Calibri" w:cs="Times New Roman"/>
          <w:noProof/>
        </w:rPr>
        <w:t>[22,23]</w:t>
      </w:r>
      <w:r w:rsidRPr="001C513B">
        <w:rPr>
          <w:rFonts w:ascii="Calibri" w:eastAsia="等线" w:hAnsi="Calibri" w:cs="Times New Roman"/>
        </w:rPr>
        <w:fldChar w:fldCharType="end"/>
      </w:r>
      <w:r w:rsidRPr="001C513B">
        <w:rPr>
          <w:rFonts w:ascii="Calibri" w:eastAsia="等线" w:hAnsi="Calibri" w:cs="Times New Roman"/>
        </w:rPr>
        <w:t>.</w:t>
      </w:r>
    </w:p>
    <w:p w14:paraId="13A6F850" w14:textId="1E93361E" w:rsidR="00B145BE" w:rsidRPr="001C513B" w:rsidRDefault="00B145BE" w:rsidP="00B145BE">
      <w:pPr>
        <w:spacing w:afterLines="60" w:after="144" w:line="360" w:lineRule="auto"/>
        <w:jc w:val="both"/>
        <w:rPr>
          <w:rFonts w:ascii="Calibri" w:eastAsia="等线" w:hAnsi="Calibri" w:cs="Times New Roman"/>
        </w:rPr>
      </w:pPr>
      <w:r>
        <w:rPr>
          <w:rFonts w:ascii="Calibri" w:eastAsia="等线" w:hAnsi="Calibri" w:cs="Times New Roman"/>
        </w:rPr>
        <w:t xml:space="preserve">A similar effect was observed for </w:t>
      </w:r>
      <w:r w:rsidR="00963D94">
        <w:rPr>
          <w:rFonts w:ascii="Calibri" w:eastAsia="等线" w:hAnsi="Calibri" w:cs="Times New Roman"/>
        </w:rPr>
        <w:t xml:space="preserve">a </w:t>
      </w:r>
      <w:r w:rsidRPr="001C513B">
        <w:rPr>
          <w:rFonts w:ascii="Calibri" w:eastAsia="等线" w:hAnsi="Calibri" w:cs="Times New Roman"/>
        </w:rPr>
        <w:t xml:space="preserve">metastable </w:t>
      </w:r>
      <w:r w:rsidRPr="001C513B">
        <w:rPr>
          <w:rFonts w:ascii="Calibri" w:eastAsia="等线" w:hAnsi="Calibri" w:cs="Calibri"/>
        </w:rPr>
        <w:t xml:space="preserve">β-Ti alloy, </w:t>
      </w:r>
      <w:r>
        <w:rPr>
          <w:rFonts w:ascii="Calibri" w:eastAsia="等线" w:hAnsi="Calibri" w:cs="Calibri"/>
        </w:rPr>
        <w:t xml:space="preserve">where </w:t>
      </w:r>
      <w:r w:rsidRPr="001C513B">
        <w:rPr>
          <w:rFonts w:ascii="Calibri" w:eastAsia="等线" w:hAnsi="Calibri" w:cs="Calibri"/>
        </w:rPr>
        <w:t>mechanical twinning and stress</w:t>
      </w:r>
      <w:r>
        <w:rPr>
          <w:rFonts w:ascii="Calibri" w:eastAsia="等线" w:hAnsi="Calibri" w:cs="Calibri"/>
        </w:rPr>
        <w:t>-</w:t>
      </w:r>
      <w:r w:rsidRPr="001C513B">
        <w:rPr>
          <w:rFonts w:ascii="Calibri" w:eastAsia="等线" w:hAnsi="Calibri" w:cs="Calibri"/>
        </w:rPr>
        <w:t xml:space="preserve">induced </w:t>
      </w:r>
      <w:r>
        <w:rPr>
          <w:rFonts w:ascii="Calibri" w:eastAsia="等线" w:hAnsi="Calibri" w:cs="Calibri"/>
        </w:rPr>
        <w:t xml:space="preserve">phase transformation (from </w:t>
      </w:r>
      <w:r w:rsidRPr="001C513B">
        <w:rPr>
          <w:rFonts w:ascii="Calibri" w:eastAsia="等线" w:hAnsi="Calibri" w:cs="Calibri"/>
        </w:rPr>
        <w:t>BCC to orthorhombic phase (β&gt;&gt;α’’)</w:t>
      </w:r>
      <w:r>
        <w:rPr>
          <w:rFonts w:ascii="Calibri" w:eastAsia="等线" w:hAnsi="Calibri" w:cs="Calibri"/>
        </w:rPr>
        <w:t>)</w:t>
      </w:r>
      <w:r w:rsidRPr="001C513B">
        <w:rPr>
          <w:rFonts w:ascii="Calibri" w:eastAsia="等线" w:hAnsi="Calibri" w:cs="Calibri"/>
        </w:rPr>
        <w:t xml:space="preserve"> </w:t>
      </w:r>
      <w:r>
        <w:rPr>
          <w:rFonts w:ascii="Calibri" w:eastAsia="等线" w:hAnsi="Calibri" w:cs="Calibri"/>
        </w:rPr>
        <w:t>were</w:t>
      </w:r>
      <w:r w:rsidRPr="001C513B">
        <w:rPr>
          <w:rFonts w:ascii="Calibri" w:eastAsia="等线" w:hAnsi="Calibri" w:cs="Calibri"/>
        </w:rPr>
        <w:t xml:space="preserve"> also </w:t>
      </w:r>
      <w:r>
        <w:rPr>
          <w:rFonts w:ascii="Calibri" w:eastAsia="等线" w:hAnsi="Calibri" w:cs="Calibri"/>
        </w:rPr>
        <w:t>found to occur</w:t>
      </w:r>
      <w:r w:rsidRPr="001C513B">
        <w:rPr>
          <w:rFonts w:ascii="Calibri" w:eastAsia="等线" w:hAnsi="Calibri" w:cs="Calibri"/>
        </w:rPr>
        <w:t xml:space="preserve"> simultaneously </w:t>
      </w:r>
      <w:r>
        <w:rPr>
          <w:rFonts w:ascii="Calibri" w:eastAsia="等线" w:hAnsi="Calibri" w:cs="Calibri"/>
        </w:rPr>
        <w:t>by</w:t>
      </w:r>
      <w:r w:rsidRPr="001C513B">
        <w:rPr>
          <w:rFonts w:ascii="Calibri" w:eastAsia="等线" w:hAnsi="Calibri" w:cs="Calibri"/>
        </w:rPr>
        <w:t xml:space="preserve"> adjust</w:t>
      </w:r>
      <w:r>
        <w:rPr>
          <w:rFonts w:ascii="Calibri" w:eastAsia="等线" w:hAnsi="Calibri" w:cs="Calibri"/>
        </w:rPr>
        <w:t>ing</w:t>
      </w:r>
      <w:r w:rsidRPr="001C513B">
        <w:rPr>
          <w:rFonts w:ascii="Calibri" w:eastAsia="等线" w:hAnsi="Calibri" w:cs="Calibri"/>
        </w:rPr>
        <w:t xml:space="preserve"> β phase stability</w:t>
      </w:r>
      <w:r>
        <w:rPr>
          <w:rFonts w:ascii="Calibri" w:eastAsia="等线" w:hAnsi="Calibri" w:cs="Calibri"/>
        </w:rPr>
        <w:t xml:space="preserve"> </w:t>
      </w:r>
      <w:r w:rsidRPr="001C513B">
        <w:rPr>
          <w:rFonts w:ascii="Calibri" w:eastAsia="等线" w:hAnsi="Calibri" w:cs="Calibri"/>
        </w:rPr>
        <w:fldChar w:fldCharType="begin" w:fldLock="1"/>
      </w:r>
      <w:r>
        <w:rPr>
          <w:rFonts w:ascii="Calibri" w:eastAsia="等线" w:hAnsi="Calibri" w:cs="Calibri"/>
        </w:rPr>
        <w:instrText>ADDIN CSL_CITATION {"citationItems":[{"id":"ITEM-1","itemData":{"DOI":"10.1016/j.scriptamat.2012.01.049","ISBN":"1359-6462","ISSN":"13596462","PMID":"9986980","abstract":"In this work, preliminary results are presented on attempts to develop a new family of titanium alloys with high ductility induced by combined transformation-induced plasticity and twinning-induced plasticity effects. Mechanical tests carried out on a binary β-metastable Ti-12 wt.% Mo alloy designed by a formulation strategy based on the</w:instrText>
      </w:r>
      <w:r>
        <w:rPr>
          <w:rFonts w:ascii="Calibri" w:eastAsia="等线" w:hAnsi="Calibri" w:cs="Calibri" w:hint="eastAsia"/>
        </w:rPr>
        <w:instrText xml:space="preserve"> \"d-electron alloy design\" show a very high work hardening rate. X-ray diffraction, electron backscattered diffraction and transmission electron microscopy reveal the mechanical activation of twinning and of </w:instrText>
      </w:r>
      <w:r>
        <w:rPr>
          <w:rFonts w:ascii="Calibri" w:eastAsia="等线" w:hAnsi="Calibri" w:cs="Calibri" w:hint="eastAsia"/>
        </w:rPr>
        <w:instrText>α′</w:instrText>
      </w:r>
      <w:r>
        <w:rPr>
          <w:rFonts w:ascii="Calibri" w:eastAsia="等线" w:hAnsi="Calibri" w:cs="Calibri" w:hint="eastAsia"/>
        </w:rPr>
        <w:instrText xml:space="preserve">, </w:instrText>
      </w:r>
      <w:r>
        <w:rPr>
          <w:rFonts w:ascii="Calibri" w:eastAsia="等线" w:hAnsi="Calibri" w:cs="Calibri" w:hint="eastAsia"/>
        </w:rPr>
        <w:instrText>α″</w:instrText>
      </w:r>
      <w:r>
        <w:rPr>
          <w:rFonts w:ascii="Calibri" w:eastAsia="等线" w:hAnsi="Calibri" w:cs="Calibri" w:hint="eastAsia"/>
        </w:rPr>
        <w:instrText xml:space="preserve"> and </w:instrText>
      </w:r>
      <w:r>
        <w:rPr>
          <w:rFonts w:ascii="Calibri" w:eastAsia="等线" w:hAnsi="Calibri" w:cs="Calibri" w:hint="eastAsia"/>
        </w:rPr>
        <w:instrText>ω</w:instrText>
      </w:r>
      <w:r>
        <w:rPr>
          <w:rFonts w:ascii="Calibri" w:eastAsia="等线" w:hAnsi="Calibri" w:cs="Calibri" w:hint="eastAsia"/>
        </w:rPr>
        <w:instrText xml:space="preserve"> phases. © 2012 Acta Materialia I</w:instrText>
      </w:r>
      <w:r>
        <w:rPr>
          <w:rFonts w:ascii="Calibri" w:eastAsia="等线" w:hAnsi="Calibri" w:cs="Calibri"/>
        </w:rPr>
        <w:instrText>nc. Published by Elsevier Ltd. All rights reserved.","author":[{"dropping-particle":"","family":"Marteleur","given":"Matthieu","non-dropping-particle":"","parse-names":false,"suffix":""},{"dropping-particle":"","family":"Sun","given":"Fan","non-dropping-particle":"","parse-names":false,"suffix":""},{"dropping-particle":"","family":"Gloriant","given":"Thierry","non-dropping-particle":"","parse-names":false,"suffix":""},{"dropping-particle":"","family":"Vermaut","given":"Philippe","non-dropping-particle":"","parse-names":false,"suffix":""},{"dropping-particle":"","family":"Jacques","given":"Pascal J.","non-dropping-particle":"","parse-names":false,"suffix":""},{"dropping-particle":"","family":"Prima","given":"Frédéric","non-dropping-particle":"","parse-names":false,"suffix":""}],"container-title":"Scripta Materialia","id":"ITEM-1","issued":{"date-parts":[["2012"]]},"title":"On the design of new β-metastable titanium alloys with improved work hardening rate thanks to simultaneous TRIP and TWIP effects","type":"article-journal"},"uris":["http://www.mendeley.com/documents/?uuid=3b3b3872-dccf-4265-8674-322c558de58e"]},{"id":"ITEM-2","itemData":{"DOI":"10.1016/j.actamat.2015.11.026","ISBN":"1359-6454","ISSN":"13596454","abstract":"A metastable β Ti-10V-3Fe-3Al-0.27O (wt.%) alloy was subjected to thermo-mechanical processing to induce α and ω phase formation, so that the alloy can exhibit the features responsible for both transformation induced plasticity (TRIP) and twinning induced plasticity (TWIP) behaviour du</w:instrText>
      </w:r>
      <w:r>
        <w:rPr>
          <w:rFonts w:ascii="Calibri" w:eastAsia="等线" w:hAnsi="Calibri" w:cs="Calibri" w:hint="eastAsia"/>
        </w:rPr>
        <w:instrText>ring deformation. The alloy thereafter was deformed at different strain rates (10-3, 10-1, 101, 102 s-1) at ambient temperature. At slow strain rate (</w:instrText>
      </w:r>
      <w:r>
        <w:rPr>
          <w:rFonts w:ascii="Calibri" w:eastAsia="等线" w:hAnsi="Calibri" w:cs="Calibri" w:hint="eastAsia"/>
        </w:rPr>
        <w:instrText>≤</w:instrText>
      </w:r>
      <w:r>
        <w:rPr>
          <w:rFonts w:ascii="Calibri" w:eastAsia="等线" w:hAnsi="Calibri" w:cs="Calibri" w:hint="eastAsia"/>
        </w:rPr>
        <w:instrText xml:space="preserve">10-3 s-1), in addition to slip the alloy displayed a dominant deformation mechanism with </w:instrText>
      </w:r>
      <w:r>
        <w:rPr>
          <w:rFonts w:ascii="Calibri" w:eastAsia="等线" w:hAnsi="Calibri" w:cs="Calibri" w:hint="eastAsia"/>
        </w:rPr>
        <w:instrText>α″</w:instrText>
      </w:r>
      <w:r>
        <w:rPr>
          <w:rFonts w:ascii="Calibri" w:eastAsia="等线" w:hAnsi="Calibri" w:cs="Calibri" w:hint="eastAsia"/>
        </w:rPr>
        <w:instrText xml:space="preserve"> martensite f</w:instrText>
      </w:r>
      <w:r>
        <w:rPr>
          <w:rFonts w:ascii="Calibri" w:eastAsia="等线" w:hAnsi="Calibri" w:cs="Calibri"/>
        </w:rPr>
        <w:instrText xml:space="preserve">ormation, where mechanical {332}&lt;113&gt;β twinning and deformation-induced ω phase were also activated. At an intermediate strain rate, 10-1 s-1, there was a competition between stress-induced phase transformations and stress-induced twinning deformation mechanisms. With increasing strain rate to 101 s-1 or higher; it was found that the dominant deformation mode was twinning. These results have been correlated with the β phase stability of the samples.","author":[{"dropping-particle":"","family":"Ahmed","given":"Mansur","non-dropping-particle":"","parse-names":false,"suffix":""},{"dropping-particle":"","family":"Wexler","given":"David","non-dropping-particle":"","parse-names":false,"suffix":""},{"dropping-particle":"","family":"Casillas","given":"Gilberto","non-dropping-particle":"","parse-names":false,"suffix":""},{"dropping-particle":"","family":"Savvakin","given":"Dmytro G.","non-dropping-particle":"","parse-names":false,"suffix":""},{"dropping-particle":"V.","family":"Pereloma","given":"Elena","non-dropping-particle":"","parse-names":false,"suffix":""}],"container-title":"Acta Materialia","id":"ITEM-2","issued":{"date-parts":[["2016"]]},"title":"Strain rate dependence of deformation-induced transformation and twinning in a metastable titanium alloy","type":"article-journal"},"uris":["http://www.mendeley.com/documents/?uuid=8c415ca2-3da2-4d94-8d43-398cd3b6fdfa"]},{"id":"ITEM-3","itemData":{"DOI":"10.1016/j.actamat.2013.07.019","ISBN":"13596454 (ISSN)","ISSN":"13596454","abstract":"As expected from the alloy design procedure, combined twinning-induced plasticity and transformation-induced plasticity effects are activated in a metastable β Ti-12 wt.% Mo alloy. In situ synchrotron X-ray diffraction, electron backscatter diffraction and transmission electron </w:instrText>
      </w:r>
      <w:r>
        <w:rPr>
          <w:rFonts w:ascii="Calibri" w:eastAsia="等线" w:hAnsi="Calibri" w:cs="Calibri" w:hint="eastAsia"/>
        </w:rPr>
        <w:instrText>microscopy observations were carried out to investigate the deformation mechanisms and microstructure evolution sequence. In the early deformation stage, primary strain/stress-induced phase transformations (</w:instrText>
      </w:r>
      <w:r>
        <w:rPr>
          <w:rFonts w:ascii="Calibri" w:eastAsia="等线" w:hAnsi="Calibri" w:cs="Calibri" w:hint="eastAsia"/>
        </w:rPr>
        <w:instrText>β</w:instrText>
      </w:r>
      <w:r>
        <w:rPr>
          <w:rFonts w:ascii="Calibri" w:eastAsia="等线" w:hAnsi="Calibri" w:cs="Calibri" w:hint="eastAsia"/>
        </w:rPr>
        <w:instrText xml:space="preserve"> </w:instrText>
      </w:r>
      <w:r>
        <w:rPr>
          <w:rFonts w:ascii="Calibri" w:eastAsia="等线" w:hAnsi="Calibri" w:cs="Calibri" w:hint="eastAsia"/>
        </w:rPr>
        <w:instrText>→</w:instrText>
      </w:r>
      <w:r>
        <w:rPr>
          <w:rFonts w:ascii="Calibri" w:eastAsia="等线" w:hAnsi="Calibri" w:cs="Calibri" w:hint="eastAsia"/>
        </w:rPr>
        <w:instrText xml:space="preserve"> </w:instrText>
      </w:r>
      <w:r>
        <w:rPr>
          <w:rFonts w:ascii="Calibri" w:eastAsia="等线" w:hAnsi="Calibri" w:cs="Calibri" w:hint="eastAsia"/>
        </w:rPr>
        <w:instrText>ω</w:instrText>
      </w:r>
      <w:r>
        <w:rPr>
          <w:rFonts w:ascii="Calibri" w:eastAsia="等线" w:hAnsi="Calibri" w:cs="Calibri" w:hint="eastAsia"/>
        </w:rPr>
        <w:instrText xml:space="preserve"> and </w:instrText>
      </w:r>
      <w:r>
        <w:rPr>
          <w:rFonts w:ascii="Calibri" w:eastAsia="等线" w:hAnsi="Calibri" w:cs="Calibri" w:hint="eastAsia"/>
        </w:rPr>
        <w:instrText>β</w:instrText>
      </w:r>
      <w:r>
        <w:rPr>
          <w:rFonts w:ascii="Calibri" w:eastAsia="等线" w:hAnsi="Calibri" w:cs="Calibri" w:hint="eastAsia"/>
        </w:rPr>
        <w:instrText xml:space="preserve"> </w:instrText>
      </w:r>
      <w:r>
        <w:rPr>
          <w:rFonts w:ascii="Calibri" w:eastAsia="等线" w:hAnsi="Calibri" w:cs="Calibri" w:hint="eastAsia"/>
        </w:rPr>
        <w:instrText>→</w:instrText>
      </w:r>
      <w:r>
        <w:rPr>
          <w:rFonts w:ascii="Calibri" w:eastAsia="等线" w:hAnsi="Calibri" w:cs="Calibri" w:hint="eastAsia"/>
        </w:rPr>
        <w:instrText xml:space="preserve"> </w:instrText>
      </w:r>
      <w:r>
        <w:rPr>
          <w:rFonts w:ascii="Calibri" w:eastAsia="等线" w:hAnsi="Calibri" w:cs="Calibri" w:hint="eastAsia"/>
        </w:rPr>
        <w:instrText>α″</w:instrText>
      </w:r>
      <w:r>
        <w:rPr>
          <w:rFonts w:ascii="Calibri" w:eastAsia="等线" w:hAnsi="Calibri" w:cs="Calibri" w:hint="eastAsia"/>
        </w:rPr>
        <w:instrText>) and primary mechanical twinnin</w:instrText>
      </w:r>
      <w:r>
        <w:rPr>
          <w:rFonts w:ascii="Calibri" w:eastAsia="等线" w:hAnsi="Calibri" w:cs="Calibri"/>
        </w:rPr>
        <w:instrText>g ({3 3 2}âŒ©1 1 3âŒ̈ and {1 1 2}âŒ©1 1 1âŒ̈) are activated simultaneously. Secondary martensitic phase transformation and secondary mechanical twinning are then triggered in the twinned β zones. The {3 3 2}âŒ©1 1 3âŒ̈ twinning and the subsequent secondary mechanisms dominate the early-stage deformation process. The evolution of the deformation microstructure results in a high strain-hardening rate (</w:instrText>
      </w:r>
      <w:r>
        <w:rPr>
          <w:rFonts w:ascii="Cambria Math" w:eastAsia="等线" w:hAnsi="Cambria Math" w:cs="Cambria Math"/>
        </w:rPr>
        <w:instrText>∼</w:instrText>
      </w:r>
      <w:r>
        <w:rPr>
          <w:rFonts w:ascii="Calibri" w:eastAsia="等线" w:hAnsi="Calibri" w:cs="Calibri"/>
        </w:rPr>
        <w:instrText>2 GPa), bringing about high tensile strength (</w:instrText>
      </w:r>
      <w:r>
        <w:rPr>
          <w:rFonts w:ascii="Cambria Math" w:eastAsia="等线" w:hAnsi="Cambria Math" w:cs="Cambria Math"/>
        </w:rPr>
        <w:instrText>∼</w:instrText>
      </w:r>
      <w:r>
        <w:rPr>
          <w:rFonts w:ascii="Calibri" w:eastAsia="等线" w:hAnsi="Calibri" w:cs="Calibri"/>
        </w:rPr>
        <w:instrText>1 GPa) and large uniform elongation (&gt;0.38).","author":[{"dropping-particle":"","family":"Sun","given":"F.","non-dropping-particle":"","parse-names":false,"suffix":""},{"dropping-particle":"","family":"Zhang","given":"J. Y.","non-dropping-particle":"","parse-names":false,"suffix":""},{"dropping-particle":"","family":"Marteleur","given":"M.","non-dropping-particle":"","parse-names":false,"suffix":""},{"dropping-particle":"","family":"Gloriant","given":"T.","non-dropping-particle":"","parse-names":false,"suffix":""},{"dropping-particle":"","family":"Vermaut","given":"P.","non-dropping-particle":"","parse-names":false,"suffix":""},{"dropping-particle":"","family":"Laillé","given":"D.","non-dropping-particle":"","parse-names":false,"suffix":""},{"dropping-particle":"","family":"Castany","given":"P.","non-dropping-particle":"","parse-names":false,"suffix":""},{"dropping-particle":"","family":"Curfs","given":"C.","non-dropping-particle":"","parse-names":false,"suffix":""},{"dropping-particle":"","family":"Jacques","given":"P. J.","non-dropping-particle":"","parse-names":false,"suffix":""},{"dropping-particle":"","family":"Prima","given":"F.","non-dropping-particle":"","parse-names":false,"suffix":""}],"container-title":"Acta Materialia","id":"ITEM-3","issued":{"date-parts":[["2013"]]},"title":"Investigation of early stage deformation mechanisms in a metastable β titanium alloy showing combined twinning-induced plasticity and transformation-induced plasticity effects","type":"article-journal"},"uris":["http://www.mendeley.com/documents/?uuid=282e5afc-69ac-4ad1-b3d5-2779e68c749a"]},{"id":"ITEM-4","itemData":{"DOI":"10.1016/j.scriptamat.2014.09.005","ISBN":"13596462","ISSN":"13596462","abstract":"A ternary β-metastable titanium Ti-9Mo-6W (wt.%) was designed. A very high work hardening rate close to 2100 MPa and a uniform deformation larger than 35% were recorded, thanks to combined transformation-induced plasticity and twinning-induced plasticity effects. In this paper, detailed microstructural analysis was performed to understand the deformation process. Various mechanis</w:instrText>
      </w:r>
      <w:r>
        <w:rPr>
          <w:rFonts w:ascii="Calibri" w:eastAsia="等线" w:hAnsi="Calibri" w:cs="Calibri" w:hint="eastAsia"/>
        </w:rPr>
        <w:instrText>ms, {3 3 2}</w:instrText>
      </w:r>
      <w:r>
        <w:rPr>
          <w:rFonts w:ascii="Calibri" w:eastAsia="等线" w:hAnsi="Calibri" w:cs="Calibri" w:hint="eastAsia"/>
        </w:rPr>
        <w:instrText>〈</w:instrText>
      </w:r>
      <w:r>
        <w:rPr>
          <w:rFonts w:ascii="Calibri" w:eastAsia="等线" w:hAnsi="Calibri" w:cs="Calibri" w:hint="eastAsia"/>
        </w:rPr>
        <w:instrText>1 1 3</w:instrText>
      </w:r>
      <w:r>
        <w:rPr>
          <w:rFonts w:ascii="Calibri" w:eastAsia="等线" w:hAnsi="Calibri" w:cs="Calibri" w:hint="eastAsia"/>
        </w:rPr>
        <w:instrText>〉</w:instrText>
      </w:r>
      <w:r>
        <w:rPr>
          <w:rFonts w:ascii="Calibri" w:eastAsia="等线" w:hAnsi="Calibri" w:cs="Calibri" w:hint="eastAsia"/>
        </w:rPr>
        <w:instrText xml:space="preserve"> mechanical twinning, stress-induced </w:instrText>
      </w:r>
      <w:r>
        <w:rPr>
          <w:rFonts w:ascii="Calibri" w:eastAsia="等线" w:hAnsi="Calibri" w:cs="Calibri" w:hint="eastAsia"/>
        </w:rPr>
        <w:instrText>ω</w:instrText>
      </w:r>
      <w:r>
        <w:rPr>
          <w:rFonts w:ascii="Calibri" w:eastAsia="等线" w:hAnsi="Calibri" w:cs="Calibri" w:hint="eastAsia"/>
        </w:rPr>
        <w:instrText xml:space="preserve"> phase and stress-induced </w:instrText>
      </w:r>
      <w:r>
        <w:rPr>
          <w:rFonts w:ascii="Calibri" w:eastAsia="等线" w:hAnsi="Calibri" w:cs="Calibri" w:hint="eastAsia"/>
        </w:rPr>
        <w:instrText>α″</w:instrText>
      </w:r>
      <w:r>
        <w:rPr>
          <w:rFonts w:ascii="Calibri" w:eastAsia="等线" w:hAnsi="Calibri" w:cs="Calibri" w:hint="eastAsia"/>
        </w:rPr>
        <w:instrText xml:space="preserve"> martensite were identified after mechanical testing, resulting in a complex network of deformed microstructures with very special synergetic features.","author":[{"droppi</w:instrText>
      </w:r>
      <w:r>
        <w:rPr>
          <w:rFonts w:ascii="Calibri" w:eastAsia="等线" w:hAnsi="Calibri" w:cs="Calibri"/>
        </w:rPr>
        <w:instrText>ng-particle":"","family":"Sun","given":"F.","non-dropping-particle":"","parse-names":false,"suffix":""},{"dropping-particle":"","family":"Zhang","given":"J. Y.","non-dropping-particle":"","parse-names":false,"suffix":""},{"dropping-particle":"","family":"Marteleur","given":"M.","non-dropping-particle":"","parse-names":false,"suffix":""},{"dropping-particle":"","family":"Brozek","given":"C.","non-dropping-particle":"","parse-names":false,"suffix":""},{"dropping-particle":"","family":"Rauch","given":"E. F.","non-dropping-particle":"","parse-names":false,"suffix":""},{"dropping-particle":"","family":"Veron","given":"M.","non-dropping-particle":"","parse-names":false,"suffix":""},{"dropping-particle":"","family":"Vermaut","given":"P.","non-dropping-particle":"","parse-names":false,"suffix":""},{"dropping-particle":"","family":"Jacques","given":"P. J.","non-dropping-particle":"","parse-names":false,"suffix":""},{"dropping-particle":"","family":"Prima","given":"F.","non-dropping-particle":"","parse-names":false,"suffix":""}],"container-title":"Scripta Materialia","id":"ITEM-4","issued":{"date-parts":[["2015"]]},"title":"A new titanium alloy with a combination of high strength, high strain hardening and improved ductility","type":"article-journal"},"uris":["http://www.mendeley.com/documents/?uuid=f1f642f4-0331-4684-8f5a-364cf9924139"]}],"mendeley":{"formattedCitation":"[12,17,26,27]","plainTextFormattedCitation":"[12,17,26,27]","previouslyFormattedCitation":"[12,17,26,27]"},"properties":{"noteIndex":0},"schema":"https://github.com/citation-style-language/schema/raw/master/csl-citation.json"}</w:instrText>
      </w:r>
      <w:r w:rsidRPr="001C513B">
        <w:rPr>
          <w:rFonts w:ascii="Calibri" w:eastAsia="等线" w:hAnsi="Calibri" w:cs="Calibri"/>
        </w:rPr>
        <w:fldChar w:fldCharType="separate"/>
      </w:r>
      <w:r w:rsidRPr="001C513B">
        <w:rPr>
          <w:rFonts w:ascii="Calibri" w:eastAsia="等线" w:hAnsi="Calibri" w:cs="Calibri"/>
          <w:noProof/>
        </w:rPr>
        <w:t>[12,17,26,27]</w:t>
      </w:r>
      <w:r w:rsidRPr="001C513B">
        <w:rPr>
          <w:rFonts w:ascii="Calibri" w:eastAsia="等线" w:hAnsi="Calibri" w:cs="Calibri"/>
        </w:rPr>
        <w:fldChar w:fldCharType="end"/>
      </w:r>
      <w:r w:rsidRPr="001C513B">
        <w:rPr>
          <w:rFonts w:ascii="Calibri" w:eastAsia="等线" w:hAnsi="Calibri" w:cs="Calibri"/>
        </w:rPr>
        <w:t xml:space="preserve">. The </w:t>
      </w:r>
      <w:r>
        <w:rPr>
          <w:rFonts w:ascii="Calibri" w:eastAsia="等线" w:hAnsi="Calibri" w:cs="Calibri"/>
        </w:rPr>
        <w:t>quantification</w:t>
      </w:r>
      <w:r w:rsidRPr="001C513B">
        <w:rPr>
          <w:rFonts w:ascii="Calibri" w:eastAsia="等线" w:hAnsi="Calibri" w:cs="Calibri"/>
        </w:rPr>
        <w:t xml:space="preserve"> of β phase stability was represent</w:t>
      </w:r>
      <w:r>
        <w:rPr>
          <w:rFonts w:ascii="Calibri" w:eastAsia="等线" w:hAnsi="Calibri" w:cs="Calibri"/>
        </w:rPr>
        <w:t>ed</w:t>
      </w:r>
      <w:r w:rsidRPr="001C513B">
        <w:rPr>
          <w:rFonts w:ascii="Calibri" w:eastAsia="等线" w:hAnsi="Calibri" w:cs="Calibri"/>
        </w:rPr>
        <w:t xml:space="preserve"> by </w:t>
      </w:r>
      <w:r>
        <w:rPr>
          <w:rFonts w:ascii="Calibri" w:eastAsia="等线" w:hAnsi="Calibri" w:cs="Calibri"/>
        </w:rPr>
        <w:t xml:space="preserve">the </w:t>
      </w:r>
      <w:r w:rsidRPr="001C513B">
        <w:rPr>
          <w:rFonts w:ascii="Calibri" w:eastAsia="等线" w:hAnsi="Calibri" w:cs="Calibri"/>
        </w:rPr>
        <w:t>e/a ratio</w:t>
      </w:r>
      <w:r>
        <w:rPr>
          <w:rFonts w:ascii="Calibri" w:eastAsia="等线" w:hAnsi="Calibri" w:cs="Calibri"/>
        </w:rPr>
        <w:t xml:space="preserve"> </w:t>
      </w:r>
      <w:r w:rsidRPr="001C513B">
        <w:rPr>
          <w:rFonts w:ascii="Calibri" w:eastAsia="等线" w:hAnsi="Calibri" w:cs="Calibri"/>
        </w:rPr>
        <w:t>(valence electron per atom) or valence electron concentration</w:t>
      </w:r>
      <w:r>
        <w:rPr>
          <w:rFonts w:ascii="Calibri" w:eastAsia="等线" w:hAnsi="Calibri" w:cs="Calibri"/>
        </w:rPr>
        <w:t xml:space="preserve"> </w:t>
      </w:r>
      <w:r w:rsidRPr="001C513B">
        <w:rPr>
          <w:rFonts w:ascii="Calibri" w:eastAsia="等线" w:hAnsi="Calibri" w:cs="Calibri"/>
        </w:rPr>
        <w:fldChar w:fldCharType="begin" w:fldLock="1"/>
      </w:r>
      <w:r>
        <w:rPr>
          <w:rFonts w:ascii="Calibri" w:eastAsia="等线" w:hAnsi="Calibri" w:cs="Calibri"/>
        </w:rPr>
        <w:instrText>ADDIN CSL_CITATION {"citationItems":[{"id":"ITEM-1","itemData":{"DOI":"10.1023/A:1004853304704","ISSN":"00222461","abstract":"Hume-Rothery and his co-workers demonstrated the importance of the electron-to-atom (e/a) ratio in controlling the range of stability of solid solutions, intermetallic compound formation and liquidus temperatures in metals and alloys. Since then, this parameter has been shown to vary in a systematic manner with a number of other properties such as the axial ratio of hexagonal phases, formation of defect phases, stacking fault energy, electronic specific heat coefficient, flow stress, superconducting transition temperature, stress corrosion cracking, elastic constants, activation energy for diffusion etc. These relationships are reviewed here to show that the e/a ratio constitutes a useful parameter for rationalizing the effect of solute additions, in dilute concentration, on several properties of the solvent matrix. This approach can also be used in a limited way even in concentrated alloys.","author":[{"dropping-particle":"","family":"Tiwari","given":"G. P.","non-dropping-particle":"","parse-names":false,"suffix":""},{"dropping-particle":"V.","family":"Ramanujan","given":"R.","non-dropping-particle":"","parse-names":false,"suffix":""}],"container-title":"Journal of Materials Science","id":"ITEM-1","issued":{"date-parts":[["2001"]]},"title":"Relation between the electron to atom ratio and some properties of metallic systems","type":"article-journal"},"uris":["http://www.mendeley.com/documents/?uuid=15d02fa8-e3ea-4a44-a6f4-c88e95f7e110","http://www.mendeley.com/documents/?uuid=d95ec405-027c-4cf0-bc9f-425fd1e32d75"]}],"mendeley":{"formattedCitation":"[28]","plainTextFormattedCitation":"[28]","previouslyFormattedCitation":"[28]"},"properties":{"noteIndex":0},"schema":"https://github.com/citation-style-language/schema/raw/master/csl-citation.json"}</w:instrText>
      </w:r>
      <w:r w:rsidRPr="001C513B">
        <w:rPr>
          <w:rFonts w:ascii="Calibri" w:eastAsia="等线" w:hAnsi="Calibri" w:cs="Calibri"/>
        </w:rPr>
        <w:fldChar w:fldCharType="separate"/>
      </w:r>
      <w:r w:rsidRPr="001C513B">
        <w:rPr>
          <w:rFonts w:ascii="Calibri" w:eastAsia="等线" w:hAnsi="Calibri" w:cs="Calibri"/>
          <w:noProof/>
        </w:rPr>
        <w:t>[28]</w:t>
      </w:r>
      <w:r w:rsidRPr="001C513B">
        <w:rPr>
          <w:rFonts w:ascii="Calibri" w:eastAsia="等线" w:hAnsi="Calibri" w:cs="Calibri"/>
        </w:rPr>
        <w:fldChar w:fldCharType="end"/>
      </w:r>
      <w:r>
        <w:rPr>
          <w:rFonts w:ascii="Calibri" w:eastAsia="等线" w:hAnsi="Calibri" w:cs="Calibri"/>
        </w:rPr>
        <w:t xml:space="preserve"> and this indicated that the phenomenon is</w:t>
      </w:r>
      <w:r w:rsidRPr="001C513B">
        <w:rPr>
          <w:rFonts w:ascii="Calibri" w:eastAsia="等线" w:hAnsi="Calibri" w:cs="Calibri"/>
        </w:rPr>
        <w:t xml:space="preserve"> tun</w:t>
      </w:r>
      <w:r>
        <w:rPr>
          <w:rFonts w:ascii="Calibri" w:eastAsia="等线" w:hAnsi="Calibri" w:cs="Calibri"/>
        </w:rPr>
        <w:t>e</w:t>
      </w:r>
      <w:r w:rsidRPr="001C513B">
        <w:rPr>
          <w:rFonts w:ascii="Calibri" w:eastAsia="等线" w:hAnsi="Calibri" w:cs="Calibri"/>
        </w:rPr>
        <w:t xml:space="preserve">able by varying </w:t>
      </w:r>
      <w:r>
        <w:rPr>
          <w:rFonts w:ascii="Calibri" w:eastAsia="等线" w:hAnsi="Calibri" w:cs="Calibri"/>
        </w:rPr>
        <w:t xml:space="preserve">elemental additions of </w:t>
      </w:r>
      <w:r w:rsidRPr="001C513B">
        <w:rPr>
          <w:rFonts w:ascii="Calibri" w:eastAsia="等线" w:hAnsi="Calibri" w:cs="Calibri"/>
        </w:rPr>
        <w:t xml:space="preserve">components. </w:t>
      </w:r>
      <w:r>
        <w:rPr>
          <w:rFonts w:ascii="Calibri" w:eastAsia="等线" w:hAnsi="Calibri" w:cs="Calibri"/>
        </w:rPr>
        <w:t xml:space="preserve">The variation of elemental additions that promote the stabilisation of </w:t>
      </w:r>
      <w:r w:rsidRPr="001C513B">
        <w:rPr>
          <w:rFonts w:ascii="Times New Roman" w:eastAsia="等线" w:hAnsi="Times New Roman" w:cs="Times New Roman"/>
        </w:rPr>
        <w:t>β</w:t>
      </w:r>
      <w:r w:rsidRPr="001C513B">
        <w:rPr>
          <w:rFonts w:ascii="Calibri" w:eastAsia="等线" w:hAnsi="Calibri" w:cs="Calibri"/>
        </w:rPr>
        <w:t xml:space="preserve"> phase</w:t>
      </w:r>
      <w:r>
        <w:rPr>
          <w:rFonts w:ascii="Calibri" w:eastAsia="等线" w:hAnsi="Calibri" w:cs="Calibri"/>
        </w:rPr>
        <w:t xml:space="preserve">, allows </w:t>
      </w:r>
      <w:r w:rsidRPr="001C513B">
        <w:rPr>
          <w:rFonts w:ascii="Calibri" w:eastAsia="等线" w:hAnsi="Calibri" w:cs="Calibri"/>
        </w:rPr>
        <w:t xml:space="preserve">the phase stability of corresponding metallic systems </w:t>
      </w:r>
      <w:r>
        <w:rPr>
          <w:rFonts w:ascii="Calibri" w:eastAsia="等线" w:hAnsi="Calibri" w:cs="Calibri"/>
        </w:rPr>
        <w:t>to be</w:t>
      </w:r>
      <w:r w:rsidRPr="001C513B">
        <w:rPr>
          <w:rFonts w:ascii="Calibri" w:eastAsia="等线" w:hAnsi="Calibri" w:cs="Calibri"/>
        </w:rPr>
        <w:t xml:space="preserve"> tailored to activate specific deformation mechanisms</w:t>
      </w:r>
      <w:r>
        <w:rPr>
          <w:rFonts w:ascii="Calibri" w:eastAsia="等线" w:hAnsi="Calibri" w:cs="Calibri"/>
        </w:rPr>
        <w:t xml:space="preserve"> </w:t>
      </w:r>
      <w:r w:rsidRPr="001C513B">
        <w:rPr>
          <w:rFonts w:ascii="Calibri" w:eastAsia="等线" w:hAnsi="Calibri" w:cs="Calibri"/>
        </w:rPr>
        <w:fldChar w:fldCharType="begin" w:fldLock="1"/>
      </w:r>
      <w:r>
        <w:rPr>
          <w:rFonts w:ascii="Calibri" w:eastAsia="等线" w:hAnsi="Calibri" w:cs="Calibri"/>
        </w:rPr>
        <w:instrText>ADDIN CSL_CITATION {"citationItems":[{"id":"ITEM-1","itemData":{"DOI":"10.1007/s00117-017-0224-0","ISBN":"2041-1723 (Electronic)\\r2041-1723 (Linking)","ISSN":"0033832X","PMID":"28145484","abstract":"The most efficient way to tune microstructures and mechanical properties of metallic alloys lies in designing and using athermal phase transformations. Examples are shape memory alloys and high strength steels, which together stand for 1,500 million tons annual production. In these materials, martensite formation and mechanical twinning are tuned via composition adjustment for realizing complex microstructures and beneficial mechanical properties. Here we report a new phase transformation that has the potential to widen the application window of Ti alloys, the most important structural material in aerospace design, by nanostructuring them via complexion-mediated transformation. This is a reversible martensitic transformation mechanism that leads to a final nanolaminate structure of a 00 (orthorhombic) martensite bounded with planar complexions of athermal o (a–o, hexagonal). Both phases are crystallographically related to the parent b (BCC) matrix. As expected from a planar complexion, the a–o is stable only at the hetero-interface.","author":[{"dropping-particle":"","family":"Zhang","given":"J.","non-dropping-particle":"","parse-names":false,"suffix":""},{"dropping-particle":"","family":"Tasan","given":"C. C.","non-dropping-particle":"","parse-names":false,"suffix":""},{"dropping-particle":"","family":"Lai","given":"M. J.","non-dropping-particle":"","parse-names":false,"suffix":""},{"dropping-particle":"","family":"Dippel","given":"A. C.","non-dropping-particle":"","parse-names":false,"suffix":""},{"dropping-particle":"","family":"Raabe","given":"D.","non-dropping-particle":"","parse-names":false,"suffix":""}],"container-title":"Nature Communications","id":"ITEM-1","issued":{"date-parts":[["2017"]]},"title":"Complexion-mediated martensitic phase transformation in Titanium","type":"article-journal"},"uris":["http://www.mendeley.com/documents/?uuid=2955910d-42fb-4ed0-bf87-a07a80bbb7cb"]},{"id":"ITEM-2","itemData":{"DOI":"10.1016/j.actamat.2016.04.059","ISBN":"1291701503375","ISSN":"13596454","abstract":"We have computed formation energies for all technologically relevant transition metal solutes in the α, β, and ω phases of Ti, employing ab initio simulations. We analyze and explain their periodic-table trends, and from their differences we derive stabilization energies which provide direct insight into phase stabilization effects of the various solutes with respect to α, β, and ω. This allows us to identify strong β stabilizers in the middle of each electronic d shell in consistency with experimental knowledge. Based on an extension of the stabilization energies to free energies we derive a wide range of Ti-transition metal phase diagrams. A detailed comparison to available experimental martensitic transformation temperatures and to measurements performed in this study shows that, despite some quantitative discrepancies, the qualitative trends can be expected to be correct. An important feature that is displayed by a limited range of the computed phase diagrams is a triple point at which the three phases, α, β, and ω, meet. This insight provides a plausible explanation for the complexity observed in gum metals, a class of Ti alloys with very special materials properties.","author":[{"dropping-particle":"","family":"Huang","given":"Liang Feng","non-dropping-particle":"","parse-names":false,"suffix":""},{"dropping-particle":"","family":"Grabowski","given":"Blazej","non-dropping-particle":"","parse-names":false,"suffix":""},{"dropping-particle":"","family":"Zhang","given":"Jian","non-dropping-particle":"","parse-names":false,"suffix":""},{"dropping-particle":"","family":"Lai","given":"Min Jie","non-dropping-particle":"","parse-names":false,"suffix":""},{"dropping-particle":"","family":"Tasan","given":"C. Cem","non-dropping-particle":"","parse-names":false,"suffix":""},{"dropping-particle":"","family":"Sandlöbes","given":"Stefanie","non-dropping-particle":"","parse-names":false,"suffix":""},{"dropping-particle":"","family":"Raabe","given":"Dierk","non-dropping-particle":"","parse-names":false,"suffix":""},{"dropping-particle":"","family":"Neugebauer","given":"Jörg","non-dropping-particle":"","parse-names":false,"suffix":""}],"container-title":"Acta Materialia","id":"ITEM-2","issued":{"date-parts":[["2016"]]},"title":"From electronic structure to phase diagrams: A bottom-up approach to understand the stability of titanium–transition metal alloys","type":"article-journal"},"uris":["http://www.mendeley.com/documents/?uuid=b24cb7de-0844-4eca-94f8-7ee8e827a86b"]},{"id":"ITEM-3","itemData":{"DOI":"10.1016/j.actamat.2014.10.043","ISSN":"13596454","abstract":"A metastable β-Ti alloy, Ti-10V-3Fe-3Al (wt.%), was subjected to thermomechanical processing (TMP), where the temperature of isothermal holding in the α + β phase field was varied in order to change the volume fraction of the α phase and, correspondingly, the β phas</w:instrText>
      </w:r>
      <w:r>
        <w:rPr>
          <w:rFonts w:ascii="Calibri" w:eastAsia="等线" w:hAnsi="Calibri" w:cs="Calibri" w:hint="eastAsia"/>
        </w:rPr>
        <w:instrText>e stability. Following TMP, compression tests were performed at room temperature to evaluate the deformation mode. Microstructural features induced by compression were identified using transmission electron microscopy. It was found that {3 3 2}</w:instrText>
      </w:r>
      <w:r>
        <w:rPr>
          <w:rFonts w:ascii="Calibri" w:eastAsia="等线" w:hAnsi="Calibri" w:cs="Calibri" w:hint="eastAsia"/>
        </w:rPr>
        <w:instrText>〈</w:instrText>
      </w:r>
      <w:r>
        <w:rPr>
          <w:rFonts w:ascii="Calibri" w:eastAsia="等线" w:hAnsi="Calibri" w:cs="Calibri" w:hint="eastAsia"/>
        </w:rPr>
        <w:instrText>1 1 3</w:instrText>
      </w:r>
      <w:r>
        <w:rPr>
          <w:rFonts w:ascii="Calibri" w:eastAsia="等线" w:hAnsi="Calibri" w:cs="Calibri" w:hint="eastAsia"/>
        </w:rPr>
        <w:instrText>〉β</w:instrText>
      </w:r>
      <w:r>
        <w:rPr>
          <w:rFonts w:ascii="Calibri" w:eastAsia="等线" w:hAnsi="Calibri" w:cs="Calibri" w:hint="eastAsia"/>
        </w:rPr>
        <w:instrText xml:space="preserve"> deformation twinning along with stress-induced products (</w:instrText>
      </w:r>
      <w:r>
        <w:rPr>
          <w:rFonts w:ascii="Calibri" w:eastAsia="等线" w:hAnsi="Calibri" w:cs="Calibri" w:hint="eastAsia"/>
        </w:rPr>
        <w:instrText>α″</w:instrText>
      </w:r>
      <w:r>
        <w:rPr>
          <w:rFonts w:ascii="Calibri" w:eastAsia="等线" w:hAnsi="Calibri" w:cs="Calibri" w:hint="eastAsia"/>
        </w:rPr>
        <w:instrText xml:space="preserve"> martensite and </w:instrText>
      </w:r>
      <w:r>
        <w:rPr>
          <w:rFonts w:ascii="Calibri" w:eastAsia="等线" w:hAnsi="Calibri" w:cs="Calibri" w:hint="eastAsia"/>
        </w:rPr>
        <w:instrText>ω</w:instrText>
      </w:r>
      <w:r>
        <w:rPr>
          <w:rFonts w:ascii="Calibri" w:eastAsia="等线" w:hAnsi="Calibri" w:cs="Calibri" w:hint="eastAsia"/>
        </w:rPr>
        <w:instrText xml:space="preserve"> lamellae) and slip were operational in the least stable </w:instrText>
      </w:r>
      <w:r>
        <w:rPr>
          <w:rFonts w:ascii="Calibri" w:eastAsia="等线" w:hAnsi="Calibri" w:cs="Calibri" w:hint="eastAsia"/>
        </w:rPr>
        <w:instrText>β</w:instrText>
      </w:r>
      <w:r>
        <w:rPr>
          <w:rFonts w:ascii="Calibri" w:eastAsia="等线" w:hAnsi="Calibri" w:cs="Calibri" w:hint="eastAsia"/>
        </w:rPr>
        <w:instrText>. The co-existence of {3 3 2}</w:instrText>
      </w:r>
      <w:r>
        <w:rPr>
          <w:rFonts w:ascii="Calibri" w:eastAsia="等线" w:hAnsi="Calibri" w:cs="Calibri" w:hint="eastAsia"/>
        </w:rPr>
        <w:instrText>〈</w:instrText>
      </w:r>
      <w:r>
        <w:rPr>
          <w:rFonts w:ascii="Calibri" w:eastAsia="等线" w:hAnsi="Calibri" w:cs="Calibri" w:hint="eastAsia"/>
        </w:rPr>
        <w:instrText>1 1 3</w:instrText>
      </w:r>
      <w:r>
        <w:rPr>
          <w:rFonts w:ascii="Calibri" w:eastAsia="等线" w:hAnsi="Calibri" w:cs="Calibri" w:hint="eastAsia"/>
        </w:rPr>
        <w:instrText>〉β</w:instrText>
      </w:r>
      <w:r>
        <w:rPr>
          <w:rFonts w:ascii="Calibri" w:eastAsia="等线" w:hAnsi="Calibri" w:cs="Calibri" w:hint="eastAsia"/>
        </w:rPr>
        <w:instrText xml:space="preserve"> and {1 1 2}</w:instrText>
      </w:r>
      <w:r>
        <w:rPr>
          <w:rFonts w:ascii="Calibri" w:eastAsia="等线" w:hAnsi="Calibri" w:cs="Calibri" w:hint="eastAsia"/>
        </w:rPr>
        <w:instrText>〈</w:instrText>
      </w:r>
      <w:r>
        <w:rPr>
          <w:rFonts w:ascii="Calibri" w:eastAsia="等线" w:hAnsi="Calibri" w:cs="Calibri" w:hint="eastAsia"/>
        </w:rPr>
        <w:instrText>1 1 1</w:instrText>
      </w:r>
      <w:r>
        <w:rPr>
          <w:rFonts w:ascii="Calibri" w:eastAsia="等线" w:hAnsi="Calibri" w:cs="Calibri" w:hint="eastAsia"/>
        </w:rPr>
        <w:instrText>〉β</w:instrText>
      </w:r>
      <w:r>
        <w:rPr>
          <w:rFonts w:ascii="Calibri" w:eastAsia="等线" w:hAnsi="Calibri" w:cs="Calibri" w:hint="eastAsia"/>
        </w:rPr>
        <w:instrText xml:space="preserve"> twinning was found at intermediate </w:instrText>
      </w:r>
      <w:r>
        <w:rPr>
          <w:rFonts w:ascii="Calibri" w:eastAsia="等线" w:hAnsi="Calibri" w:cs="Calibri" w:hint="eastAsia"/>
        </w:rPr>
        <w:instrText>β</w:instrText>
      </w:r>
      <w:r>
        <w:rPr>
          <w:rFonts w:ascii="Calibri" w:eastAsia="等线" w:hAnsi="Calibri" w:cs="Calibri" w:hint="eastAsia"/>
        </w:rPr>
        <w:instrText xml:space="preserve"> stability along with other deformation products. With further increasing of </w:instrText>
      </w:r>
      <w:r>
        <w:rPr>
          <w:rFonts w:ascii="Calibri" w:eastAsia="等线" w:hAnsi="Calibri" w:cs="Calibri" w:hint="eastAsia"/>
        </w:rPr>
        <w:instrText>β</w:instrText>
      </w:r>
      <w:r>
        <w:rPr>
          <w:rFonts w:ascii="Calibri" w:eastAsia="等线" w:hAnsi="Calibri" w:cs="Calibri" w:hint="eastAsia"/>
        </w:rPr>
        <w:instrText xml:space="preserve"> phase stability, no {3 3 2}</w:instrText>
      </w:r>
      <w:r>
        <w:rPr>
          <w:rFonts w:ascii="Calibri" w:eastAsia="等线" w:hAnsi="Calibri" w:cs="Calibri" w:hint="eastAsia"/>
        </w:rPr>
        <w:instrText>〈</w:instrText>
      </w:r>
      <w:r>
        <w:rPr>
          <w:rFonts w:ascii="Calibri" w:eastAsia="等线" w:hAnsi="Calibri" w:cs="Calibri" w:hint="eastAsia"/>
        </w:rPr>
        <w:instrText>1 1 3</w:instrText>
      </w:r>
      <w:r>
        <w:rPr>
          <w:rFonts w:ascii="Calibri" w:eastAsia="等线" w:hAnsi="Calibri" w:cs="Calibri" w:hint="eastAsia"/>
        </w:rPr>
        <w:instrText>〉β</w:instrText>
      </w:r>
      <w:r>
        <w:rPr>
          <w:rFonts w:ascii="Calibri" w:eastAsia="等线" w:hAnsi="Calibri" w:cs="Calibri" w:hint="eastAsia"/>
        </w:rPr>
        <w:instrText xml:space="preserve"> twinning was detected whereas other deformation modes remained unchanged. In stable </w:instrText>
      </w:r>
      <w:r>
        <w:rPr>
          <w:rFonts w:ascii="Calibri" w:eastAsia="等线" w:hAnsi="Calibri" w:cs="Calibri" w:hint="eastAsia"/>
        </w:rPr>
        <w:instrText>β</w:instrText>
      </w:r>
      <w:r>
        <w:rPr>
          <w:rFonts w:ascii="Calibri" w:eastAsia="等线" w:hAnsi="Calibri" w:cs="Calibri" w:hint="eastAsia"/>
        </w:rPr>
        <w:instrText xml:space="preserve"> phase, dislocation glide was the only deformation mode to be found. It was revealed</w:instrText>
      </w:r>
      <w:r>
        <w:rPr>
          <w:rFonts w:ascii="Calibri" w:eastAsia="等线" w:hAnsi="Calibri" w:cs="Calibri"/>
        </w:rPr>
        <w:instrText xml:space="preserve"> that triggering stress required inducing the deformation products increases with the β phase stability. Based on the findings, a modification of the lower portion of the Bo-Md phase stability diagram is proposed.","author":[{"dropping-particle":"","family":"Ahmed","given":"Mansur","non-dropping-particle":"","parse-names":false,"suffix":""},{"dropping-particle":"","family":"Wexler","given":"David","non-dropping-particle":"","parse-names":false,"suffix":""},{"dropping-particle":"","family":"Casillas","given":"Gilberto","non-dropping-particle":"","parse-names":false,"suffix":""},{"dropping-particle":"","family":"Ivasishin","given":"Orest M.","non-dropping-particle":"","parse-names":false,"suffix":""},{"dropping-particle":"V.","family":"Pereloma","given":"Elena","non-dropping-particle":"","parse-names":false,"suffix":""}],"container-title":"Acta Materialia","id":"ITEM-3","issued":{"date-parts":[["2015"]]},"title":"The influence of β phase stability on deformation mode and compressive mechanical properties of Ti-10V-3Fe-3Al alloy","type":"article-journal"},"uris":["http://www.mendeley.com/documents/?uuid=3be0fd3d-0af6-4f85-bcff-5c940700fe32"]},{"id":"ITEM-4","itemData":{"DOI":"10.1007/BF02825707","ISBN":"0360-2133","ISSN":"0360-2133","abstract":"The effect of plastic deformation mode on tensile properties of quenched commercial/3-phase titanium alloys has been investigated at approximately constant grain size and oxygen content. In addition, stability of/3-phase has been estimated from w-reflections or diffuse streaking in electron diffraction patterns in a manner similar to the previous works on binary/3-phase titanium alloys. Dominant mode of plastic deformation is {332} (113) twinning in the alloys with large instability of/3-phase, such as Ti-11.5Mo-6Zr-4.5Sn and Ti-15Mo-5Zr, and is crystallographic slip in the alloys with small instability of/3-phase, such as Ti-15Mo-5Zr-3A1, Ti-3A1-8V-6Cr-4Mo-4Zr, Ti-15V-3Cr-3A1-3Sn, Ti-8Mo-8V-2Fe-3A1, and Ti-13V-11Cr-3A1, Twinning leads to low yield strength and large elongation, while slip results in high yield strength and small elongation in agreement with binary and ternary/3-phase titanium alloys.","author":[{"dropping-particle":"","family":"Hanada","given":"S.","non-dropping-particle":"","parse-names":false,"suffix":""},{"dropping-particle":"","family":"Izumi","given":"O.","non-dropping-particle":"","parse-names":false,"suffix":""}],"container-title":"Metallurgical Transactions A","id":"ITEM-4","issued":{"date-parts":[["1987"]]},"title":"Correlation of tensile properties, deformation modes, and phase stability in commercial β-phase titanium alloys","type":"article-journal"},"uris":["http://www.mendeley.com/documents/?uuid=59c04530-cc42-4c18-b5d8-f19307985e8c"]},{"id":"ITEM-5","itemData":{"ISBN":"110951851X","abstract":"Motivated by the prospect of lower cost Ti production processes, new directions in Ti alloy design were explored for naval and automotive applications. Building on the experience of the Steel Research Group at Northwestern University, an analogous design process was taken with titanium. As a new project, essential kinetic databases and models were developed for the design process and used to create a prototype design. Diffusion kinetic models were developed to predict the change in phase compositions and microstructure during heat treatment. Combining a mobility database created in this research with a licensed thermodynamic database, ThermoCalc and DICTRA software was used to model kinetic compositional changes in titanium alloys. Experimental diffusion couples were created and compared to DICTRA simulations to refine mobility parameters in the titanium mobility database. The software and database were able to predict homogenization times and the beta&amp;rarr;alpha plate thickening kinetics during cooling in the near-alpha Ti5111 alloy. The results of these models were compared to LEAP microanalysis and found to be in reasonable agreement. Powder metallurgy was explored using SPS at GM R&amp;amp;D to reduce the cost of titanium alloys. Fully dense Ti5111 alloys were produced and achieved similar microstructures to wrought Ti5111. High levels of oxygen in these alloys increased the strength while reducing the ductility. Preliminary Ti5111+Y alloys were created, where yttrium additions successfully gettered excess oxygen to create oxides. However, undesirable large oxides formed, indicating more research is needed into the homogeneous distribution of the yttrium powder to create finer oxides. Principles established in steels were used to optimize the beta phase transformation stability for martensite transformation toughening in titanium alloys. The Olson-Cohen kinetic model is calibrated to shear strains in titanium. A frictional work database is established for common alloying elements in titanium to model the effect of alloying elements on the Ms temperature in titanium. Available atomic volume data and collaborative first principles quantum mechanical calculations are combined to model the composition dependence of the transformation molar volume change. Composition analysis of the beta phase from the LEAP and Bolling-Richman experimental measurement of the M ssigma temperature defining mechanical transformation stability of the beta phase in Ti5111 provide…","author":[{"dropping-particle":"","family":"Tran","given":"Jamie","non-dropping-particle":"","parse-names":false,"suffix":""}],"container-title":"ProQuest Dissertations and Theses Global","id":"ITEM-5","issued":{"date-parts":[["2009"]]},"title":"Titanium by design: Trip titanium alloy","type":"article-journal"},"uris":["http://www.mendeley.com/documents/?uuid=e3a5d5d2-54f6-4b02-b5cf-bbad44ff0b07"]},{"id":"ITEM-6","itemData":{"DOI":"10.1016/j.intermet.2016.09.005","ISBN":"0966-9795","ISSN":"09669795","abstract":"In this work, we present a systematic study on the precipitation behavior and mechanical properties of a FeCoNiCr-based high-entropy alloy alloyed with dilute amounts of Ti and Al, (FeCoNiCr)100-x-yTixAly(where x = 1–3, y = 4–9 at.%). It was found that, upon aging, nano-sized L12-Ni3(Ti, Al) particles are formed within grains, whilst L21-(Ni, Co)2TiAl Heusler particles are formed mainly along grain boundaries. The relative thermal stability of the two phases were studied at different aging temperatures (700–900 °C) with various durations of time (up to 48 h) and the results were directly compared with Thermo-calc calculations. Tensile tests were also conducted on alloys aged under different conditions. The measured properties, including strength and ductility, were correlated with the microstructure of aged (FeCoNiCr)100-x-yTixAlyalloys, with particular attention on the distribution and morphology of the two kinds of precipitate. Whereas both phases could contribute to the strengthening of the alloys via either Orowan bowing or particle shearing mechanism, the brittle (Ni, Co)2TiAl Heusler phase was found to mainly affect the tensile plasticity. A simple composite model was proposed to describe the plastic strain of alloys. Based on observed microstructure and its corresponding mechanical performance, the alloy with the composition of (FeCoNiCr)94Ti2Al4, when aged between 700 and 800 °C, gives the best balanced strength/ductility properties.","author":[{"dropping-particle":"","family":"He","given":"J. Y.","non-dropping-particle":"","parse-names":false,"suffix":""},{"dropping-particle":"","family":"Wang","given":"H.","non-dropping-particle":"","parse-names":false,"suffix":""},{"dropping-particle":"","family":"Wu","given":"Y.","non-dropping-particle":"","parse-names":false,"suffix":""},{"dropping-particle":"","family":"Liu","given":"X. J.","non-dropping-particle":"","parse-names":false,"suffix":""},{"dropping-particle":"","family":"Mao","given":"H. H.","non-dropping-particle":"","parse-names":false,"suffix":""},{"dropping-particle":"","family":"Nieh","given":"T. G.","non-dropping-particle":"","parse-names":false,"suffix":""},{"dropping-particle":"","family":"Lu","given":"Z. P.","non-dropping-particle":"","parse-names":false,"suffix":""}],"container-title":"Intermetallics","id":"ITEM-6","issued":{"date-parts":[["2016"]]},"title":"Precipitation behavior and its effects on tensile properties of FeCoNiCr high-entropy alloys","type":"article-journal"},"uris":["http://www.mendeley.com/documents/?uuid=6883d1d3-6a8c-462c-a891-eb66efe147fe"]}],"mendeley":{"formattedCitation":"[4,11,29–32]","plainTextFormattedCitation":"[4,11,29–32]","previouslyFormattedCitation":"[4,11,29–32]"},"properties":{"noteIndex":0},"schema":"https://github.com/citation-style-language/schema/raw/master/csl-citation.json"}</w:instrText>
      </w:r>
      <w:r w:rsidRPr="001C513B">
        <w:rPr>
          <w:rFonts w:ascii="Calibri" w:eastAsia="等线" w:hAnsi="Calibri" w:cs="Calibri"/>
        </w:rPr>
        <w:fldChar w:fldCharType="separate"/>
      </w:r>
      <w:r w:rsidRPr="001C513B">
        <w:rPr>
          <w:rFonts w:ascii="Calibri" w:eastAsia="等线" w:hAnsi="Calibri" w:cs="Calibri"/>
          <w:noProof/>
        </w:rPr>
        <w:t>[4,11,29–32]</w:t>
      </w:r>
      <w:r w:rsidRPr="001C513B">
        <w:rPr>
          <w:rFonts w:ascii="Calibri" w:eastAsia="等线" w:hAnsi="Calibri" w:cs="Calibri"/>
        </w:rPr>
        <w:fldChar w:fldCharType="end"/>
      </w:r>
      <w:r w:rsidRPr="001C513B">
        <w:rPr>
          <w:rFonts w:ascii="Calibri" w:eastAsia="等线" w:hAnsi="Calibri" w:cs="Calibri"/>
        </w:rPr>
        <w:t xml:space="preserve">. </w:t>
      </w:r>
      <w:r>
        <w:rPr>
          <w:rFonts w:ascii="Calibri" w:eastAsia="等线" w:hAnsi="Calibri" w:cs="Calibri"/>
        </w:rPr>
        <w:t xml:space="preserve">Following these methods and findings on other material systems described, it is postulated that the </w:t>
      </w:r>
      <w:r w:rsidRPr="001C513B">
        <w:rPr>
          <w:rFonts w:ascii="Calibri" w:eastAsia="等线" w:hAnsi="Calibri" w:cs="Calibri"/>
        </w:rPr>
        <w:t xml:space="preserve">possibility of introducing TWIP and TRIP into RHEAs </w:t>
      </w:r>
      <w:r>
        <w:rPr>
          <w:rFonts w:ascii="Calibri" w:eastAsia="等线" w:hAnsi="Calibri" w:cs="Calibri"/>
        </w:rPr>
        <w:t xml:space="preserve">may be achieved, through </w:t>
      </w:r>
      <w:r w:rsidRPr="001C513B">
        <w:rPr>
          <w:rFonts w:ascii="Calibri" w:eastAsia="等线" w:hAnsi="Calibri" w:cs="Calibri"/>
        </w:rPr>
        <w:t xml:space="preserve">tuning β stabilising </w:t>
      </w:r>
      <w:r>
        <w:rPr>
          <w:rFonts w:ascii="Calibri" w:eastAsia="等线" w:hAnsi="Calibri" w:cs="Calibri"/>
        </w:rPr>
        <w:t xml:space="preserve">content and its effect on </w:t>
      </w:r>
      <w:r w:rsidRPr="001C513B">
        <w:rPr>
          <w:rFonts w:ascii="Calibri" w:eastAsia="等线" w:hAnsi="Calibri" w:cs="Calibri"/>
        </w:rPr>
        <w:t xml:space="preserve">varying </w:t>
      </w:r>
      <w:r w:rsidRPr="001C513B">
        <w:rPr>
          <w:rFonts w:ascii="Times New Roman" w:eastAsia="等线" w:hAnsi="Times New Roman" w:cs="Times New Roman"/>
        </w:rPr>
        <w:t>β</w:t>
      </w:r>
      <w:r w:rsidRPr="001C513B">
        <w:rPr>
          <w:rFonts w:ascii="Calibri" w:eastAsia="等线" w:hAnsi="Calibri" w:cs="Calibri"/>
        </w:rPr>
        <w:t xml:space="preserve"> phase </w:t>
      </w:r>
      <w:r>
        <w:rPr>
          <w:rFonts w:ascii="Calibri" w:eastAsia="等线" w:hAnsi="Calibri" w:cs="Calibri"/>
        </w:rPr>
        <w:t xml:space="preserve">stability. </w:t>
      </w:r>
      <w:r w:rsidRPr="001C513B">
        <w:rPr>
          <w:rFonts w:ascii="Calibri" w:eastAsia="等线" w:hAnsi="Calibri" w:cs="Calibri"/>
        </w:rPr>
        <w:t xml:space="preserve">In </w:t>
      </w:r>
      <w:r>
        <w:rPr>
          <w:rFonts w:ascii="Calibri" w:eastAsia="等线" w:hAnsi="Calibri" w:cs="Calibri"/>
        </w:rPr>
        <w:t>C</w:t>
      </w:r>
      <w:r w:rsidRPr="001C513B">
        <w:rPr>
          <w:rFonts w:ascii="Calibri" w:eastAsia="等线" w:hAnsi="Calibri" w:cs="Calibri"/>
        </w:rPr>
        <w:t>hapter</w:t>
      </w:r>
      <w:r>
        <w:rPr>
          <w:rFonts w:ascii="Calibri" w:eastAsia="等线" w:hAnsi="Calibri" w:cs="Calibri"/>
        </w:rPr>
        <w:t xml:space="preserve"> 4</w:t>
      </w:r>
      <w:r w:rsidRPr="001C513B">
        <w:rPr>
          <w:rFonts w:ascii="Calibri" w:eastAsia="等线" w:hAnsi="Calibri" w:cs="Calibri"/>
        </w:rPr>
        <w:t>,</w:t>
      </w:r>
      <w:r w:rsidRPr="001C513B">
        <w:rPr>
          <w:rFonts w:ascii="Calibri" w:eastAsia="等线" w:hAnsi="Calibri" w:cs="Times New Roman"/>
        </w:rPr>
        <w:t xml:space="preserve"> </w:t>
      </w:r>
      <w:r w:rsidRPr="001C513B">
        <w:rPr>
          <w:rFonts w:ascii="Calibri" w:eastAsia="等线" w:hAnsi="Calibri" w:cs="Times New Roman"/>
          <w:i/>
        </w:rPr>
        <w:t>ab</w:t>
      </w:r>
      <w:r>
        <w:rPr>
          <w:rFonts w:ascii="Calibri" w:eastAsia="等线" w:hAnsi="Calibri" w:cs="Times New Roman"/>
          <w:i/>
        </w:rPr>
        <w:t xml:space="preserve"> </w:t>
      </w:r>
      <w:r w:rsidRPr="001C513B">
        <w:rPr>
          <w:rFonts w:ascii="Calibri" w:eastAsia="等线" w:hAnsi="Calibri" w:cs="Times New Roman"/>
          <w:i/>
        </w:rPr>
        <w:t>initio</w:t>
      </w:r>
      <w:r w:rsidRPr="001C513B">
        <w:rPr>
          <w:rFonts w:ascii="Calibri" w:eastAsia="等线" w:hAnsi="Calibri" w:cs="Times New Roman"/>
        </w:rPr>
        <w:t xml:space="preserve"> simulations</w:t>
      </w:r>
      <w:r>
        <w:rPr>
          <w:rFonts w:ascii="Calibri" w:eastAsia="等线" w:hAnsi="Calibri" w:cs="Times New Roman"/>
        </w:rPr>
        <w:t xml:space="preserve"> were used to analys</w:t>
      </w:r>
      <w:r w:rsidR="00963D94">
        <w:rPr>
          <w:rFonts w:ascii="Calibri" w:eastAsia="等线" w:hAnsi="Calibri" w:cs="Times New Roman"/>
        </w:rPr>
        <w:t>e</w:t>
      </w:r>
      <w:r>
        <w:rPr>
          <w:rFonts w:ascii="Calibri" w:eastAsia="等线" w:hAnsi="Calibri" w:cs="Times New Roman"/>
        </w:rPr>
        <w:t xml:space="preserve"> and discuss the </w:t>
      </w:r>
      <w:r w:rsidRPr="001C513B">
        <w:rPr>
          <w:rFonts w:ascii="Calibri" w:eastAsia="等线" w:hAnsi="Calibri" w:cs="Times New Roman"/>
        </w:rPr>
        <w:t xml:space="preserve">electronic structure of two body centric single solid solution phase RHEAs </w:t>
      </w:r>
      <w:r>
        <w:rPr>
          <w:rFonts w:ascii="Calibri" w:eastAsia="等线" w:hAnsi="Calibri" w:cs="Times New Roman"/>
        </w:rPr>
        <w:t>(</w:t>
      </w:r>
      <w:r w:rsidRPr="001C513B">
        <w:rPr>
          <w:rFonts w:ascii="Calibri" w:eastAsia="等线" w:hAnsi="Calibri" w:cs="Times New Roman"/>
        </w:rPr>
        <w:t>TiZrHfTa and TiZrNbTa</w:t>
      </w:r>
      <w:r>
        <w:rPr>
          <w:rFonts w:ascii="Calibri" w:eastAsia="等线" w:hAnsi="Calibri" w:cs="Times New Roman"/>
        </w:rPr>
        <w:t>)</w:t>
      </w:r>
      <w:r w:rsidRPr="001C513B">
        <w:rPr>
          <w:rFonts w:ascii="Calibri" w:eastAsia="等线" w:hAnsi="Calibri" w:cs="Times New Roman"/>
        </w:rPr>
        <w:t xml:space="preserve">. A </w:t>
      </w:r>
      <w:r>
        <w:rPr>
          <w:rFonts w:ascii="Calibri" w:eastAsia="等线" w:hAnsi="Calibri" w:cs="Times New Roman"/>
        </w:rPr>
        <w:t>particularly important</w:t>
      </w:r>
      <w:r w:rsidRPr="001C513B">
        <w:rPr>
          <w:rFonts w:ascii="Calibri" w:eastAsia="等线" w:hAnsi="Calibri" w:cs="Times New Roman"/>
        </w:rPr>
        <w:t xml:space="preserve"> finding </w:t>
      </w:r>
      <w:r>
        <w:rPr>
          <w:rFonts w:ascii="Calibri" w:eastAsia="等线" w:hAnsi="Calibri" w:cs="Times New Roman"/>
        </w:rPr>
        <w:t>was that</w:t>
      </w:r>
      <w:r w:rsidRPr="001C513B">
        <w:rPr>
          <w:rFonts w:ascii="Calibri" w:eastAsia="等线" w:hAnsi="Calibri" w:cs="Times New Roman"/>
        </w:rPr>
        <w:t xml:space="preserve"> from the analysis of their corresponding density of states (DOS) and partial density of states (PDOS)</w:t>
      </w:r>
      <w:r>
        <w:rPr>
          <w:rFonts w:ascii="Calibri" w:eastAsia="等线" w:hAnsi="Calibri" w:cs="Times New Roman"/>
        </w:rPr>
        <w:t>,</w:t>
      </w:r>
      <w:r w:rsidRPr="001C513B">
        <w:rPr>
          <w:rFonts w:ascii="Calibri" w:eastAsia="等线" w:hAnsi="Calibri" w:cs="Times New Roman"/>
        </w:rPr>
        <w:t xml:space="preserve"> the influence of group IV element</w:t>
      </w:r>
      <w:r>
        <w:rPr>
          <w:rFonts w:ascii="Calibri" w:eastAsia="等线" w:hAnsi="Calibri" w:cs="Times New Roman"/>
        </w:rPr>
        <w:t xml:space="preserve">s </w:t>
      </w:r>
      <w:r w:rsidRPr="001C513B">
        <w:rPr>
          <w:rFonts w:ascii="Calibri" w:eastAsia="等线" w:hAnsi="Calibri" w:cs="Times New Roman"/>
        </w:rPr>
        <w:t>(Ti, Zr and Hf) destabilise the BCC structure of TiZrNbTa and TiZrHfTa. Together with the athermal martensit</w:t>
      </w:r>
      <w:r>
        <w:rPr>
          <w:rFonts w:ascii="Calibri" w:eastAsia="等线" w:hAnsi="Calibri" w:cs="Times New Roman"/>
        </w:rPr>
        <w:t>ic</w:t>
      </w:r>
      <w:r w:rsidRPr="001C513B">
        <w:rPr>
          <w:rFonts w:ascii="Calibri" w:eastAsia="等线" w:hAnsi="Calibri" w:cs="Times New Roman"/>
        </w:rPr>
        <w:t xml:space="preserve"> phase </w:t>
      </w:r>
      <w:r>
        <w:rPr>
          <w:rFonts w:ascii="Calibri" w:eastAsia="等线" w:hAnsi="Calibri" w:cs="Times New Roman"/>
        </w:rPr>
        <w:t xml:space="preserve">formation </w:t>
      </w:r>
      <w:r w:rsidRPr="001C513B">
        <w:rPr>
          <w:rFonts w:ascii="Calibri" w:eastAsia="等线" w:hAnsi="Calibri" w:cs="Times New Roman"/>
        </w:rPr>
        <w:t xml:space="preserve">observed in as-cast TiZrHfTa, the </w:t>
      </w:r>
      <w:r w:rsidR="004A2B25" w:rsidRPr="001C513B">
        <w:rPr>
          <w:rFonts w:ascii="Calibri" w:eastAsia="等线" w:hAnsi="Calibri" w:cs="Times New Roman"/>
        </w:rPr>
        <w:t>substitution</w:t>
      </w:r>
      <w:r w:rsidRPr="001C513B">
        <w:rPr>
          <w:rFonts w:ascii="Calibri" w:eastAsia="等线" w:hAnsi="Calibri" w:cs="Times New Roman"/>
        </w:rPr>
        <w:t xml:space="preserve"> of Nb by Hf result</w:t>
      </w:r>
      <w:r>
        <w:rPr>
          <w:rFonts w:ascii="Calibri" w:eastAsia="等线" w:hAnsi="Calibri" w:cs="Times New Roman"/>
        </w:rPr>
        <w:t>ed</w:t>
      </w:r>
      <w:r w:rsidRPr="001C513B">
        <w:rPr>
          <w:rFonts w:ascii="Calibri" w:eastAsia="等线" w:hAnsi="Calibri" w:cs="Times New Roman"/>
        </w:rPr>
        <w:t xml:space="preserve"> in </w:t>
      </w:r>
      <w:r>
        <w:rPr>
          <w:rFonts w:ascii="Calibri" w:eastAsia="等线" w:hAnsi="Calibri" w:cs="Times New Roman"/>
        </w:rPr>
        <w:t xml:space="preserve">the </w:t>
      </w:r>
      <w:r w:rsidRPr="001C513B">
        <w:rPr>
          <w:rFonts w:ascii="Calibri" w:eastAsia="等线" w:hAnsi="Calibri" w:cs="Times New Roman"/>
        </w:rPr>
        <w:t xml:space="preserve">destabilisation of </w:t>
      </w:r>
      <w:r w:rsidR="00963D94">
        <w:rPr>
          <w:rFonts w:ascii="Calibri" w:eastAsia="等线" w:hAnsi="Calibri" w:cs="Times New Roman"/>
        </w:rPr>
        <w:t xml:space="preserve">the </w:t>
      </w:r>
      <w:r w:rsidRPr="001C513B">
        <w:rPr>
          <w:rFonts w:ascii="Calibri" w:eastAsia="等线" w:hAnsi="Calibri" w:cs="Times New Roman"/>
        </w:rPr>
        <w:t>BCC structure</w:t>
      </w:r>
      <w:r>
        <w:rPr>
          <w:rFonts w:ascii="Calibri" w:eastAsia="等线" w:hAnsi="Calibri" w:cs="Times New Roman"/>
        </w:rPr>
        <w:t>. This</w:t>
      </w:r>
      <w:r w:rsidRPr="001C513B">
        <w:rPr>
          <w:rFonts w:ascii="Calibri" w:eastAsia="等线" w:hAnsi="Calibri" w:cs="Times New Roman"/>
        </w:rPr>
        <w:t xml:space="preserve"> </w:t>
      </w:r>
      <w:r>
        <w:rPr>
          <w:rFonts w:ascii="Calibri" w:eastAsia="等线" w:hAnsi="Calibri" w:cs="Times New Roman"/>
        </w:rPr>
        <w:t>showed that</w:t>
      </w:r>
      <w:r w:rsidRPr="001C513B">
        <w:rPr>
          <w:rFonts w:ascii="Calibri" w:eastAsia="等线" w:hAnsi="Calibri" w:cs="Times New Roman"/>
        </w:rPr>
        <w:t xml:space="preserve"> the tun</w:t>
      </w:r>
      <w:r>
        <w:rPr>
          <w:rFonts w:ascii="Calibri" w:eastAsia="等线" w:hAnsi="Calibri" w:cs="Times New Roman"/>
        </w:rPr>
        <w:t>e</w:t>
      </w:r>
      <w:r w:rsidRPr="001C513B">
        <w:rPr>
          <w:rFonts w:ascii="Calibri" w:eastAsia="等线" w:hAnsi="Calibri" w:cs="Times New Roman"/>
        </w:rPr>
        <w:t xml:space="preserve">ability of BCC phase stability in RHEAs is </w:t>
      </w:r>
      <w:r>
        <w:rPr>
          <w:rFonts w:ascii="Calibri" w:eastAsia="等线" w:hAnsi="Calibri" w:cs="Times New Roman"/>
        </w:rPr>
        <w:t>fundamentally similar to those displayed for</w:t>
      </w:r>
      <w:r w:rsidRPr="001C513B">
        <w:rPr>
          <w:rFonts w:ascii="Calibri" w:eastAsia="等线" w:hAnsi="Calibri" w:cs="Times New Roman"/>
        </w:rPr>
        <w:t xml:space="preserve"> metastable </w:t>
      </w:r>
      <w:r w:rsidRPr="001C513B">
        <w:rPr>
          <w:rFonts w:ascii="Times New Roman" w:eastAsia="等线" w:hAnsi="Times New Roman" w:cs="Times New Roman"/>
        </w:rPr>
        <w:t>β</w:t>
      </w:r>
      <w:r w:rsidRPr="001C513B">
        <w:rPr>
          <w:rFonts w:ascii="Calibri" w:eastAsia="等线" w:hAnsi="Calibri" w:cs="Times New Roman"/>
        </w:rPr>
        <w:t xml:space="preserve">-Ti alloys. To reduce the influence of </w:t>
      </w:r>
      <w:r>
        <w:rPr>
          <w:rFonts w:ascii="Calibri" w:eastAsia="等线" w:hAnsi="Calibri" w:cs="Times New Roman"/>
        </w:rPr>
        <w:t xml:space="preserve">these </w:t>
      </w:r>
      <w:r w:rsidRPr="001C513B">
        <w:rPr>
          <w:rFonts w:ascii="Calibri" w:eastAsia="等线" w:hAnsi="Calibri" w:cs="Times New Roman"/>
        </w:rPr>
        <w:t xml:space="preserve">variables, with only one component of non-group IV elements, TiZrHfTa was selected to conduct the </w:t>
      </w:r>
      <w:r>
        <w:rPr>
          <w:rFonts w:ascii="Calibri" w:eastAsia="等线" w:hAnsi="Calibri" w:cs="Times New Roman"/>
        </w:rPr>
        <w:t>methodology</w:t>
      </w:r>
      <w:r w:rsidRPr="001C513B">
        <w:rPr>
          <w:rFonts w:ascii="Calibri" w:eastAsia="等线" w:hAnsi="Calibri" w:cs="Times New Roman"/>
        </w:rPr>
        <w:t xml:space="preserve"> of tuning </w:t>
      </w:r>
      <w:r w:rsidR="00963D94">
        <w:rPr>
          <w:rFonts w:ascii="Calibri" w:eastAsia="等线" w:hAnsi="Calibri" w:cs="Times New Roman"/>
        </w:rPr>
        <w:t xml:space="preserve">the </w:t>
      </w:r>
      <w:r w:rsidRPr="001C513B">
        <w:rPr>
          <w:rFonts w:ascii="Calibri" w:eastAsia="等线" w:hAnsi="Calibri" w:cs="Times New Roman"/>
        </w:rPr>
        <w:t xml:space="preserve">BCC structure stability </w:t>
      </w:r>
      <w:r>
        <w:rPr>
          <w:rFonts w:ascii="Calibri" w:eastAsia="等线" w:hAnsi="Calibri" w:cs="Times New Roman"/>
        </w:rPr>
        <w:t>via</w:t>
      </w:r>
      <w:r w:rsidRPr="001C513B">
        <w:rPr>
          <w:rFonts w:ascii="Calibri" w:eastAsia="等线" w:hAnsi="Calibri" w:cs="Times New Roman"/>
        </w:rPr>
        <w:t xml:space="preserve"> varying </w:t>
      </w:r>
      <w:r w:rsidRPr="001C513B">
        <w:rPr>
          <w:rFonts w:ascii="Times New Roman" w:eastAsia="等线" w:hAnsi="Times New Roman" w:cs="Times New Roman"/>
        </w:rPr>
        <w:t>β</w:t>
      </w:r>
      <w:r w:rsidRPr="001C513B">
        <w:rPr>
          <w:rFonts w:ascii="Calibri" w:eastAsia="等线" w:hAnsi="Calibri" w:cs="Times New Roman"/>
        </w:rPr>
        <w:t xml:space="preserve"> phase stabilise</w:t>
      </w:r>
      <w:r w:rsidR="00963D94">
        <w:rPr>
          <w:rFonts w:ascii="Calibri" w:eastAsia="等线" w:hAnsi="Calibri" w:cs="Times New Roman"/>
        </w:rPr>
        <w:t>rs</w:t>
      </w:r>
      <w:r>
        <w:rPr>
          <w:rFonts w:ascii="Calibri" w:eastAsia="等线" w:hAnsi="Calibri" w:cs="Times New Roman"/>
        </w:rPr>
        <w:t>, in an attempt</w:t>
      </w:r>
      <w:r w:rsidRPr="001C513B">
        <w:rPr>
          <w:rFonts w:ascii="Calibri" w:eastAsia="等线" w:hAnsi="Calibri" w:cs="Times New Roman"/>
        </w:rPr>
        <w:t xml:space="preserve"> to introduce TWIP and TRIP </w:t>
      </w:r>
      <w:r>
        <w:rPr>
          <w:rFonts w:ascii="Calibri" w:eastAsia="等线" w:hAnsi="Calibri" w:cs="Times New Roman"/>
        </w:rPr>
        <w:t>in this material</w:t>
      </w:r>
      <w:r w:rsidRPr="001C513B">
        <w:rPr>
          <w:rFonts w:ascii="Calibri" w:eastAsia="等线" w:hAnsi="Calibri" w:cs="Times New Roman"/>
        </w:rPr>
        <w:t xml:space="preserve">. </w:t>
      </w:r>
    </w:p>
    <w:p w14:paraId="0790DC2C" w14:textId="77777777" w:rsidR="00B145BE" w:rsidRPr="001C513B" w:rsidRDefault="00B145BE" w:rsidP="00B145BE">
      <w:pPr>
        <w:spacing w:afterLines="60" w:after="144" w:line="360" w:lineRule="auto"/>
        <w:jc w:val="both"/>
        <w:rPr>
          <w:rFonts w:ascii="Calibri" w:eastAsia="等线" w:hAnsi="Calibri" w:cs="Calibri"/>
          <w:lang w:bidi="hi-IN"/>
        </w:rPr>
      </w:pPr>
      <w:r w:rsidRPr="001C513B">
        <w:rPr>
          <w:rFonts w:ascii="Calibri" w:eastAsia="等线" w:hAnsi="Calibri" w:cs="Times New Roman"/>
        </w:rPr>
        <w:t>In</w:t>
      </w:r>
      <w:r>
        <w:rPr>
          <w:rFonts w:ascii="Calibri" w:eastAsia="等线" w:hAnsi="Calibri" w:cs="Times New Roman"/>
        </w:rPr>
        <w:t xml:space="preserve"> this chapter, </w:t>
      </w:r>
      <w:r w:rsidRPr="001C513B">
        <w:rPr>
          <w:rFonts w:ascii="Calibri" w:eastAsia="等线" w:hAnsi="Calibri" w:cs="Times New Roman"/>
        </w:rPr>
        <w:t xml:space="preserve">the aim </w:t>
      </w:r>
      <w:r>
        <w:rPr>
          <w:rFonts w:ascii="Calibri" w:eastAsia="等线" w:hAnsi="Calibri" w:cs="Times New Roman"/>
        </w:rPr>
        <w:t>was</w:t>
      </w:r>
      <w:r w:rsidRPr="001C513B">
        <w:rPr>
          <w:rFonts w:ascii="Calibri" w:eastAsia="等线" w:hAnsi="Calibri" w:cs="Times New Roman"/>
        </w:rPr>
        <w:t xml:space="preserve"> to understand</w:t>
      </w:r>
      <w:r>
        <w:rPr>
          <w:rFonts w:ascii="Calibri" w:eastAsia="等线" w:hAnsi="Calibri" w:cs="Times New Roman"/>
        </w:rPr>
        <w:t xml:space="preserve"> and discuss</w:t>
      </w:r>
      <w:r w:rsidRPr="001C513B">
        <w:rPr>
          <w:rFonts w:ascii="Calibri" w:eastAsia="等线" w:hAnsi="Calibri" w:cs="Times New Roman"/>
        </w:rPr>
        <w:t xml:space="preserve"> the relationship between phase stability and TWIP-TRIP activation</w:t>
      </w:r>
      <w:r>
        <w:rPr>
          <w:rFonts w:ascii="Calibri" w:eastAsia="等线" w:hAnsi="Calibri" w:cs="Times New Roman"/>
        </w:rPr>
        <w:t xml:space="preserve"> for</w:t>
      </w:r>
      <w:r w:rsidRPr="001C513B">
        <w:rPr>
          <w:rFonts w:ascii="Calibri" w:eastAsia="等线" w:hAnsi="Calibri" w:cs="Times New Roman"/>
        </w:rPr>
        <w:t xml:space="preserve"> TiZrHfTa</w:t>
      </w:r>
      <w:r w:rsidRPr="001C513B">
        <w:rPr>
          <w:rFonts w:ascii="Calibri" w:eastAsia="等线" w:hAnsi="Calibri" w:cs="Times New Roman"/>
          <w:vertAlign w:val="subscript"/>
        </w:rPr>
        <w:t>x (x = 0.5-1)</w:t>
      </w:r>
      <w:r w:rsidRPr="001C513B">
        <w:rPr>
          <w:rFonts w:ascii="Calibri" w:eastAsia="等线" w:hAnsi="Calibri" w:cs="Times New Roman"/>
        </w:rPr>
        <w:t xml:space="preserve">. </w:t>
      </w:r>
      <w:r>
        <w:rPr>
          <w:rFonts w:ascii="Calibri" w:eastAsia="等线" w:hAnsi="Calibri" w:cs="Times New Roman"/>
        </w:rPr>
        <w:t>A</w:t>
      </w:r>
      <w:r w:rsidRPr="001C513B">
        <w:rPr>
          <w:rFonts w:ascii="Calibri" w:eastAsia="等线" w:hAnsi="Calibri" w:cs="Times New Roman"/>
        </w:rPr>
        <w:t xml:space="preserve"> range of experimental tools </w:t>
      </w:r>
      <w:r>
        <w:rPr>
          <w:rFonts w:ascii="Calibri" w:eastAsia="等线" w:hAnsi="Calibri" w:cs="Times New Roman"/>
        </w:rPr>
        <w:t xml:space="preserve">were employed, including </w:t>
      </w:r>
      <w:r w:rsidRPr="001C513B">
        <w:rPr>
          <w:rFonts w:ascii="Calibri" w:eastAsia="等线" w:hAnsi="Calibri" w:cs="Times New Roman"/>
        </w:rPr>
        <w:t>TEM</w:t>
      </w:r>
      <w:r>
        <w:rPr>
          <w:rFonts w:ascii="Calibri" w:eastAsia="等线" w:hAnsi="Calibri" w:cs="Times New Roman"/>
        </w:rPr>
        <w:t xml:space="preserve">, </w:t>
      </w:r>
      <w:r w:rsidRPr="001C513B">
        <w:rPr>
          <w:rFonts w:ascii="Calibri" w:eastAsia="等线" w:hAnsi="Calibri" w:cs="Times New Roman"/>
        </w:rPr>
        <w:t xml:space="preserve">XRD </w:t>
      </w:r>
      <w:r>
        <w:rPr>
          <w:rFonts w:ascii="Calibri" w:eastAsia="等线" w:hAnsi="Calibri" w:cs="Times New Roman"/>
        </w:rPr>
        <w:lastRenderedPageBreak/>
        <w:t xml:space="preserve">and </w:t>
      </w:r>
      <w:r w:rsidRPr="001C513B">
        <w:rPr>
          <w:rFonts w:ascii="Calibri" w:eastAsia="等线" w:hAnsi="Calibri" w:cs="Times New Roman"/>
        </w:rPr>
        <w:t>EBSD</w:t>
      </w:r>
      <w:r>
        <w:rPr>
          <w:rFonts w:ascii="Calibri" w:eastAsia="等线" w:hAnsi="Calibri" w:cs="Times New Roman"/>
        </w:rPr>
        <w:t xml:space="preserve"> (</w:t>
      </w:r>
      <w:r w:rsidRPr="001C513B">
        <w:rPr>
          <w:rFonts w:ascii="Calibri" w:eastAsia="等线" w:hAnsi="Calibri" w:cs="Times New Roman"/>
        </w:rPr>
        <w:t>electron backscatter diffraction</w:t>
      </w:r>
      <w:r>
        <w:rPr>
          <w:rFonts w:ascii="Calibri" w:eastAsia="等线" w:hAnsi="Calibri" w:cs="Times New Roman"/>
        </w:rPr>
        <w:t>),</w:t>
      </w:r>
      <w:r w:rsidRPr="001C513B">
        <w:rPr>
          <w:rFonts w:ascii="Calibri" w:eastAsia="等线" w:hAnsi="Calibri" w:cs="Times New Roman"/>
        </w:rPr>
        <w:t xml:space="preserve"> </w:t>
      </w:r>
      <w:r>
        <w:rPr>
          <w:rFonts w:ascii="Calibri" w:eastAsia="等线" w:hAnsi="Calibri" w:cs="Times New Roman"/>
        </w:rPr>
        <w:t>to reveal and subsequently discuss the significant</w:t>
      </w:r>
      <w:r w:rsidRPr="001C513B">
        <w:rPr>
          <w:rFonts w:ascii="Calibri" w:eastAsia="等线" w:hAnsi="Calibri" w:cs="Times New Roman"/>
        </w:rPr>
        <w:t xml:space="preserve"> insights</w:t>
      </w:r>
      <w:r>
        <w:rPr>
          <w:rFonts w:ascii="Calibri" w:eastAsia="等线" w:hAnsi="Calibri" w:cs="Times New Roman"/>
        </w:rPr>
        <w:t xml:space="preserve"> found</w:t>
      </w:r>
      <w:r w:rsidRPr="001C513B">
        <w:rPr>
          <w:rFonts w:ascii="Calibri" w:eastAsia="等线" w:hAnsi="Calibri" w:cs="Times New Roman"/>
        </w:rPr>
        <w:t>.</w:t>
      </w:r>
    </w:p>
    <w:p w14:paraId="5B5B45EC" w14:textId="77777777" w:rsidR="00B145BE" w:rsidRPr="001E3029" w:rsidRDefault="00B145BE" w:rsidP="00B145BE">
      <w:pPr>
        <w:pStyle w:val="2"/>
        <w:spacing w:before="0" w:after="60" w:line="360" w:lineRule="auto"/>
        <w:rPr>
          <w:rFonts w:asciiTheme="minorHAnsi" w:hAnsiTheme="minorHAnsi"/>
          <w:b/>
          <w:color w:val="000000" w:themeColor="text1"/>
          <w:sz w:val="32"/>
          <w:szCs w:val="32"/>
          <w:lang w:bidi="hi-IN"/>
        </w:rPr>
      </w:pPr>
      <w:bookmarkStart w:id="237" w:name="_Toc22052540"/>
      <w:r w:rsidRPr="001E3029">
        <w:rPr>
          <w:rFonts w:asciiTheme="minorHAnsi" w:hAnsiTheme="minorHAnsi"/>
          <w:b/>
          <w:color w:val="000000" w:themeColor="text1"/>
          <w:sz w:val="32"/>
          <w:szCs w:val="32"/>
          <w:lang w:bidi="hi-IN"/>
        </w:rPr>
        <w:t xml:space="preserve">5.2 Phase constitution and </w:t>
      </w:r>
      <w:r>
        <w:rPr>
          <w:rFonts w:asciiTheme="minorHAnsi" w:hAnsiTheme="minorHAnsi"/>
          <w:b/>
          <w:color w:val="000000" w:themeColor="text1"/>
          <w:sz w:val="32"/>
          <w:szCs w:val="32"/>
          <w:lang w:bidi="hi-IN"/>
        </w:rPr>
        <w:t>m</w:t>
      </w:r>
      <w:r w:rsidRPr="001E3029">
        <w:rPr>
          <w:rFonts w:asciiTheme="minorHAnsi" w:hAnsiTheme="minorHAnsi"/>
          <w:b/>
          <w:color w:val="000000" w:themeColor="text1"/>
          <w:sz w:val="32"/>
          <w:szCs w:val="32"/>
          <w:lang w:bidi="hi-IN"/>
        </w:rPr>
        <w:t>echanical performance of TiZrHfTa</w:t>
      </w:r>
      <w:r w:rsidRPr="00F2589F">
        <w:rPr>
          <w:rFonts w:asciiTheme="minorHAnsi" w:hAnsiTheme="minorHAnsi"/>
          <w:b/>
          <w:color w:val="000000" w:themeColor="text1"/>
          <w:sz w:val="32"/>
          <w:szCs w:val="32"/>
          <w:vertAlign w:val="subscript"/>
          <w:lang w:bidi="hi-IN"/>
        </w:rPr>
        <w:t>x(x=0.5-1.0)</w:t>
      </w:r>
      <w:bookmarkEnd w:id="237"/>
    </w:p>
    <w:p w14:paraId="57964294" w14:textId="42127862" w:rsidR="00B145BE" w:rsidRPr="00CB73D8" w:rsidRDefault="00B145BE" w:rsidP="00BE74AD">
      <w:pPr>
        <w:shd w:val="clear" w:color="auto" w:fill="FFFFFF"/>
        <w:spacing w:after="0" w:line="360" w:lineRule="auto"/>
        <w:jc w:val="both"/>
        <w:rPr>
          <w:rFonts w:ascii="Calibri" w:eastAsia="等线" w:hAnsi="Calibri" w:cs="Times New Roman"/>
          <w:color w:val="000000" w:themeColor="text1"/>
        </w:rPr>
      </w:pPr>
      <w:r>
        <w:rPr>
          <w:rFonts w:ascii="Calibri" w:eastAsia="等线" w:hAnsi="Calibri" w:cs="Times New Roman"/>
        </w:rPr>
        <w:t xml:space="preserve">For the equimolar </w:t>
      </w:r>
      <w:r w:rsidRPr="001C513B">
        <w:rPr>
          <w:rFonts w:ascii="Calibri" w:eastAsia="等线" w:hAnsi="Calibri" w:cs="Times New Roman"/>
        </w:rPr>
        <w:t xml:space="preserve">TiZrHfTa </w:t>
      </w:r>
      <w:r>
        <w:rPr>
          <w:rFonts w:ascii="Calibri" w:eastAsia="等线" w:hAnsi="Calibri" w:cs="Times New Roman"/>
        </w:rPr>
        <w:t xml:space="preserve">RHEA system, Ta was selected to investigate its influence on destabilisation of the </w:t>
      </w:r>
      <w:r>
        <w:rPr>
          <w:rFonts w:ascii="Calibri" w:eastAsia="等线" w:hAnsi="Calibri" w:cs="Calibri"/>
        </w:rPr>
        <w:t>β</w:t>
      </w:r>
      <w:r>
        <w:rPr>
          <w:rFonts w:ascii="Calibri" w:eastAsia="等线" w:hAnsi="Calibri" w:cs="Times New Roman"/>
        </w:rPr>
        <w:t xml:space="preserve"> phase through varying its amount. The </w:t>
      </w:r>
      <w:r w:rsidRPr="001C513B">
        <w:rPr>
          <w:rFonts w:ascii="Calibri" w:eastAsia="等线" w:hAnsi="Calibri" w:cs="Times New Roman"/>
        </w:rPr>
        <w:t>TiZrHfTa</w:t>
      </w:r>
      <w:r w:rsidRPr="001C513B">
        <w:rPr>
          <w:rFonts w:ascii="Calibri" w:eastAsia="等线" w:hAnsi="Calibri" w:cs="Times New Roman"/>
          <w:vertAlign w:val="subscript"/>
        </w:rPr>
        <w:t>x</w:t>
      </w:r>
      <w:r w:rsidRPr="001C513B">
        <w:rPr>
          <w:rFonts w:ascii="Calibri" w:eastAsia="等线" w:hAnsi="Calibri" w:cs="Times New Roman"/>
        </w:rPr>
        <w:t xml:space="preserve"> RHEAs </w:t>
      </w:r>
      <w:r>
        <w:rPr>
          <w:rFonts w:ascii="Calibri" w:eastAsia="等线" w:hAnsi="Calibri" w:cs="Times New Roman"/>
        </w:rPr>
        <w:t>possessing</w:t>
      </w:r>
      <w:r w:rsidRPr="001C513B">
        <w:rPr>
          <w:rFonts w:ascii="Calibri" w:eastAsia="等线" w:hAnsi="Calibri" w:cs="Times New Roman"/>
        </w:rPr>
        <w:t xml:space="preserve"> x = 0.5, 0.6, 0.7, 0.8, 0.9</w:t>
      </w:r>
      <w:r>
        <w:rPr>
          <w:rFonts w:ascii="Calibri" w:eastAsia="等线" w:hAnsi="Calibri" w:cs="Times New Roman"/>
        </w:rPr>
        <w:t xml:space="preserve"> and</w:t>
      </w:r>
      <w:r w:rsidRPr="001C513B">
        <w:rPr>
          <w:rFonts w:ascii="Calibri" w:eastAsia="等线" w:hAnsi="Calibri" w:cs="Times New Roman"/>
        </w:rPr>
        <w:t xml:space="preserve"> 1</w:t>
      </w:r>
      <w:r>
        <w:rPr>
          <w:rFonts w:ascii="Calibri" w:eastAsia="等线" w:hAnsi="Calibri" w:cs="Times New Roman"/>
        </w:rPr>
        <w:t xml:space="preserve"> were investigated and subsequent </w:t>
      </w:r>
      <w:r w:rsidRPr="001C513B">
        <w:rPr>
          <w:rFonts w:ascii="Calibri" w:eastAsia="等线" w:hAnsi="Calibri" w:cs="Times New Roman"/>
        </w:rPr>
        <w:t xml:space="preserve">mechanical performance and phase </w:t>
      </w:r>
      <w:r>
        <w:rPr>
          <w:rFonts w:ascii="Calibri" w:eastAsia="等线" w:hAnsi="Calibri" w:cs="Times New Roman"/>
        </w:rPr>
        <w:t>formation</w:t>
      </w:r>
      <w:r w:rsidRPr="001C513B">
        <w:rPr>
          <w:rFonts w:ascii="Calibri" w:eastAsia="等线" w:hAnsi="Calibri" w:cs="Times New Roman"/>
        </w:rPr>
        <w:t xml:space="preserve"> were examined. The as-cast samples </w:t>
      </w:r>
      <w:r>
        <w:rPr>
          <w:rFonts w:ascii="Calibri" w:eastAsia="等线" w:hAnsi="Calibri" w:cs="Times New Roman"/>
        </w:rPr>
        <w:t>of</w:t>
      </w:r>
      <w:r w:rsidRPr="001C513B">
        <w:rPr>
          <w:rFonts w:ascii="Calibri" w:eastAsia="等线" w:hAnsi="Calibri" w:cs="Times New Roman"/>
        </w:rPr>
        <w:t xml:space="preserve"> </w:t>
      </w:r>
      <w:r>
        <w:rPr>
          <w:rFonts w:ascii="Calibri" w:eastAsia="等线" w:hAnsi="Calibri" w:cs="Times New Roman"/>
        </w:rPr>
        <w:t xml:space="preserve">these </w:t>
      </w:r>
      <w:r w:rsidRPr="001C513B">
        <w:rPr>
          <w:rFonts w:ascii="Calibri" w:eastAsia="等线" w:hAnsi="Calibri" w:cs="Times New Roman"/>
        </w:rPr>
        <w:t xml:space="preserve">six compositions were prepared by suction casting in </w:t>
      </w:r>
      <w:r>
        <w:rPr>
          <w:rFonts w:ascii="Calibri" w:eastAsia="等线" w:hAnsi="Calibri" w:cs="Times New Roman"/>
        </w:rPr>
        <w:t>the</w:t>
      </w:r>
      <w:r w:rsidRPr="001C513B">
        <w:rPr>
          <w:rFonts w:ascii="Calibri" w:eastAsia="等线" w:hAnsi="Calibri" w:cs="Times New Roman"/>
        </w:rPr>
        <w:t xml:space="preserve"> small-scale arc-melter. Phase constitution of </w:t>
      </w:r>
      <w:r>
        <w:rPr>
          <w:rFonts w:ascii="Calibri" w:eastAsia="等线" w:hAnsi="Calibri" w:cs="Times New Roman"/>
        </w:rPr>
        <w:t>these six compositions were</w:t>
      </w:r>
      <w:r w:rsidRPr="001C513B">
        <w:rPr>
          <w:rFonts w:ascii="Calibri" w:eastAsia="等线" w:hAnsi="Calibri" w:cs="Times New Roman"/>
        </w:rPr>
        <w:t xml:space="preserve"> characteri</w:t>
      </w:r>
      <w:r>
        <w:rPr>
          <w:rFonts w:ascii="Calibri" w:eastAsia="等线" w:hAnsi="Calibri" w:cs="Times New Roman"/>
        </w:rPr>
        <w:t>s</w:t>
      </w:r>
      <w:r w:rsidRPr="001C513B">
        <w:rPr>
          <w:rFonts w:ascii="Calibri" w:eastAsia="等线" w:hAnsi="Calibri" w:cs="Times New Roman"/>
        </w:rPr>
        <w:t xml:space="preserve">ed </w:t>
      </w:r>
      <w:r>
        <w:rPr>
          <w:rFonts w:ascii="Calibri" w:eastAsia="等线" w:hAnsi="Calibri" w:cs="Times New Roman"/>
        </w:rPr>
        <w:t>by</w:t>
      </w:r>
      <w:r w:rsidRPr="001C513B">
        <w:rPr>
          <w:rFonts w:ascii="Calibri" w:eastAsia="等线" w:hAnsi="Calibri" w:cs="Times New Roman"/>
        </w:rPr>
        <w:t xml:space="preserve"> XRD </w:t>
      </w:r>
      <w:r>
        <w:rPr>
          <w:rFonts w:ascii="Calibri" w:eastAsia="等线" w:hAnsi="Calibri" w:cs="Times New Roman"/>
        </w:rPr>
        <w:t>to determine if</w:t>
      </w:r>
      <w:r w:rsidRPr="001C513B">
        <w:rPr>
          <w:rFonts w:ascii="Calibri" w:eastAsia="等线" w:hAnsi="Calibri" w:cs="Times New Roman"/>
        </w:rPr>
        <w:t xml:space="preserve"> </w:t>
      </w:r>
      <w:r>
        <w:rPr>
          <w:rFonts w:ascii="Calibri" w:eastAsia="等线" w:hAnsi="Calibri" w:cs="Times New Roman"/>
        </w:rPr>
        <w:t xml:space="preserve">the lowering of </w:t>
      </w:r>
      <w:r>
        <w:rPr>
          <w:rFonts w:ascii="Calibri" w:eastAsia="等线" w:hAnsi="Calibri" w:cs="Calibri"/>
        </w:rPr>
        <w:t>β</w:t>
      </w:r>
      <w:r>
        <w:rPr>
          <w:rFonts w:ascii="Calibri" w:eastAsia="等线" w:hAnsi="Calibri" w:cs="Times New Roman"/>
        </w:rPr>
        <w:t xml:space="preserve"> </w:t>
      </w:r>
      <w:r w:rsidRPr="001C513B">
        <w:rPr>
          <w:rFonts w:ascii="Calibri" w:eastAsia="等线" w:hAnsi="Calibri" w:cs="Times New Roman"/>
        </w:rPr>
        <w:t xml:space="preserve">phase stability </w:t>
      </w:r>
      <w:r>
        <w:rPr>
          <w:rFonts w:ascii="Calibri" w:eastAsia="等线" w:hAnsi="Calibri" w:cs="Times New Roman"/>
        </w:rPr>
        <w:t>was</w:t>
      </w:r>
      <w:r w:rsidRPr="001C513B">
        <w:rPr>
          <w:rFonts w:ascii="Calibri" w:eastAsia="等线" w:hAnsi="Calibri" w:cs="Times New Roman"/>
        </w:rPr>
        <w:t xml:space="preserve"> achieved. Representative XRD patterns </w:t>
      </w:r>
      <w:r>
        <w:rPr>
          <w:rFonts w:ascii="Calibri" w:eastAsia="等线" w:hAnsi="Calibri" w:cs="Times New Roman"/>
        </w:rPr>
        <w:t>for the six</w:t>
      </w:r>
      <w:r w:rsidRPr="001C513B">
        <w:rPr>
          <w:rFonts w:ascii="Calibri" w:eastAsia="等线" w:hAnsi="Calibri" w:cs="Times New Roman"/>
        </w:rPr>
        <w:t xml:space="preserve"> as-cast samples are </w:t>
      </w:r>
      <w:r>
        <w:rPr>
          <w:rFonts w:ascii="Calibri" w:eastAsia="等线" w:hAnsi="Calibri" w:cs="Times New Roman"/>
        </w:rPr>
        <w:t>presented</w:t>
      </w:r>
      <w:r w:rsidRPr="001C513B">
        <w:rPr>
          <w:rFonts w:ascii="Calibri" w:eastAsia="等线" w:hAnsi="Calibri" w:cs="Times New Roman"/>
        </w:rPr>
        <w:t xml:space="preserve"> in Fig 5-1(a). </w:t>
      </w:r>
      <w:r>
        <w:rPr>
          <w:rFonts w:ascii="Calibri" w:eastAsia="等线" w:hAnsi="Calibri" w:cs="Times New Roman"/>
        </w:rPr>
        <w:t xml:space="preserve">As is evident, </w:t>
      </w:r>
      <w:r w:rsidRPr="001C513B">
        <w:rPr>
          <w:rFonts w:ascii="Calibri" w:eastAsia="等线" w:hAnsi="Calibri" w:cs="Times New Roman"/>
        </w:rPr>
        <w:t xml:space="preserve">only </w:t>
      </w:r>
      <w:r w:rsidRPr="001C513B">
        <w:rPr>
          <w:rFonts w:ascii="Calibri" w:eastAsia="等线" w:hAnsi="Calibri" w:cs="Calibri"/>
        </w:rPr>
        <w:t>β</w:t>
      </w:r>
      <w:r w:rsidRPr="001C513B">
        <w:rPr>
          <w:rFonts w:ascii="Calibri" w:eastAsia="等线" w:hAnsi="Calibri" w:cs="Times New Roman"/>
        </w:rPr>
        <w:t xml:space="preserve"> phase peaks were indexed for as-cast TiZrHfTa. </w:t>
      </w:r>
      <w:r>
        <w:rPr>
          <w:rFonts w:ascii="Calibri" w:eastAsia="等线" w:hAnsi="Calibri" w:cs="Times New Roman"/>
        </w:rPr>
        <w:t>It was determined that with</w:t>
      </w:r>
      <w:r w:rsidRPr="001C513B">
        <w:rPr>
          <w:rFonts w:ascii="Calibri" w:eastAsia="等线" w:hAnsi="Calibri" w:cs="Times New Roman"/>
        </w:rPr>
        <w:t xml:space="preserve"> </w:t>
      </w:r>
      <w:r>
        <w:rPr>
          <w:rFonts w:ascii="Calibri" w:eastAsia="等线" w:hAnsi="Calibri" w:cs="Times New Roman"/>
        </w:rPr>
        <w:t>a</w:t>
      </w:r>
      <w:r w:rsidRPr="001C513B">
        <w:rPr>
          <w:rFonts w:ascii="Calibri" w:eastAsia="等线" w:hAnsi="Calibri" w:cs="Times New Roman"/>
        </w:rPr>
        <w:t xml:space="preserve"> reduction of Ta addition, the relative content of Ti, Zr</w:t>
      </w:r>
      <w:r>
        <w:rPr>
          <w:rFonts w:ascii="Calibri" w:eastAsia="等线" w:hAnsi="Calibri" w:cs="Times New Roman"/>
        </w:rPr>
        <w:t xml:space="preserve"> and</w:t>
      </w:r>
      <w:r w:rsidRPr="001C513B">
        <w:rPr>
          <w:rFonts w:ascii="Calibri" w:eastAsia="等线" w:hAnsi="Calibri" w:cs="Times New Roman"/>
        </w:rPr>
        <w:t xml:space="preserve"> Hf </w:t>
      </w:r>
      <w:r>
        <w:rPr>
          <w:rFonts w:ascii="Calibri" w:eastAsia="等线" w:hAnsi="Calibri" w:cs="Times New Roman"/>
        </w:rPr>
        <w:t xml:space="preserve">were found to </w:t>
      </w:r>
      <w:r w:rsidRPr="001C513B">
        <w:rPr>
          <w:rFonts w:ascii="Calibri" w:eastAsia="等线" w:hAnsi="Calibri" w:cs="Times New Roman"/>
        </w:rPr>
        <w:t>increase</w:t>
      </w:r>
      <w:r>
        <w:rPr>
          <w:rFonts w:ascii="Calibri" w:eastAsia="等线" w:hAnsi="Calibri" w:cs="Times New Roman"/>
        </w:rPr>
        <w:t xml:space="preserve">. This </w:t>
      </w:r>
      <w:r w:rsidRPr="001C513B">
        <w:rPr>
          <w:rFonts w:ascii="Calibri" w:eastAsia="等线" w:hAnsi="Calibri" w:cs="Times New Roman"/>
        </w:rPr>
        <w:t>result</w:t>
      </w:r>
      <w:r>
        <w:rPr>
          <w:rFonts w:ascii="Calibri" w:eastAsia="等线" w:hAnsi="Calibri" w:cs="Times New Roman"/>
        </w:rPr>
        <w:t>ed</w:t>
      </w:r>
      <w:r w:rsidRPr="001C513B">
        <w:rPr>
          <w:rFonts w:ascii="Calibri" w:eastAsia="等线" w:hAnsi="Calibri" w:cs="Times New Roman"/>
        </w:rPr>
        <w:t xml:space="preserve"> in </w:t>
      </w:r>
      <w:r>
        <w:rPr>
          <w:rFonts w:ascii="Calibri" w:eastAsia="等线" w:hAnsi="Calibri" w:cs="Times New Roman"/>
        </w:rPr>
        <w:t>expanding</w:t>
      </w:r>
      <w:r w:rsidR="00963D94">
        <w:rPr>
          <w:rFonts w:ascii="Calibri" w:eastAsia="等线" w:hAnsi="Calibri" w:cs="Times New Roman"/>
        </w:rPr>
        <w:t xml:space="preserve"> of</w:t>
      </w:r>
      <w:r>
        <w:rPr>
          <w:rFonts w:ascii="Calibri" w:eastAsia="等线" w:hAnsi="Calibri" w:cs="Times New Roman"/>
        </w:rPr>
        <w:t xml:space="preserve"> the</w:t>
      </w:r>
      <w:r w:rsidRPr="001C513B">
        <w:rPr>
          <w:rFonts w:ascii="Calibri" w:eastAsia="等线" w:hAnsi="Calibri" w:cs="Times New Roman"/>
        </w:rPr>
        <w:t xml:space="preserve"> </w:t>
      </w:r>
      <w:r>
        <w:rPr>
          <w:rFonts w:ascii="Calibri" w:eastAsia="等线" w:hAnsi="Calibri" w:cs="Times New Roman"/>
        </w:rPr>
        <w:t xml:space="preserve">BCC </w:t>
      </w:r>
      <w:r w:rsidRPr="001C513B">
        <w:rPr>
          <w:rFonts w:ascii="Calibri" w:eastAsia="等线" w:hAnsi="Calibri" w:cs="Times New Roman"/>
        </w:rPr>
        <w:t xml:space="preserve">lattice </w:t>
      </w:r>
      <w:r w:rsidRPr="00CB73D8">
        <w:rPr>
          <w:rFonts w:ascii="Calibri" w:eastAsia="等线" w:hAnsi="Calibri" w:cs="Times New Roman"/>
          <w:color w:val="000000" w:themeColor="text1"/>
        </w:rPr>
        <w:t>from 3.44</w:t>
      </w:r>
      <w:r w:rsidRPr="00CB73D8">
        <w:rPr>
          <w:rFonts w:ascii="Calibri" w:eastAsia="等线" w:hAnsi="Calibri" w:cs="Arial"/>
          <w:color w:val="000000" w:themeColor="text1"/>
          <w:sz w:val="20"/>
          <w:szCs w:val="20"/>
          <w:shd w:val="clear" w:color="auto" w:fill="FFFFFF"/>
        </w:rPr>
        <w:t xml:space="preserve"> </w:t>
      </w:r>
      <w:r w:rsidRPr="00CB73D8">
        <w:rPr>
          <w:rFonts w:ascii="Calibri" w:eastAsia="等线" w:hAnsi="Calibri" w:cs="Arial"/>
          <w:color w:val="000000" w:themeColor="text1"/>
          <w:shd w:val="clear" w:color="auto" w:fill="FFFFFF"/>
        </w:rPr>
        <w:t>Å (TiZrHfTa) to 3.45 Å (TiZrHfTa</w:t>
      </w:r>
      <w:r w:rsidRPr="00CB73D8">
        <w:rPr>
          <w:rFonts w:ascii="Calibri" w:eastAsia="等线" w:hAnsi="Calibri" w:cs="Arial"/>
          <w:color w:val="000000" w:themeColor="text1"/>
          <w:shd w:val="clear" w:color="auto" w:fill="FFFFFF"/>
          <w:vertAlign w:val="subscript"/>
        </w:rPr>
        <w:t>0.5</w:t>
      </w:r>
      <w:r w:rsidRPr="00CB73D8">
        <w:rPr>
          <w:rFonts w:ascii="Calibri" w:eastAsia="等线" w:hAnsi="Calibri" w:cs="Arial"/>
          <w:color w:val="000000" w:themeColor="text1"/>
          <w:shd w:val="clear" w:color="auto" w:fill="FFFFFF"/>
        </w:rPr>
        <w:t>),</w:t>
      </w:r>
      <w:r w:rsidRPr="00CB73D8">
        <w:rPr>
          <w:rFonts w:ascii="Calibri" w:eastAsia="等线" w:hAnsi="Calibri" w:cs="Times New Roman"/>
          <w:color w:val="000000" w:themeColor="text1"/>
        </w:rPr>
        <w:t xml:space="preserve"> since the atomic radius of Ta (1.47</w:t>
      </w:r>
      <w:r w:rsidRPr="00CB73D8">
        <w:rPr>
          <w:rFonts w:ascii="Calibri" w:eastAsia="等线" w:hAnsi="Calibri" w:cs="Arial"/>
          <w:color w:val="000000" w:themeColor="text1"/>
          <w:sz w:val="20"/>
          <w:szCs w:val="20"/>
          <w:shd w:val="clear" w:color="auto" w:fill="FFFFFF"/>
        </w:rPr>
        <w:t xml:space="preserve"> Å</w:t>
      </w:r>
      <w:r w:rsidRPr="00CB73D8">
        <w:rPr>
          <w:rFonts w:ascii="Calibri" w:eastAsia="等线" w:hAnsi="Calibri" w:cs="Times New Roman"/>
          <w:color w:val="000000" w:themeColor="text1"/>
        </w:rPr>
        <w:t>) is close to Ti (1.46</w:t>
      </w:r>
      <w:r w:rsidRPr="00CB73D8">
        <w:rPr>
          <w:rFonts w:ascii="Calibri" w:eastAsia="等线" w:hAnsi="Calibri" w:cs="Arial"/>
          <w:color w:val="000000" w:themeColor="text1"/>
          <w:sz w:val="20"/>
          <w:szCs w:val="20"/>
          <w:shd w:val="clear" w:color="auto" w:fill="FFFFFF"/>
        </w:rPr>
        <w:t xml:space="preserve"> Å</w:t>
      </w:r>
      <w:r w:rsidRPr="00CB73D8">
        <w:rPr>
          <w:rFonts w:ascii="Calibri" w:eastAsia="等线" w:hAnsi="Calibri" w:cs="Times New Roman"/>
          <w:color w:val="000000" w:themeColor="text1"/>
        </w:rPr>
        <w:t>) and smaller than Zr (1.6</w:t>
      </w:r>
      <w:r w:rsidRPr="00CB73D8">
        <w:rPr>
          <w:rFonts w:ascii="Calibri" w:eastAsia="等线" w:hAnsi="Calibri" w:cs="Arial"/>
          <w:color w:val="000000" w:themeColor="text1"/>
          <w:sz w:val="20"/>
          <w:szCs w:val="20"/>
          <w:shd w:val="clear" w:color="auto" w:fill="FFFFFF"/>
        </w:rPr>
        <w:t xml:space="preserve"> Å</w:t>
      </w:r>
      <w:r w:rsidRPr="00CB73D8">
        <w:rPr>
          <w:rFonts w:ascii="Calibri" w:eastAsia="等线" w:hAnsi="Calibri" w:cs="Times New Roman"/>
          <w:color w:val="000000" w:themeColor="text1"/>
        </w:rPr>
        <w:t>) and Hf (1.59</w:t>
      </w:r>
      <w:r w:rsidRPr="00CB73D8">
        <w:rPr>
          <w:rFonts w:ascii="Calibri" w:eastAsia="等线" w:hAnsi="Calibri" w:cs="Arial"/>
          <w:color w:val="000000" w:themeColor="text1"/>
          <w:sz w:val="20"/>
          <w:szCs w:val="20"/>
          <w:shd w:val="clear" w:color="auto" w:fill="FFFFFF"/>
        </w:rPr>
        <w:t xml:space="preserve"> Å</w:t>
      </w:r>
      <w:r w:rsidRPr="00CB73D8">
        <w:rPr>
          <w:rFonts w:ascii="Calibri" w:eastAsia="等线" w:hAnsi="Calibri" w:cs="Times New Roman"/>
          <w:color w:val="000000" w:themeColor="text1"/>
        </w:rPr>
        <w:t xml:space="preserve">), respectively. The </w:t>
      </w:r>
      <w:r w:rsidRPr="00CB73D8">
        <w:rPr>
          <w:rFonts w:ascii="Calibri" w:eastAsia="等线" w:hAnsi="Calibri" w:cs="Calibri"/>
          <w:color w:val="000000" w:themeColor="text1"/>
        </w:rPr>
        <w:t>β</w:t>
      </w:r>
      <w:r w:rsidRPr="00CB73D8">
        <w:rPr>
          <w:rFonts w:ascii="Calibri" w:eastAsia="等线" w:hAnsi="Calibri" w:cs="Times New Roman"/>
          <w:color w:val="000000" w:themeColor="text1"/>
        </w:rPr>
        <w:t xml:space="preserve"> phase stability was also lowered which resulted in the formation of a second phase within </w:t>
      </w:r>
      <w:r w:rsidRPr="00CB73D8">
        <w:rPr>
          <w:rFonts w:ascii="Calibri" w:eastAsia="等线" w:hAnsi="Calibri" w:cs="Arial"/>
          <w:color w:val="000000" w:themeColor="text1"/>
          <w:shd w:val="clear" w:color="auto" w:fill="FFFFFF"/>
        </w:rPr>
        <w:t>TiZrHfTa</w:t>
      </w:r>
      <w:r w:rsidRPr="00CB73D8">
        <w:rPr>
          <w:rFonts w:ascii="Calibri" w:eastAsia="等线" w:hAnsi="Calibri" w:cs="Arial"/>
          <w:color w:val="000000" w:themeColor="text1"/>
          <w:shd w:val="clear" w:color="auto" w:fill="FFFFFF"/>
          <w:vertAlign w:val="subscript"/>
        </w:rPr>
        <w:t>0.5</w:t>
      </w:r>
      <w:r w:rsidRPr="00CB73D8">
        <w:rPr>
          <w:rFonts w:ascii="Calibri" w:eastAsia="等线" w:hAnsi="Calibri" w:cs="Times New Roman"/>
          <w:color w:val="000000" w:themeColor="text1"/>
        </w:rPr>
        <w:t xml:space="preserve"> revealed in Fig. 5-1(a). As a consequence of the apparent peak shift observed in </w:t>
      </w:r>
      <w:r w:rsidR="00963D94" w:rsidRPr="00CB73D8">
        <w:rPr>
          <w:rFonts w:ascii="Calibri" w:eastAsia="等线" w:hAnsi="Calibri" w:cs="Times New Roman"/>
          <w:color w:val="000000" w:themeColor="text1"/>
        </w:rPr>
        <w:t xml:space="preserve">the </w:t>
      </w:r>
      <w:r w:rsidRPr="00CB73D8">
        <w:rPr>
          <w:rFonts w:ascii="Calibri" w:eastAsia="等线" w:hAnsi="Calibri" w:cs="Times New Roman"/>
          <w:color w:val="000000" w:themeColor="text1"/>
        </w:rPr>
        <w:t>(200)</w:t>
      </w:r>
      <w:r w:rsidRPr="00CB73D8">
        <w:rPr>
          <w:rFonts w:ascii="Times New Roman" w:eastAsia="等线" w:hAnsi="Times New Roman" w:cs="Times New Roman"/>
          <w:color w:val="000000" w:themeColor="text1"/>
          <w:vertAlign w:val="subscript"/>
        </w:rPr>
        <w:t>β</w:t>
      </w:r>
      <w:r w:rsidRPr="00CB73D8">
        <w:rPr>
          <w:rFonts w:ascii="Calibri" w:eastAsia="等线" w:hAnsi="Calibri" w:cs="Times New Roman"/>
          <w:color w:val="000000" w:themeColor="text1"/>
        </w:rPr>
        <w:t xml:space="preserve"> peak, the second phase was primarily indexed as another BCC phase in the TiZrHfTa</w:t>
      </w:r>
      <w:r w:rsidRPr="00CB73D8">
        <w:rPr>
          <w:rFonts w:ascii="Calibri" w:eastAsia="等线" w:hAnsi="Calibri" w:cs="Times New Roman"/>
          <w:color w:val="000000" w:themeColor="text1"/>
          <w:vertAlign w:val="subscript"/>
        </w:rPr>
        <w:t xml:space="preserve">0.8-0.9 </w:t>
      </w:r>
      <w:r w:rsidRPr="00CB73D8">
        <w:rPr>
          <w:rFonts w:ascii="Calibri" w:eastAsia="等线" w:hAnsi="Calibri" w:cs="Times New Roman"/>
          <w:color w:val="000000" w:themeColor="text1"/>
        </w:rPr>
        <w:t>sample. For TiZrHfTa</w:t>
      </w:r>
      <w:r w:rsidRPr="00CB73D8">
        <w:rPr>
          <w:rFonts w:ascii="Calibri" w:eastAsia="等线" w:hAnsi="Calibri" w:cs="Times New Roman"/>
          <w:color w:val="000000" w:themeColor="text1"/>
          <w:vertAlign w:val="subscript"/>
        </w:rPr>
        <w:t>0.6</w:t>
      </w:r>
      <w:r w:rsidR="005E5580" w:rsidRPr="00CB73D8">
        <w:rPr>
          <w:rFonts w:ascii="Calibri" w:eastAsia="等线" w:hAnsi="Calibri" w:cs="Times New Roman"/>
          <w:color w:val="000000" w:themeColor="text1"/>
        </w:rPr>
        <w:t>,</w:t>
      </w:r>
      <w:r w:rsidRPr="00CB73D8">
        <w:rPr>
          <w:rFonts w:ascii="Calibri" w:eastAsia="等线" w:hAnsi="Calibri" w:cs="Times New Roman"/>
          <w:color w:val="000000" w:themeColor="text1"/>
        </w:rPr>
        <w:t xml:space="preserve"> another small peak was identified next to the (110)</w:t>
      </w:r>
      <w:r w:rsidRPr="00CB73D8">
        <w:rPr>
          <w:rFonts w:ascii="Times New Roman" w:eastAsia="等线" w:hAnsi="Times New Roman" w:cs="Times New Roman"/>
          <w:color w:val="000000" w:themeColor="text1"/>
          <w:vertAlign w:val="subscript"/>
        </w:rPr>
        <w:t>β</w:t>
      </w:r>
      <w:r w:rsidRPr="00CB73D8">
        <w:rPr>
          <w:rFonts w:ascii="Calibri" w:eastAsia="等线" w:hAnsi="Calibri" w:cs="Times New Roman"/>
          <w:color w:val="000000" w:themeColor="text1"/>
        </w:rPr>
        <w:t xml:space="preserve"> peak. The indexation of the new phase was achieved for TiZrHfTa</w:t>
      </w:r>
      <w:r w:rsidRPr="00CB73D8">
        <w:rPr>
          <w:rFonts w:ascii="Calibri" w:eastAsia="等线" w:hAnsi="Calibri" w:cs="Times New Roman"/>
          <w:color w:val="000000" w:themeColor="text1"/>
          <w:vertAlign w:val="subscript"/>
        </w:rPr>
        <w:t>0.5</w:t>
      </w:r>
      <w:r w:rsidRPr="00CB73D8">
        <w:rPr>
          <w:rFonts w:ascii="Calibri" w:eastAsia="等线" w:hAnsi="Calibri" w:cs="Times New Roman"/>
          <w:color w:val="000000" w:themeColor="text1"/>
        </w:rPr>
        <w:t xml:space="preserve"> which possessed the lowest </w:t>
      </w:r>
      <w:r w:rsidRPr="00CB73D8">
        <w:rPr>
          <w:rFonts w:ascii="Times New Roman" w:eastAsia="等线" w:hAnsi="Times New Roman" w:cs="Times New Roman"/>
          <w:color w:val="000000" w:themeColor="text1"/>
        </w:rPr>
        <w:t>β</w:t>
      </w:r>
      <w:r w:rsidRPr="00CB73D8">
        <w:rPr>
          <w:rFonts w:ascii="Calibri" w:eastAsia="等线" w:hAnsi="Calibri" w:cs="Times New Roman"/>
          <w:color w:val="000000" w:themeColor="text1"/>
        </w:rPr>
        <w:t xml:space="preserve"> phase stability in this series. TiZrHfTa</w:t>
      </w:r>
      <w:r w:rsidRPr="00CB73D8">
        <w:rPr>
          <w:rFonts w:ascii="Calibri" w:eastAsia="等线" w:hAnsi="Calibri" w:cs="Times New Roman"/>
          <w:color w:val="000000" w:themeColor="text1"/>
          <w:vertAlign w:val="subscript"/>
        </w:rPr>
        <w:t xml:space="preserve">0.5 </w:t>
      </w:r>
      <w:r w:rsidRPr="00CB73D8">
        <w:rPr>
          <w:rFonts w:ascii="Calibri" w:eastAsia="等线" w:hAnsi="Calibri" w:cs="Times New Roman"/>
          <w:color w:val="000000" w:themeColor="text1"/>
        </w:rPr>
        <w:t>revealed additional peaks around the (110)</w:t>
      </w:r>
      <w:r w:rsidRPr="00CB73D8">
        <w:rPr>
          <w:rFonts w:ascii="Times New Roman" w:eastAsia="等线" w:hAnsi="Times New Roman" w:cs="Times New Roman"/>
          <w:color w:val="000000" w:themeColor="text1"/>
          <w:vertAlign w:val="subscript"/>
        </w:rPr>
        <w:t>β</w:t>
      </w:r>
      <w:r w:rsidRPr="00CB73D8">
        <w:rPr>
          <w:rFonts w:ascii="Calibri" w:eastAsia="等线" w:hAnsi="Calibri" w:cs="Times New Roman"/>
          <w:color w:val="000000" w:themeColor="text1"/>
        </w:rPr>
        <w:t xml:space="preserve"> peak and this is depicted in Fig. 5-1(a) inset. In Chapter 4, the martensitic phase was observed in TiZrHfTa and described to be a result of the destabilisation of the </w:t>
      </w:r>
      <w:r w:rsidRPr="00CB73D8">
        <w:rPr>
          <w:rFonts w:ascii="Times New Roman" w:eastAsia="等线" w:hAnsi="Times New Roman" w:cs="Times New Roman"/>
          <w:color w:val="000000" w:themeColor="text1"/>
        </w:rPr>
        <w:t>β</w:t>
      </w:r>
      <w:r w:rsidRPr="00CB73D8">
        <w:rPr>
          <w:rFonts w:ascii="Calibri" w:eastAsia="等线" w:hAnsi="Calibri" w:cs="Times New Roman"/>
          <w:color w:val="000000" w:themeColor="text1"/>
        </w:rPr>
        <w:t xml:space="preserve"> phase. Thus, substituting the peak value into</w:t>
      </w:r>
      <w:r w:rsidR="00963D94" w:rsidRPr="00CB73D8">
        <w:rPr>
          <w:rFonts w:ascii="Calibri" w:eastAsia="等线" w:hAnsi="Calibri" w:cs="Times New Roman"/>
          <w:color w:val="000000" w:themeColor="text1"/>
        </w:rPr>
        <w:t xml:space="preserve"> the</w:t>
      </w:r>
      <w:r w:rsidRPr="00CB73D8">
        <w:rPr>
          <w:rFonts w:ascii="Calibri" w:eastAsia="等线" w:hAnsi="Calibri" w:cs="Times New Roman"/>
          <w:color w:val="000000" w:themeColor="text1"/>
        </w:rPr>
        <w:t xml:space="preserve"> orthorhombic structure of </w:t>
      </w:r>
      <w:r w:rsidR="00963D94" w:rsidRPr="00CB73D8">
        <w:rPr>
          <w:rFonts w:ascii="Calibri" w:eastAsia="等线" w:hAnsi="Calibri" w:cs="Times New Roman"/>
          <w:color w:val="000000" w:themeColor="text1"/>
        </w:rPr>
        <w:t xml:space="preserve">the </w:t>
      </w:r>
      <w:r w:rsidRPr="00CB73D8">
        <w:rPr>
          <w:rFonts w:ascii="Calibri" w:eastAsia="等线" w:hAnsi="Calibri" w:cs="Times New Roman"/>
          <w:color w:val="000000" w:themeColor="text1"/>
        </w:rPr>
        <w:t xml:space="preserve">martensitic phase, the new phase was indexed as orthorhombic </w:t>
      </w:r>
      <w:r w:rsidRPr="00CB73D8">
        <w:rPr>
          <w:rFonts w:ascii="Times New Roman" w:eastAsia="等线" w:hAnsi="Times New Roman" w:cs="Times New Roman"/>
          <w:color w:val="000000" w:themeColor="text1"/>
        </w:rPr>
        <w:t>α</w:t>
      </w:r>
      <w:r w:rsidRPr="00CB73D8">
        <w:rPr>
          <w:rFonts w:ascii="Calibri" w:eastAsia="等线" w:hAnsi="Calibri" w:cs="Times New Roman"/>
          <w:color w:val="000000" w:themeColor="text1"/>
        </w:rPr>
        <w:t>’’ phase with lattice parameters</w:t>
      </w:r>
      <w:r w:rsidR="00963D94" w:rsidRPr="00CB73D8">
        <w:rPr>
          <w:rFonts w:ascii="Calibri" w:eastAsia="等线" w:hAnsi="Calibri" w:cs="Times New Roman"/>
          <w:color w:val="000000" w:themeColor="text1"/>
        </w:rPr>
        <w:t xml:space="preserve"> of</w:t>
      </w:r>
      <w:r w:rsidRPr="00CB73D8">
        <w:rPr>
          <w:rFonts w:ascii="Calibri" w:eastAsia="等线" w:hAnsi="Calibri" w:cs="Times New Roman"/>
          <w:color w:val="000000" w:themeColor="text1"/>
        </w:rPr>
        <w:t xml:space="preserve"> a = 3.22</w:t>
      </w:r>
      <w:r w:rsidRPr="00CB73D8">
        <w:rPr>
          <w:rFonts w:ascii="Calibri" w:eastAsia="等线" w:hAnsi="Calibri" w:cs="Arial"/>
          <w:color w:val="000000" w:themeColor="text1"/>
          <w:sz w:val="20"/>
          <w:szCs w:val="20"/>
          <w:shd w:val="clear" w:color="auto" w:fill="FFFFFF"/>
        </w:rPr>
        <w:t>Å,</w:t>
      </w:r>
      <w:r w:rsidRPr="00CB73D8">
        <w:rPr>
          <w:rFonts w:ascii="Calibri" w:eastAsia="等线" w:hAnsi="Calibri" w:cs="Times New Roman"/>
          <w:color w:val="000000" w:themeColor="text1"/>
        </w:rPr>
        <w:t xml:space="preserve"> b = 5.15</w:t>
      </w:r>
      <w:r w:rsidRPr="00CB73D8">
        <w:rPr>
          <w:rFonts w:ascii="Calibri" w:eastAsia="等线" w:hAnsi="Calibri" w:cs="Arial"/>
          <w:color w:val="000000" w:themeColor="text1"/>
          <w:sz w:val="20"/>
          <w:szCs w:val="20"/>
          <w:shd w:val="clear" w:color="auto" w:fill="FFFFFF"/>
        </w:rPr>
        <w:t>Å, and</w:t>
      </w:r>
      <w:r w:rsidRPr="00CB73D8">
        <w:rPr>
          <w:rFonts w:ascii="Calibri" w:eastAsia="等线" w:hAnsi="Calibri" w:cs="Times New Roman"/>
          <w:color w:val="000000" w:themeColor="text1"/>
        </w:rPr>
        <w:t xml:space="preserve"> c = 4.92</w:t>
      </w:r>
      <w:r w:rsidRPr="00CB73D8">
        <w:rPr>
          <w:rFonts w:ascii="Calibri" w:eastAsia="等线" w:hAnsi="Calibri" w:cs="Arial"/>
          <w:color w:val="000000" w:themeColor="text1"/>
          <w:sz w:val="20"/>
          <w:szCs w:val="20"/>
          <w:shd w:val="clear" w:color="auto" w:fill="FFFFFF"/>
        </w:rPr>
        <w:t>Å</w:t>
      </w:r>
      <w:r w:rsidR="005E5580" w:rsidRPr="00CB73D8">
        <w:rPr>
          <w:rFonts w:ascii="Calibri" w:eastAsia="等线" w:hAnsi="Calibri" w:cs="Arial"/>
          <w:color w:val="000000" w:themeColor="text1"/>
          <w:sz w:val="20"/>
          <w:szCs w:val="20"/>
          <w:shd w:val="clear" w:color="auto" w:fill="FFFFFF"/>
        </w:rPr>
        <w:t xml:space="preserve"> </w:t>
      </w:r>
      <w:r w:rsidR="00963D94" w:rsidRPr="00CB73D8">
        <w:rPr>
          <w:rFonts w:ascii="Calibri" w:eastAsia="等线" w:hAnsi="Calibri" w:cs="Times New Roman"/>
          <w:color w:val="000000" w:themeColor="text1"/>
        </w:rPr>
        <w:t>and a</w:t>
      </w:r>
      <w:r w:rsidR="005E5580" w:rsidRPr="00CB73D8">
        <w:rPr>
          <w:rFonts w:ascii="Calibri" w:eastAsia="等线" w:hAnsi="Calibri" w:cs="Times New Roman"/>
          <w:color w:val="000000" w:themeColor="text1"/>
        </w:rPr>
        <w:t xml:space="preserve"> cmcm space group</w:t>
      </w:r>
      <w:r w:rsidRPr="00CB73D8">
        <w:rPr>
          <w:rFonts w:ascii="Calibri" w:eastAsia="等线" w:hAnsi="Calibri" w:cs="Times New Roman"/>
          <w:color w:val="000000" w:themeColor="text1"/>
        </w:rPr>
        <w:t>. The</w:t>
      </w:r>
      <w:r w:rsidRPr="00CB73D8">
        <w:rPr>
          <w:rFonts w:ascii="Calibri" w:eastAsia="等线" w:hAnsi="Calibri" w:cs="Arial"/>
          <w:color w:val="000000" w:themeColor="text1"/>
          <w:shd w:val="clear" w:color="auto" w:fill="FFFFFF"/>
        </w:rPr>
        <w:t xml:space="preserve"> occurrence of the </w:t>
      </w:r>
      <w:r w:rsidRPr="00CB73D8">
        <w:rPr>
          <w:rFonts w:ascii="Calibri" w:eastAsia="等线" w:hAnsi="Calibri" w:cs="Times New Roman"/>
          <w:color w:val="000000" w:themeColor="text1"/>
        </w:rPr>
        <w:t xml:space="preserve">orthorhombic </w:t>
      </w:r>
      <w:r w:rsidRPr="00CB73D8">
        <w:rPr>
          <w:rFonts w:ascii="Times New Roman" w:eastAsia="等线" w:hAnsi="Times New Roman" w:cs="Times New Roman"/>
          <w:color w:val="000000" w:themeColor="text1"/>
        </w:rPr>
        <w:t>α</w:t>
      </w:r>
      <w:r w:rsidRPr="00CB73D8">
        <w:rPr>
          <w:rFonts w:ascii="Calibri" w:eastAsia="等线" w:hAnsi="Calibri" w:cs="Times New Roman"/>
          <w:color w:val="000000" w:themeColor="text1"/>
        </w:rPr>
        <w:t>’’ phase</w:t>
      </w:r>
      <w:r w:rsidRPr="00CB73D8">
        <w:rPr>
          <w:rFonts w:ascii="Calibri" w:eastAsia="等线" w:hAnsi="Calibri" w:cs="Arial"/>
          <w:color w:val="000000" w:themeColor="text1"/>
          <w:shd w:val="clear" w:color="auto" w:fill="FFFFFF"/>
        </w:rPr>
        <w:t xml:space="preserve"> found in TiZrHfTa</w:t>
      </w:r>
      <w:r w:rsidRPr="00CB73D8">
        <w:rPr>
          <w:rFonts w:ascii="Calibri" w:eastAsia="等线" w:hAnsi="Calibri" w:cs="Arial"/>
          <w:color w:val="000000" w:themeColor="text1"/>
          <w:shd w:val="clear" w:color="auto" w:fill="FFFFFF"/>
          <w:vertAlign w:val="subscript"/>
        </w:rPr>
        <w:t>0.5</w:t>
      </w:r>
      <w:r w:rsidRPr="00CB73D8">
        <w:rPr>
          <w:rFonts w:ascii="Calibri" w:eastAsia="等线" w:hAnsi="Calibri" w:cs="Arial"/>
          <w:color w:val="000000" w:themeColor="text1"/>
          <w:shd w:val="clear" w:color="auto" w:fill="FFFFFF"/>
        </w:rPr>
        <w:t xml:space="preserve"> </w:t>
      </w:r>
      <w:r w:rsidR="00CB73D8" w:rsidRPr="00CB73D8">
        <w:rPr>
          <w:rFonts w:ascii="Calibri" w:eastAsia="等线" w:hAnsi="Calibri" w:cs="Arial"/>
          <w:color w:val="000000" w:themeColor="text1"/>
          <w:shd w:val="clear" w:color="auto" w:fill="FFFFFF"/>
        </w:rPr>
        <w:t>shows</w:t>
      </w:r>
      <w:r w:rsidRPr="00CB73D8">
        <w:rPr>
          <w:rFonts w:ascii="Calibri" w:eastAsia="等线" w:hAnsi="Calibri" w:cs="Arial"/>
          <w:color w:val="000000" w:themeColor="text1"/>
          <w:shd w:val="clear" w:color="auto" w:fill="FFFFFF"/>
        </w:rPr>
        <w:t xml:space="preserve"> that the introduction of the metastable engineering strategy was successfully achieved by lowering Ta content in TiZrHfTa</w:t>
      </w:r>
      <w:r w:rsidRPr="00CB73D8">
        <w:rPr>
          <w:rFonts w:ascii="Calibri" w:eastAsia="等线" w:hAnsi="Calibri" w:cs="Arial"/>
          <w:color w:val="000000" w:themeColor="text1"/>
          <w:shd w:val="clear" w:color="auto" w:fill="FFFFFF"/>
          <w:vertAlign w:val="subscript"/>
        </w:rPr>
        <w:t>x</w:t>
      </w:r>
      <w:r w:rsidRPr="00CB73D8">
        <w:rPr>
          <w:rFonts w:ascii="Calibri" w:eastAsia="等线" w:hAnsi="Calibri" w:cs="Arial"/>
          <w:color w:val="000000" w:themeColor="text1"/>
          <w:shd w:val="clear" w:color="auto" w:fill="FFFFFF"/>
        </w:rPr>
        <w:t xml:space="preserve"> RHEAs. </w:t>
      </w:r>
    </w:p>
    <w:p w14:paraId="3A850B6C" w14:textId="77777777" w:rsidR="00B145BE" w:rsidRPr="001C513B" w:rsidRDefault="00B145BE" w:rsidP="00B145BE">
      <w:pPr>
        <w:keepNext/>
        <w:shd w:val="clear" w:color="auto" w:fill="FFFFFF"/>
        <w:spacing w:afterLines="60" w:after="144" w:line="360" w:lineRule="auto"/>
        <w:jc w:val="center"/>
        <w:rPr>
          <w:rFonts w:ascii="Calibri" w:eastAsia="等线" w:hAnsi="Calibri" w:cs="Calibri"/>
        </w:rPr>
      </w:pPr>
      <w:r w:rsidRPr="00402FCC">
        <w:rPr>
          <w:rFonts w:ascii="Calibri" w:eastAsia="等线" w:hAnsi="Calibri" w:cs="Calibri"/>
          <w:noProof/>
        </w:rPr>
        <w:lastRenderedPageBreak/>
        <w:drawing>
          <wp:inline distT="0" distB="0" distL="0" distR="0" wp14:anchorId="6EFE7E59" wp14:editId="372C1566">
            <wp:extent cx="5532482" cy="2260397"/>
            <wp:effectExtent l="0" t="0" r="0" b="6985"/>
            <wp:docPr id="229" name="图片 23" descr="图片包含 地图, 文字&#10;&#10;描述已自动生成">
              <a:extLst xmlns:a="http://schemas.openxmlformats.org/drawingml/2006/main">
                <a:ext uri="{FF2B5EF4-FFF2-40B4-BE49-F238E27FC236}">
                  <a16:creationId xmlns:a16="http://schemas.microsoft.com/office/drawing/2014/main" id="{72AF0BD8-2148-4C94-B9B3-C6AE98EA11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图片包含 地图, 文字&#10;&#10;描述已自动生成">
                      <a:extLst>
                        <a:ext uri="{FF2B5EF4-FFF2-40B4-BE49-F238E27FC236}">
                          <a16:creationId xmlns:a16="http://schemas.microsoft.com/office/drawing/2014/main" id="{72AF0BD8-2148-4C94-B9B3-C6AE98EA11BE}"/>
                        </a:ext>
                      </a:extLst>
                    </pic:cNvPr>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5545503" cy="2265717"/>
                    </a:xfrm>
                    <a:prstGeom prst="rect">
                      <a:avLst/>
                    </a:prstGeom>
                  </pic:spPr>
                </pic:pic>
              </a:graphicData>
            </a:graphic>
          </wp:inline>
        </w:drawing>
      </w:r>
    </w:p>
    <w:p w14:paraId="1D13F80B" w14:textId="46146B5A" w:rsidR="00B145BE" w:rsidRPr="00CB73D8" w:rsidRDefault="00B145BE" w:rsidP="007C69C8">
      <w:pPr>
        <w:spacing w:after="0" w:line="312" w:lineRule="auto"/>
        <w:jc w:val="both"/>
        <w:rPr>
          <w:rFonts w:ascii="Calibri" w:eastAsia="等线" w:hAnsi="Calibri" w:cs="Times New Roman"/>
          <w:color w:val="000000" w:themeColor="text1"/>
          <w:sz w:val="24"/>
        </w:rPr>
      </w:pPr>
      <w:bookmarkStart w:id="238" w:name="_Toc7364593"/>
      <w:bookmarkStart w:id="239" w:name="_Toc39312707"/>
      <w:r w:rsidRPr="001C513B">
        <w:rPr>
          <w:rFonts w:ascii="Calibri" w:eastAsia="等线" w:hAnsi="Calibri" w:cs="Times New Roman"/>
          <w:b/>
          <w:sz w:val="20"/>
          <w:szCs w:val="18"/>
        </w:rPr>
        <w:t>Figure 5-</w:t>
      </w:r>
      <w:r w:rsidRPr="001C513B">
        <w:rPr>
          <w:rFonts w:ascii="Calibri" w:eastAsia="等线" w:hAnsi="Calibri" w:cs="Calibri"/>
          <w:b/>
          <w:sz w:val="20"/>
        </w:rPr>
        <w:fldChar w:fldCharType="begin"/>
      </w:r>
      <w:r w:rsidRPr="001C513B">
        <w:rPr>
          <w:rFonts w:ascii="Calibri" w:eastAsia="等线" w:hAnsi="Calibri" w:cs="Calibri"/>
          <w:b/>
          <w:sz w:val="20"/>
        </w:rPr>
        <w:instrText xml:space="preserve"> SEQ Figure \* ARABIC </w:instrText>
      </w:r>
      <w:r w:rsidRPr="001C513B">
        <w:rPr>
          <w:rFonts w:ascii="Calibri" w:eastAsia="等线" w:hAnsi="Calibri" w:cs="Calibri"/>
          <w:b/>
          <w:sz w:val="20"/>
        </w:rPr>
        <w:fldChar w:fldCharType="separate"/>
      </w:r>
      <w:r>
        <w:rPr>
          <w:rFonts w:ascii="Calibri" w:eastAsia="等线" w:hAnsi="Calibri" w:cs="Calibri"/>
          <w:b/>
          <w:noProof/>
          <w:sz w:val="20"/>
        </w:rPr>
        <w:t>1</w:t>
      </w:r>
      <w:r w:rsidRPr="001C513B">
        <w:rPr>
          <w:rFonts w:ascii="Calibri" w:eastAsia="等线" w:hAnsi="Calibri" w:cs="Calibri"/>
          <w:b/>
          <w:sz w:val="20"/>
        </w:rPr>
        <w:fldChar w:fldCharType="end"/>
      </w:r>
      <w:r w:rsidRPr="001C513B">
        <w:rPr>
          <w:rFonts w:ascii="Calibri" w:eastAsia="等线" w:hAnsi="Calibri" w:cs="Calibri"/>
          <w:b/>
          <w:sz w:val="20"/>
          <w:szCs w:val="18"/>
        </w:rPr>
        <w:t xml:space="preserve"> XRD patterns and correspond</w:t>
      </w:r>
      <w:r>
        <w:rPr>
          <w:rFonts w:ascii="Calibri" w:eastAsia="等线" w:hAnsi="Calibri" w:cs="Calibri"/>
          <w:b/>
          <w:sz w:val="20"/>
          <w:szCs w:val="18"/>
        </w:rPr>
        <w:t>ing</w:t>
      </w:r>
      <w:r w:rsidRPr="001C513B">
        <w:rPr>
          <w:rFonts w:ascii="Calibri" w:eastAsia="等线" w:hAnsi="Calibri" w:cs="Calibri"/>
          <w:b/>
          <w:sz w:val="20"/>
          <w:szCs w:val="18"/>
        </w:rPr>
        <w:t xml:space="preserve"> mechanical </w:t>
      </w:r>
      <w:r>
        <w:rPr>
          <w:rFonts w:ascii="Calibri" w:eastAsia="等线" w:hAnsi="Calibri" w:cs="Calibri"/>
          <w:b/>
          <w:sz w:val="20"/>
          <w:szCs w:val="18"/>
        </w:rPr>
        <w:t>performance obtained during compression testing</w:t>
      </w:r>
      <w:r w:rsidRPr="001C513B">
        <w:rPr>
          <w:rFonts w:ascii="Calibri" w:eastAsia="等线" w:hAnsi="Calibri" w:cs="Calibri"/>
          <w:b/>
          <w:sz w:val="20"/>
          <w:szCs w:val="18"/>
        </w:rPr>
        <w:t xml:space="preserve"> of </w:t>
      </w:r>
      <w:r w:rsidRPr="001C513B">
        <w:rPr>
          <w:rFonts w:ascii="Calibri" w:eastAsia="Times New Roman" w:hAnsi="Calibri" w:cs="Calibri"/>
          <w:b/>
          <w:color w:val="222222"/>
          <w:spacing w:val="3"/>
          <w:sz w:val="20"/>
          <w:szCs w:val="18"/>
          <w:shd w:val="clear" w:color="auto" w:fill="FFFFFF"/>
        </w:rPr>
        <w:t>TiZrHfTa</w:t>
      </w:r>
      <w:r w:rsidRPr="001C513B">
        <w:rPr>
          <w:rFonts w:ascii="Calibri" w:eastAsia="Times New Roman" w:hAnsi="Calibri" w:cs="Calibri"/>
          <w:b/>
          <w:color w:val="222222"/>
          <w:spacing w:val="3"/>
          <w:sz w:val="20"/>
          <w:szCs w:val="18"/>
          <w:shd w:val="clear" w:color="auto" w:fill="FFFFFF"/>
          <w:vertAlign w:val="subscript"/>
        </w:rPr>
        <w:t>x(x=0.5-1)</w:t>
      </w:r>
      <w:r>
        <w:rPr>
          <w:rFonts w:ascii="Calibri" w:eastAsia="Times New Roman" w:hAnsi="Calibri" w:cs="Calibri"/>
          <w:b/>
          <w:color w:val="222222"/>
          <w:spacing w:val="3"/>
          <w:sz w:val="20"/>
          <w:szCs w:val="18"/>
          <w:shd w:val="clear" w:color="auto" w:fill="FFFFFF"/>
        </w:rPr>
        <w:t xml:space="preserve"> se</w:t>
      </w:r>
      <w:r w:rsidRPr="00CB73D8">
        <w:rPr>
          <w:rFonts w:ascii="Calibri" w:eastAsia="Times New Roman" w:hAnsi="Calibri" w:cs="Calibri"/>
          <w:b/>
          <w:color w:val="000000" w:themeColor="text1"/>
          <w:spacing w:val="3"/>
          <w:sz w:val="20"/>
          <w:szCs w:val="18"/>
          <w:shd w:val="clear" w:color="auto" w:fill="FFFFFF"/>
        </w:rPr>
        <w:t>ries.</w:t>
      </w:r>
      <w:r w:rsidRPr="00CB73D8">
        <w:rPr>
          <w:rFonts w:ascii="Calibri" w:eastAsia="Times New Roman" w:hAnsi="Calibri" w:cs="Calibri"/>
          <w:b/>
          <w:color w:val="000000" w:themeColor="text1"/>
          <w:spacing w:val="3"/>
          <w:sz w:val="20"/>
          <w:szCs w:val="18"/>
          <w:shd w:val="clear" w:color="auto" w:fill="FFFFFF"/>
          <w:vertAlign w:val="subscript"/>
        </w:rPr>
        <w:t xml:space="preserve"> </w:t>
      </w:r>
      <w:r w:rsidRPr="00CB73D8">
        <w:rPr>
          <w:rFonts w:ascii="Calibri" w:eastAsia="Times New Roman" w:hAnsi="Calibri" w:cs="Calibri"/>
          <w:color w:val="000000" w:themeColor="text1"/>
          <w:spacing w:val="3"/>
          <w:sz w:val="20"/>
          <w:szCs w:val="18"/>
          <w:shd w:val="clear" w:color="auto" w:fill="FFFFFF"/>
        </w:rPr>
        <w:t>(</w:t>
      </w:r>
      <w:r w:rsidRPr="00CB73D8">
        <w:rPr>
          <w:rFonts w:ascii="Calibri" w:eastAsia="Times New Roman" w:hAnsi="Calibri" w:cs="Calibri"/>
          <w:b/>
          <w:bCs/>
          <w:color w:val="000000" w:themeColor="text1"/>
          <w:spacing w:val="3"/>
          <w:sz w:val="20"/>
          <w:szCs w:val="18"/>
          <w:shd w:val="clear" w:color="auto" w:fill="FFFFFF"/>
        </w:rPr>
        <w:t>a</w:t>
      </w:r>
      <w:r w:rsidRPr="00CB73D8">
        <w:rPr>
          <w:rFonts w:ascii="Calibri" w:eastAsia="Times New Roman" w:hAnsi="Calibri" w:cs="Calibri"/>
          <w:color w:val="000000" w:themeColor="text1"/>
          <w:spacing w:val="3"/>
          <w:sz w:val="20"/>
          <w:szCs w:val="18"/>
          <w:shd w:val="clear" w:color="auto" w:fill="FFFFFF"/>
        </w:rPr>
        <w:t>) the X-ray diffraction patterns of as-cast TiZrHfTa</w:t>
      </w:r>
      <w:r w:rsidRPr="00CB73D8">
        <w:rPr>
          <w:rFonts w:ascii="Calibri" w:eastAsia="Times New Roman" w:hAnsi="Calibri" w:cs="Calibri"/>
          <w:color w:val="000000" w:themeColor="text1"/>
          <w:spacing w:val="3"/>
          <w:sz w:val="20"/>
          <w:szCs w:val="18"/>
          <w:shd w:val="clear" w:color="auto" w:fill="FFFFFF"/>
          <w:vertAlign w:val="subscript"/>
        </w:rPr>
        <w:t>x(x=0.5-1)</w:t>
      </w:r>
      <w:r w:rsidRPr="00CB73D8">
        <w:rPr>
          <w:rFonts w:ascii="Calibri" w:eastAsia="Times New Roman" w:hAnsi="Calibri" w:cs="Calibri"/>
          <w:color w:val="000000" w:themeColor="text1"/>
          <w:spacing w:val="3"/>
          <w:sz w:val="20"/>
          <w:szCs w:val="18"/>
          <w:shd w:val="clear" w:color="auto" w:fill="FFFFFF"/>
        </w:rPr>
        <w:t>; and (</w:t>
      </w:r>
      <w:r w:rsidRPr="00CB73D8">
        <w:rPr>
          <w:rFonts w:ascii="Calibri" w:eastAsia="Times New Roman" w:hAnsi="Calibri" w:cs="Calibri"/>
          <w:b/>
          <w:bCs/>
          <w:color w:val="000000" w:themeColor="text1"/>
          <w:spacing w:val="3"/>
          <w:sz w:val="20"/>
          <w:szCs w:val="18"/>
          <w:shd w:val="clear" w:color="auto" w:fill="FFFFFF"/>
        </w:rPr>
        <w:t>b</w:t>
      </w:r>
      <w:r w:rsidRPr="00CB73D8">
        <w:rPr>
          <w:rFonts w:ascii="Calibri" w:eastAsia="Times New Roman" w:hAnsi="Calibri" w:cs="Calibri"/>
          <w:color w:val="000000" w:themeColor="text1"/>
          <w:spacing w:val="3"/>
          <w:sz w:val="20"/>
          <w:szCs w:val="18"/>
          <w:shd w:val="clear" w:color="auto" w:fill="FFFFFF"/>
        </w:rPr>
        <w:t>) the true strength and true strain curves during compressing testing of TiZrHfTa</w:t>
      </w:r>
      <w:r w:rsidRPr="00CB73D8">
        <w:rPr>
          <w:rFonts w:ascii="Calibri" w:eastAsia="Times New Roman" w:hAnsi="Calibri" w:cs="Calibri"/>
          <w:color w:val="000000" w:themeColor="text1"/>
          <w:spacing w:val="3"/>
          <w:sz w:val="20"/>
          <w:szCs w:val="18"/>
          <w:shd w:val="clear" w:color="auto" w:fill="FFFFFF"/>
          <w:vertAlign w:val="subscript"/>
        </w:rPr>
        <w:t>x(x=0.5-1</w:t>
      </w:r>
      <w:r w:rsidRPr="00CB73D8">
        <w:rPr>
          <w:rFonts w:ascii="宋体" w:eastAsia="宋体" w:hAnsi="宋体" w:cs="宋体" w:hint="eastAsia"/>
          <w:color w:val="000000" w:themeColor="text1"/>
          <w:spacing w:val="3"/>
          <w:sz w:val="20"/>
          <w:szCs w:val="18"/>
          <w:shd w:val="clear" w:color="auto" w:fill="FFFFFF"/>
          <w:vertAlign w:val="subscript"/>
        </w:rPr>
        <w:t>)</w:t>
      </w:r>
      <w:r w:rsidRPr="00CB73D8">
        <w:rPr>
          <w:rFonts w:ascii="Calibri" w:eastAsia="Times New Roman" w:hAnsi="Calibri" w:cs="Calibri"/>
          <w:color w:val="000000" w:themeColor="text1"/>
          <w:spacing w:val="3"/>
          <w:sz w:val="20"/>
          <w:szCs w:val="18"/>
          <w:shd w:val="clear" w:color="auto" w:fill="FFFFFF"/>
        </w:rPr>
        <w:t xml:space="preserve"> series.</w:t>
      </w:r>
      <w:r w:rsidR="00BE74AD" w:rsidRPr="00CB73D8">
        <w:rPr>
          <w:rFonts w:ascii="Calibri" w:eastAsia="Times New Roman" w:hAnsi="Calibri" w:cs="Calibri"/>
          <w:color w:val="000000" w:themeColor="text1"/>
          <w:spacing w:val="3"/>
          <w:sz w:val="20"/>
          <w:szCs w:val="18"/>
          <w:shd w:val="clear" w:color="auto" w:fill="FFFFFF"/>
        </w:rPr>
        <w:t xml:space="preserve"> The error bar was calculated as standard error of strength at different strain.</w:t>
      </w:r>
      <w:r w:rsidRPr="00CB73D8">
        <w:rPr>
          <w:rFonts w:ascii="Calibri" w:eastAsia="Times New Roman" w:hAnsi="Calibri" w:cs="Calibri"/>
          <w:color w:val="000000" w:themeColor="text1"/>
          <w:spacing w:val="3"/>
          <w:sz w:val="20"/>
          <w:szCs w:val="18"/>
          <w:shd w:val="clear" w:color="auto" w:fill="FFFFFF"/>
        </w:rPr>
        <w:t xml:space="preserve"> Inset presents curves of the </w:t>
      </w:r>
      <w:r w:rsidR="004F7EF4" w:rsidRPr="00CB73D8">
        <w:rPr>
          <w:rFonts w:ascii="Calibri" w:eastAsia="Times New Roman" w:hAnsi="Calibri" w:cs="Calibri"/>
          <w:color w:val="000000" w:themeColor="text1"/>
          <w:spacing w:val="3"/>
          <w:sz w:val="20"/>
          <w:szCs w:val="18"/>
          <w:shd w:val="clear" w:color="auto" w:fill="FFFFFF"/>
        </w:rPr>
        <w:t>work</w:t>
      </w:r>
      <w:r w:rsidRPr="00CB73D8">
        <w:rPr>
          <w:rFonts w:ascii="Calibri" w:eastAsia="Times New Roman" w:hAnsi="Calibri" w:cs="Calibri"/>
          <w:color w:val="000000" w:themeColor="text1"/>
          <w:spacing w:val="3"/>
          <w:sz w:val="20"/>
          <w:szCs w:val="18"/>
          <w:shd w:val="clear" w:color="auto" w:fill="FFFFFF"/>
        </w:rPr>
        <w:t xml:space="preserve"> hardening rate </w:t>
      </w:r>
      <w:r w:rsidRPr="00CB73D8">
        <w:rPr>
          <w:rFonts w:ascii="Calibri" w:eastAsia="Times New Roman" w:hAnsi="Calibri" w:cs="Calibri"/>
          <w:color w:val="000000" w:themeColor="text1"/>
          <w:sz w:val="20"/>
          <w:szCs w:val="18"/>
        </w:rPr>
        <w:t>(dσ</w:t>
      </w:r>
      <w:r w:rsidRPr="00CB73D8">
        <w:rPr>
          <w:rFonts w:ascii="Calibri" w:eastAsia="Times New Roman" w:hAnsi="Calibri" w:cs="Calibri"/>
          <w:color w:val="000000" w:themeColor="text1"/>
          <w:sz w:val="20"/>
          <w:szCs w:val="18"/>
          <w:vertAlign w:val="subscript"/>
        </w:rPr>
        <w:t>T</w:t>
      </w:r>
      <w:r w:rsidRPr="00CB73D8">
        <w:rPr>
          <w:rFonts w:ascii="Calibri" w:eastAsia="Times New Roman" w:hAnsi="Calibri" w:cs="Calibri"/>
          <w:color w:val="000000" w:themeColor="text1"/>
          <w:sz w:val="20"/>
          <w:szCs w:val="18"/>
        </w:rPr>
        <w:t>/dε</w:t>
      </w:r>
      <w:r w:rsidRPr="00CB73D8">
        <w:rPr>
          <w:rFonts w:ascii="Calibri" w:eastAsia="Times New Roman" w:hAnsi="Calibri" w:cs="Calibri"/>
          <w:color w:val="000000" w:themeColor="text1"/>
          <w:sz w:val="20"/>
          <w:szCs w:val="18"/>
          <w:vertAlign w:val="subscript"/>
        </w:rPr>
        <w:t>P</w:t>
      </w:r>
      <w:r w:rsidRPr="00CB73D8">
        <w:rPr>
          <w:rFonts w:ascii="Calibri" w:eastAsia="宋体" w:hAnsi="Calibri" w:cs="宋体"/>
          <w:color w:val="000000" w:themeColor="text1"/>
          <w:sz w:val="20"/>
          <w:szCs w:val="18"/>
        </w:rPr>
        <w:t>)</w:t>
      </w:r>
      <w:r w:rsidRPr="00CB73D8">
        <w:rPr>
          <w:rFonts w:ascii="Calibri" w:eastAsia="Times New Roman" w:hAnsi="Calibri" w:cs="Calibri"/>
          <w:color w:val="000000" w:themeColor="text1"/>
          <w:spacing w:val="3"/>
          <w:sz w:val="20"/>
          <w:szCs w:val="18"/>
          <w:shd w:val="clear" w:color="auto" w:fill="FFFFFF"/>
        </w:rPr>
        <w:t xml:space="preserve"> against true strain for each composition of TiZrHfTa</w:t>
      </w:r>
      <w:r w:rsidRPr="00CB73D8">
        <w:rPr>
          <w:rFonts w:ascii="Calibri" w:eastAsia="Times New Roman" w:hAnsi="Calibri" w:cs="Calibri"/>
          <w:color w:val="000000" w:themeColor="text1"/>
          <w:spacing w:val="3"/>
          <w:sz w:val="20"/>
          <w:szCs w:val="18"/>
          <w:shd w:val="clear" w:color="auto" w:fill="FFFFFF"/>
          <w:vertAlign w:val="subscript"/>
        </w:rPr>
        <w:t>x(x=0.5-1</w:t>
      </w:r>
      <w:r w:rsidRPr="00CB73D8">
        <w:rPr>
          <w:rFonts w:ascii="宋体" w:eastAsia="宋体" w:hAnsi="宋体" w:cs="宋体" w:hint="eastAsia"/>
          <w:color w:val="000000" w:themeColor="text1"/>
          <w:spacing w:val="3"/>
          <w:sz w:val="20"/>
          <w:szCs w:val="18"/>
          <w:shd w:val="clear" w:color="auto" w:fill="FFFFFF"/>
          <w:vertAlign w:val="subscript"/>
        </w:rPr>
        <w:t>)</w:t>
      </w:r>
      <w:r w:rsidRPr="00CB73D8">
        <w:rPr>
          <w:rFonts w:ascii="Calibri" w:eastAsia="Times New Roman" w:hAnsi="Calibri" w:cs="Calibri"/>
          <w:color w:val="000000" w:themeColor="text1"/>
          <w:spacing w:val="3"/>
          <w:sz w:val="20"/>
          <w:szCs w:val="18"/>
          <w:shd w:val="clear" w:color="auto" w:fill="FFFFFF"/>
        </w:rPr>
        <w:t>.</w:t>
      </w:r>
      <w:bookmarkEnd w:id="238"/>
      <w:bookmarkEnd w:id="239"/>
      <w:r w:rsidRPr="00CB73D8">
        <w:rPr>
          <w:rFonts w:ascii="Calibri" w:eastAsia="Times New Roman" w:hAnsi="Calibri" w:cs="Calibri"/>
          <w:color w:val="000000" w:themeColor="text1"/>
          <w:spacing w:val="3"/>
          <w:sz w:val="20"/>
          <w:szCs w:val="18"/>
          <w:shd w:val="clear" w:color="auto" w:fill="FFFFFF"/>
        </w:rPr>
        <w:t xml:space="preserve"> </w:t>
      </w:r>
    </w:p>
    <w:p w14:paraId="221F6E41" w14:textId="6B3289DB" w:rsidR="00B145BE" w:rsidRDefault="00B145BE" w:rsidP="00B145BE">
      <w:pPr>
        <w:shd w:val="clear" w:color="auto" w:fill="FFFFFF"/>
        <w:spacing w:after="0" w:line="360" w:lineRule="auto"/>
        <w:jc w:val="both"/>
        <w:rPr>
          <w:rFonts w:ascii="Calibri" w:eastAsia="等线" w:hAnsi="Calibri" w:cs="Times New Roman"/>
        </w:rPr>
      </w:pPr>
      <w:r w:rsidRPr="00CB73D8">
        <w:rPr>
          <w:rFonts w:ascii="Calibri" w:eastAsia="等线" w:hAnsi="Calibri" w:cs="Arial"/>
          <w:color w:val="000000" w:themeColor="text1"/>
          <w:shd w:val="clear" w:color="auto" w:fill="FFFFFF"/>
        </w:rPr>
        <w:t>The mechanical response of the TiZrHfTa</w:t>
      </w:r>
      <w:r w:rsidRPr="00CB73D8">
        <w:rPr>
          <w:rFonts w:ascii="Calibri" w:eastAsia="等线" w:hAnsi="Calibri" w:cs="Arial"/>
          <w:color w:val="000000" w:themeColor="text1"/>
          <w:shd w:val="clear" w:color="auto" w:fill="FFFFFF"/>
          <w:vertAlign w:val="subscript"/>
        </w:rPr>
        <w:t>x</w:t>
      </w:r>
      <w:r w:rsidRPr="00CB73D8">
        <w:rPr>
          <w:rFonts w:ascii="Calibri" w:eastAsia="等线" w:hAnsi="Calibri" w:cs="Calibri"/>
          <w:color w:val="000000" w:themeColor="text1"/>
          <w:vertAlign w:val="subscript"/>
          <w:lang w:bidi="hi-IN"/>
        </w:rPr>
        <w:t>(x=0.5-1.0)</w:t>
      </w:r>
      <w:r w:rsidRPr="00CB73D8">
        <w:rPr>
          <w:rFonts w:ascii="Calibri" w:eastAsia="等线" w:hAnsi="Calibri" w:cs="Times New Roman"/>
          <w:color w:val="000000" w:themeColor="text1"/>
        </w:rPr>
        <w:t xml:space="preserve"> series </w:t>
      </w:r>
      <w:r w:rsidR="008B401A">
        <w:rPr>
          <w:rFonts w:ascii="Calibri" w:eastAsia="等线" w:hAnsi="Calibri" w:cs="Times New Roman"/>
          <w:color w:val="000000" w:themeColor="text1"/>
        </w:rPr>
        <w:t>was</w:t>
      </w:r>
      <w:r w:rsidR="008B401A" w:rsidRPr="00CB73D8">
        <w:rPr>
          <w:rFonts w:ascii="Calibri" w:eastAsia="等线" w:hAnsi="Calibri" w:cs="Times New Roman"/>
          <w:color w:val="000000" w:themeColor="text1"/>
        </w:rPr>
        <w:t xml:space="preserve"> </w:t>
      </w:r>
      <w:r w:rsidRPr="00CB73D8">
        <w:rPr>
          <w:rFonts w:ascii="Calibri" w:eastAsia="等线" w:hAnsi="Calibri" w:cs="Times New Roman"/>
          <w:color w:val="000000" w:themeColor="text1"/>
        </w:rPr>
        <w:t>t</w:t>
      </w:r>
      <w:r w:rsidRPr="001C513B">
        <w:rPr>
          <w:rFonts w:ascii="Calibri" w:eastAsia="等线" w:hAnsi="Calibri" w:cs="Times New Roman"/>
        </w:rPr>
        <w:t xml:space="preserve">hen </w:t>
      </w:r>
      <w:r>
        <w:rPr>
          <w:rFonts w:ascii="Calibri" w:eastAsia="等线" w:hAnsi="Calibri" w:cs="Times New Roman"/>
        </w:rPr>
        <w:t xml:space="preserve">obtained via </w:t>
      </w:r>
      <w:r w:rsidRPr="001C513B">
        <w:rPr>
          <w:rFonts w:ascii="Calibri" w:eastAsia="等线" w:hAnsi="Calibri" w:cs="Times New Roman"/>
        </w:rPr>
        <w:t>compression test</w:t>
      </w:r>
      <w:r>
        <w:rPr>
          <w:rFonts w:ascii="Calibri" w:eastAsia="等线" w:hAnsi="Calibri" w:cs="Times New Roman"/>
        </w:rPr>
        <w:t>ing (for each composition, two samples were prepared and tested). The true</w:t>
      </w:r>
      <w:r w:rsidRPr="001C513B">
        <w:rPr>
          <w:rFonts w:ascii="Calibri" w:eastAsia="等线" w:hAnsi="Calibri" w:cs="Times New Roman"/>
        </w:rPr>
        <w:t xml:space="preserve"> stress-</w:t>
      </w:r>
      <w:r>
        <w:rPr>
          <w:rFonts w:ascii="Calibri" w:eastAsia="等线" w:hAnsi="Calibri" w:cs="Times New Roman"/>
        </w:rPr>
        <w:t xml:space="preserve"> true </w:t>
      </w:r>
      <w:r w:rsidRPr="001C513B">
        <w:rPr>
          <w:rFonts w:ascii="Calibri" w:eastAsia="等线" w:hAnsi="Calibri" w:cs="Times New Roman"/>
        </w:rPr>
        <w:t>strain curve</w:t>
      </w:r>
      <w:r>
        <w:rPr>
          <w:rFonts w:ascii="Calibri" w:eastAsia="等线" w:hAnsi="Calibri" w:cs="Times New Roman"/>
        </w:rPr>
        <w:t>s</w:t>
      </w:r>
      <w:r w:rsidRPr="001C513B">
        <w:rPr>
          <w:rFonts w:ascii="Calibri" w:eastAsia="等线" w:hAnsi="Calibri" w:cs="Times New Roman"/>
        </w:rPr>
        <w:t xml:space="preserve"> </w:t>
      </w:r>
      <w:r>
        <w:rPr>
          <w:rFonts w:ascii="Calibri" w:eastAsia="等线" w:hAnsi="Calibri" w:cs="Times New Roman"/>
        </w:rPr>
        <w:t>and</w:t>
      </w:r>
      <w:r w:rsidRPr="001C513B">
        <w:rPr>
          <w:rFonts w:ascii="Calibri" w:eastAsia="等线" w:hAnsi="Calibri" w:cs="Times New Roman"/>
        </w:rPr>
        <w:t xml:space="preserve"> work hardening rate curve</w:t>
      </w:r>
      <w:r>
        <w:rPr>
          <w:rFonts w:ascii="Calibri" w:eastAsia="等线" w:hAnsi="Calibri" w:cs="Times New Roman"/>
        </w:rPr>
        <w:t>s</w:t>
      </w:r>
      <w:r w:rsidRPr="001C513B">
        <w:rPr>
          <w:rFonts w:ascii="Calibri" w:eastAsia="等线" w:hAnsi="Calibri" w:cs="Times New Roman"/>
        </w:rPr>
        <w:t xml:space="preserve"> </w:t>
      </w:r>
      <w:r>
        <w:rPr>
          <w:rFonts w:ascii="Calibri" w:eastAsia="等线" w:hAnsi="Calibri" w:cs="Times New Roman"/>
        </w:rPr>
        <w:t>are</w:t>
      </w:r>
      <w:r w:rsidRPr="001C513B">
        <w:rPr>
          <w:rFonts w:ascii="Calibri" w:eastAsia="等线" w:hAnsi="Calibri" w:cs="Times New Roman"/>
        </w:rPr>
        <w:t xml:space="preserve"> shown in Fig. 5-1(b)</w:t>
      </w:r>
      <w:r>
        <w:rPr>
          <w:rFonts w:ascii="Calibri" w:eastAsia="等线" w:hAnsi="Calibri" w:cs="Times New Roman"/>
        </w:rPr>
        <w:t xml:space="preserve"> for the series and this aids in distinguishing the existence of</w:t>
      </w:r>
      <w:r w:rsidRPr="001C513B">
        <w:rPr>
          <w:rFonts w:ascii="Calibri" w:eastAsia="等线" w:hAnsi="Calibri" w:cs="Times New Roman"/>
        </w:rPr>
        <w:t xml:space="preserve"> TRIP and</w:t>
      </w:r>
      <w:r>
        <w:rPr>
          <w:rFonts w:ascii="Calibri" w:eastAsia="等线" w:hAnsi="Calibri" w:cs="Times New Roman"/>
        </w:rPr>
        <w:t>/or</w:t>
      </w:r>
      <w:r w:rsidRPr="001C513B">
        <w:rPr>
          <w:rFonts w:ascii="Calibri" w:eastAsia="等线" w:hAnsi="Calibri" w:cs="Times New Roman"/>
        </w:rPr>
        <w:t xml:space="preserve"> TWIP activation with the reduction of Ta</w:t>
      </w:r>
      <w:r>
        <w:rPr>
          <w:rFonts w:ascii="Calibri" w:eastAsia="等线" w:hAnsi="Calibri" w:cs="Times New Roman"/>
        </w:rPr>
        <w:t xml:space="preserve"> content</w:t>
      </w:r>
      <w:r w:rsidRPr="001C513B">
        <w:rPr>
          <w:rFonts w:ascii="Calibri" w:eastAsia="等线" w:hAnsi="Calibri" w:cs="Times New Roman"/>
        </w:rPr>
        <w:t xml:space="preserve">. </w:t>
      </w:r>
      <w:r>
        <w:rPr>
          <w:rFonts w:ascii="Calibri" w:eastAsia="等线" w:hAnsi="Calibri" w:cs="Times New Roman"/>
        </w:rPr>
        <w:t xml:space="preserve">In addition, the compressive properties are presented in Table 5-1. Fig. 5-1(b) shows a clear </w:t>
      </w:r>
      <w:r w:rsidRPr="001C513B">
        <w:rPr>
          <w:rFonts w:ascii="Calibri" w:eastAsia="等线" w:hAnsi="Calibri" w:cs="Times New Roman"/>
        </w:rPr>
        <w:t xml:space="preserve">variation of yield stress and </w:t>
      </w:r>
      <w:r w:rsidR="004F7EF4">
        <w:rPr>
          <w:rFonts w:ascii="Calibri" w:eastAsia="等线" w:hAnsi="Calibri" w:cs="Times New Roman"/>
        </w:rPr>
        <w:t>work</w:t>
      </w:r>
      <w:r w:rsidRPr="001C513B">
        <w:rPr>
          <w:rFonts w:ascii="Calibri" w:eastAsia="等线" w:hAnsi="Calibri" w:cs="Times New Roman"/>
        </w:rPr>
        <w:t xml:space="preserve"> hardening rate</w:t>
      </w:r>
      <w:r>
        <w:rPr>
          <w:rFonts w:ascii="Calibri" w:eastAsia="等线" w:hAnsi="Calibri" w:cs="Times New Roman"/>
        </w:rPr>
        <w:t xml:space="preserve"> during compressive deformation.</w:t>
      </w:r>
      <w:r w:rsidRPr="001C513B">
        <w:rPr>
          <w:rFonts w:ascii="Calibri" w:eastAsia="等线" w:hAnsi="Calibri" w:cs="Times New Roman"/>
        </w:rPr>
        <w:t xml:space="preserve"> </w:t>
      </w:r>
      <w:r>
        <w:rPr>
          <w:rFonts w:ascii="Calibri" w:eastAsia="等线" w:hAnsi="Calibri" w:cs="Times New Roman"/>
        </w:rPr>
        <w:t xml:space="preserve">For </w:t>
      </w:r>
      <w:r w:rsidR="008B401A">
        <w:rPr>
          <w:rFonts w:ascii="Calibri" w:eastAsia="等线" w:hAnsi="Calibri" w:cs="Times New Roman"/>
        </w:rPr>
        <w:t xml:space="preserve">the </w:t>
      </w:r>
      <w:r w:rsidRPr="00804D59">
        <w:rPr>
          <w:rFonts w:ascii="Calibri" w:eastAsia="等线" w:hAnsi="Calibri" w:cs="Times New Roman"/>
        </w:rPr>
        <w:t>TiZrHfTa</w:t>
      </w:r>
      <w:r w:rsidRPr="001C513B" w:rsidDel="00804D59">
        <w:rPr>
          <w:rFonts w:ascii="Calibri" w:eastAsia="等线" w:hAnsi="Calibri" w:cs="Times New Roman"/>
        </w:rPr>
        <w:t xml:space="preserve"> </w:t>
      </w:r>
      <w:r w:rsidR="00BE74AD">
        <w:rPr>
          <w:rFonts w:ascii="Calibri" w:eastAsia="等线" w:hAnsi="Calibri" w:cs="Times New Roman"/>
        </w:rPr>
        <w:t xml:space="preserve">equiatomic </w:t>
      </w:r>
      <w:r w:rsidRPr="001C513B">
        <w:rPr>
          <w:rFonts w:ascii="Calibri" w:eastAsia="等线" w:hAnsi="Calibri" w:cs="Times New Roman"/>
        </w:rPr>
        <w:t>composition</w:t>
      </w:r>
      <w:r>
        <w:rPr>
          <w:rFonts w:ascii="Calibri" w:eastAsia="等线" w:hAnsi="Calibri" w:cs="Times New Roman"/>
        </w:rPr>
        <w:t>, which</w:t>
      </w:r>
      <w:r w:rsidRPr="001C513B">
        <w:rPr>
          <w:rFonts w:ascii="Calibri" w:eastAsia="等线" w:hAnsi="Calibri" w:cs="Times New Roman"/>
        </w:rPr>
        <w:t xml:space="preserve"> </w:t>
      </w:r>
      <w:r>
        <w:rPr>
          <w:rFonts w:ascii="Calibri" w:eastAsia="等线" w:hAnsi="Calibri" w:cs="Times New Roman"/>
        </w:rPr>
        <w:t>possessed the</w:t>
      </w:r>
      <w:r w:rsidRPr="001C513B">
        <w:rPr>
          <w:rFonts w:ascii="Calibri" w:eastAsia="等线" w:hAnsi="Calibri" w:cs="Times New Roman"/>
        </w:rPr>
        <w:t xml:space="preserve"> highest yield strength and most stable </w:t>
      </w:r>
      <w:r w:rsidRPr="001C513B">
        <w:rPr>
          <w:rFonts w:ascii="Times New Roman" w:eastAsia="等线" w:hAnsi="Times New Roman" w:cs="Times New Roman"/>
        </w:rPr>
        <w:t>β</w:t>
      </w:r>
      <w:r w:rsidRPr="001C513B">
        <w:rPr>
          <w:rFonts w:ascii="Calibri" w:eastAsia="等线" w:hAnsi="Calibri" w:cs="Times New Roman"/>
        </w:rPr>
        <w:t xml:space="preserve"> phase, the </w:t>
      </w:r>
      <w:r w:rsidR="004F7EF4">
        <w:rPr>
          <w:rFonts w:ascii="Calibri" w:eastAsia="等线" w:hAnsi="Calibri" w:cs="Times New Roman"/>
        </w:rPr>
        <w:t>work</w:t>
      </w:r>
      <w:r w:rsidRPr="001C513B">
        <w:rPr>
          <w:rFonts w:ascii="Calibri" w:eastAsia="等线" w:hAnsi="Calibri" w:cs="Times New Roman"/>
        </w:rPr>
        <w:t xml:space="preserve"> hardening rate </w:t>
      </w:r>
      <w:r>
        <w:rPr>
          <w:rFonts w:ascii="Calibri" w:eastAsia="等线" w:hAnsi="Calibri" w:cs="Times New Roman"/>
        </w:rPr>
        <w:t>was found to rapidly diminish after yield. This indicated that the deformation mechanism involved was predominantly dislocation glide. On the other hand</w:t>
      </w:r>
      <w:r w:rsidRPr="001C513B">
        <w:rPr>
          <w:rFonts w:ascii="Calibri" w:eastAsia="等线" w:hAnsi="Calibri" w:cs="Times New Roman"/>
        </w:rPr>
        <w:t xml:space="preserve">, </w:t>
      </w:r>
      <w:r>
        <w:rPr>
          <w:rFonts w:ascii="Calibri" w:eastAsia="等线" w:hAnsi="Calibri" w:cs="Times New Roman"/>
        </w:rPr>
        <w:t xml:space="preserve">a gradual reduction in yield strength was observed as the content of Ta was reduced and this corresponded with enhanced </w:t>
      </w:r>
      <w:r w:rsidR="007C69C8">
        <w:rPr>
          <w:rFonts w:ascii="Calibri" w:eastAsia="等线" w:hAnsi="Calibri" w:cs="Times New Roman"/>
        </w:rPr>
        <w:t>work</w:t>
      </w:r>
      <w:r>
        <w:rPr>
          <w:rFonts w:ascii="Calibri" w:eastAsia="等线" w:hAnsi="Calibri" w:cs="Times New Roman"/>
        </w:rPr>
        <w:t xml:space="preserve"> hardening.</w:t>
      </w:r>
      <w:r w:rsidRPr="001C513B">
        <w:rPr>
          <w:rFonts w:ascii="Calibri" w:eastAsia="等线" w:hAnsi="Calibri" w:cs="Times New Roman"/>
        </w:rPr>
        <w:t xml:space="preserve"> </w:t>
      </w:r>
    </w:p>
    <w:p w14:paraId="2AD56631" w14:textId="00FCFD03" w:rsidR="00B145BE" w:rsidRPr="00CC324D" w:rsidRDefault="00B145BE" w:rsidP="00B145BE">
      <w:pPr>
        <w:spacing w:after="0" w:line="360" w:lineRule="auto"/>
        <w:jc w:val="center"/>
        <w:rPr>
          <w:rFonts w:ascii="Calibri" w:eastAsia="等线" w:hAnsi="Calibri" w:cs="Calibri"/>
          <w:b/>
          <w:sz w:val="20"/>
          <w:szCs w:val="18"/>
        </w:rPr>
      </w:pPr>
      <w:bookmarkStart w:id="240" w:name="_Toc39312740"/>
      <w:r w:rsidRPr="001C513B">
        <w:rPr>
          <w:rFonts w:ascii="Calibri" w:eastAsia="等线" w:hAnsi="Calibri" w:cs="Calibri"/>
          <w:b/>
          <w:sz w:val="20"/>
          <w:szCs w:val="18"/>
        </w:rPr>
        <w:t>Table 5</w:t>
      </w:r>
      <w:r>
        <w:rPr>
          <w:rFonts w:ascii="Calibri" w:eastAsia="等线" w:hAnsi="Calibri" w:cs="Calibri"/>
          <w:b/>
          <w:sz w:val="20"/>
          <w:szCs w:val="18"/>
        </w:rPr>
        <w:noBreakHyphen/>
      </w:r>
      <w:r>
        <w:rPr>
          <w:rFonts w:ascii="Calibri" w:eastAsia="等线" w:hAnsi="Calibri" w:cs="Calibri"/>
          <w:b/>
          <w:sz w:val="20"/>
          <w:szCs w:val="18"/>
        </w:rPr>
        <w:fldChar w:fldCharType="begin"/>
      </w:r>
      <w:r>
        <w:rPr>
          <w:rFonts w:ascii="Calibri" w:eastAsia="等线" w:hAnsi="Calibri" w:cs="Calibri"/>
          <w:b/>
          <w:sz w:val="20"/>
          <w:szCs w:val="18"/>
        </w:rPr>
        <w:instrText xml:space="preserve"> SEQ Table \* ARABIC \s 1 </w:instrText>
      </w:r>
      <w:r>
        <w:rPr>
          <w:rFonts w:ascii="Calibri" w:eastAsia="等线" w:hAnsi="Calibri" w:cs="Calibri"/>
          <w:b/>
          <w:sz w:val="20"/>
          <w:szCs w:val="18"/>
        </w:rPr>
        <w:fldChar w:fldCharType="separate"/>
      </w:r>
      <w:r>
        <w:rPr>
          <w:rFonts w:ascii="Calibri" w:eastAsia="等线" w:hAnsi="Calibri" w:cs="Calibri"/>
          <w:b/>
          <w:noProof/>
          <w:sz w:val="20"/>
          <w:szCs w:val="18"/>
        </w:rPr>
        <w:t>1</w:t>
      </w:r>
      <w:r>
        <w:rPr>
          <w:rFonts w:ascii="Calibri" w:eastAsia="等线" w:hAnsi="Calibri" w:cs="Calibri"/>
          <w:b/>
          <w:sz w:val="20"/>
          <w:szCs w:val="18"/>
        </w:rPr>
        <w:fldChar w:fldCharType="end"/>
      </w:r>
      <w:r w:rsidRPr="001C513B">
        <w:rPr>
          <w:rFonts w:ascii="Calibri" w:eastAsia="等线" w:hAnsi="Calibri" w:cs="Calibri"/>
          <w:b/>
          <w:sz w:val="20"/>
          <w:szCs w:val="18"/>
        </w:rPr>
        <w:t xml:space="preserve"> </w:t>
      </w:r>
      <w:r>
        <w:rPr>
          <w:rFonts w:ascii="Calibri" w:eastAsia="等线" w:hAnsi="Calibri" w:cs="Calibri"/>
          <w:b/>
          <w:sz w:val="20"/>
          <w:szCs w:val="18"/>
        </w:rPr>
        <w:t>The compressive properties determined for</w:t>
      </w:r>
      <w:r w:rsidRPr="001C513B">
        <w:rPr>
          <w:rFonts w:ascii="Calibri" w:eastAsia="等线" w:hAnsi="Calibri" w:cs="Calibri"/>
          <w:b/>
          <w:sz w:val="20"/>
          <w:szCs w:val="18"/>
        </w:rPr>
        <w:t xml:space="preserve"> TiZrHfTa</w:t>
      </w:r>
      <w:r w:rsidRPr="001C513B">
        <w:rPr>
          <w:rFonts w:ascii="Calibri" w:eastAsia="等线" w:hAnsi="Calibri" w:cs="Calibri"/>
          <w:b/>
          <w:sz w:val="20"/>
          <w:szCs w:val="18"/>
          <w:vertAlign w:val="subscript"/>
        </w:rPr>
        <w:t>x(x=0.5-1)</w:t>
      </w:r>
      <w:r w:rsidRPr="001C513B">
        <w:rPr>
          <w:rFonts w:ascii="Calibri" w:eastAsia="等线" w:hAnsi="Calibri" w:cs="Calibri" w:hint="eastAsia"/>
          <w:b/>
          <w:sz w:val="20"/>
          <w:szCs w:val="18"/>
        </w:rPr>
        <w:t>.</w:t>
      </w:r>
      <w:bookmarkEnd w:id="240"/>
    </w:p>
    <w:tbl>
      <w:tblPr>
        <w:tblStyle w:val="21"/>
        <w:tblW w:w="4968" w:type="pct"/>
        <w:tblLook w:val="04A0" w:firstRow="1" w:lastRow="0" w:firstColumn="1" w:lastColumn="0" w:noHBand="0" w:noVBand="1"/>
      </w:tblPr>
      <w:tblGrid>
        <w:gridCol w:w="1550"/>
        <w:gridCol w:w="1549"/>
        <w:gridCol w:w="1552"/>
        <w:gridCol w:w="1549"/>
        <w:gridCol w:w="1549"/>
        <w:gridCol w:w="1551"/>
      </w:tblGrid>
      <w:tr w:rsidR="00B145BE" w:rsidRPr="001C513B" w14:paraId="6E05A036" w14:textId="77777777" w:rsidTr="00B145BE">
        <w:trPr>
          <w:cnfStyle w:val="100000000000" w:firstRow="1" w:lastRow="0" w:firstColumn="0" w:lastColumn="0" w:oddVBand="0" w:evenVBand="0" w:oddHBand="0" w:evenHBand="0" w:firstRowFirstColumn="0" w:firstRowLastColumn="0" w:lastRowFirstColumn="0" w:lastRowLastColumn="0"/>
          <w:cantSplit/>
          <w:trHeight w:hRule="exact" w:val="432"/>
        </w:trPr>
        <w:tc>
          <w:tcPr>
            <w:cnfStyle w:val="001000000000" w:firstRow="0" w:lastRow="0" w:firstColumn="1" w:lastColumn="0" w:oddVBand="0" w:evenVBand="0" w:oddHBand="0" w:evenHBand="0" w:firstRowFirstColumn="0" w:firstRowLastColumn="0" w:lastRowFirstColumn="0" w:lastRowLastColumn="0"/>
            <w:tcW w:w="833" w:type="pct"/>
            <w:tcBorders>
              <w:top w:val="single" w:sz="4" w:space="0" w:color="7F7F7F"/>
              <w:bottom w:val="single" w:sz="4" w:space="0" w:color="auto"/>
              <w:right w:val="single" w:sz="4" w:space="0" w:color="auto"/>
            </w:tcBorders>
          </w:tcPr>
          <w:p w14:paraId="57BE3094" w14:textId="77777777" w:rsidR="00B145BE" w:rsidRPr="001C513B" w:rsidRDefault="00B145BE" w:rsidP="00B145BE">
            <w:pPr>
              <w:spacing w:after="120" w:line="360" w:lineRule="auto"/>
              <w:jc w:val="center"/>
              <w:rPr>
                <w:rFonts w:cs="Times New Roman"/>
              </w:rPr>
            </w:pPr>
            <w:r w:rsidRPr="001C513B">
              <w:rPr>
                <w:rFonts w:cs="Times New Roman"/>
              </w:rPr>
              <w:t>Composition</w:t>
            </w:r>
          </w:p>
        </w:tc>
        <w:tc>
          <w:tcPr>
            <w:tcW w:w="832" w:type="pct"/>
            <w:tcBorders>
              <w:top w:val="single" w:sz="4" w:space="0" w:color="7F7F7F"/>
              <w:left w:val="single" w:sz="4" w:space="0" w:color="auto"/>
              <w:bottom w:val="single" w:sz="4" w:space="0" w:color="auto"/>
            </w:tcBorders>
          </w:tcPr>
          <w:p w14:paraId="365A823F" w14:textId="77777777" w:rsidR="00B145BE" w:rsidRPr="001C513B" w:rsidRDefault="00B145BE" w:rsidP="00B145BE">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1C513B">
              <w:rPr>
                <w:rFonts w:cs="Times New Roman"/>
              </w:rPr>
              <w:t>σ</w:t>
            </w:r>
            <w:r w:rsidRPr="001C513B">
              <w:rPr>
                <w:rFonts w:cs="Times New Roman"/>
                <w:vertAlign w:val="subscript"/>
              </w:rPr>
              <w:t>0.2</w:t>
            </w:r>
            <w:r w:rsidRPr="001C513B">
              <w:rPr>
                <w:rFonts w:cs="Times New Roman"/>
              </w:rPr>
              <w:t>(M</w:t>
            </w:r>
            <w:r>
              <w:rPr>
                <w:rFonts w:cs="Times New Roman"/>
              </w:rPr>
              <w:t>P</w:t>
            </w:r>
            <w:r w:rsidRPr="001C513B">
              <w:rPr>
                <w:rFonts w:cs="Times New Roman"/>
              </w:rPr>
              <w:t>a)</w:t>
            </w:r>
          </w:p>
        </w:tc>
        <w:tc>
          <w:tcPr>
            <w:tcW w:w="834" w:type="pct"/>
            <w:tcBorders>
              <w:top w:val="single" w:sz="4" w:space="0" w:color="7F7F7F"/>
              <w:bottom w:val="single" w:sz="4" w:space="0" w:color="auto"/>
            </w:tcBorders>
          </w:tcPr>
          <w:p w14:paraId="4943749E" w14:textId="77777777" w:rsidR="00B145BE" w:rsidRPr="001C513B" w:rsidRDefault="00B145BE" w:rsidP="00B145BE">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1C513B">
              <w:rPr>
                <w:rFonts w:cs="Times New Roman"/>
              </w:rPr>
              <w:t>σ</w:t>
            </w:r>
            <w:r w:rsidRPr="001C513B">
              <w:rPr>
                <w:rFonts w:cs="Times New Roman"/>
                <w:vertAlign w:val="subscript"/>
              </w:rPr>
              <w:t>UTS</w:t>
            </w:r>
            <w:r w:rsidRPr="001C513B">
              <w:rPr>
                <w:rFonts w:cs="Times New Roman"/>
              </w:rPr>
              <w:t>(M</w:t>
            </w:r>
            <w:r>
              <w:rPr>
                <w:rFonts w:cs="Times New Roman"/>
              </w:rPr>
              <w:t>P</w:t>
            </w:r>
            <w:r w:rsidRPr="001C513B">
              <w:rPr>
                <w:rFonts w:cs="Times New Roman"/>
              </w:rPr>
              <w:t>a)</w:t>
            </w:r>
          </w:p>
        </w:tc>
        <w:tc>
          <w:tcPr>
            <w:tcW w:w="833" w:type="pct"/>
            <w:tcBorders>
              <w:top w:val="single" w:sz="4" w:space="0" w:color="7F7F7F"/>
              <w:bottom w:val="single" w:sz="4" w:space="0" w:color="auto"/>
            </w:tcBorders>
          </w:tcPr>
          <w:p w14:paraId="3BDDA10C" w14:textId="77777777" w:rsidR="00B145BE" w:rsidRPr="001C513B" w:rsidRDefault="00B145BE" w:rsidP="00B145BE">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cs="Times New Roman"/>
                <w:vertAlign w:val="subscript"/>
              </w:rPr>
            </w:pPr>
            <w:r w:rsidRPr="001C513B">
              <w:rPr>
                <w:rFonts w:cs="Times New Roman"/>
              </w:rPr>
              <w:t>ε</w:t>
            </w:r>
            <w:r w:rsidRPr="001C513B">
              <w:rPr>
                <w:rFonts w:cs="Times New Roman"/>
                <w:vertAlign w:val="subscript"/>
              </w:rPr>
              <w:t xml:space="preserve">compress </w:t>
            </w:r>
            <w:r w:rsidRPr="00CC324D">
              <w:rPr>
                <w:rFonts w:cs="Times New Roman"/>
              </w:rPr>
              <w:t>(%)</w:t>
            </w:r>
          </w:p>
        </w:tc>
        <w:tc>
          <w:tcPr>
            <w:tcW w:w="833" w:type="pct"/>
            <w:tcBorders>
              <w:top w:val="single" w:sz="4" w:space="0" w:color="7F7F7F"/>
              <w:bottom w:val="single" w:sz="4" w:space="0" w:color="auto"/>
            </w:tcBorders>
          </w:tcPr>
          <w:p w14:paraId="4078266C" w14:textId="77777777" w:rsidR="00B145BE" w:rsidRPr="001C513B" w:rsidRDefault="00B145BE" w:rsidP="00B145BE">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1C513B">
              <w:rPr>
                <w:rFonts w:cs="Times New Roman"/>
              </w:rPr>
              <w:t>η</w:t>
            </w:r>
            <w:r w:rsidRPr="001C513B">
              <w:rPr>
                <w:rFonts w:cs="Times New Roman"/>
                <w:vertAlign w:val="subscript"/>
              </w:rPr>
              <w:t>5%</w:t>
            </w:r>
            <w:r w:rsidRPr="001C513B">
              <w:rPr>
                <w:rFonts w:cs="Times New Roman"/>
              </w:rPr>
              <w:t xml:space="preserve"> (G</w:t>
            </w:r>
            <w:r>
              <w:rPr>
                <w:rFonts w:cs="Times New Roman"/>
              </w:rPr>
              <w:t>P</w:t>
            </w:r>
            <w:r w:rsidRPr="001C513B">
              <w:rPr>
                <w:rFonts w:cs="Times New Roman"/>
              </w:rPr>
              <w:t>a)</w:t>
            </w:r>
          </w:p>
        </w:tc>
        <w:tc>
          <w:tcPr>
            <w:tcW w:w="834" w:type="pct"/>
            <w:tcBorders>
              <w:top w:val="single" w:sz="4" w:space="0" w:color="7F7F7F"/>
              <w:bottom w:val="single" w:sz="4" w:space="0" w:color="auto"/>
            </w:tcBorders>
          </w:tcPr>
          <w:p w14:paraId="5C66C7A3" w14:textId="77777777" w:rsidR="00B145BE" w:rsidRPr="001C513B" w:rsidRDefault="00B145BE" w:rsidP="00B145BE">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1C513B">
              <w:rPr>
                <w:rFonts w:cs="Times New Roman"/>
              </w:rPr>
              <w:t>η</w:t>
            </w:r>
            <w:r w:rsidRPr="001C513B">
              <w:rPr>
                <w:rFonts w:cs="Times New Roman"/>
                <w:vertAlign w:val="subscript"/>
              </w:rPr>
              <w:t>10%</w:t>
            </w:r>
            <w:r w:rsidRPr="001C513B">
              <w:rPr>
                <w:rFonts w:cs="Times New Roman"/>
              </w:rPr>
              <w:t xml:space="preserve"> (G</w:t>
            </w:r>
            <w:r>
              <w:rPr>
                <w:rFonts w:cs="Times New Roman"/>
              </w:rPr>
              <w:t>P</w:t>
            </w:r>
            <w:r w:rsidRPr="001C513B">
              <w:rPr>
                <w:rFonts w:cs="Times New Roman"/>
              </w:rPr>
              <w:t>a)</w:t>
            </w:r>
          </w:p>
        </w:tc>
      </w:tr>
      <w:tr w:rsidR="00B145BE" w:rsidRPr="001C513B" w14:paraId="17090856" w14:textId="77777777" w:rsidTr="00B145BE">
        <w:trPr>
          <w:cnfStyle w:val="000000100000" w:firstRow="0" w:lastRow="0" w:firstColumn="0" w:lastColumn="0" w:oddVBand="0" w:evenVBand="0" w:oddHBand="1" w:evenHBand="0" w:firstRowFirstColumn="0" w:firstRowLastColumn="0" w:lastRowFirstColumn="0" w:lastRowLastColumn="0"/>
          <w:cantSplit/>
          <w:trHeight w:hRule="exact" w:val="432"/>
        </w:trPr>
        <w:tc>
          <w:tcPr>
            <w:cnfStyle w:val="001000000000" w:firstRow="0" w:lastRow="0" w:firstColumn="1" w:lastColumn="0" w:oddVBand="0" w:evenVBand="0" w:oddHBand="0" w:evenHBand="0" w:firstRowFirstColumn="0" w:firstRowLastColumn="0" w:lastRowFirstColumn="0" w:lastRowLastColumn="0"/>
            <w:tcW w:w="833" w:type="pct"/>
            <w:tcBorders>
              <w:top w:val="single" w:sz="4" w:space="0" w:color="auto"/>
              <w:bottom w:val="nil"/>
              <w:right w:val="single" w:sz="4" w:space="0" w:color="auto"/>
            </w:tcBorders>
          </w:tcPr>
          <w:p w14:paraId="68E03C50" w14:textId="77777777" w:rsidR="00B145BE" w:rsidRPr="001C513B" w:rsidRDefault="00B145BE" w:rsidP="00B145BE">
            <w:pPr>
              <w:spacing w:after="120" w:line="360" w:lineRule="auto"/>
              <w:jc w:val="center"/>
              <w:rPr>
                <w:rFonts w:cs="Times New Roman"/>
                <w:vertAlign w:val="subscript"/>
              </w:rPr>
            </w:pPr>
            <w:r w:rsidRPr="001C513B">
              <w:rPr>
                <w:rFonts w:cs="Times New Roman"/>
              </w:rPr>
              <w:t>TiZrHfTa</w:t>
            </w:r>
          </w:p>
        </w:tc>
        <w:tc>
          <w:tcPr>
            <w:tcW w:w="832" w:type="pct"/>
            <w:tcBorders>
              <w:top w:val="single" w:sz="4" w:space="0" w:color="auto"/>
              <w:left w:val="single" w:sz="4" w:space="0" w:color="auto"/>
              <w:bottom w:val="nil"/>
            </w:tcBorders>
          </w:tcPr>
          <w:p w14:paraId="7D76BD46" w14:textId="77777777" w:rsidR="00B145BE" w:rsidRPr="001C513B" w:rsidRDefault="00B145BE" w:rsidP="00B145BE">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1C513B">
              <w:rPr>
                <w:rFonts w:cs="Times New Roman"/>
              </w:rPr>
              <w:t>978</w:t>
            </w:r>
          </w:p>
        </w:tc>
        <w:tc>
          <w:tcPr>
            <w:tcW w:w="834" w:type="pct"/>
            <w:tcBorders>
              <w:top w:val="single" w:sz="4" w:space="0" w:color="auto"/>
              <w:bottom w:val="nil"/>
            </w:tcBorders>
          </w:tcPr>
          <w:p w14:paraId="4F481C11" w14:textId="77777777" w:rsidR="00B145BE" w:rsidRPr="001C513B" w:rsidRDefault="00B145BE" w:rsidP="00B145BE">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1C513B">
              <w:rPr>
                <w:rFonts w:cs="Times New Roman"/>
              </w:rPr>
              <w:t>1072</w:t>
            </w:r>
          </w:p>
        </w:tc>
        <w:tc>
          <w:tcPr>
            <w:tcW w:w="833" w:type="pct"/>
            <w:tcBorders>
              <w:top w:val="single" w:sz="4" w:space="0" w:color="auto"/>
              <w:bottom w:val="nil"/>
            </w:tcBorders>
          </w:tcPr>
          <w:p w14:paraId="1C6998E9" w14:textId="77777777" w:rsidR="00B145BE" w:rsidRPr="001C513B" w:rsidRDefault="00B145BE" w:rsidP="00B145BE">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1C513B">
              <w:rPr>
                <w:rFonts w:cs="Times New Roman"/>
              </w:rPr>
              <w:t>&gt;30%</w:t>
            </w:r>
          </w:p>
        </w:tc>
        <w:tc>
          <w:tcPr>
            <w:tcW w:w="833" w:type="pct"/>
            <w:tcBorders>
              <w:top w:val="single" w:sz="4" w:space="0" w:color="auto"/>
              <w:bottom w:val="nil"/>
            </w:tcBorders>
          </w:tcPr>
          <w:p w14:paraId="1A1BE93B" w14:textId="77777777" w:rsidR="00B145BE" w:rsidRPr="001C513B" w:rsidRDefault="00B145BE" w:rsidP="00B145BE">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1C513B">
              <w:rPr>
                <w:rFonts w:cs="Times New Roman"/>
              </w:rPr>
              <w:t>1.24</w:t>
            </w:r>
          </w:p>
        </w:tc>
        <w:tc>
          <w:tcPr>
            <w:tcW w:w="834" w:type="pct"/>
            <w:tcBorders>
              <w:top w:val="single" w:sz="4" w:space="0" w:color="auto"/>
              <w:bottom w:val="nil"/>
            </w:tcBorders>
          </w:tcPr>
          <w:p w14:paraId="3BCF33F5" w14:textId="77777777" w:rsidR="00B145BE" w:rsidRPr="001C513B" w:rsidRDefault="00B145BE" w:rsidP="00B145BE">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1C513B">
              <w:rPr>
                <w:rFonts w:cs="Times New Roman"/>
              </w:rPr>
              <w:t>0.13</w:t>
            </w:r>
          </w:p>
        </w:tc>
      </w:tr>
      <w:tr w:rsidR="00B145BE" w:rsidRPr="001C513B" w14:paraId="63D22E6A" w14:textId="77777777" w:rsidTr="00B145BE">
        <w:trPr>
          <w:cantSplit/>
          <w:trHeight w:hRule="exact" w:val="432"/>
        </w:trPr>
        <w:tc>
          <w:tcPr>
            <w:cnfStyle w:val="001000000000" w:firstRow="0" w:lastRow="0" w:firstColumn="1" w:lastColumn="0" w:oddVBand="0" w:evenVBand="0" w:oddHBand="0" w:evenHBand="0" w:firstRowFirstColumn="0" w:firstRowLastColumn="0" w:lastRowFirstColumn="0" w:lastRowLastColumn="0"/>
            <w:tcW w:w="833" w:type="pct"/>
            <w:tcBorders>
              <w:top w:val="nil"/>
              <w:bottom w:val="nil"/>
              <w:right w:val="single" w:sz="4" w:space="0" w:color="auto"/>
            </w:tcBorders>
          </w:tcPr>
          <w:p w14:paraId="509185E9" w14:textId="77777777" w:rsidR="00B145BE" w:rsidRPr="001C513B" w:rsidRDefault="00B145BE" w:rsidP="00B145BE">
            <w:pPr>
              <w:spacing w:after="120" w:line="360" w:lineRule="auto"/>
              <w:jc w:val="center"/>
              <w:rPr>
                <w:rFonts w:cs="Times New Roman"/>
                <w:vertAlign w:val="subscript"/>
              </w:rPr>
            </w:pPr>
            <w:r w:rsidRPr="001C513B">
              <w:rPr>
                <w:rFonts w:cs="Times New Roman"/>
              </w:rPr>
              <w:t>TiZrHfTa</w:t>
            </w:r>
            <w:r w:rsidRPr="001C513B">
              <w:rPr>
                <w:rFonts w:cs="Times New Roman"/>
                <w:vertAlign w:val="subscript"/>
              </w:rPr>
              <w:t>0.9</w:t>
            </w:r>
          </w:p>
        </w:tc>
        <w:tc>
          <w:tcPr>
            <w:tcW w:w="832" w:type="pct"/>
            <w:tcBorders>
              <w:top w:val="nil"/>
              <w:left w:val="single" w:sz="4" w:space="0" w:color="auto"/>
              <w:bottom w:val="nil"/>
            </w:tcBorders>
          </w:tcPr>
          <w:p w14:paraId="79CB1E19" w14:textId="77777777" w:rsidR="00B145BE" w:rsidRPr="001C513B" w:rsidRDefault="00B145BE" w:rsidP="00B145BE">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C513B">
              <w:rPr>
                <w:rFonts w:cs="Times New Roman"/>
              </w:rPr>
              <w:t>943</w:t>
            </w:r>
          </w:p>
        </w:tc>
        <w:tc>
          <w:tcPr>
            <w:tcW w:w="834" w:type="pct"/>
            <w:tcBorders>
              <w:top w:val="nil"/>
              <w:bottom w:val="nil"/>
            </w:tcBorders>
          </w:tcPr>
          <w:p w14:paraId="004E98DA" w14:textId="77777777" w:rsidR="00B145BE" w:rsidRPr="001C513B" w:rsidRDefault="00B145BE" w:rsidP="00B145BE">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C513B">
              <w:rPr>
                <w:rFonts w:cs="Times New Roman"/>
              </w:rPr>
              <w:t>1124</w:t>
            </w:r>
          </w:p>
        </w:tc>
        <w:tc>
          <w:tcPr>
            <w:tcW w:w="833" w:type="pct"/>
            <w:tcBorders>
              <w:top w:val="nil"/>
              <w:bottom w:val="nil"/>
            </w:tcBorders>
          </w:tcPr>
          <w:p w14:paraId="624A88BC" w14:textId="77777777" w:rsidR="00B145BE" w:rsidRPr="001C513B" w:rsidRDefault="00B145BE" w:rsidP="00B145BE">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C513B">
              <w:rPr>
                <w:rFonts w:cs="Times New Roman"/>
              </w:rPr>
              <w:t>16.7%</w:t>
            </w:r>
          </w:p>
        </w:tc>
        <w:tc>
          <w:tcPr>
            <w:tcW w:w="833" w:type="pct"/>
            <w:tcBorders>
              <w:top w:val="nil"/>
              <w:bottom w:val="nil"/>
            </w:tcBorders>
          </w:tcPr>
          <w:p w14:paraId="606C6E36" w14:textId="77777777" w:rsidR="00B145BE" w:rsidRPr="001C513B" w:rsidRDefault="00B145BE" w:rsidP="00B145BE">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C513B">
              <w:rPr>
                <w:rFonts w:cs="Times New Roman"/>
              </w:rPr>
              <w:t>1.27</w:t>
            </w:r>
          </w:p>
        </w:tc>
        <w:tc>
          <w:tcPr>
            <w:tcW w:w="834" w:type="pct"/>
            <w:tcBorders>
              <w:top w:val="nil"/>
              <w:bottom w:val="nil"/>
            </w:tcBorders>
          </w:tcPr>
          <w:p w14:paraId="3ACCF4A5" w14:textId="77777777" w:rsidR="00B145BE" w:rsidRPr="001C513B" w:rsidRDefault="00B145BE" w:rsidP="00B145BE">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C513B">
              <w:rPr>
                <w:rFonts w:cs="Times New Roman"/>
              </w:rPr>
              <w:t>0.73</w:t>
            </w:r>
          </w:p>
        </w:tc>
      </w:tr>
      <w:tr w:rsidR="00B145BE" w:rsidRPr="001C513B" w14:paraId="2EBE096D" w14:textId="77777777" w:rsidTr="00B145BE">
        <w:trPr>
          <w:cnfStyle w:val="000000100000" w:firstRow="0" w:lastRow="0" w:firstColumn="0" w:lastColumn="0" w:oddVBand="0" w:evenVBand="0" w:oddHBand="1" w:evenHBand="0" w:firstRowFirstColumn="0" w:firstRowLastColumn="0" w:lastRowFirstColumn="0" w:lastRowLastColumn="0"/>
          <w:cantSplit/>
          <w:trHeight w:hRule="exact" w:val="432"/>
        </w:trPr>
        <w:tc>
          <w:tcPr>
            <w:cnfStyle w:val="001000000000" w:firstRow="0" w:lastRow="0" w:firstColumn="1" w:lastColumn="0" w:oddVBand="0" w:evenVBand="0" w:oddHBand="0" w:evenHBand="0" w:firstRowFirstColumn="0" w:firstRowLastColumn="0" w:lastRowFirstColumn="0" w:lastRowLastColumn="0"/>
            <w:tcW w:w="833" w:type="pct"/>
            <w:tcBorders>
              <w:top w:val="nil"/>
              <w:bottom w:val="nil"/>
              <w:right w:val="single" w:sz="4" w:space="0" w:color="auto"/>
            </w:tcBorders>
          </w:tcPr>
          <w:p w14:paraId="114B757F" w14:textId="77777777" w:rsidR="00B145BE" w:rsidRPr="001C513B" w:rsidRDefault="00B145BE" w:rsidP="00B145BE">
            <w:pPr>
              <w:spacing w:after="120" w:line="360" w:lineRule="auto"/>
              <w:jc w:val="center"/>
              <w:rPr>
                <w:rFonts w:cs="Times New Roman"/>
                <w:vertAlign w:val="subscript"/>
              </w:rPr>
            </w:pPr>
            <w:r w:rsidRPr="001C513B">
              <w:rPr>
                <w:rFonts w:cs="Times New Roman"/>
              </w:rPr>
              <w:t>TiZrHfTa</w:t>
            </w:r>
            <w:r w:rsidRPr="001C513B">
              <w:rPr>
                <w:rFonts w:cs="Times New Roman"/>
                <w:vertAlign w:val="subscript"/>
              </w:rPr>
              <w:t>0.8</w:t>
            </w:r>
          </w:p>
        </w:tc>
        <w:tc>
          <w:tcPr>
            <w:tcW w:w="832" w:type="pct"/>
            <w:tcBorders>
              <w:top w:val="nil"/>
              <w:left w:val="single" w:sz="4" w:space="0" w:color="auto"/>
              <w:bottom w:val="nil"/>
            </w:tcBorders>
          </w:tcPr>
          <w:p w14:paraId="16E74C93" w14:textId="77777777" w:rsidR="00B145BE" w:rsidRPr="001C513B" w:rsidRDefault="00B145BE" w:rsidP="00B145BE">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1C513B">
              <w:rPr>
                <w:rFonts w:cs="Times New Roman"/>
              </w:rPr>
              <w:t>867</w:t>
            </w:r>
          </w:p>
        </w:tc>
        <w:tc>
          <w:tcPr>
            <w:tcW w:w="834" w:type="pct"/>
            <w:tcBorders>
              <w:top w:val="nil"/>
              <w:bottom w:val="nil"/>
            </w:tcBorders>
          </w:tcPr>
          <w:p w14:paraId="42716929" w14:textId="77777777" w:rsidR="00B145BE" w:rsidRPr="001C513B" w:rsidRDefault="00B145BE" w:rsidP="00B145BE">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1C513B">
              <w:rPr>
                <w:rFonts w:cs="Times New Roman"/>
              </w:rPr>
              <w:t>1117</w:t>
            </w:r>
          </w:p>
        </w:tc>
        <w:tc>
          <w:tcPr>
            <w:tcW w:w="833" w:type="pct"/>
            <w:tcBorders>
              <w:top w:val="nil"/>
              <w:bottom w:val="nil"/>
            </w:tcBorders>
          </w:tcPr>
          <w:p w14:paraId="13DC27DC" w14:textId="77777777" w:rsidR="00B145BE" w:rsidRPr="001C513B" w:rsidRDefault="00B145BE" w:rsidP="00B145BE">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1C513B">
              <w:rPr>
                <w:rFonts w:cs="Times New Roman"/>
              </w:rPr>
              <w:t>18.2%</w:t>
            </w:r>
          </w:p>
        </w:tc>
        <w:tc>
          <w:tcPr>
            <w:tcW w:w="833" w:type="pct"/>
            <w:tcBorders>
              <w:top w:val="nil"/>
              <w:bottom w:val="nil"/>
            </w:tcBorders>
          </w:tcPr>
          <w:p w14:paraId="7FF1CDDA" w14:textId="77777777" w:rsidR="00B145BE" w:rsidRPr="001C513B" w:rsidRDefault="00B145BE" w:rsidP="00B145BE">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1C513B">
              <w:rPr>
                <w:rFonts w:cs="Times New Roman"/>
              </w:rPr>
              <w:t>2.42</w:t>
            </w:r>
          </w:p>
        </w:tc>
        <w:tc>
          <w:tcPr>
            <w:tcW w:w="834" w:type="pct"/>
            <w:tcBorders>
              <w:top w:val="nil"/>
              <w:bottom w:val="nil"/>
            </w:tcBorders>
          </w:tcPr>
          <w:p w14:paraId="7A732777" w14:textId="77777777" w:rsidR="00B145BE" w:rsidRPr="001C513B" w:rsidRDefault="00B145BE" w:rsidP="00B145BE">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1C513B">
              <w:rPr>
                <w:rFonts w:cs="Times New Roman"/>
              </w:rPr>
              <w:t>1.23</w:t>
            </w:r>
          </w:p>
        </w:tc>
      </w:tr>
      <w:tr w:rsidR="00B145BE" w:rsidRPr="001C513B" w14:paraId="7DE296A3" w14:textId="77777777" w:rsidTr="00B145BE">
        <w:trPr>
          <w:cantSplit/>
          <w:trHeight w:hRule="exact" w:val="432"/>
        </w:trPr>
        <w:tc>
          <w:tcPr>
            <w:cnfStyle w:val="001000000000" w:firstRow="0" w:lastRow="0" w:firstColumn="1" w:lastColumn="0" w:oddVBand="0" w:evenVBand="0" w:oddHBand="0" w:evenHBand="0" w:firstRowFirstColumn="0" w:firstRowLastColumn="0" w:lastRowFirstColumn="0" w:lastRowLastColumn="0"/>
            <w:tcW w:w="833" w:type="pct"/>
            <w:tcBorders>
              <w:top w:val="nil"/>
              <w:bottom w:val="nil"/>
              <w:right w:val="single" w:sz="4" w:space="0" w:color="auto"/>
            </w:tcBorders>
          </w:tcPr>
          <w:p w14:paraId="4B7C648D" w14:textId="77777777" w:rsidR="00B145BE" w:rsidRPr="001C513B" w:rsidRDefault="00B145BE" w:rsidP="00B145BE">
            <w:pPr>
              <w:spacing w:after="120" w:line="360" w:lineRule="auto"/>
              <w:jc w:val="center"/>
              <w:rPr>
                <w:rFonts w:cs="Times New Roman"/>
                <w:vertAlign w:val="subscript"/>
              </w:rPr>
            </w:pPr>
            <w:r w:rsidRPr="001C513B">
              <w:rPr>
                <w:rFonts w:cs="Times New Roman"/>
              </w:rPr>
              <w:t>TiZrHfTa</w:t>
            </w:r>
            <w:r w:rsidRPr="001C513B">
              <w:rPr>
                <w:rFonts w:cs="Times New Roman"/>
                <w:vertAlign w:val="subscript"/>
              </w:rPr>
              <w:t>0.7</w:t>
            </w:r>
          </w:p>
        </w:tc>
        <w:tc>
          <w:tcPr>
            <w:tcW w:w="832" w:type="pct"/>
            <w:tcBorders>
              <w:top w:val="nil"/>
              <w:left w:val="single" w:sz="4" w:space="0" w:color="auto"/>
              <w:bottom w:val="nil"/>
            </w:tcBorders>
          </w:tcPr>
          <w:p w14:paraId="7E2A59C6" w14:textId="77777777" w:rsidR="00B145BE" w:rsidRPr="001C513B" w:rsidRDefault="00B145BE" w:rsidP="00B145BE">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C513B">
              <w:rPr>
                <w:rFonts w:cs="Times New Roman"/>
              </w:rPr>
              <w:t>814</w:t>
            </w:r>
          </w:p>
        </w:tc>
        <w:tc>
          <w:tcPr>
            <w:tcW w:w="834" w:type="pct"/>
            <w:tcBorders>
              <w:top w:val="nil"/>
              <w:bottom w:val="nil"/>
            </w:tcBorders>
          </w:tcPr>
          <w:p w14:paraId="39C2F7FE" w14:textId="77777777" w:rsidR="00B145BE" w:rsidRPr="001C513B" w:rsidRDefault="00B145BE" w:rsidP="00B145BE">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C513B">
              <w:rPr>
                <w:rFonts w:cs="Times New Roman"/>
              </w:rPr>
              <w:t>1037</w:t>
            </w:r>
          </w:p>
        </w:tc>
        <w:tc>
          <w:tcPr>
            <w:tcW w:w="833" w:type="pct"/>
            <w:tcBorders>
              <w:top w:val="nil"/>
              <w:bottom w:val="nil"/>
            </w:tcBorders>
          </w:tcPr>
          <w:p w14:paraId="07B096E1" w14:textId="77777777" w:rsidR="00B145BE" w:rsidRPr="001C513B" w:rsidRDefault="00B145BE" w:rsidP="00B145BE">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C513B">
              <w:rPr>
                <w:rFonts w:cs="Times New Roman"/>
              </w:rPr>
              <w:t>17.9%</w:t>
            </w:r>
          </w:p>
        </w:tc>
        <w:tc>
          <w:tcPr>
            <w:tcW w:w="833" w:type="pct"/>
            <w:tcBorders>
              <w:top w:val="nil"/>
              <w:bottom w:val="nil"/>
            </w:tcBorders>
          </w:tcPr>
          <w:p w14:paraId="1C98F3C8" w14:textId="77777777" w:rsidR="00B145BE" w:rsidRPr="001C513B" w:rsidRDefault="00B145BE" w:rsidP="00B145BE">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C513B">
              <w:rPr>
                <w:rFonts w:cs="Times New Roman"/>
              </w:rPr>
              <w:t>2.13</w:t>
            </w:r>
          </w:p>
        </w:tc>
        <w:tc>
          <w:tcPr>
            <w:tcW w:w="834" w:type="pct"/>
            <w:tcBorders>
              <w:top w:val="nil"/>
              <w:bottom w:val="nil"/>
            </w:tcBorders>
          </w:tcPr>
          <w:p w14:paraId="32CD026B" w14:textId="77777777" w:rsidR="00B145BE" w:rsidRPr="001C513B" w:rsidRDefault="00B145BE" w:rsidP="00B145BE">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C513B">
              <w:rPr>
                <w:rFonts w:cs="Times New Roman"/>
              </w:rPr>
              <w:t>1.14</w:t>
            </w:r>
          </w:p>
        </w:tc>
      </w:tr>
      <w:tr w:rsidR="00B145BE" w:rsidRPr="001C513B" w14:paraId="2BF495D7" w14:textId="77777777" w:rsidTr="00B145BE">
        <w:trPr>
          <w:cnfStyle w:val="000000100000" w:firstRow="0" w:lastRow="0" w:firstColumn="0" w:lastColumn="0" w:oddVBand="0" w:evenVBand="0" w:oddHBand="1" w:evenHBand="0" w:firstRowFirstColumn="0" w:firstRowLastColumn="0" w:lastRowFirstColumn="0" w:lastRowLastColumn="0"/>
          <w:cantSplit/>
          <w:trHeight w:hRule="exact" w:val="432"/>
        </w:trPr>
        <w:tc>
          <w:tcPr>
            <w:cnfStyle w:val="001000000000" w:firstRow="0" w:lastRow="0" w:firstColumn="1" w:lastColumn="0" w:oddVBand="0" w:evenVBand="0" w:oddHBand="0" w:evenHBand="0" w:firstRowFirstColumn="0" w:firstRowLastColumn="0" w:lastRowFirstColumn="0" w:lastRowLastColumn="0"/>
            <w:tcW w:w="833" w:type="pct"/>
            <w:tcBorders>
              <w:top w:val="nil"/>
              <w:bottom w:val="nil"/>
              <w:right w:val="single" w:sz="4" w:space="0" w:color="auto"/>
            </w:tcBorders>
          </w:tcPr>
          <w:p w14:paraId="78B9EE43" w14:textId="77777777" w:rsidR="00B145BE" w:rsidRPr="001C513B" w:rsidRDefault="00B145BE" w:rsidP="00B145BE">
            <w:pPr>
              <w:spacing w:after="120" w:line="360" w:lineRule="auto"/>
              <w:jc w:val="center"/>
              <w:rPr>
                <w:rFonts w:cs="Times New Roman"/>
                <w:vertAlign w:val="subscript"/>
              </w:rPr>
            </w:pPr>
            <w:r w:rsidRPr="001C513B">
              <w:rPr>
                <w:rFonts w:cs="Times New Roman"/>
              </w:rPr>
              <w:t>TiZrHfTa</w:t>
            </w:r>
            <w:r w:rsidRPr="001C513B">
              <w:rPr>
                <w:rFonts w:cs="Times New Roman"/>
                <w:vertAlign w:val="subscript"/>
              </w:rPr>
              <w:t>0.6</w:t>
            </w:r>
          </w:p>
        </w:tc>
        <w:tc>
          <w:tcPr>
            <w:tcW w:w="832" w:type="pct"/>
            <w:tcBorders>
              <w:top w:val="nil"/>
              <w:left w:val="single" w:sz="4" w:space="0" w:color="auto"/>
              <w:bottom w:val="nil"/>
            </w:tcBorders>
          </w:tcPr>
          <w:p w14:paraId="0FF674B5" w14:textId="77777777" w:rsidR="00B145BE" w:rsidRPr="001C513B" w:rsidRDefault="00B145BE" w:rsidP="00B145BE">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1C513B">
              <w:rPr>
                <w:rFonts w:cs="Times New Roman"/>
              </w:rPr>
              <w:t>667</w:t>
            </w:r>
          </w:p>
        </w:tc>
        <w:tc>
          <w:tcPr>
            <w:tcW w:w="834" w:type="pct"/>
            <w:tcBorders>
              <w:top w:val="nil"/>
              <w:bottom w:val="nil"/>
            </w:tcBorders>
          </w:tcPr>
          <w:p w14:paraId="7CE7FAAC" w14:textId="77777777" w:rsidR="00B145BE" w:rsidRPr="001C513B" w:rsidRDefault="00B145BE" w:rsidP="00B145BE">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1C513B">
              <w:rPr>
                <w:rFonts w:cs="Times New Roman"/>
              </w:rPr>
              <w:t>1142</w:t>
            </w:r>
          </w:p>
        </w:tc>
        <w:tc>
          <w:tcPr>
            <w:tcW w:w="833" w:type="pct"/>
            <w:tcBorders>
              <w:top w:val="nil"/>
              <w:bottom w:val="nil"/>
            </w:tcBorders>
          </w:tcPr>
          <w:p w14:paraId="6A889E27" w14:textId="77777777" w:rsidR="00B145BE" w:rsidRPr="001C513B" w:rsidRDefault="00B145BE" w:rsidP="00B145BE">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1C513B">
              <w:rPr>
                <w:rFonts w:cs="Times New Roman"/>
              </w:rPr>
              <w:t>18.5%</w:t>
            </w:r>
          </w:p>
        </w:tc>
        <w:tc>
          <w:tcPr>
            <w:tcW w:w="833" w:type="pct"/>
            <w:tcBorders>
              <w:top w:val="nil"/>
              <w:bottom w:val="nil"/>
            </w:tcBorders>
          </w:tcPr>
          <w:p w14:paraId="1628402C" w14:textId="77777777" w:rsidR="00B145BE" w:rsidRPr="001C513B" w:rsidRDefault="00B145BE" w:rsidP="00B145BE">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1C513B">
              <w:rPr>
                <w:rFonts w:cs="Times New Roman"/>
              </w:rPr>
              <w:t>3.86</w:t>
            </w:r>
          </w:p>
        </w:tc>
        <w:tc>
          <w:tcPr>
            <w:tcW w:w="834" w:type="pct"/>
            <w:tcBorders>
              <w:top w:val="nil"/>
              <w:bottom w:val="nil"/>
            </w:tcBorders>
          </w:tcPr>
          <w:p w14:paraId="21329115" w14:textId="77777777" w:rsidR="00B145BE" w:rsidRPr="001C513B" w:rsidRDefault="00B145BE" w:rsidP="00B145BE">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1C513B">
              <w:rPr>
                <w:rFonts w:cs="Times New Roman"/>
              </w:rPr>
              <w:t>3.46</w:t>
            </w:r>
          </w:p>
        </w:tc>
      </w:tr>
      <w:tr w:rsidR="00B145BE" w:rsidRPr="001C513B" w14:paraId="5DBD5C79" w14:textId="77777777" w:rsidTr="00B145BE">
        <w:trPr>
          <w:cantSplit/>
          <w:trHeight w:hRule="exact" w:val="432"/>
        </w:trPr>
        <w:tc>
          <w:tcPr>
            <w:cnfStyle w:val="001000000000" w:firstRow="0" w:lastRow="0" w:firstColumn="1" w:lastColumn="0" w:oddVBand="0" w:evenVBand="0" w:oddHBand="0" w:evenHBand="0" w:firstRowFirstColumn="0" w:firstRowLastColumn="0" w:lastRowFirstColumn="0" w:lastRowLastColumn="0"/>
            <w:tcW w:w="833" w:type="pct"/>
            <w:tcBorders>
              <w:top w:val="nil"/>
              <w:bottom w:val="single" w:sz="4" w:space="0" w:color="auto"/>
              <w:right w:val="single" w:sz="4" w:space="0" w:color="auto"/>
            </w:tcBorders>
          </w:tcPr>
          <w:p w14:paraId="61253052" w14:textId="77777777" w:rsidR="00B145BE" w:rsidRPr="001C513B" w:rsidRDefault="00B145BE" w:rsidP="00B145BE">
            <w:pPr>
              <w:spacing w:after="120" w:line="360" w:lineRule="auto"/>
              <w:jc w:val="center"/>
              <w:rPr>
                <w:rFonts w:cs="Times New Roman"/>
                <w:vertAlign w:val="subscript"/>
              </w:rPr>
            </w:pPr>
            <w:r w:rsidRPr="001C513B">
              <w:rPr>
                <w:rFonts w:cs="Times New Roman"/>
              </w:rPr>
              <w:t>TiZrHfTa</w:t>
            </w:r>
            <w:r w:rsidRPr="001C513B">
              <w:rPr>
                <w:rFonts w:cs="Times New Roman"/>
                <w:vertAlign w:val="subscript"/>
              </w:rPr>
              <w:t>0.5</w:t>
            </w:r>
          </w:p>
        </w:tc>
        <w:tc>
          <w:tcPr>
            <w:tcW w:w="832" w:type="pct"/>
            <w:tcBorders>
              <w:top w:val="nil"/>
              <w:left w:val="single" w:sz="4" w:space="0" w:color="auto"/>
              <w:bottom w:val="single" w:sz="4" w:space="0" w:color="auto"/>
            </w:tcBorders>
          </w:tcPr>
          <w:p w14:paraId="6ABBA41C" w14:textId="77777777" w:rsidR="00B145BE" w:rsidRPr="001C513B" w:rsidRDefault="00B145BE" w:rsidP="00B145BE">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C513B">
              <w:rPr>
                <w:rFonts w:cs="Times New Roman"/>
              </w:rPr>
              <w:t>458</w:t>
            </w:r>
          </w:p>
        </w:tc>
        <w:tc>
          <w:tcPr>
            <w:tcW w:w="834" w:type="pct"/>
            <w:tcBorders>
              <w:top w:val="nil"/>
              <w:bottom w:val="single" w:sz="4" w:space="0" w:color="auto"/>
            </w:tcBorders>
          </w:tcPr>
          <w:p w14:paraId="3B93BCB6" w14:textId="77777777" w:rsidR="00B145BE" w:rsidRPr="001C513B" w:rsidRDefault="00B145BE" w:rsidP="00B145BE">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C513B">
              <w:rPr>
                <w:rFonts w:cs="Times New Roman"/>
              </w:rPr>
              <w:t>1189</w:t>
            </w:r>
          </w:p>
        </w:tc>
        <w:tc>
          <w:tcPr>
            <w:tcW w:w="833" w:type="pct"/>
            <w:tcBorders>
              <w:top w:val="nil"/>
              <w:bottom w:val="single" w:sz="4" w:space="0" w:color="auto"/>
            </w:tcBorders>
          </w:tcPr>
          <w:p w14:paraId="2DBB533B" w14:textId="77777777" w:rsidR="00B145BE" w:rsidRPr="001C513B" w:rsidRDefault="00B145BE" w:rsidP="00B145BE">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C513B">
              <w:rPr>
                <w:rFonts w:cs="Times New Roman"/>
              </w:rPr>
              <w:t>18.5%</w:t>
            </w:r>
          </w:p>
        </w:tc>
        <w:tc>
          <w:tcPr>
            <w:tcW w:w="833" w:type="pct"/>
            <w:tcBorders>
              <w:top w:val="nil"/>
              <w:bottom w:val="single" w:sz="4" w:space="0" w:color="auto"/>
            </w:tcBorders>
          </w:tcPr>
          <w:p w14:paraId="0674D25B" w14:textId="77777777" w:rsidR="00B145BE" w:rsidRPr="001C513B" w:rsidRDefault="00B145BE" w:rsidP="00B145BE">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C513B">
              <w:rPr>
                <w:rFonts w:cs="Times New Roman"/>
              </w:rPr>
              <w:t>4.17</w:t>
            </w:r>
          </w:p>
        </w:tc>
        <w:tc>
          <w:tcPr>
            <w:tcW w:w="834" w:type="pct"/>
            <w:tcBorders>
              <w:top w:val="nil"/>
              <w:bottom w:val="single" w:sz="4" w:space="0" w:color="auto"/>
            </w:tcBorders>
          </w:tcPr>
          <w:p w14:paraId="4AB6B151" w14:textId="77777777" w:rsidR="00B145BE" w:rsidRPr="001C513B" w:rsidRDefault="00B145BE" w:rsidP="00B145BE">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C513B">
              <w:rPr>
                <w:rFonts w:cs="Times New Roman"/>
              </w:rPr>
              <w:t>3.92</w:t>
            </w:r>
          </w:p>
        </w:tc>
      </w:tr>
    </w:tbl>
    <w:p w14:paraId="449164F3" w14:textId="5EF17B3B" w:rsidR="00B145BE" w:rsidRPr="001C513B" w:rsidRDefault="00B145BE" w:rsidP="00B145BE">
      <w:pPr>
        <w:shd w:val="clear" w:color="auto" w:fill="FFFFFF"/>
        <w:spacing w:after="60" w:line="360" w:lineRule="auto"/>
        <w:jc w:val="both"/>
        <w:rPr>
          <w:rFonts w:ascii="Calibri" w:eastAsia="等线" w:hAnsi="Calibri" w:cs="Times New Roman"/>
        </w:rPr>
      </w:pPr>
      <w:r>
        <w:rPr>
          <w:rFonts w:ascii="Calibri" w:eastAsia="等线" w:hAnsi="Calibri" w:cs="Times New Roman"/>
        </w:rPr>
        <w:lastRenderedPageBreak/>
        <w:t>Depending on the behaviour exhibited for the</w:t>
      </w:r>
      <w:r w:rsidRPr="001C513B">
        <w:rPr>
          <w:rFonts w:ascii="Calibri" w:eastAsia="等线" w:hAnsi="Calibri" w:cs="Times New Roman"/>
        </w:rPr>
        <w:t xml:space="preserve"> </w:t>
      </w:r>
      <w:r w:rsidR="004F7EF4">
        <w:rPr>
          <w:rFonts w:ascii="Calibri" w:eastAsia="等线" w:hAnsi="Calibri" w:cs="Times New Roman"/>
        </w:rPr>
        <w:t>work</w:t>
      </w:r>
      <w:r w:rsidRPr="001C513B">
        <w:rPr>
          <w:rFonts w:ascii="Calibri" w:eastAsia="等线" w:hAnsi="Calibri" w:cs="Times New Roman"/>
        </w:rPr>
        <w:t xml:space="preserve"> hardening curve, </w:t>
      </w:r>
      <w:r>
        <w:rPr>
          <w:rFonts w:ascii="Calibri" w:eastAsia="等线" w:hAnsi="Calibri" w:cs="Times New Roman"/>
        </w:rPr>
        <w:t>the series</w:t>
      </w:r>
      <w:r w:rsidRPr="001C513B">
        <w:rPr>
          <w:rFonts w:ascii="Calibri" w:eastAsia="等线" w:hAnsi="Calibri" w:cs="Times New Roman"/>
        </w:rPr>
        <w:t xml:space="preserve"> </w:t>
      </w:r>
      <w:r>
        <w:rPr>
          <w:rFonts w:ascii="Calibri" w:eastAsia="等线" w:hAnsi="Calibri" w:cs="Times New Roman"/>
        </w:rPr>
        <w:t xml:space="preserve">of compositions </w:t>
      </w:r>
      <w:r w:rsidRPr="001C513B">
        <w:rPr>
          <w:rFonts w:ascii="Calibri" w:eastAsia="等线" w:hAnsi="Calibri" w:cs="Times New Roman"/>
        </w:rPr>
        <w:t>were divided into two groups</w:t>
      </w:r>
      <w:r>
        <w:rPr>
          <w:rFonts w:ascii="Calibri" w:eastAsia="等线" w:hAnsi="Calibri" w:cs="Times New Roman"/>
        </w:rPr>
        <w:t xml:space="preserve"> which possessed distinctive properties. These were:</w:t>
      </w:r>
      <w:r w:rsidRPr="001C513B">
        <w:rPr>
          <w:rFonts w:ascii="Calibri" w:eastAsia="等线" w:hAnsi="Calibri" w:cs="Times New Roman"/>
        </w:rPr>
        <w:t xml:space="preserve"> Group I</w:t>
      </w:r>
      <w:r>
        <w:rPr>
          <w:rFonts w:ascii="Calibri" w:eastAsia="等线" w:hAnsi="Calibri" w:cs="Times New Roman"/>
        </w:rPr>
        <w:t xml:space="preserve"> </w:t>
      </w:r>
      <w:r w:rsidRPr="001C513B">
        <w:rPr>
          <w:rFonts w:ascii="Calibri" w:eastAsia="等线" w:hAnsi="Calibri" w:cs="Times New Roman"/>
        </w:rPr>
        <w:t>(TiZrHfTa</w:t>
      </w:r>
      <w:r w:rsidRPr="001C513B">
        <w:rPr>
          <w:rFonts w:ascii="Calibri" w:eastAsia="等线" w:hAnsi="Calibri" w:cs="Times New Roman"/>
          <w:vertAlign w:val="subscript"/>
        </w:rPr>
        <w:t>x(x=0.8-1)</w:t>
      </w:r>
      <w:r w:rsidRPr="001C513B">
        <w:rPr>
          <w:rFonts w:ascii="Calibri" w:eastAsia="等线" w:hAnsi="Calibri" w:cs="Times New Roman"/>
        </w:rPr>
        <w:t xml:space="preserve">) </w:t>
      </w:r>
      <w:r>
        <w:rPr>
          <w:rFonts w:ascii="Calibri" w:eastAsia="等线" w:hAnsi="Calibri" w:cs="Times New Roman"/>
        </w:rPr>
        <w:t>where the</w:t>
      </w:r>
      <w:r w:rsidRPr="001C513B">
        <w:rPr>
          <w:rFonts w:ascii="Calibri" w:eastAsia="等线" w:hAnsi="Calibri" w:cs="Times New Roman"/>
        </w:rPr>
        <w:t xml:space="preserve"> </w:t>
      </w:r>
      <w:r w:rsidR="004F7EF4">
        <w:rPr>
          <w:rFonts w:ascii="Calibri" w:eastAsia="等线" w:hAnsi="Calibri" w:cs="Times New Roman"/>
        </w:rPr>
        <w:t>work</w:t>
      </w:r>
      <w:r w:rsidRPr="001C513B">
        <w:rPr>
          <w:rFonts w:ascii="Calibri" w:eastAsia="等线" w:hAnsi="Calibri" w:cs="Times New Roman"/>
        </w:rPr>
        <w:t xml:space="preserve"> hardening rate </w:t>
      </w:r>
      <w:r>
        <w:rPr>
          <w:rFonts w:ascii="Calibri" w:eastAsia="等线" w:hAnsi="Calibri" w:cs="Times New Roman"/>
        </w:rPr>
        <w:t>was</w:t>
      </w:r>
      <w:r w:rsidRPr="001C513B">
        <w:rPr>
          <w:rFonts w:ascii="Calibri" w:eastAsia="等线" w:hAnsi="Calibri" w:cs="Times New Roman"/>
        </w:rPr>
        <w:t xml:space="preserve"> </w:t>
      </w:r>
      <w:r>
        <w:rPr>
          <w:rFonts w:ascii="Calibri" w:eastAsia="等线" w:hAnsi="Calibri" w:cs="Times New Roman"/>
        </w:rPr>
        <w:t xml:space="preserve">found to </w:t>
      </w:r>
      <w:r w:rsidRPr="001C513B">
        <w:rPr>
          <w:rFonts w:ascii="Calibri" w:eastAsia="等线" w:hAnsi="Calibri" w:cs="Times New Roman"/>
        </w:rPr>
        <w:t>monotonically decreas</w:t>
      </w:r>
      <w:r>
        <w:rPr>
          <w:rFonts w:ascii="Calibri" w:eastAsia="等线" w:hAnsi="Calibri" w:cs="Times New Roman"/>
        </w:rPr>
        <w:t>e</w:t>
      </w:r>
      <w:r w:rsidRPr="001C513B">
        <w:rPr>
          <w:rFonts w:ascii="Calibri" w:eastAsia="等线" w:hAnsi="Calibri" w:cs="Times New Roman"/>
        </w:rPr>
        <w:t xml:space="preserve"> from 5% to 10% strain after yield</w:t>
      </w:r>
      <w:r>
        <w:rPr>
          <w:rFonts w:ascii="Calibri" w:eastAsia="等线" w:hAnsi="Calibri" w:cs="Times New Roman"/>
        </w:rPr>
        <w:t>;</w:t>
      </w:r>
      <w:r w:rsidRPr="001C513B">
        <w:rPr>
          <w:rFonts w:ascii="Calibri" w:eastAsia="等线" w:hAnsi="Calibri" w:cs="Times New Roman"/>
        </w:rPr>
        <w:t xml:space="preserve"> and Group II</w:t>
      </w:r>
      <w:r>
        <w:rPr>
          <w:rFonts w:ascii="Calibri" w:eastAsia="等线" w:hAnsi="Calibri" w:cs="Times New Roman"/>
        </w:rPr>
        <w:t xml:space="preserve"> </w:t>
      </w:r>
      <w:r w:rsidRPr="001C513B">
        <w:rPr>
          <w:rFonts w:ascii="Calibri" w:eastAsia="等线" w:hAnsi="Calibri" w:cs="Times New Roman"/>
        </w:rPr>
        <w:t>(TiZrHfTa</w:t>
      </w:r>
      <w:r w:rsidRPr="001C513B">
        <w:rPr>
          <w:rFonts w:ascii="Calibri" w:eastAsia="等线" w:hAnsi="Calibri" w:cs="Times New Roman"/>
          <w:vertAlign w:val="subscript"/>
        </w:rPr>
        <w:t>x(x=0.5-0.7)</w:t>
      </w:r>
      <w:r w:rsidRPr="001C513B">
        <w:rPr>
          <w:rFonts w:ascii="Calibri" w:eastAsia="等线" w:hAnsi="Calibri" w:cs="Times New Roman"/>
        </w:rPr>
        <w:t xml:space="preserve">) </w:t>
      </w:r>
      <w:r>
        <w:rPr>
          <w:rFonts w:ascii="Calibri" w:eastAsia="等线" w:hAnsi="Calibri" w:cs="Times New Roman"/>
        </w:rPr>
        <w:t>for which the</w:t>
      </w:r>
      <w:r w:rsidRPr="001C513B">
        <w:rPr>
          <w:rFonts w:ascii="Calibri" w:eastAsia="等线" w:hAnsi="Calibri" w:cs="Times New Roman"/>
        </w:rPr>
        <w:t xml:space="preserve"> </w:t>
      </w:r>
      <w:r w:rsidR="004F7EF4">
        <w:rPr>
          <w:rFonts w:ascii="Calibri" w:eastAsia="等线" w:hAnsi="Calibri" w:cs="Times New Roman"/>
        </w:rPr>
        <w:t>work</w:t>
      </w:r>
      <w:r w:rsidRPr="001C513B">
        <w:rPr>
          <w:rFonts w:ascii="Calibri" w:eastAsia="等线" w:hAnsi="Calibri" w:cs="Times New Roman"/>
        </w:rPr>
        <w:t xml:space="preserve"> hardening rate exhibit</w:t>
      </w:r>
      <w:r>
        <w:rPr>
          <w:rFonts w:ascii="Calibri" w:eastAsia="等线" w:hAnsi="Calibri" w:cs="Times New Roman"/>
        </w:rPr>
        <w:t>ed</w:t>
      </w:r>
      <w:r w:rsidRPr="001C513B">
        <w:rPr>
          <w:rFonts w:ascii="Calibri" w:eastAsia="等线" w:hAnsi="Calibri" w:cs="Times New Roman"/>
        </w:rPr>
        <w:t xml:space="preserve"> a plateau from 5% to 10% strain after </w:t>
      </w:r>
      <w:r>
        <w:rPr>
          <w:rFonts w:ascii="Calibri" w:eastAsia="等线" w:hAnsi="Calibri" w:cs="Times New Roman"/>
        </w:rPr>
        <w:t>yield</w:t>
      </w:r>
      <w:r w:rsidRPr="001C513B">
        <w:rPr>
          <w:rFonts w:ascii="Calibri" w:eastAsia="等线" w:hAnsi="Calibri" w:cs="Times New Roman"/>
        </w:rPr>
        <w:t xml:space="preserve">. </w:t>
      </w:r>
      <w:r>
        <w:rPr>
          <w:rFonts w:ascii="Calibri" w:eastAsia="等线" w:hAnsi="Calibri" w:cs="Times New Roman"/>
        </w:rPr>
        <w:t>For Group I, t</w:t>
      </w:r>
      <w:r w:rsidRPr="001C513B">
        <w:rPr>
          <w:rFonts w:ascii="Calibri" w:eastAsia="等线" w:hAnsi="Calibri" w:cs="Times New Roman"/>
        </w:rPr>
        <w:t xml:space="preserve">he </w:t>
      </w:r>
      <w:r w:rsidR="004F7EF4">
        <w:rPr>
          <w:rFonts w:ascii="Calibri" w:eastAsia="等线" w:hAnsi="Calibri" w:cs="Times New Roman"/>
        </w:rPr>
        <w:t>work</w:t>
      </w:r>
      <w:r w:rsidRPr="001C513B">
        <w:rPr>
          <w:rFonts w:ascii="Calibri" w:eastAsia="等线" w:hAnsi="Calibri" w:cs="Times New Roman"/>
        </w:rPr>
        <w:t xml:space="preserve"> hardening rate at 5% strain</w:t>
      </w:r>
      <w:r>
        <w:rPr>
          <w:rFonts w:ascii="Calibri" w:eastAsia="等线" w:hAnsi="Calibri" w:cs="Times New Roman"/>
        </w:rPr>
        <w:t xml:space="preserve"> (</w:t>
      </w:r>
      <w:r w:rsidRPr="00F31B21">
        <w:rPr>
          <w:rFonts w:cs="Times New Roman"/>
        </w:rPr>
        <w:t>η</w:t>
      </w:r>
      <w:r w:rsidRPr="00F31B21">
        <w:rPr>
          <w:rFonts w:cs="Times New Roman"/>
          <w:vertAlign w:val="subscript"/>
        </w:rPr>
        <w:t>5%</w:t>
      </w:r>
      <w:r>
        <w:rPr>
          <w:rFonts w:cs="Times New Roman"/>
        </w:rPr>
        <w:t>)</w:t>
      </w:r>
      <w:r w:rsidRPr="001C513B">
        <w:rPr>
          <w:rFonts w:ascii="Calibri" w:eastAsia="等线" w:hAnsi="Calibri" w:cs="Times New Roman"/>
        </w:rPr>
        <w:t xml:space="preserve"> </w:t>
      </w:r>
      <w:r>
        <w:rPr>
          <w:rFonts w:ascii="Calibri" w:eastAsia="等线" w:hAnsi="Calibri" w:cs="Times New Roman"/>
        </w:rPr>
        <w:t xml:space="preserve">was found to increase </w:t>
      </w:r>
      <w:r w:rsidRPr="001C513B">
        <w:rPr>
          <w:rFonts w:ascii="Calibri" w:eastAsia="等线" w:hAnsi="Calibri" w:cs="Times New Roman"/>
        </w:rPr>
        <w:t>from 1.24G</w:t>
      </w:r>
      <w:r>
        <w:rPr>
          <w:rFonts w:ascii="Calibri" w:eastAsia="等线" w:hAnsi="Calibri" w:cs="Times New Roman"/>
        </w:rPr>
        <w:t>P</w:t>
      </w:r>
      <w:r w:rsidRPr="001C513B">
        <w:rPr>
          <w:rFonts w:ascii="Calibri" w:eastAsia="等线" w:hAnsi="Calibri" w:cs="Times New Roman"/>
        </w:rPr>
        <w:t>a (TiZrHfTa) to 2.42G</w:t>
      </w:r>
      <w:r>
        <w:rPr>
          <w:rFonts w:ascii="Calibri" w:eastAsia="等线" w:hAnsi="Calibri" w:cs="Times New Roman"/>
        </w:rPr>
        <w:t>P</w:t>
      </w:r>
      <w:r w:rsidRPr="001C513B">
        <w:rPr>
          <w:rFonts w:ascii="Calibri" w:eastAsia="等线" w:hAnsi="Calibri" w:cs="Times New Roman"/>
        </w:rPr>
        <w:t>a (TiZrHfTa</w:t>
      </w:r>
      <w:r w:rsidRPr="001C513B">
        <w:rPr>
          <w:rFonts w:ascii="Calibri" w:eastAsia="等线" w:hAnsi="Calibri" w:cs="Times New Roman"/>
          <w:vertAlign w:val="subscript"/>
        </w:rPr>
        <w:t>0.8</w:t>
      </w:r>
      <w:r w:rsidRPr="001C513B">
        <w:rPr>
          <w:rFonts w:ascii="Calibri" w:eastAsia="等线" w:hAnsi="Calibri" w:cs="Times New Roman"/>
        </w:rPr>
        <w:t>)</w:t>
      </w:r>
      <w:r>
        <w:rPr>
          <w:rFonts w:ascii="Calibri" w:eastAsia="等线" w:hAnsi="Calibri" w:cs="Times New Roman"/>
        </w:rPr>
        <w:t>. This</w:t>
      </w:r>
      <w:r w:rsidRPr="001C513B">
        <w:rPr>
          <w:rFonts w:ascii="Calibri" w:eastAsia="等线" w:hAnsi="Calibri" w:cs="Times New Roman"/>
        </w:rPr>
        <w:t xml:space="preserve"> may </w:t>
      </w:r>
      <w:r>
        <w:rPr>
          <w:rFonts w:ascii="Calibri" w:eastAsia="等线" w:hAnsi="Calibri" w:cs="Times New Roman"/>
        </w:rPr>
        <w:t xml:space="preserve">be attributed to the </w:t>
      </w:r>
      <w:r w:rsidRPr="001C513B">
        <w:rPr>
          <w:rFonts w:ascii="Calibri" w:eastAsia="等线" w:hAnsi="Calibri" w:cs="Times New Roman"/>
        </w:rPr>
        <w:t xml:space="preserve">activation of a new deformation mechanism </w:t>
      </w:r>
      <w:r>
        <w:rPr>
          <w:rFonts w:ascii="Calibri" w:eastAsia="等线" w:hAnsi="Calibri" w:cs="Times New Roman"/>
        </w:rPr>
        <w:t xml:space="preserve">which is influenced by the </w:t>
      </w:r>
      <w:r w:rsidRPr="001C513B">
        <w:rPr>
          <w:rFonts w:ascii="Calibri" w:eastAsia="等线" w:hAnsi="Calibri" w:cs="Times New Roman"/>
        </w:rPr>
        <w:t xml:space="preserve">variation </w:t>
      </w:r>
      <w:r>
        <w:rPr>
          <w:rFonts w:ascii="Calibri" w:eastAsia="等线" w:hAnsi="Calibri" w:cs="Times New Roman"/>
        </w:rPr>
        <w:t>in</w:t>
      </w:r>
      <w:r w:rsidRPr="001C513B">
        <w:rPr>
          <w:rFonts w:ascii="Calibri" w:eastAsia="等线" w:hAnsi="Calibri" w:cs="Times New Roman"/>
        </w:rPr>
        <w:t xml:space="preserve"> Ta content. </w:t>
      </w:r>
      <w:r>
        <w:rPr>
          <w:rFonts w:ascii="Calibri" w:eastAsia="等线" w:hAnsi="Calibri" w:cs="Times New Roman"/>
        </w:rPr>
        <w:t>Following increasing levels of</w:t>
      </w:r>
      <w:r w:rsidRPr="001C513B">
        <w:rPr>
          <w:rFonts w:ascii="Calibri" w:eastAsia="等线" w:hAnsi="Calibri" w:cs="Times New Roman"/>
        </w:rPr>
        <w:t xml:space="preserve"> strain</w:t>
      </w:r>
      <w:r>
        <w:rPr>
          <w:rFonts w:ascii="Calibri" w:eastAsia="等线" w:hAnsi="Calibri" w:cs="Times New Roman"/>
        </w:rPr>
        <w:t>,</w:t>
      </w:r>
      <w:r w:rsidRPr="001C513B">
        <w:rPr>
          <w:rFonts w:ascii="Calibri" w:eastAsia="等线" w:hAnsi="Calibri" w:cs="Times New Roman"/>
        </w:rPr>
        <w:t xml:space="preserve"> the work hardening </w:t>
      </w:r>
      <w:r>
        <w:rPr>
          <w:rFonts w:ascii="Calibri" w:eastAsia="等线" w:hAnsi="Calibri" w:cs="Times New Roman"/>
        </w:rPr>
        <w:t>capability</w:t>
      </w:r>
      <w:r w:rsidRPr="001C513B">
        <w:rPr>
          <w:rFonts w:ascii="Calibri" w:eastAsia="等线" w:hAnsi="Calibri" w:cs="Times New Roman"/>
        </w:rPr>
        <w:t xml:space="preserve"> of Group I </w:t>
      </w:r>
      <w:r>
        <w:rPr>
          <w:rFonts w:ascii="Calibri" w:eastAsia="等线" w:hAnsi="Calibri" w:cs="Times New Roman"/>
        </w:rPr>
        <w:t xml:space="preserve">compositions rapidly diminished from </w:t>
      </w:r>
      <w:r w:rsidRPr="001C513B">
        <w:rPr>
          <w:rFonts w:ascii="Calibri" w:eastAsia="等线" w:hAnsi="Calibri" w:cs="Times New Roman"/>
        </w:rPr>
        <w:t>1-2 G</w:t>
      </w:r>
      <w:r>
        <w:rPr>
          <w:rFonts w:ascii="Calibri" w:eastAsia="等线" w:hAnsi="Calibri" w:cs="Times New Roman"/>
        </w:rPr>
        <w:t>P</w:t>
      </w:r>
      <w:r w:rsidRPr="001C513B">
        <w:rPr>
          <w:rFonts w:ascii="Calibri" w:eastAsia="等线" w:hAnsi="Calibri" w:cs="Times New Roman"/>
        </w:rPr>
        <w:t>a at 5% strain to 0-1 G</w:t>
      </w:r>
      <w:r>
        <w:rPr>
          <w:rFonts w:ascii="Calibri" w:eastAsia="等线" w:hAnsi="Calibri" w:cs="Times New Roman"/>
        </w:rPr>
        <w:t>P</w:t>
      </w:r>
      <w:r w:rsidRPr="001C513B">
        <w:rPr>
          <w:rFonts w:ascii="Calibri" w:eastAsia="等线" w:hAnsi="Calibri" w:cs="Times New Roman"/>
        </w:rPr>
        <w:t xml:space="preserve">a at 10% strain. </w:t>
      </w:r>
      <w:r>
        <w:rPr>
          <w:rFonts w:ascii="Calibri" w:eastAsia="等线" w:hAnsi="Calibri" w:cs="Times New Roman"/>
        </w:rPr>
        <w:t>This rapid loss of</w:t>
      </w:r>
      <w:r w:rsidRPr="001C513B">
        <w:rPr>
          <w:rFonts w:ascii="Calibri" w:eastAsia="等线" w:hAnsi="Calibri" w:cs="Times New Roman"/>
        </w:rPr>
        <w:t xml:space="preserve"> </w:t>
      </w:r>
      <w:r w:rsidR="004F7EF4">
        <w:rPr>
          <w:rFonts w:ascii="Calibri" w:eastAsia="等线" w:hAnsi="Calibri" w:cs="Times New Roman"/>
        </w:rPr>
        <w:t>work</w:t>
      </w:r>
      <w:r w:rsidRPr="001C513B">
        <w:rPr>
          <w:rFonts w:ascii="Calibri" w:eastAsia="等线" w:hAnsi="Calibri" w:cs="Times New Roman"/>
        </w:rPr>
        <w:t xml:space="preserve"> hardening </w:t>
      </w:r>
      <w:r>
        <w:rPr>
          <w:rFonts w:ascii="Calibri" w:eastAsia="等线" w:hAnsi="Calibri" w:cs="Times New Roman"/>
        </w:rPr>
        <w:t xml:space="preserve">ability can be </w:t>
      </w:r>
      <w:r w:rsidRPr="001C513B">
        <w:rPr>
          <w:rFonts w:ascii="Calibri" w:eastAsia="等线" w:hAnsi="Calibri" w:cs="Times New Roman"/>
        </w:rPr>
        <w:t>ascribed to the elastic-plastic transition</w:t>
      </w:r>
      <w:r>
        <w:rPr>
          <w:rFonts w:ascii="Calibri" w:eastAsia="等线" w:hAnsi="Calibri" w:cs="Times New Roman"/>
        </w:rPr>
        <w:t>,</w:t>
      </w:r>
      <w:r w:rsidRPr="001C513B">
        <w:rPr>
          <w:rFonts w:ascii="Calibri" w:eastAsia="等线" w:hAnsi="Calibri" w:cs="Times New Roman"/>
        </w:rPr>
        <w:t xml:space="preserve"> where dislocation glide solely accommodate</w:t>
      </w:r>
      <w:r>
        <w:rPr>
          <w:rFonts w:ascii="Calibri" w:eastAsia="等线" w:hAnsi="Calibri" w:cs="Times New Roman"/>
        </w:rPr>
        <w:t>s</w:t>
      </w:r>
      <w:r w:rsidRPr="001C513B">
        <w:rPr>
          <w:rFonts w:ascii="Calibri" w:eastAsia="等线" w:hAnsi="Calibri" w:cs="Times New Roman"/>
        </w:rPr>
        <w:t xml:space="preserve"> the increasing stress</w:t>
      </w:r>
      <w:r>
        <w:rPr>
          <w:rFonts w:ascii="Calibri" w:eastAsia="等线" w:hAnsi="Calibri" w:cs="Times New Roman"/>
        </w:rPr>
        <w:t xml:space="preserve"> </w:t>
      </w:r>
      <w:r w:rsidRPr="001C513B">
        <w:rPr>
          <w:rFonts w:ascii="Calibri" w:eastAsia="等线" w:hAnsi="Calibri" w:cs="Times New Roman"/>
        </w:rPr>
        <w:fldChar w:fldCharType="begin" w:fldLock="1"/>
      </w:r>
      <w:r>
        <w:rPr>
          <w:rFonts w:ascii="Calibri" w:eastAsia="等线" w:hAnsi="Calibri" w:cs="Times New Roman"/>
        </w:rPr>
        <w:instrText>ADDIN CSL_CITATION {"citationItems":[{"id":"ITEM-1","itemData":{"DOI":"10.1016/0502-8205(53)90018-5","ISBN":"0-471-09125-1","ISSN":"05028205","PMID":"1542251","abstract":"This book is a comprehensive treatment of the fundamentals of dislocations. Sufficient detail is provided to make the book useful as an undergraduate text, and extends the treatment of specific problems to stimulate the advanced graduate student. The book covers the elastic theory of straight and curved dislocations, including a chapter on elastic anisotropy. Applications to the theory of dislocation motion at low and high temperatures are presented. Finally, groups of dislocations, grain boundaries, pileups, barriers, and twins are considered.","author":[{"dropping-particle":"","family":"Cottrell","given":"A.H.","non-dropping-particle":"","parse-names":false,"suffix":""}],"container-title":"Progress in Metal Physics","id":"ITEM-1","issued":{"date-parts":[["1953"]]},"title":"Theory of dislocations","type":"article-journal"},"uris":["http://www.mendeley.com/documents/?uuid=c4922fe8-2d56-4ec4-9dc6-8bccb26617f5"]},{"id":"ITEM-2","itemData":{"DOI":"10.1002/adma.201701678","ISBN":"1521-4095","ISSN":"15214095","PMID":"28590527","abstract":"High-entropy alloys (HEAs) in which interesting physical, chemical, and structural properties are being continuously revealed have recently attracted extensive attention. Body-centered cubic (bcc) HEAs, particularly those based on refractory elements are promising for high-temperature application but generally fail by early cracking with limited plasticity at room temperature, which limits their malleability and widespread uses. Here, the “metastability-engineering” strategy is exploited in brittle bcc HEAs via tailoring the stability of the constituent phases, and transformation-induced ductility and work-hardening capability are successfully achieved. This not only sheds new insights on the development of HEAs with excellent combination of strength and ductility, but also has great implications on overcoming the long-standing strength–ductility tradeoff of metallic materials in general.","author":[{"dropping-particle":"","family":"Huang","given":"Hailong","non-dropping-particle":"","parse-names":false,"suffix":""},{"dropping-particle":"","family":"Wu","given":"Yuan","non-dropping-particle":"","parse-names":false,"suffix":""},{"dropping-particle":"","family":"He","given":"Junyang","non-dropping-particle":"","parse-names":false,"suffix":""},{"dropping-particle":"","family":"Wang","given":"Hui","non-dropping-particle":"","parse-names":false,"suffix":""},{"dropping-particle":"","family":"Liu","given":"Xiongjun","non-dropping-particle":"","parse-names":false,"suffix":""},{"dropping-particle":"","family":"An","given":"Ke","non-dropping-particle":"","parse-names":false,"suffix":""},{"dropping-particle":"","family":"Wu","given":"Wei","non-dropping-particle":"","parse-names":false,"suffix":""},{"dropping-particle":"","family":"Lu","given":"Zhaoping","non-dropping-particle":"","parse-names":false,"suffix":""}],"container-title":"Advanced Materials","id":"ITEM-2","issued":{"date-parts":[["2017"]]},"title":"Phase-Transformation Ductilization of Brittle High-Entropy Alloys via Metastability Engineering","type":"article-journal"},"uris":["http://www.mendeley.com/documents/?uuid=a70db21f-f0c1-4d7a-8de8-59b660f6fd83"]}],"mendeley":{"formattedCitation":"[1,33]","plainTextFormattedCitation":"[1,33]","previouslyFormattedCitation":"[1,33]"},"properties":{"noteIndex":0},"schema":"https://github.com/citation-style-language/schema/raw/master/csl-citation.json"}</w:instrText>
      </w:r>
      <w:r w:rsidRPr="001C513B">
        <w:rPr>
          <w:rFonts w:ascii="Calibri" w:eastAsia="等线" w:hAnsi="Calibri" w:cs="Times New Roman"/>
        </w:rPr>
        <w:fldChar w:fldCharType="separate"/>
      </w:r>
      <w:r w:rsidRPr="001C513B">
        <w:rPr>
          <w:rFonts w:ascii="Calibri" w:eastAsia="等线" w:hAnsi="Calibri" w:cs="Times New Roman"/>
          <w:noProof/>
        </w:rPr>
        <w:t>[1,33]</w:t>
      </w:r>
      <w:r w:rsidRPr="001C513B">
        <w:rPr>
          <w:rFonts w:ascii="Calibri" w:eastAsia="等线" w:hAnsi="Calibri" w:cs="Times New Roman"/>
        </w:rPr>
        <w:fldChar w:fldCharType="end"/>
      </w:r>
      <w:r w:rsidRPr="001C513B">
        <w:rPr>
          <w:rFonts w:ascii="Calibri" w:eastAsia="等线" w:hAnsi="Calibri" w:cs="Times New Roman"/>
        </w:rPr>
        <w:t xml:space="preserve">. </w:t>
      </w:r>
    </w:p>
    <w:p w14:paraId="18DA93B3" w14:textId="1000BCD7" w:rsidR="00B145BE" w:rsidRPr="001C513B" w:rsidRDefault="00B145BE" w:rsidP="00B145BE">
      <w:pPr>
        <w:shd w:val="clear" w:color="auto" w:fill="FFFFFF"/>
        <w:spacing w:after="60" w:line="360" w:lineRule="auto"/>
        <w:jc w:val="both"/>
        <w:rPr>
          <w:rFonts w:ascii="Calibri" w:eastAsia="等线" w:hAnsi="Calibri" w:cs="Times New Roman"/>
        </w:rPr>
      </w:pPr>
      <w:r>
        <w:rPr>
          <w:rFonts w:ascii="Calibri" w:eastAsia="等线" w:hAnsi="Calibri" w:cs="Times New Roman"/>
        </w:rPr>
        <w:t>Comparing the behaviour with Group II materials, when firstly considering</w:t>
      </w:r>
      <w:r w:rsidRPr="001C513B">
        <w:rPr>
          <w:rFonts w:ascii="Calibri" w:eastAsia="等线" w:hAnsi="Calibri" w:cs="Times New Roman"/>
        </w:rPr>
        <w:t xml:space="preserve"> TiZrHfTa</w:t>
      </w:r>
      <w:r w:rsidRPr="001C513B">
        <w:rPr>
          <w:rFonts w:ascii="Calibri" w:eastAsia="等线" w:hAnsi="Calibri" w:cs="Times New Roman"/>
          <w:vertAlign w:val="subscript"/>
        </w:rPr>
        <w:t>0.7</w:t>
      </w:r>
      <w:r w:rsidRPr="001C513B">
        <w:rPr>
          <w:rFonts w:ascii="Calibri" w:eastAsia="等线" w:hAnsi="Calibri" w:cs="Times New Roman"/>
        </w:rPr>
        <w:t xml:space="preserve">, </w:t>
      </w:r>
      <w:r>
        <w:rPr>
          <w:rFonts w:ascii="Calibri" w:eastAsia="等线" w:hAnsi="Calibri" w:cs="Times New Roman"/>
        </w:rPr>
        <w:t>this</w:t>
      </w:r>
      <w:r w:rsidRPr="001C513B">
        <w:rPr>
          <w:rFonts w:ascii="Calibri" w:eastAsia="等线" w:hAnsi="Calibri" w:cs="Times New Roman"/>
        </w:rPr>
        <w:t xml:space="preserve"> </w:t>
      </w:r>
      <w:r>
        <w:rPr>
          <w:rFonts w:ascii="Calibri" w:eastAsia="等线" w:hAnsi="Calibri" w:cs="Times New Roman"/>
        </w:rPr>
        <w:t>composition</w:t>
      </w:r>
      <w:r w:rsidRPr="001C513B">
        <w:rPr>
          <w:rFonts w:ascii="Calibri" w:eastAsia="等线" w:hAnsi="Calibri" w:cs="Times New Roman"/>
        </w:rPr>
        <w:t xml:space="preserve"> exhibit</w:t>
      </w:r>
      <w:r>
        <w:rPr>
          <w:rFonts w:ascii="Calibri" w:eastAsia="等线" w:hAnsi="Calibri" w:cs="Times New Roman"/>
        </w:rPr>
        <w:t xml:space="preserve">ed </w:t>
      </w:r>
      <w:r w:rsidRPr="001C513B">
        <w:rPr>
          <w:rFonts w:ascii="Calibri" w:eastAsia="等线" w:hAnsi="Calibri" w:cs="Times New Roman"/>
        </w:rPr>
        <w:t xml:space="preserve">non-linear evolution of </w:t>
      </w:r>
      <w:r w:rsidR="004F7EF4">
        <w:rPr>
          <w:rFonts w:ascii="Calibri" w:eastAsia="等线" w:hAnsi="Calibri" w:cs="Times New Roman"/>
        </w:rPr>
        <w:t>work</w:t>
      </w:r>
      <w:r w:rsidRPr="001C513B">
        <w:rPr>
          <w:rFonts w:ascii="Calibri" w:eastAsia="等线" w:hAnsi="Calibri" w:cs="Times New Roman"/>
        </w:rPr>
        <w:t xml:space="preserve"> hardening rate under compression. The </w:t>
      </w:r>
      <w:r w:rsidR="004F7EF4">
        <w:rPr>
          <w:rFonts w:ascii="Calibri" w:eastAsia="等线" w:hAnsi="Calibri" w:cs="Times New Roman"/>
        </w:rPr>
        <w:t>work</w:t>
      </w:r>
      <w:r w:rsidRPr="001C513B">
        <w:rPr>
          <w:rFonts w:ascii="Calibri" w:eastAsia="等线" w:hAnsi="Calibri" w:cs="Times New Roman"/>
        </w:rPr>
        <w:t xml:space="preserve"> hardening capacity was maintained after 5% strain in Group II as shown in Table. 5-1. The difference </w:t>
      </w:r>
      <w:r>
        <w:rPr>
          <w:rFonts w:ascii="Calibri" w:eastAsia="等线" w:hAnsi="Calibri" w:cs="Times New Roman"/>
        </w:rPr>
        <w:t>in</w:t>
      </w:r>
      <w:r w:rsidRPr="001C513B">
        <w:rPr>
          <w:rFonts w:ascii="Calibri" w:eastAsia="等线" w:hAnsi="Calibri" w:cs="Times New Roman"/>
        </w:rPr>
        <w:t xml:space="preserve"> </w:t>
      </w:r>
      <w:r w:rsidR="004F7EF4">
        <w:rPr>
          <w:rFonts w:ascii="Calibri" w:eastAsia="等线" w:hAnsi="Calibri" w:cs="Times New Roman"/>
        </w:rPr>
        <w:t>work</w:t>
      </w:r>
      <w:r w:rsidRPr="001C513B">
        <w:rPr>
          <w:rFonts w:ascii="Calibri" w:eastAsia="等线" w:hAnsi="Calibri" w:cs="Times New Roman"/>
        </w:rPr>
        <w:t xml:space="preserve"> hardening rate between 5% strain and 10% strain remain</w:t>
      </w:r>
      <w:r w:rsidR="00C673D0">
        <w:rPr>
          <w:rFonts w:ascii="Calibri" w:eastAsia="等线" w:hAnsi="Calibri" w:cs="Times New Roman"/>
        </w:rPr>
        <w:t>ed</w:t>
      </w:r>
      <w:r w:rsidRPr="001C513B">
        <w:rPr>
          <w:rFonts w:ascii="Calibri" w:eastAsia="等线" w:hAnsi="Calibri" w:cs="Times New Roman"/>
        </w:rPr>
        <w:t xml:space="preserve"> smaller than 1G</w:t>
      </w:r>
      <w:r>
        <w:rPr>
          <w:rFonts w:ascii="Calibri" w:eastAsia="等线" w:hAnsi="Calibri" w:cs="Times New Roman"/>
        </w:rPr>
        <w:t>P</w:t>
      </w:r>
      <w:r w:rsidRPr="001C513B">
        <w:rPr>
          <w:rFonts w:ascii="Calibri" w:eastAsia="等线" w:hAnsi="Calibri" w:cs="Times New Roman"/>
        </w:rPr>
        <w:t xml:space="preserve">a. </w:t>
      </w:r>
      <w:r>
        <w:rPr>
          <w:rFonts w:ascii="Calibri" w:eastAsia="等线" w:hAnsi="Calibri" w:cs="Times New Roman"/>
        </w:rPr>
        <w:t>A d</w:t>
      </w:r>
      <w:r w:rsidRPr="001C513B">
        <w:rPr>
          <w:rFonts w:ascii="Calibri" w:eastAsia="等线" w:hAnsi="Calibri" w:cs="Times New Roman"/>
        </w:rPr>
        <w:t xml:space="preserve">istinct plateau can be observed in the </w:t>
      </w:r>
      <w:r w:rsidR="004F7EF4">
        <w:rPr>
          <w:rFonts w:ascii="Calibri" w:eastAsia="等线" w:hAnsi="Calibri" w:cs="Times New Roman"/>
        </w:rPr>
        <w:t>work</w:t>
      </w:r>
      <w:r w:rsidRPr="001C513B">
        <w:rPr>
          <w:rFonts w:ascii="Calibri" w:eastAsia="等线" w:hAnsi="Calibri" w:cs="Times New Roman"/>
        </w:rPr>
        <w:t xml:space="preserve"> hardening curve after yield and extend</w:t>
      </w:r>
      <w:r>
        <w:rPr>
          <w:rFonts w:ascii="Calibri" w:eastAsia="等线" w:hAnsi="Calibri" w:cs="Times New Roman"/>
        </w:rPr>
        <w:t>s</w:t>
      </w:r>
      <w:r w:rsidRPr="001C513B">
        <w:rPr>
          <w:rFonts w:ascii="Calibri" w:eastAsia="等线" w:hAnsi="Calibri" w:cs="Times New Roman"/>
        </w:rPr>
        <w:t xml:space="preserve"> the effective hardening capacity to 20% strain in TiZrHfTa</w:t>
      </w:r>
      <w:r w:rsidRPr="001C513B">
        <w:rPr>
          <w:rFonts w:ascii="Calibri" w:eastAsia="等线" w:hAnsi="Calibri" w:cs="Times New Roman"/>
          <w:vertAlign w:val="subscript"/>
        </w:rPr>
        <w:t>0.5</w:t>
      </w:r>
      <w:r w:rsidRPr="001C513B">
        <w:rPr>
          <w:rFonts w:ascii="Calibri" w:eastAsia="等线" w:hAnsi="Calibri" w:cs="Times New Roman"/>
        </w:rPr>
        <w:t>.</w:t>
      </w:r>
      <w:r>
        <w:rPr>
          <w:rFonts w:ascii="Calibri" w:eastAsia="等线" w:hAnsi="Calibri" w:cs="Times New Roman"/>
        </w:rPr>
        <w:t xml:space="preserve"> </w:t>
      </w:r>
      <w:r w:rsidRPr="001C513B">
        <w:rPr>
          <w:rFonts w:ascii="Calibri" w:eastAsia="等线" w:hAnsi="Calibri" w:cs="Times New Roman"/>
        </w:rPr>
        <w:t xml:space="preserve">Based on the transition of the </w:t>
      </w:r>
      <w:r w:rsidR="004F7EF4">
        <w:rPr>
          <w:rFonts w:ascii="Calibri" w:eastAsia="等线" w:hAnsi="Calibri" w:cs="Times New Roman"/>
        </w:rPr>
        <w:t>work</w:t>
      </w:r>
      <w:r w:rsidRPr="001C513B">
        <w:rPr>
          <w:rFonts w:ascii="Calibri" w:eastAsia="等线" w:hAnsi="Calibri" w:cs="Times New Roman"/>
        </w:rPr>
        <w:t xml:space="preserve"> hardening curve, two hardening steps can be derived for </w:t>
      </w:r>
      <w:r>
        <w:rPr>
          <w:rFonts w:ascii="Calibri" w:eastAsia="等线" w:hAnsi="Calibri" w:cs="Times New Roman"/>
        </w:rPr>
        <w:t>G</w:t>
      </w:r>
      <w:r w:rsidRPr="001C513B">
        <w:rPr>
          <w:rFonts w:ascii="Calibri" w:eastAsia="等线" w:hAnsi="Calibri" w:cs="Times New Roman"/>
        </w:rPr>
        <w:t xml:space="preserve">roup I and </w:t>
      </w:r>
      <w:r>
        <w:rPr>
          <w:rFonts w:ascii="Calibri" w:eastAsia="等线" w:hAnsi="Calibri" w:cs="Times New Roman"/>
        </w:rPr>
        <w:t>G</w:t>
      </w:r>
      <w:r w:rsidRPr="001C513B">
        <w:rPr>
          <w:rFonts w:ascii="Calibri" w:eastAsia="等线" w:hAnsi="Calibri" w:cs="Times New Roman"/>
        </w:rPr>
        <w:t xml:space="preserve">roup II </w:t>
      </w:r>
      <w:r>
        <w:rPr>
          <w:rFonts w:ascii="Calibri" w:eastAsia="等线" w:hAnsi="Calibri" w:cs="Times New Roman"/>
        </w:rPr>
        <w:t xml:space="preserve">for the </w:t>
      </w:r>
      <w:r w:rsidRPr="001C513B">
        <w:rPr>
          <w:rFonts w:ascii="Calibri" w:eastAsia="等线" w:hAnsi="Calibri" w:cs="Times New Roman"/>
        </w:rPr>
        <w:t>TiZrHfTa</w:t>
      </w:r>
      <w:r w:rsidRPr="001C513B">
        <w:rPr>
          <w:rFonts w:ascii="Calibri" w:eastAsia="等线" w:hAnsi="Calibri" w:cs="Times New Roman"/>
          <w:vertAlign w:val="subscript"/>
        </w:rPr>
        <w:t>x</w:t>
      </w:r>
      <w:r>
        <w:rPr>
          <w:rFonts w:ascii="Calibri" w:eastAsia="等线" w:hAnsi="Calibri" w:cs="Times New Roman"/>
        </w:rPr>
        <w:t xml:space="preserve"> series.</w:t>
      </w:r>
      <w:r w:rsidRPr="001C513B">
        <w:rPr>
          <w:rFonts w:ascii="Calibri" w:eastAsia="等线" w:hAnsi="Calibri" w:cs="Times New Roman"/>
        </w:rPr>
        <w:t xml:space="preserve"> </w:t>
      </w:r>
      <w:r w:rsidR="00C673D0">
        <w:rPr>
          <w:rFonts w:ascii="Calibri" w:eastAsia="等线" w:hAnsi="Calibri" w:cs="Times New Roman"/>
        </w:rPr>
        <w:t>In t</w:t>
      </w:r>
      <w:r>
        <w:rPr>
          <w:rFonts w:ascii="Calibri" w:eastAsia="等线" w:hAnsi="Calibri" w:cs="Times New Roman"/>
        </w:rPr>
        <w:t>he</w:t>
      </w:r>
      <w:r w:rsidRPr="001C513B">
        <w:rPr>
          <w:rFonts w:ascii="Calibri" w:eastAsia="等线" w:hAnsi="Calibri" w:cs="Times New Roman"/>
        </w:rPr>
        <w:t xml:space="preserve"> equal-molar TiZrHfTa sample</w:t>
      </w:r>
      <w:r>
        <w:rPr>
          <w:rFonts w:ascii="Calibri" w:eastAsia="等线" w:hAnsi="Calibri" w:cs="Times New Roman"/>
        </w:rPr>
        <w:t>,</w:t>
      </w:r>
      <w:r w:rsidRPr="001C513B">
        <w:rPr>
          <w:rFonts w:ascii="Calibri" w:eastAsia="等线" w:hAnsi="Calibri" w:cs="Times New Roman"/>
        </w:rPr>
        <w:t xml:space="preserve"> dislocation glide </w:t>
      </w:r>
      <w:r>
        <w:rPr>
          <w:rFonts w:ascii="Calibri" w:eastAsia="等线" w:hAnsi="Calibri" w:cs="Times New Roman"/>
        </w:rPr>
        <w:t xml:space="preserve">was responsible for </w:t>
      </w:r>
      <w:r w:rsidRPr="001C513B">
        <w:rPr>
          <w:rFonts w:ascii="Calibri" w:eastAsia="等线" w:hAnsi="Calibri" w:cs="Times New Roman"/>
        </w:rPr>
        <w:t xml:space="preserve">accommodating </w:t>
      </w:r>
      <w:r>
        <w:rPr>
          <w:rFonts w:ascii="Calibri" w:eastAsia="等线" w:hAnsi="Calibri" w:cs="Times New Roman"/>
        </w:rPr>
        <w:t>an increase in</w:t>
      </w:r>
      <w:r w:rsidRPr="001C513B">
        <w:rPr>
          <w:rFonts w:ascii="Calibri" w:eastAsia="等线" w:hAnsi="Calibri" w:cs="Times New Roman"/>
        </w:rPr>
        <w:t xml:space="preserve"> stress. With </w:t>
      </w:r>
      <w:r>
        <w:rPr>
          <w:rFonts w:ascii="Calibri" w:eastAsia="等线" w:hAnsi="Calibri" w:cs="Times New Roman"/>
        </w:rPr>
        <w:t xml:space="preserve">a </w:t>
      </w:r>
      <w:r w:rsidRPr="001C513B">
        <w:rPr>
          <w:rFonts w:ascii="Calibri" w:eastAsia="等线" w:hAnsi="Calibri" w:cs="Times New Roman"/>
        </w:rPr>
        <w:t xml:space="preserve">reduction of Ta, new deformation mechanisms were introduced </w:t>
      </w:r>
      <w:r>
        <w:rPr>
          <w:rFonts w:ascii="Calibri" w:eastAsia="等线" w:hAnsi="Calibri" w:cs="Times New Roman"/>
        </w:rPr>
        <w:t xml:space="preserve">into the series </w:t>
      </w:r>
      <w:r w:rsidRPr="001C513B">
        <w:rPr>
          <w:rFonts w:ascii="Calibri" w:eastAsia="等线" w:hAnsi="Calibri" w:cs="Times New Roman"/>
        </w:rPr>
        <w:t xml:space="preserve">as result of </w:t>
      </w:r>
      <w:r w:rsidRPr="001C513B">
        <w:rPr>
          <w:rFonts w:ascii="Times New Roman" w:eastAsia="等线" w:hAnsi="Times New Roman" w:cs="Times New Roman"/>
        </w:rPr>
        <w:t>β</w:t>
      </w:r>
      <w:r w:rsidRPr="001C513B">
        <w:rPr>
          <w:rFonts w:ascii="Calibri" w:eastAsia="等线" w:hAnsi="Calibri" w:cs="Times New Roman"/>
        </w:rPr>
        <w:t xml:space="preserve"> phase destabili</w:t>
      </w:r>
      <w:r>
        <w:rPr>
          <w:rFonts w:ascii="Calibri" w:eastAsia="等线" w:hAnsi="Calibri" w:cs="Times New Roman"/>
        </w:rPr>
        <w:t>s</w:t>
      </w:r>
      <w:r w:rsidRPr="001C513B">
        <w:rPr>
          <w:rFonts w:ascii="Calibri" w:eastAsia="等线" w:hAnsi="Calibri" w:cs="Times New Roman"/>
        </w:rPr>
        <w:t xml:space="preserve">ation and </w:t>
      </w:r>
      <w:r>
        <w:rPr>
          <w:rFonts w:ascii="Calibri" w:eastAsia="等线" w:hAnsi="Calibri" w:cs="Times New Roman"/>
        </w:rPr>
        <w:t>this subsequently increased</w:t>
      </w:r>
      <w:r w:rsidRPr="001C513B">
        <w:rPr>
          <w:rFonts w:ascii="Calibri" w:eastAsia="等线" w:hAnsi="Calibri" w:cs="Times New Roman"/>
        </w:rPr>
        <w:t xml:space="preserve"> the work hardening performance in </w:t>
      </w:r>
      <w:r>
        <w:rPr>
          <w:rFonts w:ascii="Calibri" w:eastAsia="等线" w:hAnsi="Calibri" w:cs="Times New Roman"/>
        </w:rPr>
        <w:t>G</w:t>
      </w:r>
      <w:r w:rsidRPr="001C513B">
        <w:rPr>
          <w:rFonts w:ascii="Calibri" w:eastAsia="等线" w:hAnsi="Calibri" w:cs="Times New Roman"/>
        </w:rPr>
        <w:t>roup I TiZrHfTa</w:t>
      </w:r>
      <w:r w:rsidRPr="001C513B">
        <w:rPr>
          <w:rFonts w:ascii="Calibri" w:eastAsia="等线" w:hAnsi="Calibri" w:cs="Times New Roman"/>
          <w:vertAlign w:val="subscript"/>
        </w:rPr>
        <w:t>x</w:t>
      </w:r>
      <w:r w:rsidRPr="001C513B">
        <w:rPr>
          <w:rFonts w:ascii="Calibri" w:eastAsia="等线" w:hAnsi="Calibri" w:cs="Times New Roman"/>
        </w:rPr>
        <w:t xml:space="preserve"> where x var</w:t>
      </w:r>
      <w:r w:rsidR="00C673D0">
        <w:rPr>
          <w:rFonts w:ascii="Calibri" w:eastAsia="等线" w:hAnsi="Calibri" w:cs="Times New Roman"/>
        </w:rPr>
        <w:t>ied</w:t>
      </w:r>
      <w:r w:rsidRPr="001C513B">
        <w:rPr>
          <w:rFonts w:ascii="Calibri" w:eastAsia="等线" w:hAnsi="Calibri" w:cs="Times New Roman"/>
        </w:rPr>
        <w:t xml:space="preserve"> from 1 to 0.8. </w:t>
      </w:r>
      <w:r>
        <w:rPr>
          <w:rFonts w:ascii="Calibri" w:eastAsia="等线" w:hAnsi="Calibri" w:cs="Times New Roman"/>
        </w:rPr>
        <w:t>For</w:t>
      </w:r>
      <w:r w:rsidRPr="001C513B">
        <w:rPr>
          <w:rFonts w:ascii="Calibri" w:eastAsia="等线" w:hAnsi="Calibri" w:cs="Times New Roman"/>
        </w:rPr>
        <w:t xml:space="preserve"> </w:t>
      </w:r>
      <w:r>
        <w:rPr>
          <w:rFonts w:ascii="Calibri" w:eastAsia="等线" w:hAnsi="Calibri" w:cs="Times New Roman"/>
        </w:rPr>
        <w:t>G</w:t>
      </w:r>
      <w:r w:rsidRPr="001C513B">
        <w:rPr>
          <w:rFonts w:ascii="Calibri" w:eastAsia="等线" w:hAnsi="Calibri" w:cs="Times New Roman"/>
        </w:rPr>
        <w:t xml:space="preserve">roup II, </w:t>
      </w:r>
      <w:r>
        <w:rPr>
          <w:rFonts w:ascii="Calibri" w:eastAsia="等线" w:hAnsi="Calibri" w:cs="Times New Roman"/>
        </w:rPr>
        <w:t>with a further reduction in</w:t>
      </w:r>
      <w:r w:rsidRPr="001C513B">
        <w:rPr>
          <w:rFonts w:ascii="Calibri" w:eastAsia="等线" w:hAnsi="Calibri" w:cs="Times New Roman"/>
        </w:rPr>
        <w:t xml:space="preserve"> Ta</w:t>
      </w:r>
      <w:r>
        <w:rPr>
          <w:rFonts w:ascii="Calibri" w:eastAsia="等线" w:hAnsi="Calibri" w:cs="Times New Roman"/>
        </w:rPr>
        <w:t>,</w:t>
      </w:r>
      <w:r w:rsidRPr="001C513B">
        <w:rPr>
          <w:rFonts w:ascii="Calibri" w:eastAsia="等线" w:hAnsi="Calibri" w:cs="Times New Roman"/>
        </w:rPr>
        <w:t xml:space="preserve"> the β phase stability </w:t>
      </w:r>
      <w:r>
        <w:rPr>
          <w:rFonts w:ascii="Calibri" w:eastAsia="等线" w:hAnsi="Calibri" w:cs="Times New Roman"/>
        </w:rPr>
        <w:t xml:space="preserve">was further lowered </w:t>
      </w:r>
      <w:r w:rsidRPr="001C513B">
        <w:rPr>
          <w:rFonts w:ascii="Calibri" w:eastAsia="等线" w:hAnsi="Calibri" w:cs="Times New Roman"/>
        </w:rPr>
        <w:t>and</w:t>
      </w:r>
      <w:r>
        <w:rPr>
          <w:rFonts w:ascii="Calibri" w:eastAsia="等线" w:hAnsi="Calibri" w:cs="Times New Roman"/>
        </w:rPr>
        <w:t xml:space="preserve"> resulted in the</w:t>
      </w:r>
      <w:r w:rsidRPr="001C513B">
        <w:rPr>
          <w:rFonts w:ascii="Calibri" w:eastAsia="等线" w:hAnsi="Calibri" w:cs="Times New Roman"/>
        </w:rPr>
        <w:t xml:space="preserve"> activation of </w:t>
      </w:r>
      <w:r>
        <w:rPr>
          <w:rFonts w:ascii="Calibri" w:eastAsia="等线" w:hAnsi="Calibri" w:cs="Times New Roman"/>
        </w:rPr>
        <w:t>additional</w:t>
      </w:r>
      <w:r w:rsidRPr="001C513B">
        <w:rPr>
          <w:rFonts w:ascii="Calibri" w:eastAsia="等线" w:hAnsi="Calibri" w:cs="Times New Roman"/>
        </w:rPr>
        <w:t xml:space="preserve"> deformation mechanism</w:t>
      </w:r>
      <w:r>
        <w:rPr>
          <w:rFonts w:ascii="Calibri" w:eastAsia="等线" w:hAnsi="Calibri" w:cs="Times New Roman"/>
        </w:rPr>
        <w:t>s</w:t>
      </w:r>
      <w:r w:rsidRPr="001C513B">
        <w:rPr>
          <w:rFonts w:ascii="Calibri" w:eastAsia="等线" w:hAnsi="Calibri" w:cs="Times New Roman"/>
        </w:rPr>
        <w:t xml:space="preserve"> which </w:t>
      </w:r>
      <w:r>
        <w:rPr>
          <w:rFonts w:ascii="Calibri" w:eastAsia="等线" w:hAnsi="Calibri" w:cs="Times New Roman"/>
        </w:rPr>
        <w:t>were directly responsible for the</w:t>
      </w:r>
      <w:r w:rsidRPr="001C513B">
        <w:rPr>
          <w:rFonts w:ascii="Calibri" w:eastAsia="等线" w:hAnsi="Calibri" w:cs="Times New Roman"/>
        </w:rPr>
        <w:t xml:space="preserve"> plateau observed after yield in TiZrHfTa</w:t>
      </w:r>
      <w:r w:rsidRPr="001C513B">
        <w:rPr>
          <w:rFonts w:ascii="Calibri" w:eastAsia="等线" w:hAnsi="Calibri" w:cs="Times New Roman"/>
          <w:vertAlign w:val="subscript"/>
        </w:rPr>
        <w:t>x(x = 0.5, 0.6, and 0.7)</w:t>
      </w:r>
      <w:r w:rsidRPr="001C513B">
        <w:rPr>
          <w:rFonts w:ascii="Calibri" w:eastAsia="等线" w:hAnsi="Calibri" w:cs="Times New Roman"/>
        </w:rPr>
        <w:t xml:space="preserve">. </w:t>
      </w:r>
      <w:r>
        <w:rPr>
          <w:rFonts w:ascii="Calibri" w:eastAsia="等线" w:hAnsi="Calibri" w:cs="Times New Roman"/>
        </w:rPr>
        <w:t>It should be noted that</w:t>
      </w:r>
      <w:r w:rsidRPr="001C513B">
        <w:rPr>
          <w:rFonts w:ascii="Calibri" w:eastAsia="等线" w:hAnsi="Calibri" w:cs="Times New Roman"/>
        </w:rPr>
        <w:t xml:space="preserve"> with</w:t>
      </w:r>
      <w:r>
        <w:rPr>
          <w:rFonts w:ascii="Calibri" w:eastAsia="等线" w:hAnsi="Calibri" w:cs="Times New Roman"/>
        </w:rPr>
        <w:t xml:space="preserve"> a</w:t>
      </w:r>
      <w:r w:rsidRPr="001C513B">
        <w:rPr>
          <w:rFonts w:ascii="Calibri" w:eastAsia="等线" w:hAnsi="Calibri" w:cs="Times New Roman"/>
        </w:rPr>
        <w:t xml:space="preserve"> reduction </w:t>
      </w:r>
      <w:r>
        <w:rPr>
          <w:rFonts w:ascii="Calibri" w:eastAsia="等线" w:hAnsi="Calibri" w:cs="Times New Roman"/>
        </w:rPr>
        <w:t>in the content of</w:t>
      </w:r>
      <w:r w:rsidRPr="001C513B">
        <w:rPr>
          <w:rFonts w:ascii="Calibri" w:eastAsia="等线" w:hAnsi="Calibri" w:cs="Times New Roman"/>
        </w:rPr>
        <w:t xml:space="preserve"> Ta, </w:t>
      </w:r>
      <w:r>
        <w:rPr>
          <w:rFonts w:ascii="Calibri" w:eastAsia="等线" w:hAnsi="Calibri" w:cs="Times New Roman"/>
        </w:rPr>
        <w:t>the</w:t>
      </w:r>
      <w:r w:rsidRPr="001C513B">
        <w:rPr>
          <w:rFonts w:ascii="Calibri" w:eastAsia="等线" w:hAnsi="Calibri" w:cs="Times New Roman"/>
        </w:rPr>
        <w:t xml:space="preserve"> </w:t>
      </w:r>
      <w:r w:rsidR="004F7EF4">
        <w:rPr>
          <w:rFonts w:ascii="Calibri" w:eastAsia="等线" w:hAnsi="Calibri" w:cs="Times New Roman"/>
        </w:rPr>
        <w:t>work</w:t>
      </w:r>
      <w:r w:rsidRPr="001C513B">
        <w:rPr>
          <w:rFonts w:ascii="Calibri" w:eastAsia="等线" w:hAnsi="Calibri" w:cs="Times New Roman"/>
        </w:rPr>
        <w:t xml:space="preserve"> hardening range extend</w:t>
      </w:r>
      <w:r w:rsidR="00C673D0">
        <w:rPr>
          <w:rFonts w:ascii="Calibri" w:eastAsia="等线" w:hAnsi="Calibri" w:cs="Times New Roman"/>
        </w:rPr>
        <w:t>ed</w:t>
      </w:r>
      <w:r w:rsidRPr="001C513B">
        <w:rPr>
          <w:rFonts w:ascii="Calibri" w:eastAsia="等线" w:hAnsi="Calibri" w:cs="Times New Roman"/>
        </w:rPr>
        <w:t xml:space="preserve"> from 11.2% to 19.7% strain as shown in Fig. 5-1(c)</w:t>
      </w:r>
      <w:r>
        <w:rPr>
          <w:rFonts w:ascii="Calibri" w:eastAsia="等线" w:hAnsi="Calibri" w:cs="Times New Roman"/>
        </w:rPr>
        <w:t>. This is evidence that the</w:t>
      </w:r>
      <w:r w:rsidRPr="001C513B">
        <w:rPr>
          <w:rFonts w:ascii="Calibri" w:eastAsia="等线" w:hAnsi="Calibri" w:cs="Times New Roman"/>
        </w:rPr>
        <w:t xml:space="preserve"> metastable engineering strategy </w:t>
      </w:r>
      <w:r>
        <w:rPr>
          <w:rFonts w:ascii="Calibri" w:eastAsia="等线" w:hAnsi="Calibri" w:cs="Times New Roman"/>
        </w:rPr>
        <w:t xml:space="preserve">had </w:t>
      </w:r>
      <w:r w:rsidRPr="001C513B">
        <w:rPr>
          <w:rFonts w:ascii="Calibri" w:eastAsia="等线" w:hAnsi="Calibri" w:cs="Times New Roman"/>
        </w:rPr>
        <w:t>successfully introduced multiple deformation mechanism</w:t>
      </w:r>
      <w:r>
        <w:rPr>
          <w:rFonts w:ascii="Calibri" w:eastAsia="等线" w:hAnsi="Calibri" w:cs="Times New Roman"/>
        </w:rPr>
        <w:t>s to enhance</w:t>
      </w:r>
      <w:r w:rsidRPr="001C513B">
        <w:rPr>
          <w:rFonts w:ascii="Calibri" w:eastAsia="等线" w:hAnsi="Calibri" w:cs="Times New Roman"/>
        </w:rPr>
        <w:t xml:space="preserve"> the mechanical performance of TiZrHfTa</w:t>
      </w:r>
      <w:r w:rsidRPr="001C513B">
        <w:rPr>
          <w:rFonts w:ascii="Calibri" w:eastAsia="等线" w:hAnsi="Calibri" w:cs="Times New Roman"/>
          <w:vertAlign w:val="subscript"/>
        </w:rPr>
        <w:t>x</w:t>
      </w:r>
      <w:r w:rsidRPr="001C513B">
        <w:rPr>
          <w:rFonts w:ascii="Calibri" w:eastAsia="等线" w:hAnsi="Calibri" w:cs="Times New Roman"/>
        </w:rPr>
        <w:t xml:space="preserve">. The work hardening </w:t>
      </w:r>
      <w:r>
        <w:rPr>
          <w:rFonts w:ascii="Calibri" w:eastAsia="等线" w:hAnsi="Calibri" w:cs="Times New Roman"/>
        </w:rPr>
        <w:t>properties</w:t>
      </w:r>
      <w:r w:rsidRPr="001C513B">
        <w:rPr>
          <w:rFonts w:ascii="Calibri" w:eastAsia="等线" w:hAnsi="Calibri" w:cs="Times New Roman"/>
        </w:rPr>
        <w:t xml:space="preserve"> </w:t>
      </w:r>
      <w:r>
        <w:rPr>
          <w:rFonts w:ascii="Calibri" w:eastAsia="等线" w:hAnsi="Calibri" w:cs="Times New Roman"/>
        </w:rPr>
        <w:t>determined for</w:t>
      </w:r>
      <w:r w:rsidRPr="001C513B">
        <w:rPr>
          <w:rFonts w:ascii="Calibri" w:eastAsia="等线" w:hAnsi="Calibri" w:cs="Times New Roman"/>
        </w:rPr>
        <w:t xml:space="preserve"> TiZrHfTa</w:t>
      </w:r>
      <w:r w:rsidRPr="001C513B">
        <w:rPr>
          <w:rFonts w:ascii="Calibri" w:eastAsia="等线" w:hAnsi="Calibri" w:cs="Times New Roman"/>
          <w:vertAlign w:val="subscript"/>
        </w:rPr>
        <w:t>0.5</w:t>
      </w:r>
      <w:r w:rsidRPr="001C513B">
        <w:rPr>
          <w:rFonts w:ascii="Calibri" w:eastAsia="等线" w:hAnsi="Calibri" w:cs="Times New Roman"/>
        </w:rPr>
        <w:t xml:space="preserve"> </w:t>
      </w:r>
      <w:r>
        <w:rPr>
          <w:rFonts w:ascii="Calibri" w:eastAsia="等线" w:hAnsi="Calibri" w:cs="Times New Roman"/>
        </w:rPr>
        <w:t>were greater than</w:t>
      </w:r>
      <w:r w:rsidRPr="001C513B">
        <w:rPr>
          <w:rFonts w:ascii="Calibri" w:eastAsia="等线" w:hAnsi="Calibri" w:cs="Times New Roman"/>
        </w:rPr>
        <w:t xml:space="preserve"> </w:t>
      </w:r>
      <w:r>
        <w:rPr>
          <w:rFonts w:ascii="Calibri" w:eastAsia="等线" w:hAnsi="Calibri" w:cs="Times New Roman"/>
        </w:rPr>
        <w:t xml:space="preserve">those measured for the </w:t>
      </w:r>
      <w:r w:rsidRPr="001C513B">
        <w:rPr>
          <w:rFonts w:ascii="Calibri" w:eastAsia="等线" w:hAnsi="Calibri" w:cs="Times New Roman"/>
        </w:rPr>
        <w:t>most well-known high-performance TWIP and TRIP alloys.</w:t>
      </w:r>
      <w:r>
        <w:rPr>
          <w:rFonts w:ascii="Calibri" w:eastAsia="等线" w:hAnsi="Calibri" w:cs="Times New Roman"/>
        </w:rPr>
        <w:t xml:space="preserve"> The </w:t>
      </w:r>
      <w:r w:rsidRPr="001C513B">
        <w:rPr>
          <w:rFonts w:ascii="Calibri" w:eastAsia="等线" w:hAnsi="Calibri" w:cs="Times New Roman"/>
        </w:rPr>
        <w:t xml:space="preserve">maximum </w:t>
      </w:r>
      <w:r w:rsidR="004F7EF4">
        <w:rPr>
          <w:rFonts w:ascii="Calibri" w:eastAsia="等线" w:hAnsi="Calibri" w:cs="Times New Roman"/>
        </w:rPr>
        <w:t>work</w:t>
      </w:r>
      <w:r w:rsidRPr="001C513B">
        <w:rPr>
          <w:rFonts w:ascii="Calibri" w:eastAsia="等线" w:hAnsi="Calibri" w:cs="Times New Roman"/>
        </w:rPr>
        <w:t xml:space="preserve"> hardening rate</w:t>
      </w:r>
      <w:r>
        <w:rPr>
          <w:rFonts w:ascii="Calibri" w:eastAsia="等线" w:hAnsi="Calibri" w:cs="Times New Roman"/>
        </w:rPr>
        <w:t xml:space="preserve"> for</w:t>
      </w:r>
      <w:r w:rsidRPr="001C513B">
        <w:rPr>
          <w:rFonts w:ascii="Calibri" w:eastAsia="等线" w:hAnsi="Calibri" w:cs="Times New Roman"/>
        </w:rPr>
        <w:t xml:space="preserve"> TiZrHfTa</w:t>
      </w:r>
      <w:r w:rsidRPr="001C513B">
        <w:rPr>
          <w:rFonts w:ascii="Calibri" w:eastAsia="等线" w:hAnsi="Calibri" w:cs="Times New Roman"/>
          <w:vertAlign w:val="subscript"/>
        </w:rPr>
        <w:t>0.5</w:t>
      </w:r>
      <w:r w:rsidRPr="001C513B">
        <w:rPr>
          <w:rFonts w:ascii="Calibri" w:eastAsia="等线" w:hAnsi="Calibri" w:cs="Times New Roman"/>
        </w:rPr>
        <w:t xml:space="preserve"> </w:t>
      </w:r>
      <w:r>
        <w:rPr>
          <w:rFonts w:ascii="Calibri" w:eastAsia="等线" w:hAnsi="Calibri" w:cs="Times New Roman"/>
        </w:rPr>
        <w:t xml:space="preserve">was </w:t>
      </w:r>
      <w:r w:rsidRPr="001C513B">
        <w:rPr>
          <w:rFonts w:ascii="Calibri" w:eastAsia="等线" w:hAnsi="Calibri" w:cs="Times New Roman"/>
        </w:rPr>
        <w:t>4GPa, whil</w:t>
      </w:r>
      <w:r>
        <w:rPr>
          <w:rFonts w:ascii="Calibri" w:eastAsia="等线" w:hAnsi="Calibri" w:cs="Times New Roman"/>
        </w:rPr>
        <w:t>st</w:t>
      </w:r>
      <w:r w:rsidRPr="001C513B">
        <w:rPr>
          <w:rFonts w:ascii="Calibri" w:eastAsia="等线" w:hAnsi="Calibri" w:cs="Times New Roman"/>
        </w:rPr>
        <w:t xml:space="preserve"> </w:t>
      </w:r>
      <w:r w:rsidR="00FC7323">
        <w:rPr>
          <w:rFonts w:ascii="Calibri" w:eastAsia="等线" w:hAnsi="Calibri" w:cs="Times New Roman"/>
        </w:rPr>
        <w:t xml:space="preserve">the maximum </w:t>
      </w:r>
      <w:r>
        <w:rPr>
          <w:rFonts w:ascii="Calibri" w:eastAsia="等线" w:hAnsi="Calibri" w:cs="Times New Roman"/>
        </w:rPr>
        <w:t xml:space="preserve">values of 2GPa and 3GPa were </w:t>
      </w:r>
      <w:r w:rsidRPr="001C513B">
        <w:rPr>
          <w:rFonts w:ascii="Calibri" w:eastAsia="等线" w:hAnsi="Calibri" w:cs="Times New Roman"/>
        </w:rPr>
        <w:t xml:space="preserve">reported for TWIP-TRIP </w:t>
      </w:r>
      <w:r>
        <w:rPr>
          <w:rFonts w:ascii="Calibri" w:eastAsia="等线" w:hAnsi="Calibri" w:cs="Times New Roman"/>
        </w:rPr>
        <w:t>s</w:t>
      </w:r>
      <w:r w:rsidRPr="001C513B">
        <w:rPr>
          <w:rFonts w:ascii="Calibri" w:eastAsia="等线" w:hAnsi="Calibri" w:cs="Times New Roman"/>
        </w:rPr>
        <w:t xml:space="preserve">teel and for TWIP-TRIP metastable </w:t>
      </w:r>
      <w:r w:rsidRPr="001C513B">
        <w:rPr>
          <w:rFonts w:ascii="Times New Roman" w:eastAsia="等线" w:hAnsi="Times New Roman" w:cs="Times New Roman"/>
        </w:rPr>
        <w:t>β</w:t>
      </w:r>
      <w:r w:rsidRPr="001C513B">
        <w:rPr>
          <w:rFonts w:ascii="Calibri" w:eastAsia="等线" w:hAnsi="Calibri" w:cs="Times New Roman"/>
        </w:rPr>
        <w:t xml:space="preserve"> Ti alloy</w:t>
      </w:r>
      <w:r>
        <w:rPr>
          <w:rFonts w:ascii="Calibri" w:eastAsia="等线" w:hAnsi="Calibri" w:cs="Times New Roman"/>
        </w:rPr>
        <w:t xml:space="preserve">s </w:t>
      </w:r>
      <w:r w:rsidRPr="001C513B">
        <w:rPr>
          <w:rFonts w:ascii="Calibri" w:eastAsia="等线" w:hAnsi="Calibri" w:cs="Times New Roman"/>
        </w:rPr>
        <w:fldChar w:fldCharType="begin" w:fldLock="1"/>
      </w:r>
      <w:r>
        <w:rPr>
          <w:rFonts w:ascii="Calibri" w:eastAsia="等线" w:hAnsi="Calibri" w:cs="Times New Roman"/>
        </w:rPr>
        <w:instrText>ADDIN CSL_CITATION {"citationItems":[{"id":"ITEM-1","itemData":{"DOI":"10.1016/j.scriptamat.2012.01.049","ISBN":"1359-6462","ISSN":"13596462","PMID":"9986980","abstract":"In this work, preliminary results are presented on attempts to develop a new family of titanium alloys with high ductility induced by combined transformation-induced plasticity and twinning-induced plasticity effects. Mechanical tests carried out on a binary β-metastable Ti-12 wt.% Mo alloy designed by a formulation strategy based on the</w:instrText>
      </w:r>
      <w:r>
        <w:rPr>
          <w:rFonts w:ascii="Calibri" w:eastAsia="等线" w:hAnsi="Calibri" w:cs="Times New Roman" w:hint="eastAsia"/>
        </w:rPr>
        <w:instrText xml:space="preserve"> \"d-electron alloy design\" show a very high work hardening rate. X-ray diffraction, electron backscattered diffraction and transmission electron microscopy reveal the mechanical activation of twinning and of </w:instrText>
      </w:r>
      <w:r>
        <w:rPr>
          <w:rFonts w:ascii="Calibri" w:eastAsia="等线" w:hAnsi="Calibri" w:cs="Times New Roman" w:hint="eastAsia"/>
        </w:rPr>
        <w:instrText>α′</w:instrText>
      </w:r>
      <w:r>
        <w:rPr>
          <w:rFonts w:ascii="Calibri" w:eastAsia="等线" w:hAnsi="Calibri" w:cs="Times New Roman" w:hint="eastAsia"/>
        </w:rPr>
        <w:instrText xml:space="preserve">, </w:instrText>
      </w:r>
      <w:r>
        <w:rPr>
          <w:rFonts w:ascii="Calibri" w:eastAsia="等线" w:hAnsi="Calibri" w:cs="Times New Roman" w:hint="eastAsia"/>
        </w:rPr>
        <w:instrText>α″</w:instrText>
      </w:r>
      <w:r>
        <w:rPr>
          <w:rFonts w:ascii="Calibri" w:eastAsia="等线" w:hAnsi="Calibri" w:cs="Times New Roman" w:hint="eastAsia"/>
        </w:rPr>
        <w:instrText xml:space="preserve"> and </w:instrText>
      </w:r>
      <w:r>
        <w:rPr>
          <w:rFonts w:ascii="Calibri" w:eastAsia="等线" w:hAnsi="Calibri" w:cs="Times New Roman" w:hint="eastAsia"/>
        </w:rPr>
        <w:instrText>ω</w:instrText>
      </w:r>
      <w:r>
        <w:rPr>
          <w:rFonts w:ascii="Calibri" w:eastAsia="等线" w:hAnsi="Calibri" w:cs="Times New Roman" w:hint="eastAsia"/>
        </w:rPr>
        <w:instrText xml:space="preserve"> phases. © 2012 Acta Materialia I</w:instrText>
      </w:r>
      <w:r>
        <w:rPr>
          <w:rFonts w:ascii="Calibri" w:eastAsia="等线" w:hAnsi="Calibri" w:cs="Times New Roman"/>
        </w:rPr>
        <w:instrText>nc. Published by Elsevier Ltd. All rights reserved.","author":[{"dropping-particle":"","family":"Marteleur","given":"Matthieu","non-dropping-particle":"","parse-names":false,"suffix":""},{"dropping-particle":"","family":"Sun","given":"Fan","non-dropping-particle":"","parse-names":false,"suffix":""},{"dropping-particle":"","family":"Gloriant","given":"Thierry","non-dropping-particle":"","parse-names":false,"suffix":""},{"dropping-particle":"","family":"Vermaut","given":"Philippe","non-dropping-particle":"","parse-names":false,"suffix":""},{"dropping-particle":"","family":"Jacques","given":"Pascal J.","non-dropping-particle":"","parse-names":false,"suffix":""},{"dropping-particle":"","family":"Prima","given":"Frédéric","non-dropping-particle":"","parse-names":false,"suffix":""}],"container-title":"Scripta Materialia","id":"ITEM-1","issued":{"date-parts":[["2012"]]},"title":"On the design of new β-metastable titanium alloys with improved work hardening rate thanks to simultaneous TRIP and TWIP effects","type":"article-journal"},"uris":["http://www.mendeley.com/documents/?uuid=3b3b3872-dccf-4265-8674-322c558de58e"]},{"id":"ITEM-2","itemData":{"DOI":"10.1016/j.scriptamat.2014.09.005","ISBN":"13596462","ISSN":"13596462","abstract":"A ternary β-metastable titanium Ti-9Mo-6W (wt.%) was designed. A very high work hardening rate close to 2100 MPa and a uniform deformation larger than 35% were recorded, thanks to combined transformation-induced plasticity and twinning-induced plasticity effects. In this paper, detai</w:instrText>
      </w:r>
      <w:r>
        <w:rPr>
          <w:rFonts w:ascii="Calibri" w:eastAsia="等线" w:hAnsi="Calibri" w:cs="Times New Roman" w:hint="eastAsia"/>
        </w:rPr>
        <w:instrText>led microstructural analysis was performed to understand the deformation process. Various mechanisms, {3 3 2}</w:instrText>
      </w:r>
      <w:r>
        <w:rPr>
          <w:rFonts w:ascii="Calibri" w:eastAsia="等线" w:hAnsi="Calibri" w:cs="Times New Roman" w:hint="eastAsia"/>
        </w:rPr>
        <w:instrText>〈</w:instrText>
      </w:r>
      <w:r>
        <w:rPr>
          <w:rFonts w:ascii="Calibri" w:eastAsia="等线" w:hAnsi="Calibri" w:cs="Times New Roman" w:hint="eastAsia"/>
        </w:rPr>
        <w:instrText>1 1 3</w:instrText>
      </w:r>
      <w:r>
        <w:rPr>
          <w:rFonts w:ascii="Calibri" w:eastAsia="等线" w:hAnsi="Calibri" w:cs="Times New Roman" w:hint="eastAsia"/>
        </w:rPr>
        <w:instrText>〉</w:instrText>
      </w:r>
      <w:r>
        <w:rPr>
          <w:rFonts w:ascii="Calibri" w:eastAsia="等线" w:hAnsi="Calibri" w:cs="Times New Roman" w:hint="eastAsia"/>
        </w:rPr>
        <w:instrText xml:space="preserve"> mechanical twinning, stress-induced </w:instrText>
      </w:r>
      <w:r>
        <w:rPr>
          <w:rFonts w:ascii="Calibri" w:eastAsia="等线" w:hAnsi="Calibri" w:cs="Times New Roman" w:hint="eastAsia"/>
        </w:rPr>
        <w:instrText>ω</w:instrText>
      </w:r>
      <w:r>
        <w:rPr>
          <w:rFonts w:ascii="Calibri" w:eastAsia="等线" w:hAnsi="Calibri" w:cs="Times New Roman" w:hint="eastAsia"/>
        </w:rPr>
        <w:instrText xml:space="preserve"> phase and stress-induced </w:instrText>
      </w:r>
      <w:r>
        <w:rPr>
          <w:rFonts w:ascii="Calibri" w:eastAsia="等线" w:hAnsi="Calibri" w:cs="Times New Roman" w:hint="eastAsia"/>
        </w:rPr>
        <w:instrText>α″</w:instrText>
      </w:r>
      <w:r>
        <w:rPr>
          <w:rFonts w:ascii="Calibri" w:eastAsia="等线" w:hAnsi="Calibri" w:cs="Times New Roman" w:hint="eastAsia"/>
        </w:rPr>
        <w:instrText xml:space="preserve"> martensite were identified after mechanical testing, resulting in a comp</w:instrText>
      </w:r>
      <w:r>
        <w:rPr>
          <w:rFonts w:ascii="Calibri" w:eastAsia="等线" w:hAnsi="Calibri" w:cs="Times New Roman"/>
        </w:rPr>
        <w:instrText>lex network of deformed microstructures with very special synergetic features.","author":[{"dropping-particle":"","family":"Sun","given":"F.","non-dropping-particle":"","parse-names":false,"suffix":""},{"dropping-particle":"","family":"Zhang","given":"J. Y.","non-dropping-particle":"","parse-names":false,"suffix":""},{"dropping-particle":"","family":"Marteleur","given":"M.","non-dropping-particle":"","parse-names":false,"suffix":""},{"dropping-particle":"","family":"Brozek","given":"C.","non-dropping-particle":"","parse-names":false,"suffix":""},{"dropping-particle":"","family":"Rauch","given":"E. F.","non-dropping-particle":"","parse-names":false,"suffix":""},{"dropping-particle":"","family":"Veron","given":"M.","non-dropping-particle":"","parse-names":false,"suffix":""},{"dropping-particle":"","family":"Vermaut","given":"P.","non-dropping-particle":"","parse-names":false,"suffix":""},{"dropping-particle":"","family":"Jacques","given":"P. J.","non-dropping-particle":"","parse-names":false,"suffix":""},{"dropping-particle":"","family":"Prima","given":"F.","non-dropping-particle":"","parse-names":false,"suffix":""}],"container-title":"Scripta Materialia","id":"ITEM-2","issued":{"date-parts":[["2015"]]},"title":"A new titanium alloy with a combination of high strength, high strain hardening and improved ductility","type":"article-journal"},"uris":["http://www.mendeley.com/documents/?uuid=f1f642f4-0331-4684-8f5a-364cf9924139"]},{"id":"ITEM-3","itemData":{"DOI":"10.1007/s40195-012-0501-x","ISBN":"1006-7191","ISSN":"10067191","abstract":"High manganese twinning-induced plasticity (TWIP) steel is a new kind of\\nstructural material and possesses both high strength and superior\\nplasticity and can meet the weight-lightening requirement for\\nmanufacturing vehicle body. The excellent formability of the TWIP steel\\ncomes from the extraordinary strain hardening effect during plastic\\ndeformation. The reduction of specific weight by aluminum alloying and\\nstrain hardening effect can lead to an effective weight reduction of the\\nsteel components, and provide a better choice for materials in vehicle\\nbody design. The TWIP effect in high Mn steels is generally associated\\nwith the successive work-hardening generated by twins and influenced by\\nsome factors, such as Mn content, Al addition revealed by stacking fault\\nenergy (SFE), grain size, deformation temperature and strain rate. The\\npresent review introduces some aspects of the TWIP steels relating to\\ntheir physical metallurgy, influencing factors associated with their\\ndeformation mechanisms, and a prospect for the future investigation is\\nalso described. Moreover, as a potential candidate for replacing Ni-Cr\\naustenitic stainless steel, researches on the oxidation behavior and\\ncorrosion resistance of Fe-Mn-Al-C system steels are also reviewed.","author":[{"dropping-particle":"","family":"Chen","given":"Liqing","non-dropping-particle":"","parse-names":false,"suffix":""},{"dropping-particle":"","family":"Zhao","given":"Yang","non-dropping-particle":"","parse-names":false,"suffix":""},{"dropping-particle":"","family":"Qin","given":"Xiaomei","non-dropping-particle":"","parse-names":false,"suffix":""}],"container-title":"Acta Metallurgica Sinica (English Letters)","id":"ITEM-3","issued":{"date-parts":[["2013"]]},"title":"Some aspects of high manganese twinning-induced plasticity (TWIP) steel, a review","type":"article"},"uris":["http://www.mendeley.com/documents/?uuid=21ba262a-5af4-4e4d-a9ed-bc927f054968"]},{"id":"ITEM-4","itemData":{"DOI":"10.1016/S1359-6454(03)00239-8","ISBN":"1359-6454","ISSN":"13596454","abstract":"The purpose of this study is to investigate the role of deformation twinning in the strain-hardening behavior of high purity, polycrystalline α-titanium in a number of different deformation modes. Constant strain rate tests were conducted on this material in simple compression, plane-strain compression and simple shear, and the true stress (σ)-true strain (ε) responses were documented. From the measured data, the strain hardening rates were numerically computed, normalized by the shear modulus (G), and plotted against both normalized stress and ε. These normalized strain hardening plots exhibited three distinct stages of strain hardening that were similar to those observed in previous studies on low stacking fault energy fcc metals (e.g. 70/30 brass) in which deformation twinning has been known to play an important role. Optical microscopy and Orientation imaging microscopy were conducted on samples deformed to different strain levels in the various deformation paths. It was found that the onset of deformation twinning correlated with a sudden increase in strain hardening rate in compression tests. The falling strain hardening rate correlated with saturation in the twin volume fraction. In shear testing a much lower rate of strain hardening was found, at all strains, and this correlated with a lower density of deformation twinning. © 2003 Acta Materialia Inc. Published by Elsevier Science Ltd. All rights reserved.","author":[{"dropping-particle":"","family":"Salem","given":"Ayman A.","non-dropping-particle":"","parse-names":false,"suffix":""},{"dropping-particle":"","family":"Kalidindi","given":"Surya R.","non-dropping-particle":"","parse-names":false,"suffix":""},{"dropping-particle":"","family":"Doherty","given":"Roger D.","non-dropping-particle":"","parse-names":false,"suffix":""}],"container-title":"Acta Materialia","id":"ITEM-4","issued":{"date-parts":[["2003"]]},"title":"Strain hardening of titanium: Role of deformation twinning","type":"article-journal"},"uris":["http://www.mendeley.com/documents/?uuid=5eb1a6d5-41df-405e-941a-62fba8c0d002","http://www.mendeley.com/documents/?uuid=fb02277b-c119-4db0-896d-b54a73794505"]}],"mendeley":{"formattedCitation":"[12,27,34,35]","plainTextFormattedCitation":"[12,27,34,35]","previouslyFormattedCitation":"[12,27,34,35]"},"properties":{"noteIndex":0},"schema":"https://github.com/citation-style-language/schema/raw/master/csl-citation.json"}</w:instrText>
      </w:r>
      <w:r w:rsidRPr="001C513B">
        <w:rPr>
          <w:rFonts w:ascii="Calibri" w:eastAsia="等线" w:hAnsi="Calibri" w:cs="Times New Roman"/>
        </w:rPr>
        <w:fldChar w:fldCharType="separate"/>
      </w:r>
      <w:r w:rsidRPr="001C513B">
        <w:rPr>
          <w:rFonts w:ascii="Calibri" w:eastAsia="等线" w:hAnsi="Calibri" w:cs="Times New Roman"/>
          <w:noProof/>
        </w:rPr>
        <w:t>[12,27,34,35]</w:t>
      </w:r>
      <w:r w:rsidRPr="001C513B">
        <w:rPr>
          <w:rFonts w:ascii="Calibri" w:eastAsia="等线" w:hAnsi="Calibri" w:cs="Times New Roman"/>
        </w:rPr>
        <w:fldChar w:fldCharType="end"/>
      </w:r>
      <w:r>
        <w:rPr>
          <w:rFonts w:ascii="Calibri" w:eastAsia="等线" w:hAnsi="Calibri" w:cs="Times New Roman"/>
        </w:rPr>
        <w:t>, respectively</w:t>
      </w:r>
      <w:r w:rsidRPr="001C513B">
        <w:rPr>
          <w:rFonts w:ascii="Calibri" w:eastAsia="等线" w:hAnsi="Calibri" w:cs="Times New Roman"/>
        </w:rPr>
        <w:t xml:space="preserve">. </w:t>
      </w:r>
      <w:r>
        <w:rPr>
          <w:rFonts w:ascii="Calibri" w:eastAsia="等线" w:hAnsi="Calibri" w:cs="Times New Roman"/>
        </w:rPr>
        <w:t xml:space="preserve">This pronounced </w:t>
      </w:r>
      <w:r w:rsidR="004F7EF4">
        <w:rPr>
          <w:rFonts w:ascii="Calibri" w:eastAsia="等线" w:hAnsi="Calibri" w:cs="Times New Roman"/>
        </w:rPr>
        <w:t>work</w:t>
      </w:r>
      <w:r>
        <w:rPr>
          <w:rFonts w:ascii="Calibri" w:eastAsia="等线" w:hAnsi="Calibri" w:cs="Times New Roman"/>
        </w:rPr>
        <w:t xml:space="preserve"> hardening capability may indicate</w:t>
      </w:r>
      <w:r w:rsidR="00C673D0">
        <w:rPr>
          <w:rFonts w:ascii="Calibri" w:eastAsia="等线" w:hAnsi="Calibri" w:cs="Times New Roman"/>
        </w:rPr>
        <w:t xml:space="preserve"> that</w:t>
      </w:r>
      <w:r>
        <w:rPr>
          <w:rFonts w:ascii="Calibri" w:eastAsia="等线" w:hAnsi="Calibri" w:cs="Times New Roman"/>
        </w:rPr>
        <w:t xml:space="preserve"> b</w:t>
      </w:r>
      <w:r w:rsidRPr="001C513B">
        <w:rPr>
          <w:rFonts w:ascii="Calibri" w:eastAsia="等线" w:hAnsi="Calibri" w:cs="Times New Roman"/>
        </w:rPr>
        <w:t xml:space="preserve">esides TRIP and TWIP, </w:t>
      </w:r>
      <w:r>
        <w:rPr>
          <w:rFonts w:ascii="Calibri" w:eastAsia="等线" w:hAnsi="Calibri" w:cs="Times New Roman"/>
        </w:rPr>
        <w:t>additional</w:t>
      </w:r>
      <w:r w:rsidRPr="001C513B">
        <w:rPr>
          <w:rFonts w:ascii="Calibri" w:eastAsia="等线" w:hAnsi="Calibri" w:cs="Times New Roman"/>
        </w:rPr>
        <w:t xml:space="preserve"> deformation mechanism may also take effect in TiZrHfTa</w:t>
      </w:r>
      <w:r w:rsidRPr="001C513B">
        <w:rPr>
          <w:rFonts w:ascii="Calibri" w:eastAsia="等线" w:hAnsi="Calibri" w:cs="Times New Roman"/>
          <w:vertAlign w:val="subscript"/>
        </w:rPr>
        <w:t>0.5</w:t>
      </w:r>
      <w:r w:rsidRPr="001C513B">
        <w:rPr>
          <w:rFonts w:ascii="Calibri" w:eastAsia="等线" w:hAnsi="Calibri" w:cs="Times New Roman"/>
        </w:rPr>
        <w:t xml:space="preserve">. </w:t>
      </w:r>
    </w:p>
    <w:p w14:paraId="1460F034" w14:textId="77777777" w:rsidR="00B145BE" w:rsidRPr="00F2589F" w:rsidRDefault="00B145BE" w:rsidP="00B145BE">
      <w:pPr>
        <w:pStyle w:val="2"/>
        <w:spacing w:before="0" w:after="60" w:line="360" w:lineRule="auto"/>
        <w:rPr>
          <w:rFonts w:asciiTheme="minorHAnsi" w:hAnsiTheme="minorHAnsi"/>
          <w:b/>
          <w:color w:val="000000" w:themeColor="text1"/>
          <w:sz w:val="32"/>
          <w:szCs w:val="32"/>
          <w:lang w:bidi="hi-IN"/>
        </w:rPr>
      </w:pPr>
      <w:bookmarkStart w:id="241" w:name="_Toc22052541"/>
      <w:r w:rsidRPr="00F2589F">
        <w:rPr>
          <w:rFonts w:asciiTheme="minorHAnsi" w:hAnsiTheme="minorHAnsi"/>
          <w:b/>
          <w:color w:val="000000" w:themeColor="text1"/>
          <w:sz w:val="32"/>
          <w:szCs w:val="32"/>
          <w:lang w:bidi="hi-IN"/>
        </w:rPr>
        <w:lastRenderedPageBreak/>
        <w:t>5.3 Deformation mechanism evolution of TiZrHfTa</w:t>
      </w:r>
      <w:r w:rsidRPr="00F2589F">
        <w:rPr>
          <w:rFonts w:asciiTheme="minorHAnsi" w:hAnsiTheme="minorHAnsi"/>
          <w:b/>
          <w:color w:val="000000" w:themeColor="text1"/>
          <w:sz w:val="32"/>
          <w:szCs w:val="32"/>
          <w:vertAlign w:val="subscript"/>
          <w:lang w:bidi="hi-IN"/>
        </w:rPr>
        <w:t>x(x=0.5,0.7,0.9)</w:t>
      </w:r>
      <w:bookmarkEnd w:id="241"/>
    </w:p>
    <w:p w14:paraId="65EBBAE1" w14:textId="529EB7A1" w:rsidR="00B145BE" w:rsidRDefault="00B145BE" w:rsidP="00B145BE">
      <w:pPr>
        <w:suppressAutoHyphens/>
        <w:spacing w:after="60" w:line="360" w:lineRule="auto"/>
        <w:jc w:val="both"/>
        <w:rPr>
          <w:rFonts w:ascii="Calibri" w:eastAsia="等线" w:hAnsi="Calibri" w:cs="Calibri"/>
          <w:lang w:bidi="hi-IN"/>
        </w:rPr>
      </w:pPr>
      <w:r>
        <w:rPr>
          <w:rFonts w:ascii="Calibri" w:eastAsia="等线" w:hAnsi="Calibri" w:cs="Calibri"/>
          <w:lang w:bidi="hi-IN"/>
        </w:rPr>
        <w:t>The</w:t>
      </w:r>
      <w:r w:rsidRPr="001C513B">
        <w:rPr>
          <w:rFonts w:ascii="Calibri" w:eastAsia="等线" w:hAnsi="Calibri" w:cs="Calibri"/>
          <w:lang w:bidi="hi-IN"/>
        </w:rPr>
        <w:t xml:space="preserve"> </w:t>
      </w:r>
      <w:r w:rsidRPr="001C513B">
        <w:rPr>
          <w:rFonts w:ascii="Times New Roman" w:eastAsia="等线" w:hAnsi="Times New Roman" w:cs="Times New Roman"/>
          <w:lang w:bidi="hi-IN"/>
        </w:rPr>
        <w:t>β</w:t>
      </w:r>
      <w:r w:rsidRPr="001C513B">
        <w:rPr>
          <w:rFonts w:ascii="Calibri" w:eastAsia="等线" w:hAnsi="Calibri" w:cs="Calibri"/>
          <w:lang w:bidi="hi-IN"/>
        </w:rPr>
        <w:t xml:space="preserve"> phase stability was successfully reduced by tuning </w:t>
      </w:r>
      <w:r>
        <w:rPr>
          <w:rFonts w:ascii="Calibri" w:eastAsia="等线" w:hAnsi="Calibri" w:cs="Calibri"/>
          <w:lang w:bidi="hi-IN"/>
        </w:rPr>
        <w:t xml:space="preserve">the </w:t>
      </w:r>
      <w:r w:rsidRPr="001C513B">
        <w:rPr>
          <w:rFonts w:ascii="Calibri" w:eastAsia="等线" w:hAnsi="Calibri" w:cs="Calibri"/>
          <w:lang w:bidi="hi-IN"/>
        </w:rPr>
        <w:t xml:space="preserve">Ta content </w:t>
      </w:r>
      <w:r>
        <w:rPr>
          <w:rFonts w:ascii="Calibri" w:eastAsia="等线" w:hAnsi="Calibri" w:cs="Calibri"/>
          <w:lang w:bidi="hi-IN"/>
        </w:rPr>
        <w:t xml:space="preserve">which had </w:t>
      </w:r>
      <w:r w:rsidRPr="001C513B">
        <w:rPr>
          <w:rFonts w:ascii="Calibri" w:eastAsia="等线" w:hAnsi="Calibri" w:cs="Calibri"/>
          <w:lang w:bidi="hi-IN"/>
        </w:rPr>
        <w:t>result</w:t>
      </w:r>
      <w:r>
        <w:rPr>
          <w:rFonts w:ascii="Calibri" w:eastAsia="等线" w:hAnsi="Calibri" w:cs="Calibri"/>
          <w:lang w:bidi="hi-IN"/>
        </w:rPr>
        <w:t>ed</w:t>
      </w:r>
      <w:r w:rsidRPr="001C513B">
        <w:rPr>
          <w:rFonts w:ascii="Calibri" w:eastAsia="等线" w:hAnsi="Calibri" w:cs="Calibri"/>
          <w:lang w:bidi="hi-IN"/>
        </w:rPr>
        <w:t xml:space="preserve"> in </w:t>
      </w:r>
      <w:r>
        <w:rPr>
          <w:rFonts w:ascii="Calibri" w:eastAsia="等线" w:hAnsi="Calibri" w:cs="Calibri"/>
          <w:lang w:bidi="hi-IN"/>
        </w:rPr>
        <w:t>the formation</w:t>
      </w:r>
      <w:r w:rsidRPr="001C513B">
        <w:rPr>
          <w:rFonts w:ascii="Calibri" w:eastAsia="等线" w:hAnsi="Calibri" w:cs="Calibri"/>
          <w:lang w:bidi="hi-IN"/>
        </w:rPr>
        <w:t xml:space="preserve"> of </w:t>
      </w:r>
      <w:r w:rsidR="00205DE5">
        <w:rPr>
          <w:rFonts w:ascii="Calibri" w:eastAsia="等线" w:hAnsi="Calibri" w:cs="Calibri"/>
          <w:lang w:bidi="hi-IN"/>
        </w:rPr>
        <w:t xml:space="preserve">the </w:t>
      </w:r>
      <w:r w:rsidRPr="001C513B">
        <w:rPr>
          <w:rFonts w:ascii="Calibri" w:eastAsia="等线" w:hAnsi="Calibri" w:cs="Calibri"/>
          <w:lang w:bidi="hi-IN"/>
        </w:rPr>
        <w:t>martensit</w:t>
      </w:r>
      <w:r>
        <w:rPr>
          <w:rFonts w:ascii="Calibri" w:eastAsia="等线" w:hAnsi="Calibri" w:cs="Calibri"/>
          <w:lang w:bidi="hi-IN"/>
        </w:rPr>
        <w:t>ic</w:t>
      </w:r>
      <w:r w:rsidRPr="001C513B">
        <w:rPr>
          <w:rFonts w:ascii="Calibri" w:eastAsia="等线" w:hAnsi="Calibri" w:cs="Calibri"/>
          <w:lang w:bidi="hi-IN"/>
        </w:rPr>
        <w:t xml:space="preserve"> phase. </w:t>
      </w:r>
      <w:r>
        <w:rPr>
          <w:rFonts w:ascii="Calibri" w:eastAsia="等线" w:hAnsi="Calibri" w:cs="Calibri"/>
          <w:lang w:bidi="hi-IN"/>
        </w:rPr>
        <w:t>As previously described, when analysing the variation in</w:t>
      </w:r>
      <w:r w:rsidRPr="001C513B">
        <w:rPr>
          <w:rFonts w:ascii="Calibri" w:eastAsia="等线" w:hAnsi="Calibri" w:cs="Calibri"/>
          <w:lang w:bidi="hi-IN"/>
        </w:rPr>
        <w:t xml:space="preserve"> </w:t>
      </w:r>
      <w:r w:rsidR="00FC7323">
        <w:rPr>
          <w:rFonts w:ascii="Calibri" w:eastAsia="等线" w:hAnsi="Calibri" w:cs="Calibri"/>
          <w:lang w:bidi="hi-IN"/>
        </w:rPr>
        <w:t>work</w:t>
      </w:r>
      <w:r w:rsidRPr="001C513B">
        <w:rPr>
          <w:rFonts w:ascii="Calibri" w:eastAsia="等线" w:hAnsi="Calibri" w:cs="Calibri"/>
          <w:lang w:bidi="hi-IN"/>
        </w:rPr>
        <w:t xml:space="preserve"> hardening behaviour </w:t>
      </w:r>
      <w:r>
        <w:rPr>
          <w:rFonts w:ascii="Calibri" w:eastAsia="等线" w:hAnsi="Calibri" w:cs="Calibri"/>
          <w:lang w:bidi="hi-IN"/>
        </w:rPr>
        <w:t>for</w:t>
      </w:r>
      <w:r w:rsidRPr="001C513B">
        <w:rPr>
          <w:rFonts w:ascii="Calibri" w:eastAsia="等线" w:hAnsi="Calibri" w:cs="Calibri"/>
          <w:lang w:bidi="hi-IN"/>
        </w:rPr>
        <w:t xml:space="preserve"> TiZrHfTa to TiZrHfTa</w:t>
      </w:r>
      <w:r w:rsidRPr="001C513B">
        <w:rPr>
          <w:rFonts w:ascii="Calibri" w:eastAsia="等线" w:hAnsi="Calibri" w:cs="Calibri"/>
          <w:vertAlign w:val="subscript"/>
          <w:lang w:bidi="hi-IN"/>
        </w:rPr>
        <w:t>0.5</w:t>
      </w:r>
      <w:r w:rsidRPr="001C513B">
        <w:rPr>
          <w:rFonts w:ascii="Calibri" w:eastAsia="等线" w:hAnsi="Calibri" w:cs="Calibri"/>
          <w:lang w:bidi="hi-IN"/>
        </w:rPr>
        <w:t xml:space="preserve">, </w:t>
      </w:r>
      <w:r>
        <w:rPr>
          <w:rFonts w:ascii="Calibri" w:eastAsia="等线" w:hAnsi="Calibri" w:cs="Calibri"/>
          <w:lang w:bidi="hi-IN"/>
        </w:rPr>
        <w:t>it was evident that the behaviour may potentially be influenced by the activation of a number of</w:t>
      </w:r>
      <w:r w:rsidRPr="001C513B">
        <w:rPr>
          <w:rFonts w:ascii="Calibri" w:eastAsia="等线" w:hAnsi="Calibri" w:cs="Calibri"/>
          <w:lang w:bidi="hi-IN"/>
        </w:rPr>
        <w:t xml:space="preserve"> </w:t>
      </w:r>
      <w:r>
        <w:rPr>
          <w:rFonts w:ascii="Calibri" w:eastAsia="等线" w:hAnsi="Calibri" w:cs="Calibri"/>
          <w:lang w:bidi="hi-IN"/>
        </w:rPr>
        <w:t xml:space="preserve">different </w:t>
      </w:r>
      <w:r w:rsidRPr="001C513B">
        <w:rPr>
          <w:rFonts w:ascii="Calibri" w:eastAsia="等线" w:hAnsi="Calibri" w:cs="Calibri"/>
          <w:lang w:bidi="hi-IN"/>
        </w:rPr>
        <w:t xml:space="preserve">deformation mechanisms. </w:t>
      </w:r>
      <w:r>
        <w:rPr>
          <w:rFonts w:ascii="Calibri" w:eastAsia="等线" w:hAnsi="Calibri" w:cs="Calibri"/>
          <w:lang w:bidi="hi-IN"/>
        </w:rPr>
        <w:t>In order to</w:t>
      </w:r>
      <w:r w:rsidRPr="001C513B">
        <w:rPr>
          <w:rFonts w:ascii="Calibri" w:eastAsia="等线" w:hAnsi="Calibri" w:cs="Calibri"/>
          <w:lang w:bidi="hi-IN"/>
        </w:rPr>
        <w:t xml:space="preserve"> identify</w:t>
      </w:r>
      <w:r>
        <w:rPr>
          <w:rFonts w:ascii="Calibri" w:eastAsia="等线" w:hAnsi="Calibri" w:cs="Calibri"/>
          <w:lang w:bidi="hi-IN"/>
        </w:rPr>
        <w:t xml:space="preserve"> and correlate</w:t>
      </w:r>
      <w:r w:rsidRPr="001C513B">
        <w:rPr>
          <w:rFonts w:ascii="Calibri" w:eastAsia="等线" w:hAnsi="Calibri" w:cs="Calibri"/>
          <w:lang w:bidi="hi-IN"/>
        </w:rPr>
        <w:t xml:space="preserve"> the deformation mechanism</w:t>
      </w:r>
      <w:r>
        <w:rPr>
          <w:rFonts w:ascii="Calibri" w:eastAsia="等线" w:hAnsi="Calibri" w:cs="Calibri"/>
          <w:lang w:bidi="hi-IN"/>
        </w:rPr>
        <w:t>s</w:t>
      </w:r>
      <w:r w:rsidRPr="001C513B">
        <w:rPr>
          <w:rFonts w:ascii="Calibri" w:eastAsia="等线" w:hAnsi="Calibri" w:cs="Calibri"/>
          <w:lang w:bidi="hi-IN"/>
        </w:rPr>
        <w:t xml:space="preserve"> involved in Group I and Group II TiZrHfTa</w:t>
      </w:r>
      <w:r w:rsidRPr="001C513B">
        <w:rPr>
          <w:rFonts w:ascii="Calibri" w:eastAsia="等线" w:hAnsi="Calibri" w:cs="Calibri"/>
          <w:vertAlign w:val="subscript"/>
          <w:lang w:bidi="hi-IN"/>
        </w:rPr>
        <w:t>x</w:t>
      </w:r>
      <w:r w:rsidRPr="001C513B">
        <w:rPr>
          <w:rFonts w:ascii="Calibri" w:eastAsia="等线" w:hAnsi="Calibri" w:cs="Calibri"/>
          <w:lang w:bidi="hi-IN"/>
        </w:rPr>
        <w:t xml:space="preserve"> alloy</w:t>
      </w:r>
      <w:r>
        <w:rPr>
          <w:rFonts w:ascii="Calibri" w:eastAsia="等线" w:hAnsi="Calibri" w:cs="Calibri"/>
          <w:lang w:bidi="hi-IN"/>
        </w:rPr>
        <w:t>s</w:t>
      </w:r>
      <w:r w:rsidRPr="001C513B">
        <w:rPr>
          <w:rFonts w:ascii="Calibri" w:eastAsia="等线" w:hAnsi="Calibri" w:cs="Calibri"/>
          <w:lang w:bidi="hi-IN"/>
        </w:rPr>
        <w:t xml:space="preserve"> </w:t>
      </w:r>
      <w:r>
        <w:rPr>
          <w:rFonts w:ascii="Calibri" w:eastAsia="等线" w:hAnsi="Calibri" w:cs="Calibri"/>
          <w:lang w:bidi="hi-IN"/>
        </w:rPr>
        <w:t xml:space="preserve">which clearly influenced the behaviour displayed in </w:t>
      </w:r>
      <w:r w:rsidRPr="001C513B">
        <w:rPr>
          <w:rFonts w:ascii="Calibri" w:eastAsia="等线" w:hAnsi="Calibri" w:cs="Calibri"/>
          <w:lang w:bidi="hi-IN"/>
        </w:rPr>
        <w:t>the</w:t>
      </w:r>
      <w:r>
        <w:rPr>
          <w:rFonts w:ascii="Calibri" w:eastAsia="等线" w:hAnsi="Calibri" w:cs="Calibri"/>
          <w:lang w:bidi="hi-IN"/>
        </w:rPr>
        <w:t>ir</w:t>
      </w:r>
      <w:r w:rsidRPr="001C513B">
        <w:rPr>
          <w:rFonts w:ascii="Calibri" w:eastAsia="等线" w:hAnsi="Calibri" w:cs="Calibri"/>
          <w:lang w:bidi="hi-IN"/>
        </w:rPr>
        <w:t xml:space="preserve"> </w:t>
      </w:r>
      <w:r w:rsidR="004F7EF4">
        <w:rPr>
          <w:rFonts w:ascii="Calibri" w:eastAsia="等线" w:hAnsi="Calibri" w:cs="Calibri"/>
          <w:lang w:bidi="hi-IN"/>
        </w:rPr>
        <w:t>work</w:t>
      </w:r>
      <w:r w:rsidRPr="001C513B">
        <w:rPr>
          <w:rFonts w:ascii="Calibri" w:eastAsia="等线" w:hAnsi="Calibri" w:cs="Calibri"/>
          <w:lang w:bidi="hi-IN"/>
        </w:rPr>
        <w:t xml:space="preserve"> hardening curve </w:t>
      </w:r>
      <w:r>
        <w:rPr>
          <w:rFonts w:ascii="Calibri" w:eastAsia="等线" w:hAnsi="Calibri" w:cs="Calibri"/>
          <w:lang w:bidi="hi-IN"/>
        </w:rPr>
        <w:t>(</w:t>
      </w:r>
      <w:r w:rsidRPr="001C513B">
        <w:rPr>
          <w:rFonts w:ascii="Calibri" w:eastAsia="等线" w:hAnsi="Calibri" w:cs="Times New Roman"/>
        </w:rPr>
        <w:t>Fig. 5-1(c)</w:t>
      </w:r>
      <w:r>
        <w:rPr>
          <w:rFonts w:ascii="Calibri" w:eastAsia="等线" w:hAnsi="Calibri" w:cs="Times New Roman"/>
        </w:rPr>
        <w:t>)</w:t>
      </w:r>
      <w:r w:rsidRPr="001C513B">
        <w:rPr>
          <w:rFonts w:ascii="Calibri" w:eastAsia="等线" w:hAnsi="Calibri" w:cs="Calibri"/>
          <w:lang w:bidi="hi-IN"/>
        </w:rPr>
        <w:t xml:space="preserve">, </w:t>
      </w:r>
      <w:r>
        <w:rPr>
          <w:rFonts w:ascii="Calibri" w:eastAsia="等线" w:hAnsi="Calibri" w:cs="Calibri"/>
          <w:lang w:bidi="hi-IN"/>
        </w:rPr>
        <w:t xml:space="preserve">samples of </w:t>
      </w:r>
      <w:r w:rsidRPr="001C513B">
        <w:rPr>
          <w:rFonts w:ascii="Calibri" w:eastAsia="等线" w:hAnsi="Calibri" w:cs="Calibri"/>
          <w:lang w:bidi="hi-IN"/>
        </w:rPr>
        <w:t>TiZrHfTa</w:t>
      </w:r>
      <w:r w:rsidRPr="001C513B">
        <w:rPr>
          <w:rFonts w:ascii="Calibri" w:eastAsia="等线" w:hAnsi="Calibri" w:cs="Calibri"/>
          <w:vertAlign w:val="subscript"/>
          <w:lang w:bidi="hi-IN"/>
        </w:rPr>
        <w:t>0.8</w:t>
      </w:r>
      <w:r w:rsidRPr="001C513B">
        <w:rPr>
          <w:rFonts w:ascii="Calibri" w:eastAsia="等线" w:hAnsi="Calibri" w:cs="Calibri"/>
          <w:lang w:bidi="hi-IN"/>
        </w:rPr>
        <w:t>, TiZrHfTa</w:t>
      </w:r>
      <w:r w:rsidRPr="001C513B">
        <w:rPr>
          <w:rFonts w:ascii="Calibri" w:eastAsia="等线" w:hAnsi="Calibri" w:cs="Calibri"/>
          <w:vertAlign w:val="subscript"/>
          <w:lang w:bidi="hi-IN"/>
        </w:rPr>
        <w:t>0.6</w:t>
      </w:r>
      <w:r w:rsidRPr="001C513B">
        <w:rPr>
          <w:rFonts w:ascii="Calibri" w:eastAsia="等线" w:hAnsi="Calibri" w:cs="Calibri"/>
          <w:lang w:bidi="hi-IN"/>
        </w:rPr>
        <w:t xml:space="preserve"> and TiZrHfTa</w:t>
      </w:r>
      <w:r w:rsidRPr="001C513B">
        <w:rPr>
          <w:rFonts w:ascii="Calibri" w:eastAsia="等线" w:hAnsi="Calibri" w:cs="Calibri"/>
          <w:vertAlign w:val="subscript"/>
          <w:lang w:bidi="hi-IN"/>
        </w:rPr>
        <w:t>0.5</w:t>
      </w:r>
      <w:r w:rsidRPr="001C513B">
        <w:rPr>
          <w:rFonts w:ascii="Calibri" w:eastAsia="等线" w:hAnsi="Calibri" w:cs="Calibri"/>
          <w:lang w:bidi="hi-IN"/>
        </w:rPr>
        <w:t xml:space="preserve"> </w:t>
      </w:r>
      <w:r>
        <w:rPr>
          <w:rFonts w:ascii="Calibri" w:eastAsia="等线" w:hAnsi="Calibri" w:cs="Calibri"/>
          <w:lang w:bidi="hi-IN"/>
        </w:rPr>
        <w:t>strained to 5%</w:t>
      </w:r>
      <w:r w:rsidRPr="001C513B">
        <w:rPr>
          <w:rFonts w:ascii="Calibri" w:eastAsia="等线" w:hAnsi="Calibri" w:cs="Calibri"/>
          <w:lang w:bidi="hi-IN"/>
        </w:rPr>
        <w:t xml:space="preserve"> were prepared for EBSD and TEM characteri</w:t>
      </w:r>
      <w:r>
        <w:rPr>
          <w:rFonts w:ascii="Calibri" w:eastAsia="等线" w:hAnsi="Calibri" w:cs="Calibri"/>
          <w:lang w:bidi="hi-IN"/>
        </w:rPr>
        <w:t>s</w:t>
      </w:r>
      <w:r w:rsidRPr="001C513B">
        <w:rPr>
          <w:rFonts w:ascii="Calibri" w:eastAsia="等线" w:hAnsi="Calibri" w:cs="Calibri"/>
          <w:lang w:bidi="hi-IN"/>
        </w:rPr>
        <w:t xml:space="preserve">ation. With the reduction of Ta, the </w:t>
      </w:r>
      <w:r w:rsidR="00FC7323">
        <w:rPr>
          <w:rFonts w:ascii="Calibri" w:eastAsia="等线" w:hAnsi="Calibri" w:cs="Calibri"/>
          <w:lang w:bidi="hi-IN"/>
        </w:rPr>
        <w:t>work</w:t>
      </w:r>
      <w:r w:rsidRPr="001C513B">
        <w:rPr>
          <w:rFonts w:ascii="Calibri" w:eastAsia="等线" w:hAnsi="Calibri" w:cs="Calibri"/>
          <w:lang w:bidi="hi-IN"/>
        </w:rPr>
        <w:t xml:space="preserve"> hardening </w:t>
      </w:r>
      <w:r>
        <w:rPr>
          <w:rFonts w:ascii="Calibri" w:eastAsia="等线" w:hAnsi="Calibri" w:cs="Calibri"/>
          <w:lang w:bidi="hi-IN"/>
        </w:rPr>
        <w:t>was first found to</w:t>
      </w:r>
      <w:r w:rsidRPr="001C513B">
        <w:rPr>
          <w:rFonts w:ascii="Calibri" w:eastAsia="等线" w:hAnsi="Calibri" w:cs="Calibri"/>
          <w:lang w:bidi="hi-IN"/>
        </w:rPr>
        <w:t xml:space="preserve"> increase from TiZrHfTa</w:t>
      </w:r>
      <w:r w:rsidRPr="001C513B">
        <w:rPr>
          <w:rFonts w:ascii="Calibri" w:eastAsia="等线" w:hAnsi="Calibri" w:cs="Calibri"/>
          <w:vertAlign w:val="subscript"/>
          <w:lang w:bidi="hi-IN"/>
        </w:rPr>
        <w:t>0.9</w:t>
      </w:r>
      <w:r>
        <w:rPr>
          <w:rFonts w:ascii="Calibri" w:eastAsia="等线" w:hAnsi="Calibri" w:cs="Calibri"/>
          <w:lang w:bidi="hi-IN"/>
        </w:rPr>
        <w:t>.</w:t>
      </w:r>
      <w:r w:rsidRPr="001C513B">
        <w:rPr>
          <w:rFonts w:ascii="Calibri" w:eastAsia="等线" w:hAnsi="Calibri" w:cs="Calibri"/>
          <w:lang w:bidi="hi-IN"/>
        </w:rPr>
        <w:t xml:space="preserve"> </w:t>
      </w:r>
      <w:r>
        <w:rPr>
          <w:rFonts w:ascii="Calibri" w:eastAsia="等线" w:hAnsi="Calibri" w:cs="Calibri"/>
          <w:lang w:bidi="hi-IN"/>
        </w:rPr>
        <w:t>Apart from</w:t>
      </w:r>
      <w:r w:rsidRPr="001C513B">
        <w:rPr>
          <w:rFonts w:ascii="Calibri" w:eastAsia="等线" w:hAnsi="Calibri" w:cs="Calibri"/>
          <w:lang w:bidi="hi-IN"/>
        </w:rPr>
        <w:t xml:space="preserve"> the generally accepted dislocation glide, new deformation mechanism</w:t>
      </w:r>
      <w:r>
        <w:rPr>
          <w:rFonts w:ascii="Calibri" w:eastAsia="等线" w:hAnsi="Calibri" w:cs="Calibri"/>
          <w:lang w:bidi="hi-IN"/>
        </w:rPr>
        <w:t>s</w:t>
      </w:r>
      <w:r w:rsidRPr="001C513B">
        <w:rPr>
          <w:rFonts w:ascii="Calibri" w:eastAsia="等线" w:hAnsi="Calibri" w:cs="Calibri"/>
          <w:lang w:bidi="hi-IN"/>
        </w:rPr>
        <w:t xml:space="preserve"> may activate and</w:t>
      </w:r>
      <w:r>
        <w:rPr>
          <w:rFonts w:ascii="Calibri" w:eastAsia="等线" w:hAnsi="Calibri" w:cs="Calibri"/>
          <w:lang w:bidi="hi-IN"/>
        </w:rPr>
        <w:t xml:space="preserve"> </w:t>
      </w:r>
      <w:r w:rsidR="00205DE5">
        <w:rPr>
          <w:rFonts w:ascii="Calibri" w:eastAsia="等线" w:hAnsi="Calibri" w:cs="Calibri"/>
          <w:lang w:bidi="hi-IN"/>
        </w:rPr>
        <w:t>contribute</w:t>
      </w:r>
      <w:r w:rsidR="00205DE5" w:rsidRPr="001C513B">
        <w:rPr>
          <w:rFonts w:ascii="Calibri" w:eastAsia="等线" w:hAnsi="Calibri" w:cs="Calibri"/>
          <w:lang w:bidi="hi-IN"/>
        </w:rPr>
        <w:t xml:space="preserve"> </w:t>
      </w:r>
      <w:r w:rsidRPr="001C513B">
        <w:rPr>
          <w:rFonts w:ascii="Calibri" w:eastAsia="等线" w:hAnsi="Calibri" w:cs="Calibri"/>
          <w:lang w:bidi="hi-IN"/>
        </w:rPr>
        <w:t xml:space="preserve">to the enhancement of </w:t>
      </w:r>
      <w:r w:rsidR="00FC7323">
        <w:rPr>
          <w:rFonts w:ascii="Calibri" w:eastAsia="等线" w:hAnsi="Calibri" w:cs="Calibri"/>
          <w:lang w:bidi="hi-IN"/>
        </w:rPr>
        <w:t>work</w:t>
      </w:r>
      <w:r w:rsidRPr="001C513B">
        <w:rPr>
          <w:rFonts w:ascii="Calibri" w:eastAsia="等线" w:hAnsi="Calibri" w:cs="Calibri"/>
          <w:lang w:bidi="hi-IN"/>
        </w:rPr>
        <w:t xml:space="preserve"> hardening capacity in TiZrHfTa</w:t>
      </w:r>
      <w:r w:rsidRPr="001C513B">
        <w:rPr>
          <w:rFonts w:ascii="Calibri" w:eastAsia="等线" w:hAnsi="Calibri" w:cs="Calibri"/>
          <w:vertAlign w:val="subscript"/>
          <w:lang w:bidi="hi-IN"/>
        </w:rPr>
        <w:t>0.8-0.9</w:t>
      </w:r>
      <w:r w:rsidRPr="001C513B">
        <w:rPr>
          <w:rFonts w:ascii="Calibri" w:eastAsia="等线" w:hAnsi="Calibri" w:cs="Calibri"/>
          <w:lang w:bidi="hi-IN"/>
        </w:rPr>
        <w:t xml:space="preserve">. </w:t>
      </w:r>
    </w:p>
    <w:p w14:paraId="1F6D283A" w14:textId="51278765" w:rsidR="00B145BE" w:rsidRPr="000C0954" w:rsidRDefault="00B145BE" w:rsidP="00B145BE">
      <w:pPr>
        <w:suppressAutoHyphens/>
        <w:spacing w:after="60" w:line="360" w:lineRule="auto"/>
        <w:jc w:val="both"/>
        <w:rPr>
          <w:rFonts w:ascii="Calibri" w:eastAsia="等线" w:hAnsi="Calibri" w:cs="Calibri"/>
          <w:lang w:bidi="hi-IN"/>
        </w:rPr>
      </w:pPr>
      <w:r w:rsidRPr="001C513B">
        <w:rPr>
          <w:rFonts w:ascii="Calibri" w:eastAsia="等线" w:hAnsi="Calibri" w:cs="Calibri"/>
          <w:lang w:bidi="hi-IN"/>
        </w:rPr>
        <w:t xml:space="preserve">The primary </w:t>
      </w:r>
      <w:r w:rsidR="00205DE5">
        <w:rPr>
          <w:rFonts w:ascii="Calibri" w:eastAsia="等线" w:hAnsi="Calibri" w:cs="Calibri"/>
          <w:lang w:bidi="hi-IN"/>
        </w:rPr>
        <w:t>characterisation</w:t>
      </w:r>
      <w:r w:rsidRPr="001C513B">
        <w:rPr>
          <w:rFonts w:ascii="Calibri" w:eastAsia="等线" w:hAnsi="Calibri" w:cs="Calibri"/>
          <w:lang w:bidi="hi-IN"/>
        </w:rPr>
        <w:t xml:space="preserve"> was conducted by EBSD</w:t>
      </w:r>
      <w:r>
        <w:rPr>
          <w:rFonts w:ascii="Calibri" w:eastAsia="等线" w:hAnsi="Calibri" w:cs="Calibri"/>
          <w:lang w:bidi="hi-IN"/>
        </w:rPr>
        <w:t xml:space="preserve"> and is shown in Fig. 5-2</w:t>
      </w:r>
      <w:r w:rsidRPr="001C513B">
        <w:rPr>
          <w:rFonts w:ascii="Calibri" w:eastAsia="等线" w:hAnsi="Calibri" w:cs="Calibri"/>
          <w:lang w:bidi="hi-IN"/>
        </w:rPr>
        <w:t xml:space="preserve">, </w:t>
      </w:r>
      <w:r>
        <w:rPr>
          <w:rFonts w:ascii="Calibri" w:eastAsia="等线" w:hAnsi="Calibri" w:cs="Calibri"/>
          <w:lang w:bidi="hi-IN"/>
        </w:rPr>
        <w:t>where needle-</w:t>
      </w:r>
      <w:r w:rsidRPr="001C513B">
        <w:rPr>
          <w:rFonts w:ascii="Calibri" w:eastAsia="等线" w:hAnsi="Calibri" w:cs="Calibri"/>
          <w:lang w:bidi="hi-IN"/>
        </w:rPr>
        <w:t xml:space="preserve">like deformation products </w:t>
      </w:r>
      <w:r>
        <w:rPr>
          <w:rFonts w:ascii="Calibri" w:eastAsia="等线" w:hAnsi="Calibri" w:cs="Calibri"/>
          <w:lang w:bidi="hi-IN"/>
        </w:rPr>
        <w:t>were</w:t>
      </w:r>
      <w:r w:rsidRPr="001C513B">
        <w:rPr>
          <w:rFonts w:ascii="Calibri" w:eastAsia="等线" w:hAnsi="Calibri" w:cs="Calibri"/>
          <w:lang w:bidi="hi-IN"/>
        </w:rPr>
        <w:t xml:space="preserve"> observed in </w:t>
      </w:r>
      <w:r>
        <w:rPr>
          <w:rFonts w:ascii="Calibri" w:eastAsia="等线" w:hAnsi="Calibri" w:cs="Calibri"/>
          <w:lang w:bidi="hi-IN"/>
        </w:rPr>
        <w:t>the</w:t>
      </w:r>
      <w:r w:rsidRPr="001C513B">
        <w:rPr>
          <w:rFonts w:ascii="Calibri" w:eastAsia="等线" w:hAnsi="Calibri" w:cs="Calibri"/>
          <w:lang w:bidi="hi-IN"/>
        </w:rPr>
        <w:t xml:space="preserve"> TiZrHfTa</w:t>
      </w:r>
      <w:r w:rsidRPr="001C513B">
        <w:rPr>
          <w:rFonts w:ascii="Calibri" w:eastAsia="等线" w:hAnsi="Calibri" w:cs="Calibri"/>
          <w:vertAlign w:val="subscript"/>
          <w:lang w:bidi="hi-IN"/>
        </w:rPr>
        <w:t>0.8</w:t>
      </w:r>
      <w:r w:rsidRPr="001C513B">
        <w:rPr>
          <w:rFonts w:ascii="Calibri" w:eastAsia="等线" w:hAnsi="Calibri" w:cs="Calibri"/>
          <w:lang w:bidi="hi-IN"/>
        </w:rPr>
        <w:t xml:space="preserve"> sample. The needle-like structure</w:t>
      </w:r>
      <w:r>
        <w:rPr>
          <w:rFonts w:ascii="Calibri" w:eastAsia="等线" w:hAnsi="Calibri" w:cs="Calibri"/>
          <w:lang w:bidi="hi-IN"/>
        </w:rPr>
        <w:t>s</w:t>
      </w:r>
      <w:r w:rsidRPr="001C513B">
        <w:rPr>
          <w:rFonts w:ascii="Calibri" w:eastAsia="等线" w:hAnsi="Calibri" w:cs="Calibri"/>
          <w:lang w:bidi="hi-IN"/>
        </w:rPr>
        <w:t xml:space="preserve"> </w:t>
      </w:r>
      <w:r>
        <w:rPr>
          <w:rFonts w:ascii="Calibri" w:eastAsia="等线" w:hAnsi="Calibri" w:cs="Calibri"/>
          <w:lang w:bidi="hi-IN"/>
        </w:rPr>
        <w:t>were</w:t>
      </w:r>
      <w:r w:rsidRPr="001C513B">
        <w:rPr>
          <w:rFonts w:ascii="Calibri" w:eastAsia="等线" w:hAnsi="Calibri" w:cs="Calibri"/>
          <w:lang w:bidi="hi-IN"/>
        </w:rPr>
        <w:t xml:space="preserve"> not fully indexed</w:t>
      </w:r>
      <w:r>
        <w:rPr>
          <w:rFonts w:ascii="Calibri" w:eastAsia="等线" w:hAnsi="Calibri" w:cs="Calibri"/>
          <w:lang w:bidi="hi-IN"/>
        </w:rPr>
        <w:t>, whilst the matrix regions of the</w:t>
      </w:r>
      <w:r w:rsidRPr="001C513B">
        <w:rPr>
          <w:rFonts w:ascii="Calibri" w:eastAsia="等线" w:hAnsi="Calibri" w:cs="Calibri"/>
          <w:lang w:bidi="hi-IN"/>
        </w:rPr>
        <w:t xml:space="preserve"> sample </w:t>
      </w:r>
      <w:r>
        <w:rPr>
          <w:rFonts w:ascii="Calibri" w:eastAsia="等线" w:hAnsi="Calibri" w:cs="Calibri"/>
          <w:lang w:bidi="hi-IN"/>
        </w:rPr>
        <w:t>were</w:t>
      </w:r>
      <w:r w:rsidRPr="001C513B">
        <w:rPr>
          <w:rFonts w:ascii="Calibri" w:eastAsia="等线" w:hAnsi="Calibri" w:cs="Calibri"/>
          <w:lang w:bidi="hi-IN"/>
        </w:rPr>
        <w:t xml:space="preserve"> identified as </w:t>
      </w:r>
      <w:r w:rsidRPr="001C513B">
        <w:rPr>
          <w:rFonts w:ascii="Calibri" w:eastAsia="等线" w:hAnsi="Calibri" w:cs="Times New Roman"/>
          <w:lang w:bidi="hi-IN"/>
        </w:rPr>
        <w:t xml:space="preserve">β phase. The edges of the </w:t>
      </w:r>
      <w:r>
        <w:rPr>
          <w:rFonts w:ascii="Calibri" w:eastAsia="等线" w:hAnsi="Calibri" w:cs="Times New Roman"/>
          <w:lang w:bidi="hi-IN"/>
        </w:rPr>
        <w:t>needles</w:t>
      </w:r>
      <w:r w:rsidRPr="001C513B">
        <w:rPr>
          <w:rFonts w:ascii="Calibri" w:eastAsia="等线" w:hAnsi="Calibri" w:cs="Times New Roman"/>
          <w:lang w:bidi="hi-IN"/>
        </w:rPr>
        <w:t xml:space="preserve"> were partially indexed as β phase and </w:t>
      </w:r>
      <w:r>
        <w:rPr>
          <w:rFonts w:ascii="Calibri" w:eastAsia="等线" w:hAnsi="Calibri" w:cs="Times New Roman"/>
          <w:lang w:bidi="hi-IN"/>
        </w:rPr>
        <w:t>revealed</w:t>
      </w:r>
      <w:r w:rsidRPr="001C513B">
        <w:rPr>
          <w:rFonts w:ascii="Calibri" w:eastAsia="等线" w:hAnsi="Calibri" w:cs="Times New Roman"/>
          <w:lang w:bidi="hi-IN"/>
        </w:rPr>
        <w:t xml:space="preserve"> </w:t>
      </w:r>
      <w:r>
        <w:rPr>
          <w:rFonts w:ascii="Calibri" w:eastAsia="等线" w:hAnsi="Calibri" w:cs="Times New Roman"/>
          <w:lang w:bidi="hi-IN"/>
        </w:rPr>
        <w:t xml:space="preserve">a </w:t>
      </w:r>
      <w:r w:rsidRPr="001C513B">
        <w:rPr>
          <w:rFonts w:ascii="Calibri" w:eastAsia="等线" w:hAnsi="Calibri" w:cs="Times New Roman"/>
          <w:lang w:bidi="hi-IN"/>
        </w:rPr>
        <w:t xml:space="preserve">different grain orientation </w:t>
      </w:r>
      <w:r>
        <w:rPr>
          <w:rFonts w:ascii="Calibri" w:eastAsia="等线" w:hAnsi="Calibri" w:cs="Times New Roman"/>
          <w:lang w:bidi="hi-IN"/>
        </w:rPr>
        <w:t xml:space="preserve">in comparison </w:t>
      </w:r>
      <w:r w:rsidRPr="001C513B">
        <w:rPr>
          <w:rFonts w:ascii="Calibri" w:eastAsia="等线" w:hAnsi="Calibri" w:cs="Times New Roman"/>
          <w:lang w:bidi="hi-IN"/>
        </w:rPr>
        <w:t xml:space="preserve">with the matrix. </w:t>
      </w:r>
      <w:r>
        <w:rPr>
          <w:rFonts w:ascii="Calibri" w:eastAsia="等线" w:hAnsi="Calibri" w:cs="Times New Roman"/>
          <w:lang w:bidi="hi-IN"/>
        </w:rPr>
        <w:t>With regard to the</w:t>
      </w:r>
      <w:r w:rsidRPr="001C513B">
        <w:rPr>
          <w:rFonts w:ascii="Calibri" w:eastAsia="等线" w:hAnsi="Calibri" w:cs="Times New Roman"/>
          <w:lang w:bidi="hi-IN"/>
        </w:rPr>
        <w:t xml:space="preserve"> metastable β-Ti alloy,</w:t>
      </w:r>
      <w:r>
        <w:rPr>
          <w:rFonts w:ascii="Calibri" w:eastAsia="等线" w:hAnsi="Calibri" w:cs="Times New Roman"/>
          <w:lang w:bidi="hi-IN"/>
        </w:rPr>
        <w:t xml:space="preserve"> the</w:t>
      </w:r>
      <w:r w:rsidRPr="001C513B">
        <w:rPr>
          <w:rFonts w:ascii="Calibri" w:eastAsia="等线" w:hAnsi="Calibri" w:cs="Times New Roman"/>
          <w:lang w:bidi="hi-IN"/>
        </w:rPr>
        <w:t xml:space="preserve"> two most frequently observed mechanical twinning mode</w:t>
      </w:r>
      <w:r>
        <w:rPr>
          <w:rFonts w:ascii="Calibri" w:eastAsia="等线" w:hAnsi="Calibri" w:cs="Times New Roman"/>
          <w:lang w:bidi="hi-IN"/>
        </w:rPr>
        <w:t>s</w:t>
      </w:r>
      <w:r w:rsidRPr="001C513B">
        <w:rPr>
          <w:rFonts w:ascii="Calibri" w:eastAsia="等线" w:hAnsi="Calibri" w:cs="Times New Roman"/>
          <w:lang w:bidi="hi-IN"/>
        </w:rPr>
        <w:t xml:space="preserve"> are {332}[11-3]</w:t>
      </w:r>
      <w:r w:rsidRPr="001C513B">
        <w:rPr>
          <w:rFonts w:ascii="Times New Roman" w:eastAsia="等线" w:hAnsi="Times New Roman" w:cs="Times New Roman"/>
          <w:vertAlign w:val="subscript"/>
          <w:lang w:bidi="hi-IN"/>
        </w:rPr>
        <w:t>β</w:t>
      </w:r>
      <w:r w:rsidRPr="001C513B">
        <w:rPr>
          <w:rFonts w:ascii="Calibri" w:eastAsia="等线" w:hAnsi="Calibri" w:cs="Times New Roman"/>
          <w:lang w:bidi="hi-IN"/>
        </w:rPr>
        <w:t xml:space="preserve"> twin</w:t>
      </w:r>
      <w:r w:rsidR="00205DE5">
        <w:rPr>
          <w:rFonts w:ascii="Calibri" w:eastAsia="等线" w:hAnsi="Calibri" w:cs="Times New Roman"/>
          <w:lang w:bidi="hi-IN"/>
        </w:rPr>
        <w:t>ning</w:t>
      </w:r>
      <w:r w:rsidRPr="001C513B">
        <w:rPr>
          <w:rFonts w:ascii="Calibri" w:eastAsia="等线" w:hAnsi="Calibri" w:cs="Times New Roman"/>
          <w:lang w:bidi="hi-IN"/>
        </w:rPr>
        <w:t xml:space="preserve"> and {112}[11-1]</w:t>
      </w:r>
      <w:r w:rsidRPr="001C513B">
        <w:rPr>
          <w:rFonts w:ascii="Times New Roman" w:eastAsia="等线" w:hAnsi="Times New Roman" w:cs="Times New Roman"/>
          <w:vertAlign w:val="subscript"/>
          <w:lang w:bidi="hi-IN"/>
        </w:rPr>
        <w:t>β</w:t>
      </w:r>
      <w:r w:rsidRPr="001C513B">
        <w:rPr>
          <w:rFonts w:ascii="Calibri" w:eastAsia="等线" w:hAnsi="Calibri" w:cs="Times New Roman"/>
          <w:lang w:bidi="hi-IN"/>
        </w:rPr>
        <w:t xml:space="preserve"> twin</w:t>
      </w:r>
      <w:r w:rsidR="00205DE5">
        <w:rPr>
          <w:rFonts w:ascii="Calibri" w:eastAsia="等线" w:hAnsi="Calibri" w:cs="Times New Roman"/>
          <w:lang w:bidi="hi-IN"/>
        </w:rPr>
        <w:t>ning</w:t>
      </w:r>
      <w:r>
        <w:rPr>
          <w:rFonts w:ascii="Calibri" w:eastAsia="等线" w:hAnsi="Calibri" w:cs="Times New Roman"/>
          <w:lang w:bidi="hi-IN"/>
        </w:rPr>
        <w:t xml:space="preserve"> </w:t>
      </w:r>
      <w:r w:rsidRPr="001C513B">
        <w:rPr>
          <w:rFonts w:ascii="Calibri" w:eastAsia="等线" w:hAnsi="Calibri" w:cs="Times New Roman"/>
          <w:lang w:bidi="hi-IN"/>
        </w:rPr>
        <w:fldChar w:fldCharType="begin" w:fldLock="1"/>
      </w:r>
      <w:r>
        <w:rPr>
          <w:rFonts w:ascii="Calibri" w:eastAsia="等线" w:hAnsi="Calibri" w:cs="Times New Roman"/>
          <w:lang w:bidi="hi-IN"/>
        </w:rPr>
        <w:instrText>ADDIN CSL_CITATION {"citationItems":[{"id":"ITEM-1","itemData":{"DOI":"10.1016/j.actamat.2015.11.026","ISBN":"1359-6454","ISSN":"13596454","abstract":"A metastable β Ti-10V-3Fe-3Al-0.27O (wt.%) alloy was subjected to thermo-mechanical processing to induce α and ω phase formation, so that the alloy can exhibit the features responsible for both transformation induced plasticity (TRIP) and twinning induced plasticity (TWIP) behaviour during deformation. The alloy thereafter was deformed at different strain r</w:instrText>
      </w:r>
      <w:r>
        <w:rPr>
          <w:rFonts w:ascii="Calibri" w:eastAsia="等线" w:hAnsi="Calibri" w:cs="Times New Roman" w:hint="eastAsia"/>
          <w:lang w:bidi="hi-IN"/>
        </w:rPr>
        <w:instrText>ates (10-3, 10-1, 101, 102 s-1) at ambient temperature. At slow strain rate (</w:instrText>
      </w:r>
      <w:r>
        <w:rPr>
          <w:rFonts w:ascii="Calibri" w:eastAsia="等线" w:hAnsi="Calibri" w:cs="Times New Roman" w:hint="eastAsia"/>
          <w:lang w:bidi="hi-IN"/>
        </w:rPr>
        <w:instrText>≤</w:instrText>
      </w:r>
      <w:r>
        <w:rPr>
          <w:rFonts w:ascii="Calibri" w:eastAsia="等线" w:hAnsi="Calibri" w:cs="Times New Roman" w:hint="eastAsia"/>
          <w:lang w:bidi="hi-IN"/>
        </w:rPr>
        <w:instrText xml:space="preserve">10-3 s-1), in addition to slip the alloy displayed a dominant deformation mechanism with </w:instrText>
      </w:r>
      <w:r>
        <w:rPr>
          <w:rFonts w:ascii="Calibri" w:eastAsia="等线" w:hAnsi="Calibri" w:cs="Times New Roman" w:hint="eastAsia"/>
          <w:lang w:bidi="hi-IN"/>
        </w:rPr>
        <w:instrText>α″</w:instrText>
      </w:r>
      <w:r>
        <w:rPr>
          <w:rFonts w:ascii="Calibri" w:eastAsia="等线" w:hAnsi="Calibri" w:cs="Times New Roman" w:hint="eastAsia"/>
          <w:lang w:bidi="hi-IN"/>
        </w:rPr>
        <w:instrText xml:space="preserve"> martensite formation, where mechanical {332}&lt;113&gt;</w:instrText>
      </w:r>
      <w:r>
        <w:rPr>
          <w:rFonts w:ascii="Calibri" w:eastAsia="等线" w:hAnsi="Calibri" w:cs="Times New Roman" w:hint="eastAsia"/>
          <w:lang w:bidi="hi-IN"/>
        </w:rPr>
        <w:instrText>β</w:instrText>
      </w:r>
      <w:r>
        <w:rPr>
          <w:rFonts w:ascii="Calibri" w:eastAsia="等线" w:hAnsi="Calibri" w:cs="Times New Roman" w:hint="eastAsia"/>
          <w:lang w:bidi="hi-IN"/>
        </w:rPr>
        <w:instrText xml:space="preserve"> twinning and deformation-induced </w:instrText>
      </w:r>
      <w:r>
        <w:rPr>
          <w:rFonts w:ascii="Calibri" w:eastAsia="等线" w:hAnsi="Calibri" w:cs="Times New Roman" w:hint="eastAsia"/>
          <w:lang w:bidi="hi-IN"/>
        </w:rPr>
        <w:instrText>ω</w:instrText>
      </w:r>
      <w:r>
        <w:rPr>
          <w:rFonts w:ascii="Calibri" w:eastAsia="等线" w:hAnsi="Calibri" w:cs="Times New Roman"/>
          <w:lang w:bidi="hi-IN"/>
        </w:rPr>
        <w:instrText xml:space="preserve"> phase were also activated. At an intermediate strain rate, 10-1 s-1, there was a competition between stress-induced phase transformations and stress-induced twinning deformation mechanisms. With increasing strain rate to 101 s-1 or higher; it was found that the dominant deformation mode was twinning. These results have been correlated with the β phase stability of the samples.","author":[{"dropping-particle":"","family":"Ahmed","given":"Mansur","non-dropping-particle":"","parse-names":false,"suffix":""},{"dropping-particle":"","family":"Wexler","given":"David","non-dropping-particle":"","parse-names":false,"suffix":""},{"dropping-particle":"","family":"Casillas","given":"Gilberto","non-dropping-particle":"","parse-names":false,"suffix":""},{"dropping-particle":"","family":"Savvakin","given":"Dmytro G.","non-dropping-particle":"","parse-names":false,"suffix":""},{"dropping-particle":"V.","family":"Pereloma","given":"Elena","non-dropping-particle":"","parse-names":false,"suffix":""}],"container-title":"Acta Materialia","id":"ITEM-1","issued":{"date-parts":[["2016"]]},"title":"Strain rate dependence of deformation-induced transformation and twinning in a metastable titanium alloy","type":"article-journal"},"uris":["http://www.mendeley.com/documents/?uuid=ce811429-c9fd-43d5-840e-2261a9a12566"]},{"id":"ITEM-2","itemData":{"DOI":"10.1023/A:1015456026919","ISBN":"0022-2461","ISSN":"00222461","abstract":"Two kinds of titanium alloys, β titanium alloy (Ti-10V-2Fe-3Al) and α titanium alloy (Ti-5Al-2.5Sn) were used to investigate the toughening mechanisms with new approaches. The results show that Ti-5Al-2.5Sn alloy possesses good combination of strength and ductility as well as satisfied low-cycle fatigue life both at 293 K and 77 K. As for Ti-10V-2Fe-3Al alloy, the microstructure with metastable β phase shows lower strength and ductility but higher threshold stress intensity factor (ΔK th) than solution treated and aged microstructure composed of α and β phases. The microstructures also show that twinning occurs in deformation of Ti-5Al-2.5Sn alloy at 77 K. Twinning seems to be helpful for improving the low-cycle fatigue life to a great extent at cryogenic temperature. It's also found that owing to stress-assisted martensite transformation in metastable Ti-10V-2Fe-3Al alloy, the fatigue crack propagation path shows a very tortuous way, which decrease the effective stress intensity factor (ΔK eff) at crack tip, and increase threshold stress intensity factor (ΔK th).","author":[{"dropping-particle":"","family":"Sun","given":"Q. Y.","non-dropping-particle":"","parse-names":false,"suffix":""},{"dropping-particle":"","family":"Song","given":"S. J.","non-dropping-particle":"","parse-names":false,"suffix":""},{"dropping-particle":"","family":"Zhu","given":"R. H.","non-dropping-particle":"","parse-names":false,"suffix":""},{"dropping-particle":"","family":"Gu","given":"H. C.","non-dropping-particle":"","parse-names":false,"suffix":""}],"container-title":"Journal of Materials Science","id":"ITEM-2","issued":{"date-parts":[["2002"]]},"title":"Toughening of titanium alloys by twinning and martensite transformation","type":"article-journal"},"uris":["http://www.mendeley.com/documents/?uuid=14e3b8c8-7da4-492e-82c0-62222ccfa738","http://www.mendeley.com/documents/?uuid=6ac24992-5bc3-43a4-be05-ae2bccd52862"]}],"mendeley":{"formattedCitation":"[17,36]","plainTextFormattedCitation":"[17,36]","previouslyFormattedCitation":"[17,36]"},"properties":{"noteIndex":0},"schema":"https://github.com/citation-style-language/schema/raw/master/csl-citation.json"}</w:instrText>
      </w:r>
      <w:r w:rsidRPr="001C513B">
        <w:rPr>
          <w:rFonts w:ascii="Calibri" w:eastAsia="等线" w:hAnsi="Calibri" w:cs="Times New Roman"/>
          <w:lang w:bidi="hi-IN"/>
        </w:rPr>
        <w:fldChar w:fldCharType="separate"/>
      </w:r>
      <w:r w:rsidRPr="001C513B">
        <w:rPr>
          <w:rFonts w:ascii="Calibri" w:eastAsia="等线" w:hAnsi="Calibri" w:cs="Times New Roman"/>
          <w:noProof/>
          <w:lang w:bidi="hi-IN"/>
        </w:rPr>
        <w:t>[17,36]</w:t>
      </w:r>
      <w:r w:rsidRPr="001C513B">
        <w:rPr>
          <w:rFonts w:ascii="Calibri" w:eastAsia="等线" w:hAnsi="Calibri" w:cs="Times New Roman"/>
          <w:lang w:bidi="hi-IN"/>
        </w:rPr>
        <w:fldChar w:fldCharType="end"/>
      </w:r>
      <w:r w:rsidRPr="001C513B">
        <w:rPr>
          <w:rFonts w:ascii="Calibri" w:eastAsia="等线" w:hAnsi="Calibri" w:cs="Times New Roman"/>
          <w:lang w:bidi="hi-IN"/>
        </w:rPr>
        <w:t xml:space="preserve">. Thus, the misorientation of </w:t>
      </w:r>
      <w:r w:rsidRPr="000C0954">
        <w:rPr>
          <w:rFonts w:eastAsia="等线" w:cstheme="minorHAnsi"/>
          <w:lang w:bidi="hi-IN"/>
        </w:rPr>
        <w:t>th</w:t>
      </w:r>
      <w:r w:rsidR="00101546">
        <w:rPr>
          <w:rFonts w:eastAsia="等线" w:cstheme="minorHAnsi"/>
          <w:lang w:bidi="hi-IN"/>
        </w:rPr>
        <w:t>ese</w:t>
      </w:r>
      <w:r w:rsidRPr="000C0954">
        <w:rPr>
          <w:rFonts w:eastAsia="等线" w:cstheme="minorHAnsi"/>
          <w:lang w:bidi="hi-IN"/>
        </w:rPr>
        <w:t xml:space="preserve"> twinning system</w:t>
      </w:r>
      <w:r w:rsidR="00101546">
        <w:rPr>
          <w:rFonts w:eastAsia="等线" w:cstheme="minorHAnsi"/>
          <w:lang w:bidi="hi-IN"/>
        </w:rPr>
        <w:t>s</w:t>
      </w:r>
      <w:r w:rsidRPr="000C0954">
        <w:rPr>
          <w:rFonts w:eastAsia="等线" w:cstheme="minorHAnsi"/>
          <w:lang w:bidi="hi-IN"/>
        </w:rPr>
        <w:t xml:space="preserve"> w</w:t>
      </w:r>
      <w:r w:rsidR="00101546">
        <w:rPr>
          <w:rFonts w:eastAsia="等线" w:cstheme="minorHAnsi"/>
          <w:lang w:bidi="hi-IN"/>
        </w:rPr>
        <w:t>ere</w:t>
      </w:r>
      <w:r w:rsidRPr="000C0954">
        <w:rPr>
          <w:rFonts w:eastAsia="等线" w:cstheme="minorHAnsi"/>
          <w:lang w:bidi="hi-IN"/>
        </w:rPr>
        <w:t xml:space="preserve"> selected and substituted into the raw data of </w:t>
      </w:r>
      <w:r w:rsidRPr="000C0954">
        <w:rPr>
          <w:rFonts w:eastAsia="等线" w:cstheme="minorHAnsi"/>
        </w:rPr>
        <w:t>Fig. 5-2</w:t>
      </w:r>
      <w:r w:rsidRPr="000C0954">
        <w:rPr>
          <w:rFonts w:eastAsia="等线" w:cstheme="minorHAnsi"/>
          <w:lang w:bidi="hi-IN"/>
        </w:rPr>
        <w:t xml:space="preserve">. The twinning constitution is displayed in </w:t>
      </w:r>
      <w:r w:rsidRPr="000C0954">
        <w:rPr>
          <w:rFonts w:eastAsia="等线" w:cstheme="minorHAnsi"/>
        </w:rPr>
        <w:t>Fig. 5-2(b)</w:t>
      </w:r>
      <w:r w:rsidRPr="000C0954">
        <w:rPr>
          <w:rFonts w:eastAsia="等线" w:cstheme="minorHAnsi"/>
          <w:lang w:bidi="hi-IN"/>
        </w:rPr>
        <w:t xml:space="preserve"> and twinning system </w:t>
      </w:r>
      <w:r w:rsidR="00FD63D5">
        <w:rPr>
          <w:rFonts w:eastAsia="等线" w:cstheme="minorHAnsi"/>
          <w:lang w:bidi="hi-IN"/>
        </w:rPr>
        <w:t>was</w:t>
      </w:r>
      <w:r w:rsidRPr="000C0954">
        <w:rPr>
          <w:rFonts w:eastAsia="等线" w:cstheme="minorHAnsi"/>
          <w:lang w:bidi="hi-IN"/>
        </w:rPr>
        <w:t xml:space="preserve"> observed in </w:t>
      </w:r>
      <w:r w:rsidRPr="000C0954">
        <w:rPr>
          <w:rFonts w:eastAsia="等线" w:cstheme="minorHAnsi"/>
          <w:sz w:val="20"/>
          <w:szCs w:val="18"/>
        </w:rPr>
        <w:t>TiZrHfTa</w:t>
      </w:r>
      <w:r w:rsidRPr="000C0954">
        <w:rPr>
          <w:rFonts w:eastAsia="等线" w:cstheme="minorHAnsi"/>
          <w:sz w:val="20"/>
          <w:szCs w:val="18"/>
          <w:vertAlign w:val="subscript"/>
        </w:rPr>
        <w:t>0.8</w:t>
      </w:r>
      <w:r w:rsidRPr="000C0954">
        <w:rPr>
          <w:rFonts w:eastAsia="等线" w:cstheme="minorHAnsi"/>
          <w:lang w:bidi="hi-IN"/>
        </w:rPr>
        <w:t>. The needle-like structures were initially identified as {332}[11-3]</w:t>
      </w:r>
      <w:r w:rsidRPr="000C0954">
        <w:rPr>
          <w:rFonts w:eastAsia="等线" w:cstheme="minorHAnsi"/>
          <w:vertAlign w:val="subscript"/>
          <w:lang w:bidi="hi-IN"/>
        </w:rPr>
        <w:t xml:space="preserve">β </w:t>
      </w:r>
      <w:r w:rsidR="00FD63D5">
        <w:rPr>
          <w:rFonts w:eastAsia="等线" w:cstheme="minorHAnsi"/>
          <w:lang w:bidi="hi-IN"/>
        </w:rPr>
        <w:t xml:space="preserve"> twins</w:t>
      </w:r>
      <w:r w:rsidRPr="000C0954">
        <w:rPr>
          <w:rFonts w:eastAsia="等线" w:cstheme="minorHAnsi"/>
          <w:lang w:bidi="hi-IN"/>
        </w:rPr>
        <w:t xml:space="preserve">. </w:t>
      </w:r>
      <w:r w:rsidRPr="001C513B">
        <w:rPr>
          <w:rFonts w:ascii="Calibri" w:eastAsia="等线" w:hAnsi="Calibri" w:cs="Times New Roman"/>
          <w:lang w:bidi="hi-IN"/>
        </w:rPr>
        <w:t>Considering the reports of {332}[11-3]</w:t>
      </w:r>
      <w:r w:rsidRPr="001C513B">
        <w:rPr>
          <w:rFonts w:ascii="Times New Roman" w:eastAsia="等线" w:hAnsi="Times New Roman" w:cs="Times New Roman"/>
          <w:vertAlign w:val="subscript"/>
          <w:lang w:bidi="hi-IN"/>
        </w:rPr>
        <w:t>β</w:t>
      </w:r>
      <w:r w:rsidRPr="001C513B">
        <w:rPr>
          <w:rFonts w:ascii="Times New Roman" w:eastAsia="等线" w:hAnsi="Times New Roman" w:cs="Times New Roman"/>
          <w:lang w:bidi="hi-IN"/>
        </w:rPr>
        <w:t xml:space="preserve"> </w:t>
      </w:r>
      <w:r>
        <w:rPr>
          <w:rFonts w:ascii="Calibri" w:eastAsia="等线" w:hAnsi="Calibri" w:cs="Times New Roman"/>
          <w:lang w:bidi="hi-IN"/>
        </w:rPr>
        <w:t>being related to</w:t>
      </w:r>
      <w:r w:rsidRPr="001C513B">
        <w:rPr>
          <w:rFonts w:ascii="Calibri" w:eastAsia="等线" w:hAnsi="Calibri" w:cs="Calibri"/>
          <w:b/>
          <w:sz w:val="44"/>
          <w:szCs w:val="24"/>
          <w:vertAlign w:val="subscript"/>
          <w:lang w:bidi="hi-IN"/>
        </w:rPr>
        <w:t xml:space="preserve"> </w:t>
      </w:r>
      <w:r w:rsidRPr="001C513B">
        <w:rPr>
          <w:rFonts w:ascii="Calibri" w:eastAsia="等线" w:hAnsi="Calibri" w:cs="Times New Roman"/>
          <w:lang w:bidi="hi-IN"/>
        </w:rPr>
        <w:t xml:space="preserve">metastable </w:t>
      </w:r>
      <w:r w:rsidR="00FD63D5">
        <w:rPr>
          <w:rFonts w:ascii="Calibri" w:eastAsia="等线" w:hAnsi="Calibri" w:cs="Times New Roman"/>
          <w:lang w:bidi="hi-IN"/>
        </w:rPr>
        <w:t xml:space="preserve">TWIP </w:t>
      </w:r>
      <w:r w:rsidRPr="001C513B">
        <w:rPr>
          <w:rFonts w:ascii="Calibri" w:eastAsia="等线" w:hAnsi="Calibri" w:cs="Times New Roman"/>
          <w:lang w:bidi="hi-IN"/>
        </w:rPr>
        <w:t>β-Ti alloy</w:t>
      </w:r>
      <w:r>
        <w:rPr>
          <w:rFonts w:ascii="Calibri" w:eastAsia="等线" w:hAnsi="Calibri" w:cs="Times New Roman"/>
          <w:lang w:bidi="hi-IN"/>
        </w:rPr>
        <w:t>,</w:t>
      </w:r>
      <w:r w:rsidRPr="001C513B">
        <w:rPr>
          <w:rFonts w:ascii="Calibri" w:eastAsia="等线" w:hAnsi="Calibri" w:cs="Times New Roman"/>
          <w:lang w:bidi="hi-IN"/>
        </w:rPr>
        <w:t xml:space="preserve"> the appearance of {332}[11-3]</w:t>
      </w:r>
      <w:r w:rsidRPr="001C513B">
        <w:rPr>
          <w:rFonts w:ascii="Times New Roman" w:eastAsia="等线" w:hAnsi="Times New Roman" w:cs="Times New Roman"/>
          <w:vertAlign w:val="subscript"/>
          <w:lang w:bidi="hi-IN"/>
        </w:rPr>
        <w:t>β</w:t>
      </w:r>
      <w:r w:rsidRPr="001C513B">
        <w:rPr>
          <w:rFonts w:ascii="Times New Roman" w:eastAsia="等线" w:hAnsi="Times New Roman" w:cs="Times New Roman"/>
          <w:lang w:bidi="hi-IN"/>
        </w:rPr>
        <w:t xml:space="preserve"> </w:t>
      </w:r>
      <w:r w:rsidRPr="001C513B">
        <w:rPr>
          <w:rFonts w:ascii="Calibri" w:eastAsia="等线" w:hAnsi="Calibri" w:cs="Times New Roman"/>
          <w:lang w:bidi="hi-IN"/>
        </w:rPr>
        <w:t>may not only</w:t>
      </w:r>
      <w:r>
        <w:rPr>
          <w:rFonts w:ascii="Calibri" w:eastAsia="等线" w:hAnsi="Calibri" w:cs="Times New Roman"/>
          <w:lang w:bidi="hi-IN"/>
        </w:rPr>
        <w:t xml:space="preserve"> be</w:t>
      </w:r>
      <w:r w:rsidRPr="001C513B">
        <w:rPr>
          <w:rFonts w:ascii="Calibri" w:eastAsia="等线" w:hAnsi="Calibri" w:cs="Times New Roman"/>
          <w:lang w:bidi="hi-IN"/>
        </w:rPr>
        <w:t xml:space="preserve"> a sign of </w:t>
      </w:r>
      <w:r>
        <w:rPr>
          <w:rFonts w:ascii="Calibri" w:eastAsia="等线" w:hAnsi="Calibri" w:cs="Times New Roman"/>
          <w:lang w:bidi="hi-IN"/>
        </w:rPr>
        <w:t xml:space="preserve">the </w:t>
      </w:r>
      <w:r w:rsidRPr="001C513B">
        <w:rPr>
          <w:rFonts w:ascii="Calibri" w:eastAsia="等线" w:hAnsi="Calibri" w:cs="Times New Roman"/>
          <w:lang w:bidi="hi-IN"/>
        </w:rPr>
        <w:t xml:space="preserve">activation of TWIP but related to the reduction of β phase stability and martensitic transformation. </w:t>
      </w:r>
      <w:r>
        <w:rPr>
          <w:rFonts w:ascii="Calibri" w:eastAsia="等线" w:hAnsi="Calibri" w:cs="Times New Roman"/>
          <w:lang w:bidi="hi-IN"/>
        </w:rPr>
        <w:t>Through the addition of</w:t>
      </w:r>
      <w:r w:rsidRPr="001C513B">
        <w:rPr>
          <w:rFonts w:ascii="Calibri" w:eastAsia="等线" w:hAnsi="Calibri" w:cs="Times New Roman"/>
          <w:lang w:bidi="hi-IN"/>
        </w:rPr>
        <w:t xml:space="preserve"> the crystal information of </w:t>
      </w:r>
      <w:r>
        <w:rPr>
          <w:rFonts w:ascii="Calibri" w:eastAsia="等线" w:hAnsi="Calibri" w:cs="Times New Roman"/>
          <w:lang w:bidi="hi-IN"/>
        </w:rPr>
        <w:t xml:space="preserve">the </w:t>
      </w:r>
      <w:r w:rsidRPr="001C513B">
        <w:rPr>
          <w:rFonts w:ascii="Calibri" w:eastAsia="等线" w:hAnsi="Calibri" w:cs="Times New Roman"/>
          <w:lang w:bidi="hi-IN"/>
        </w:rPr>
        <w:t>orthorhombic martensitic phase</w:t>
      </w:r>
      <w:r>
        <w:rPr>
          <w:rFonts w:ascii="Calibri" w:eastAsia="等线" w:hAnsi="Calibri" w:cs="Times New Roman"/>
          <w:lang w:bidi="hi-IN"/>
        </w:rPr>
        <w:t>, as determined by the</w:t>
      </w:r>
      <w:r w:rsidRPr="001C513B">
        <w:rPr>
          <w:rFonts w:ascii="Calibri" w:eastAsia="等线" w:hAnsi="Calibri" w:cs="Times New Roman"/>
          <w:lang w:bidi="hi-IN"/>
        </w:rPr>
        <w:t xml:space="preserve"> previous XRD pattern, </w:t>
      </w:r>
      <w:r>
        <w:rPr>
          <w:rFonts w:ascii="Calibri" w:eastAsia="等线" w:hAnsi="Calibri" w:cs="Times New Roman"/>
          <w:lang w:bidi="hi-IN"/>
        </w:rPr>
        <w:t xml:space="preserve">the </w:t>
      </w:r>
      <w:r w:rsidRPr="001C513B">
        <w:rPr>
          <w:rFonts w:ascii="Calibri" w:eastAsia="等线" w:hAnsi="Calibri" w:cs="Times New Roman"/>
          <w:lang w:bidi="hi-IN"/>
        </w:rPr>
        <w:t xml:space="preserve">unindexed </w:t>
      </w:r>
      <w:r>
        <w:rPr>
          <w:rFonts w:ascii="Calibri" w:eastAsia="等线" w:hAnsi="Calibri" w:cs="Times New Roman"/>
          <w:lang w:bidi="hi-IN"/>
        </w:rPr>
        <w:t>needle-like</w:t>
      </w:r>
      <w:r w:rsidRPr="001C513B">
        <w:rPr>
          <w:rFonts w:ascii="Calibri" w:eastAsia="等线" w:hAnsi="Calibri" w:cs="Times New Roman"/>
          <w:lang w:bidi="hi-IN"/>
        </w:rPr>
        <w:t xml:space="preserve"> structures were then identified as </w:t>
      </w:r>
      <w:r w:rsidR="00205DE5">
        <w:rPr>
          <w:rFonts w:ascii="Calibri" w:eastAsia="等线" w:hAnsi="Calibri" w:cs="Times New Roman"/>
          <w:lang w:bidi="hi-IN"/>
        </w:rPr>
        <w:t xml:space="preserve">the </w:t>
      </w:r>
      <w:r w:rsidRPr="001C513B">
        <w:rPr>
          <w:rFonts w:ascii="Calibri" w:eastAsia="等线" w:hAnsi="Calibri" w:cs="Times New Roman"/>
          <w:lang w:bidi="hi-IN"/>
        </w:rPr>
        <w:t xml:space="preserve">α’’ martensite phase. </w:t>
      </w:r>
    </w:p>
    <w:p w14:paraId="39ACEE6C" w14:textId="461F1964" w:rsidR="00B145BE" w:rsidRPr="00272B9E" w:rsidRDefault="00FD63D5" w:rsidP="00B145BE">
      <w:pPr>
        <w:suppressAutoHyphens/>
        <w:spacing w:after="120" w:line="360" w:lineRule="auto"/>
        <w:jc w:val="center"/>
        <w:rPr>
          <w:rFonts w:ascii="Calibri" w:eastAsia="等线" w:hAnsi="Calibri" w:cs="Times New Roman"/>
          <w:lang w:bidi="hi-IN"/>
        </w:rPr>
      </w:pPr>
      <w:r w:rsidRPr="00FD63D5">
        <w:rPr>
          <w:rFonts w:ascii="Calibri" w:eastAsia="等线" w:hAnsi="Calibri" w:cs="Times New Roman"/>
          <w:noProof/>
          <w:lang w:bidi="hi-IN"/>
        </w:rPr>
        <w:lastRenderedPageBreak/>
        <w:drawing>
          <wp:inline distT="0" distB="0" distL="0" distR="0" wp14:anchorId="321DD9B6" wp14:editId="1DE847BC">
            <wp:extent cx="5943600" cy="2962275"/>
            <wp:effectExtent l="0" t="0" r="0" b="9525"/>
            <wp:docPr id="236" name="图片 26">
              <a:extLst xmlns:a="http://schemas.openxmlformats.org/drawingml/2006/main">
                <a:ext uri="{FF2B5EF4-FFF2-40B4-BE49-F238E27FC236}">
                  <a16:creationId xmlns:a16="http://schemas.microsoft.com/office/drawing/2014/main" id="{A6EC5429-CAB1-4D86-B251-85DFD7BE70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a:extLst>
                        <a:ext uri="{FF2B5EF4-FFF2-40B4-BE49-F238E27FC236}">
                          <a16:creationId xmlns:a16="http://schemas.microsoft.com/office/drawing/2014/main" id="{A6EC5429-CAB1-4D86-B251-85DFD7BE70E8}"/>
                        </a:ext>
                      </a:extLst>
                    </pic:cNvPr>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943600" cy="2962275"/>
                    </a:xfrm>
                    <a:prstGeom prst="rect">
                      <a:avLst/>
                    </a:prstGeom>
                  </pic:spPr>
                </pic:pic>
              </a:graphicData>
            </a:graphic>
          </wp:inline>
        </w:drawing>
      </w:r>
    </w:p>
    <w:p w14:paraId="3A43654C" w14:textId="17FDEFCD" w:rsidR="00B145BE" w:rsidRPr="00CE6C09" w:rsidRDefault="00B145BE" w:rsidP="00B145BE">
      <w:pPr>
        <w:shd w:val="clear" w:color="auto" w:fill="FFFFFF"/>
        <w:spacing w:after="60" w:line="360" w:lineRule="auto"/>
        <w:jc w:val="both"/>
        <w:rPr>
          <w:rFonts w:ascii="Calibri" w:eastAsia="等线" w:hAnsi="Calibri" w:cs="Calibri"/>
          <w:sz w:val="20"/>
          <w:szCs w:val="18"/>
        </w:rPr>
      </w:pPr>
      <w:bookmarkStart w:id="242" w:name="_Toc39312708"/>
      <w:r w:rsidRPr="001C513B">
        <w:rPr>
          <w:rFonts w:ascii="Calibri" w:eastAsia="等线" w:hAnsi="Calibri" w:cs="Calibri"/>
          <w:b/>
          <w:sz w:val="20"/>
          <w:szCs w:val="18"/>
        </w:rPr>
        <w:t>Figure</w:t>
      </w:r>
      <w:r w:rsidRPr="001C513B">
        <w:rPr>
          <w:rFonts w:ascii="Calibri" w:eastAsia="等线" w:hAnsi="Calibri" w:cs="Calibri"/>
          <w:b/>
          <w:sz w:val="20"/>
          <w:szCs w:val="20"/>
        </w:rPr>
        <w:t xml:space="preserve"> 5-</w:t>
      </w:r>
      <w:r w:rsidRPr="001C513B">
        <w:rPr>
          <w:rFonts w:ascii="Calibri" w:eastAsia="等线" w:hAnsi="Calibri" w:cs="Calibri"/>
          <w:b/>
          <w:sz w:val="20"/>
          <w:szCs w:val="20"/>
        </w:rPr>
        <w:fldChar w:fldCharType="begin"/>
      </w:r>
      <w:r w:rsidRPr="001C513B">
        <w:rPr>
          <w:rFonts w:ascii="Calibri" w:eastAsia="等线" w:hAnsi="Calibri" w:cs="Calibri"/>
          <w:b/>
          <w:sz w:val="20"/>
          <w:szCs w:val="20"/>
        </w:rPr>
        <w:instrText xml:space="preserve"> SEQ Figure \* ARABIC </w:instrText>
      </w:r>
      <w:r w:rsidRPr="001C513B">
        <w:rPr>
          <w:rFonts w:ascii="Calibri" w:eastAsia="等线" w:hAnsi="Calibri" w:cs="Calibri"/>
          <w:b/>
          <w:sz w:val="20"/>
          <w:szCs w:val="20"/>
        </w:rPr>
        <w:fldChar w:fldCharType="separate"/>
      </w:r>
      <w:r>
        <w:rPr>
          <w:rFonts w:ascii="Calibri" w:eastAsia="等线" w:hAnsi="Calibri" w:cs="Calibri"/>
          <w:b/>
          <w:noProof/>
          <w:sz w:val="20"/>
          <w:szCs w:val="20"/>
        </w:rPr>
        <w:t>2</w:t>
      </w:r>
      <w:r w:rsidRPr="001C513B">
        <w:rPr>
          <w:rFonts w:ascii="Calibri" w:eastAsia="等线" w:hAnsi="Calibri" w:cs="Calibri"/>
          <w:b/>
          <w:sz w:val="20"/>
          <w:szCs w:val="20"/>
        </w:rPr>
        <w:fldChar w:fldCharType="end"/>
      </w:r>
      <w:r w:rsidRPr="001C513B">
        <w:rPr>
          <w:rFonts w:ascii="Calibri" w:eastAsia="等线" w:hAnsi="Calibri" w:cs="Calibri"/>
          <w:b/>
          <w:sz w:val="20"/>
          <w:szCs w:val="18"/>
        </w:rPr>
        <w:t xml:space="preserve"> EBSD image</w:t>
      </w:r>
      <w:r>
        <w:rPr>
          <w:rFonts w:ascii="Calibri" w:eastAsia="等线" w:hAnsi="Calibri" w:cs="Calibri"/>
          <w:b/>
          <w:sz w:val="20"/>
          <w:szCs w:val="18"/>
        </w:rPr>
        <w:t>s</w:t>
      </w:r>
      <w:r w:rsidRPr="001C513B">
        <w:rPr>
          <w:rFonts w:ascii="Calibri" w:eastAsia="等线" w:hAnsi="Calibri" w:cs="Calibri"/>
          <w:b/>
          <w:sz w:val="20"/>
          <w:szCs w:val="18"/>
        </w:rPr>
        <w:t xml:space="preserve"> of</w:t>
      </w:r>
      <w:r>
        <w:rPr>
          <w:rFonts w:ascii="Calibri" w:eastAsia="等线" w:hAnsi="Calibri" w:cs="Calibri"/>
          <w:b/>
          <w:sz w:val="20"/>
          <w:szCs w:val="18"/>
        </w:rPr>
        <w:t xml:space="preserve"> the</w:t>
      </w:r>
      <w:r w:rsidRPr="001C513B">
        <w:rPr>
          <w:rFonts w:ascii="Calibri" w:eastAsia="等线" w:hAnsi="Calibri" w:cs="Calibri"/>
          <w:b/>
          <w:sz w:val="20"/>
          <w:szCs w:val="18"/>
        </w:rPr>
        <w:t xml:space="preserve"> 5% deformed TiZrHfTa</w:t>
      </w:r>
      <w:r w:rsidRPr="001C513B">
        <w:rPr>
          <w:rFonts w:ascii="Calibri" w:eastAsia="等线" w:hAnsi="Calibri" w:cs="Calibri"/>
          <w:b/>
          <w:sz w:val="20"/>
          <w:szCs w:val="18"/>
          <w:vertAlign w:val="subscript"/>
        </w:rPr>
        <w:t xml:space="preserve">0.8 </w:t>
      </w:r>
      <w:r w:rsidRPr="001C513B">
        <w:rPr>
          <w:rFonts w:ascii="Calibri" w:eastAsia="等线" w:hAnsi="Calibri" w:cs="Calibri"/>
          <w:sz w:val="20"/>
          <w:szCs w:val="18"/>
        </w:rPr>
        <w:t>(</w:t>
      </w:r>
      <w:r>
        <w:rPr>
          <w:rFonts w:ascii="Calibri" w:eastAsia="等线" w:hAnsi="Calibri" w:cs="Calibri"/>
          <w:b/>
          <w:sz w:val="20"/>
          <w:szCs w:val="18"/>
        </w:rPr>
        <w:t>a</w:t>
      </w:r>
      <w:r w:rsidRPr="001C513B">
        <w:rPr>
          <w:rFonts w:ascii="Calibri" w:eastAsia="等线" w:hAnsi="Calibri" w:cs="Calibri"/>
          <w:sz w:val="20"/>
          <w:szCs w:val="18"/>
        </w:rPr>
        <w:t xml:space="preserve">) </w:t>
      </w:r>
      <w:r>
        <w:rPr>
          <w:rFonts w:ascii="Calibri" w:eastAsia="等线" w:hAnsi="Calibri" w:cs="Calibri"/>
          <w:sz w:val="20"/>
          <w:szCs w:val="18"/>
        </w:rPr>
        <w:t>P</w:t>
      </w:r>
      <w:r w:rsidRPr="001C513B">
        <w:rPr>
          <w:rFonts w:ascii="Calibri" w:eastAsia="等线" w:hAnsi="Calibri" w:cs="Calibri"/>
          <w:sz w:val="20"/>
          <w:szCs w:val="18"/>
        </w:rPr>
        <w:t xml:space="preserve">hase constitution map </w:t>
      </w:r>
      <w:r>
        <w:rPr>
          <w:rFonts w:ascii="Calibri" w:eastAsia="等线" w:hAnsi="Calibri" w:cs="Calibri"/>
          <w:sz w:val="20"/>
          <w:szCs w:val="18"/>
        </w:rPr>
        <w:t>with</w:t>
      </w:r>
      <w:r w:rsidRPr="001C513B">
        <w:rPr>
          <w:rFonts w:ascii="Calibri" w:eastAsia="等线" w:hAnsi="Calibri" w:cs="Calibri"/>
          <w:sz w:val="20"/>
          <w:szCs w:val="18"/>
        </w:rPr>
        <w:t xml:space="preserve"> </w:t>
      </w:r>
      <w:r w:rsidRPr="001C513B">
        <w:rPr>
          <w:rFonts w:ascii="Times New Roman" w:eastAsia="等线" w:hAnsi="Times New Roman" w:cs="Times New Roman"/>
          <w:sz w:val="20"/>
          <w:szCs w:val="18"/>
        </w:rPr>
        <w:t>β</w:t>
      </w:r>
      <w:r w:rsidRPr="001C513B">
        <w:rPr>
          <w:rFonts w:ascii="Calibri" w:eastAsia="等线" w:hAnsi="Calibri" w:cs="Calibri"/>
          <w:sz w:val="20"/>
          <w:szCs w:val="18"/>
        </w:rPr>
        <w:t xml:space="preserve"> and </w:t>
      </w:r>
      <w:r w:rsidRPr="001C513B">
        <w:rPr>
          <w:rFonts w:ascii="Times New Roman" w:eastAsia="等线" w:hAnsi="Times New Roman" w:cs="Times New Roman"/>
          <w:sz w:val="20"/>
          <w:szCs w:val="18"/>
        </w:rPr>
        <w:t>α</w:t>
      </w:r>
      <w:r w:rsidRPr="001C513B">
        <w:rPr>
          <w:rFonts w:ascii="Calibri" w:eastAsia="等线" w:hAnsi="Calibri" w:cs="Calibri"/>
          <w:sz w:val="20"/>
          <w:szCs w:val="18"/>
        </w:rPr>
        <w:t>’’ phases</w:t>
      </w:r>
      <w:r>
        <w:rPr>
          <w:rFonts w:ascii="Calibri" w:eastAsia="等线" w:hAnsi="Calibri" w:cs="Calibri"/>
          <w:sz w:val="20"/>
          <w:szCs w:val="18"/>
        </w:rPr>
        <w:t xml:space="preserve"> </w:t>
      </w:r>
      <w:r w:rsidRPr="001C513B">
        <w:rPr>
          <w:rFonts w:ascii="Calibri" w:eastAsia="等线" w:hAnsi="Calibri" w:cs="Calibri"/>
          <w:sz w:val="20"/>
          <w:szCs w:val="18"/>
        </w:rPr>
        <w:t xml:space="preserve">marked with red and </w:t>
      </w:r>
      <w:r w:rsidR="00FD63D5">
        <w:rPr>
          <w:rFonts w:ascii="Calibri" w:eastAsia="等线" w:hAnsi="Calibri" w:cs="Calibri" w:hint="eastAsia"/>
          <w:sz w:val="20"/>
          <w:szCs w:val="18"/>
        </w:rPr>
        <w:t>black</w:t>
      </w:r>
      <w:r w:rsidRPr="001C513B">
        <w:rPr>
          <w:rFonts w:ascii="Calibri" w:eastAsia="等线" w:hAnsi="Calibri" w:cs="Calibri"/>
          <w:sz w:val="20"/>
          <w:szCs w:val="18"/>
        </w:rPr>
        <w:t xml:space="preserve"> respectively. (</w:t>
      </w:r>
      <w:r>
        <w:rPr>
          <w:rFonts w:ascii="Calibri" w:eastAsia="等线" w:hAnsi="Calibri" w:cs="Calibri"/>
          <w:b/>
          <w:sz w:val="20"/>
          <w:szCs w:val="18"/>
        </w:rPr>
        <w:t>b</w:t>
      </w:r>
      <w:r w:rsidRPr="001C513B">
        <w:rPr>
          <w:rFonts w:ascii="Calibri" w:eastAsia="等线" w:hAnsi="Calibri" w:cs="Calibri"/>
          <w:sz w:val="20"/>
          <w:szCs w:val="18"/>
        </w:rPr>
        <w:t xml:space="preserve">) </w:t>
      </w:r>
      <w:r>
        <w:rPr>
          <w:rFonts w:ascii="Calibri" w:eastAsia="等线" w:hAnsi="Calibri" w:cs="Calibri"/>
          <w:sz w:val="20"/>
          <w:szCs w:val="18"/>
        </w:rPr>
        <w:t>A</w:t>
      </w:r>
      <w:r w:rsidR="009469BE">
        <w:rPr>
          <w:rFonts w:ascii="Calibri" w:eastAsia="等线" w:hAnsi="Calibri" w:cs="Calibri"/>
          <w:sz w:val="20"/>
          <w:szCs w:val="18"/>
        </w:rPr>
        <w:t>n</w:t>
      </w:r>
      <w:r>
        <w:rPr>
          <w:rFonts w:ascii="Calibri" w:eastAsia="等线" w:hAnsi="Calibri" w:cs="Calibri"/>
          <w:sz w:val="20"/>
          <w:szCs w:val="18"/>
        </w:rPr>
        <w:t xml:space="preserve"> E</w:t>
      </w:r>
      <w:r w:rsidRPr="001C513B">
        <w:rPr>
          <w:rFonts w:ascii="Calibri" w:eastAsia="等线" w:hAnsi="Calibri" w:cs="Calibri"/>
          <w:sz w:val="20"/>
          <w:szCs w:val="18"/>
        </w:rPr>
        <w:t>uler angle map showing grain orientation of grain</w:t>
      </w:r>
      <w:r>
        <w:rPr>
          <w:rFonts w:ascii="Calibri" w:eastAsia="等线" w:hAnsi="Calibri" w:cs="Calibri"/>
          <w:sz w:val="20"/>
          <w:szCs w:val="18"/>
        </w:rPr>
        <w:t>s</w:t>
      </w:r>
      <w:r w:rsidRPr="001C513B">
        <w:rPr>
          <w:rFonts w:ascii="Calibri" w:eastAsia="等线" w:hAnsi="Calibri" w:cs="Calibri"/>
          <w:sz w:val="20"/>
          <w:szCs w:val="18"/>
        </w:rPr>
        <w:t xml:space="preserve">. </w:t>
      </w:r>
      <w:r>
        <w:rPr>
          <w:rFonts w:ascii="Calibri" w:eastAsia="等线" w:hAnsi="Calibri" w:cs="Calibri"/>
          <w:sz w:val="20"/>
          <w:szCs w:val="18"/>
        </w:rPr>
        <w:t>Inset is</w:t>
      </w:r>
      <w:r w:rsidR="009469BE">
        <w:rPr>
          <w:rFonts w:ascii="Calibri" w:eastAsia="等线" w:hAnsi="Calibri" w:cs="Calibri"/>
          <w:sz w:val="20"/>
          <w:szCs w:val="18"/>
        </w:rPr>
        <w:t xml:space="preserve"> a</w:t>
      </w:r>
      <w:r>
        <w:rPr>
          <w:rFonts w:ascii="Calibri" w:eastAsia="等线" w:hAnsi="Calibri" w:cs="Calibri"/>
          <w:sz w:val="20"/>
          <w:szCs w:val="18"/>
        </w:rPr>
        <w:t xml:space="preserve"> partially indexed </w:t>
      </w:r>
      <w:r w:rsidRPr="001C513B">
        <w:rPr>
          <w:rFonts w:ascii="Calibri" w:eastAsia="等线" w:hAnsi="Calibri" w:cs="Calibri"/>
          <w:sz w:val="20"/>
          <w:szCs w:val="18"/>
        </w:rPr>
        <w:t xml:space="preserve">twinning boundary </w:t>
      </w:r>
      <w:r>
        <w:rPr>
          <w:rFonts w:ascii="Calibri" w:eastAsia="等线" w:hAnsi="Calibri" w:cs="Calibri"/>
          <w:sz w:val="20"/>
          <w:szCs w:val="18"/>
        </w:rPr>
        <w:t>where both</w:t>
      </w:r>
      <w:r w:rsidRPr="001C513B">
        <w:rPr>
          <w:rFonts w:ascii="Calibri" w:eastAsia="等线" w:hAnsi="Calibri" w:cs="Calibri"/>
          <w:sz w:val="20"/>
          <w:szCs w:val="18"/>
        </w:rPr>
        <w:t xml:space="preserve"> {332}[11-3]</w:t>
      </w:r>
      <w:r w:rsidRPr="001C513B">
        <w:rPr>
          <w:rFonts w:ascii="Times New Roman" w:eastAsia="等线" w:hAnsi="Times New Roman" w:cs="Times New Roman"/>
          <w:sz w:val="20"/>
          <w:szCs w:val="18"/>
          <w:vertAlign w:val="subscript"/>
        </w:rPr>
        <w:t>β</w:t>
      </w:r>
      <w:r w:rsidRPr="001C513B">
        <w:rPr>
          <w:rFonts w:ascii="Calibri" w:eastAsia="等线" w:hAnsi="Calibri" w:cs="Calibri"/>
          <w:sz w:val="20"/>
          <w:szCs w:val="18"/>
        </w:rPr>
        <w:t>twin</w:t>
      </w:r>
      <w:r>
        <w:rPr>
          <w:rFonts w:ascii="Calibri" w:eastAsia="等线" w:hAnsi="Calibri" w:cs="Calibri"/>
          <w:sz w:val="20"/>
          <w:szCs w:val="18"/>
        </w:rPr>
        <w:t>ning</w:t>
      </w:r>
      <w:r w:rsidRPr="001C513B">
        <w:rPr>
          <w:rFonts w:ascii="Calibri" w:eastAsia="等线" w:hAnsi="Calibri" w:cs="Calibri"/>
          <w:sz w:val="20"/>
          <w:szCs w:val="18"/>
        </w:rPr>
        <w:t xml:space="preserve"> </w:t>
      </w:r>
      <w:r>
        <w:rPr>
          <w:rFonts w:ascii="Calibri" w:eastAsia="等线" w:hAnsi="Calibri" w:cs="Calibri"/>
          <w:sz w:val="20"/>
          <w:szCs w:val="18"/>
        </w:rPr>
        <w:t>boundar</w:t>
      </w:r>
      <w:r w:rsidR="009469BE">
        <w:rPr>
          <w:rFonts w:ascii="Calibri" w:eastAsia="等线" w:hAnsi="Calibri" w:cs="Calibri"/>
          <w:sz w:val="20"/>
          <w:szCs w:val="18"/>
        </w:rPr>
        <w:t>ies</w:t>
      </w:r>
      <w:r w:rsidRPr="001C513B">
        <w:rPr>
          <w:rFonts w:ascii="Calibri" w:eastAsia="等线" w:hAnsi="Calibri" w:cs="Calibri"/>
          <w:sz w:val="20"/>
          <w:szCs w:val="18"/>
        </w:rPr>
        <w:t xml:space="preserve"> </w:t>
      </w:r>
      <w:r w:rsidR="009469BE">
        <w:rPr>
          <w:rFonts w:ascii="Calibri" w:eastAsia="等线" w:hAnsi="Calibri" w:cs="Calibri"/>
          <w:sz w:val="20"/>
          <w:szCs w:val="18"/>
        </w:rPr>
        <w:t>exist</w:t>
      </w:r>
      <w:r w:rsidR="00FD63D5">
        <w:rPr>
          <w:rFonts w:ascii="Calibri" w:eastAsia="等线" w:hAnsi="Calibri" w:cs="Calibri"/>
          <w:sz w:val="20"/>
          <w:szCs w:val="18"/>
        </w:rPr>
        <w:t>, the misorientation angle distribution is highlighted with the red arrow and shown in inset</w:t>
      </w:r>
      <w:r w:rsidRPr="001C513B">
        <w:rPr>
          <w:rFonts w:ascii="Calibri" w:eastAsia="等线" w:hAnsi="Calibri" w:cs="Calibri"/>
          <w:sz w:val="20"/>
          <w:szCs w:val="18"/>
        </w:rPr>
        <w:t>.</w:t>
      </w:r>
      <w:bookmarkEnd w:id="242"/>
      <w:r w:rsidRPr="001C513B">
        <w:rPr>
          <w:rFonts w:ascii="Calibri" w:eastAsia="等线" w:hAnsi="Calibri" w:cs="Calibri"/>
          <w:sz w:val="20"/>
          <w:szCs w:val="18"/>
        </w:rPr>
        <w:t xml:space="preserve"> </w:t>
      </w:r>
    </w:p>
    <w:p w14:paraId="4691FA10" w14:textId="6B4F9537" w:rsidR="00B145BE" w:rsidRPr="001C513B" w:rsidRDefault="00B145BE" w:rsidP="00B145BE">
      <w:pPr>
        <w:suppressAutoHyphens/>
        <w:spacing w:after="60" w:line="360" w:lineRule="auto"/>
        <w:jc w:val="both"/>
        <w:rPr>
          <w:rFonts w:ascii="Calibri" w:eastAsia="等线" w:hAnsi="Calibri" w:cs="Calibri"/>
          <w:lang w:bidi="hi-IN"/>
        </w:rPr>
      </w:pPr>
      <w:r>
        <w:rPr>
          <w:rFonts w:ascii="Calibri" w:eastAsia="等线" w:hAnsi="Calibri" w:cs="Calibri"/>
          <w:lang w:bidi="hi-IN"/>
        </w:rPr>
        <w:t>In contrast</w:t>
      </w:r>
      <w:r w:rsidRPr="001C513B">
        <w:rPr>
          <w:rFonts w:ascii="Calibri" w:eastAsia="等线" w:hAnsi="Calibri" w:cs="Calibri"/>
          <w:lang w:bidi="hi-IN"/>
        </w:rPr>
        <w:t xml:space="preserve"> with the monotonic decrease </w:t>
      </w:r>
      <w:r>
        <w:rPr>
          <w:rFonts w:ascii="Calibri" w:eastAsia="等线" w:hAnsi="Calibri" w:cs="Calibri"/>
          <w:lang w:bidi="hi-IN"/>
        </w:rPr>
        <w:t xml:space="preserve">in the </w:t>
      </w:r>
      <w:r w:rsidR="00FC7323">
        <w:rPr>
          <w:rFonts w:ascii="Calibri" w:eastAsia="等线" w:hAnsi="Calibri" w:cs="Calibri"/>
          <w:lang w:bidi="hi-IN"/>
        </w:rPr>
        <w:t>work</w:t>
      </w:r>
      <w:r w:rsidRPr="001C513B">
        <w:rPr>
          <w:rFonts w:ascii="Calibri" w:eastAsia="等线" w:hAnsi="Calibri" w:cs="Calibri"/>
          <w:lang w:bidi="hi-IN"/>
        </w:rPr>
        <w:t xml:space="preserve"> hardening curve </w:t>
      </w:r>
      <w:r>
        <w:rPr>
          <w:rFonts w:ascii="Calibri" w:eastAsia="等线" w:hAnsi="Calibri" w:cs="Calibri"/>
          <w:lang w:bidi="hi-IN"/>
        </w:rPr>
        <w:t>found for</w:t>
      </w:r>
      <w:r w:rsidRPr="001C513B">
        <w:rPr>
          <w:rFonts w:ascii="Calibri" w:eastAsia="等线" w:hAnsi="Calibri" w:cs="Calibri"/>
          <w:lang w:bidi="hi-IN"/>
        </w:rPr>
        <w:t xml:space="preserve"> Group I</w:t>
      </w:r>
      <w:r>
        <w:rPr>
          <w:rFonts w:ascii="Calibri" w:eastAsia="等线" w:hAnsi="Calibri" w:cs="Calibri"/>
          <w:lang w:bidi="hi-IN"/>
        </w:rPr>
        <w:t xml:space="preserve"> with compositions of</w:t>
      </w:r>
      <w:r w:rsidRPr="001C513B">
        <w:rPr>
          <w:rFonts w:ascii="Calibri" w:eastAsia="等线" w:hAnsi="Calibri" w:cs="Calibri"/>
          <w:lang w:bidi="hi-IN"/>
        </w:rPr>
        <w:t xml:space="preserve"> TiZrHfTa</w:t>
      </w:r>
      <w:r w:rsidRPr="001C513B">
        <w:rPr>
          <w:rFonts w:ascii="Calibri" w:eastAsia="等线" w:hAnsi="Calibri" w:cs="Calibri"/>
          <w:vertAlign w:val="subscript"/>
          <w:lang w:bidi="hi-IN"/>
        </w:rPr>
        <w:t>x (x=0.8-1)</w:t>
      </w:r>
      <w:r w:rsidRPr="001C513B">
        <w:rPr>
          <w:rFonts w:ascii="Calibri" w:eastAsia="等线" w:hAnsi="Calibri" w:cs="Calibri"/>
          <w:lang w:bidi="hi-IN"/>
        </w:rPr>
        <w:t>,</w:t>
      </w:r>
      <w:r w:rsidRPr="001C513B">
        <w:rPr>
          <w:rFonts w:ascii="Calibri" w:eastAsia="等线" w:hAnsi="Calibri" w:cs="Calibri"/>
          <w:vertAlign w:val="subscript"/>
          <w:lang w:bidi="hi-IN"/>
        </w:rPr>
        <w:t xml:space="preserve"> </w:t>
      </w:r>
      <w:r>
        <w:rPr>
          <w:rFonts w:ascii="Calibri" w:eastAsia="等线" w:hAnsi="Calibri" w:cs="Calibri"/>
          <w:lang w:bidi="hi-IN"/>
        </w:rPr>
        <w:t xml:space="preserve">a </w:t>
      </w:r>
      <w:r w:rsidRPr="001C513B">
        <w:rPr>
          <w:rFonts w:ascii="Calibri" w:eastAsia="等线" w:hAnsi="Calibri" w:cs="Calibri"/>
          <w:lang w:bidi="hi-IN"/>
        </w:rPr>
        <w:t xml:space="preserve">further decrease </w:t>
      </w:r>
      <w:r>
        <w:rPr>
          <w:rFonts w:ascii="Calibri" w:eastAsia="等线" w:hAnsi="Calibri" w:cs="Calibri"/>
          <w:lang w:bidi="hi-IN"/>
        </w:rPr>
        <w:t>in</w:t>
      </w:r>
      <w:r w:rsidRPr="001C513B">
        <w:rPr>
          <w:rFonts w:ascii="Calibri" w:eastAsia="等线" w:hAnsi="Calibri" w:cs="Calibri"/>
          <w:lang w:bidi="hi-IN"/>
        </w:rPr>
        <w:t xml:space="preserve"> Ta content</w:t>
      </w:r>
      <w:r>
        <w:rPr>
          <w:rFonts w:ascii="Calibri" w:eastAsia="等线" w:hAnsi="Calibri" w:cs="Calibri"/>
          <w:lang w:bidi="hi-IN"/>
        </w:rPr>
        <w:t xml:space="preserve"> resulted in the occurrence of </w:t>
      </w:r>
      <w:r w:rsidRPr="001C513B">
        <w:rPr>
          <w:rFonts w:ascii="Calibri" w:eastAsia="等线" w:hAnsi="Calibri" w:cs="Calibri"/>
          <w:lang w:bidi="hi-IN"/>
        </w:rPr>
        <w:t xml:space="preserve">a plateau in the </w:t>
      </w:r>
      <w:r w:rsidR="00FC7323">
        <w:rPr>
          <w:rFonts w:ascii="Calibri" w:eastAsia="等线" w:hAnsi="Calibri" w:cs="Calibri"/>
          <w:lang w:bidi="hi-IN"/>
        </w:rPr>
        <w:t>work</w:t>
      </w:r>
      <w:r w:rsidRPr="001C513B">
        <w:rPr>
          <w:rFonts w:ascii="Calibri" w:eastAsia="等线" w:hAnsi="Calibri" w:cs="Calibri"/>
          <w:lang w:bidi="hi-IN"/>
        </w:rPr>
        <w:t xml:space="preserve"> hardening curve</w:t>
      </w:r>
      <w:r>
        <w:rPr>
          <w:rFonts w:ascii="Calibri" w:eastAsia="等线" w:hAnsi="Calibri" w:cs="Calibri"/>
          <w:lang w:bidi="hi-IN"/>
        </w:rPr>
        <w:t xml:space="preserve"> after yield for </w:t>
      </w:r>
      <w:r w:rsidRPr="001C513B">
        <w:rPr>
          <w:rFonts w:ascii="Calibri" w:eastAsia="等线" w:hAnsi="Calibri" w:cs="Calibri"/>
          <w:lang w:bidi="hi-IN"/>
        </w:rPr>
        <w:t>Group II</w:t>
      </w:r>
      <w:r>
        <w:rPr>
          <w:rFonts w:ascii="Calibri" w:eastAsia="等线" w:hAnsi="Calibri" w:cs="Calibri"/>
          <w:lang w:bidi="hi-IN"/>
        </w:rPr>
        <w:t xml:space="preserve"> compositions </w:t>
      </w:r>
      <w:r w:rsidRPr="001C513B">
        <w:rPr>
          <w:rFonts w:ascii="Calibri" w:eastAsia="等线" w:hAnsi="Calibri" w:cs="Calibri"/>
          <w:lang w:bidi="hi-IN"/>
        </w:rPr>
        <w:t>TiZrHfTa</w:t>
      </w:r>
      <w:r w:rsidRPr="001C513B">
        <w:rPr>
          <w:rFonts w:ascii="Calibri" w:eastAsia="等线" w:hAnsi="Calibri" w:cs="Calibri"/>
          <w:vertAlign w:val="subscript"/>
          <w:lang w:bidi="hi-IN"/>
        </w:rPr>
        <w:t>x (x=0.5-0.7)</w:t>
      </w:r>
      <w:r w:rsidRPr="001C513B">
        <w:rPr>
          <w:rFonts w:ascii="Calibri" w:eastAsia="等线" w:hAnsi="Calibri" w:cs="Calibri"/>
          <w:lang w:bidi="hi-IN"/>
        </w:rPr>
        <w:t>. Th</w:t>
      </w:r>
      <w:r>
        <w:rPr>
          <w:rFonts w:ascii="Calibri" w:eastAsia="等线" w:hAnsi="Calibri" w:cs="Calibri"/>
          <w:lang w:bidi="hi-IN"/>
        </w:rPr>
        <w:t>is</w:t>
      </w:r>
      <w:r w:rsidRPr="001C513B">
        <w:rPr>
          <w:rFonts w:ascii="Calibri" w:eastAsia="等线" w:hAnsi="Calibri" w:cs="Calibri"/>
          <w:lang w:bidi="hi-IN"/>
        </w:rPr>
        <w:t xml:space="preserve"> change </w:t>
      </w:r>
      <w:r>
        <w:rPr>
          <w:rFonts w:ascii="Calibri" w:eastAsia="等线" w:hAnsi="Calibri" w:cs="Calibri"/>
          <w:lang w:bidi="hi-IN"/>
        </w:rPr>
        <w:t>in</w:t>
      </w:r>
      <w:r w:rsidRPr="001C513B">
        <w:rPr>
          <w:rFonts w:ascii="Calibri" w:eastAsia="等线" w:hAnsi="Calibri" w:cs="Calibri"/>
          <w:lang w:bidi="hi-IN"/>
        </w:rPr>
        <w:t xml:space="preserve"> the </w:t>
      </w:r>
      <w:r w:rsidR="00FC7323">
        <w:rPr>
          <w:rFonts w:ascii="Calibri" w:eastAsia="等线" w:hAnsi="Calibri" w:cs="Calibri"/>
          <w:lang w:bidi="hi-IN"/>
        </w:rPr>
        <w:t>work</w:t>
      </w:r>
      <w:r w:rsidRPr="001C513B">
        <w:rPr>
          <w:rFonts w:ascii="Calibri" w:eastAsia="等线" w:hAnsi="Calibri" w:cs="Calibri"/>
          <w:lang w:bidi="hi-IN"/>
        </w:rPr>
        <w:t xml:space="preserve"> hardening </w:t>
      </w:r>
      <w:r>
        <w:rPr>
          <w:rFonts w:ascii="Calibri" w:eastAsia="等线" w:hAnsi="Calibri" w:cs="Calibri"/>
          <w:lang w:bidi="hi-IN"/>
        </w:rPr>
        <w:t>behaviour</w:t>
      </w:r>
      <w:r w:rsidRPr="001C513B">
        <w:rPr>
          <w:rFonts w:ascii="Calibri" w:eastAsia="等线" w:hAnsi="Calibri" w:cs="Calibri"/>
          <w:lang w:bidi="hi-IN"/>
        </w:rPr>
        <w:t xml:space="preserve"> may </w:t>
      </w:r>
      <w:r>
        <w:rPr>
          <w:rFonts w:ascii="Calibri" w:eastAsia="等线" w:hAnsi="Calibri" w:cs="Calibri"/>
          <w:lang w:bidi="hi-IN"/>
        </w:rPr>
        <w:t>be due</w:t>
      </w:r>
      <w:r w:rsidRPr="001C513B">
        <w:rPr>
          <w:rFonts w:ascii="Calibri" w:eastAsia="等线" w:hAnsi="Calibri" w:cs="Calibri"/>
          <w:lang w:bidi="hi-IN"/>
        </w:rPr>
        <w:t xml:space="preserve"> to the introduction of new deformation mechanism</w:t>
      </w:r>
      <w:r>
        <w:rPr>
          <w:rFonts w:ascii="Calibri" w:eastAsia="等线" w:hAnsi="Calibri" w:cs="Calibri"/>
          <w:lang w:bidi="hi-IN"/>
        </w:rPr>
        <w:t>s and these findings will now be detailed for Group II</w:t>
      </w:r>
      <w:r w:rsidRPr="001C513B">
        <w:rPr>
          <w:rFonts w:ascii="Calibri" w:eastAsia="等线" w:hAnsi="Calibri" w:cs="Calibri"/>
          <w:lang w:bidi="hi-IN"/>
        </w:rPr>
        <w:t xml:space="preserve">. In </w:t>
      </w:r>
      <w:r w:rsidRPr="001C513B">
        <w:rPr>
          <w:rFonts w:ascii="Calibri" w:eastAsia="等线" w:hAnsi="Calibri" w:cs="Times New Roman"/>
        </w:rPr>
        <w:t>Fig. 5-3</w:t>
      </w:r>
      <w:r w:rsidRPr="001C513B">
        <w:rPr>
          <w:rFonts w:ascii="Calibri" w:eastAsia="等线" w:hAnsi="Calibri" w:cs="Calibri"/>
          <w:lang w:bidi="hi-IN"/>
        </w:rPr>
        <w:t>(a-b), the microstructure of TiZrHfTa</w:t>
      </w:r>
      <w:r w:rsidRPr="001C513B">
        <w:rPr>
          <w:rFonts w:ascii="Calibri" w:eastAsia="等线" w:hAnsi="Calibri" w:cs="Calibri"/>
          <w:vertAlign w:val="subscript"/>
          <w:lang w:bidi="hi-IN"/>
        </w:rPr>
        <w:t>0.6</w:t>
      </w:r>
      <w:r w:rsidRPr="001C513B">
        <w:rPr>
          <w:rFonts w:ascii="Calibri" w:eastAsia="等线" w:hAnsi="Calibri" w:cs="Calibri"/>
          <w:lang w:bidi="hi-IN"/>
        </w:rPr>
        <w:t xml:space="preserve"> </w:t>
      </w:r>
      <w:r>
        <w:rPr>
          <w:rFonts w:ascii="Calibri" w:eastAsia="等线" w:hAnsi="Calibri" w:cs="Calibri"/>
          <w:lang w:bidi="hi-IN"/>
        </w:rPr>
        <w:t xml:space="preserve">strained to 5%, </w:t>
      </w:r>
      <w:r w:rsidRPr="001C513B">
        <w:rPr>
          <w:rFonts w:ascii="Calibri" w:eastAsia="等线" w:hAnsi="Calibri" w:cs="Calibri"/>
          <w:lang w:bidi="hi-IN"/>
        </w:rPr>
        <w:t xml:space="preserve">was indexed as </w:t>
      </w:r>
      <w:r w:rsidRPr="001C513B">
        <w:rPr>
          <w:rFonts w:ascii="Calibri" w:eastAsia="等线" w:hAnsi="Calibri" w:cs="Times New Roman"/>
          <w:lang w:bidi="hi-IN"/>
        </w:rPr>
        <w:t>β</w:t>
      </w:r>
      <w:r w:rsidRPr="001C513B">
        <w:rPr>
          <w:rFonts w:ascii="Calibri" w:eastAsia="等线" w:hAnsi="Calibri" w:cs="Calibri"/>
          <w:lang w:bidi="hi-IN"/>
        </w:rPr>
        <w:t xml:space="preserve"> together with </w:t>
      </w:r>
      <w:r w:rsidRPr="001C513B">
        <w:rPr>
          <w:rFonts w:ascii="Times New Roman" w:eastAsia="等线" w:hAnsi="Times New Roman" w:cs="Times New Roman"/>
          <w:lang w:bidi="hi-IN"/>
        </w:rPr>
        <w:t>α</w:t>
      </w:r>
      <w:r w:rsidRPr="001C513B">
        <w:rPr>
          <w:rFonts w:ascii="Calibri" w:eastAsia="等线" w:hAnsi="Calibri" w:cs="Calibri"/>
          <w:lang w:bidi="hi-IN"/>
        </w:rPr>
        <w:t>’’</w:t>
      </w:r>
      <w:r>
        <w:rPr>
          <w:rFonts w:ascii="Calibri" w:eastAsia="等线" w:hAnsi="Calibri" w:cs="Calibri"/>
          <w:lang w:bidi="hi-IN"/>
        </w:rPr>
        <w:t>.</w:t>
      </w:r>
      <w:r w:rsidRPr="001C513B">
        <w:rPr>
          <w:rFonts w:ascii="Calibri" w:eastAsia="等线" w:hAnsi="Calibri" w:cs="Calibri"/>
          <w:lang w:bidi="hi-IN"/>
        </w:rPr>
        <w:t xml:space="preserve"> </w:t>
      </w:r>
      <w:r>
        <w:rPr>
          <w:rFonts w:ascii="Calibri" w:eastAsia="等线" w:hAnsi="Calibri" w:cs="Calibri"/>
          <w:lang w:bidi="hi-IN"/>
        </w:rPr>
        <w:t>Unlike the needle-</w:t>
      </w:r>
      <w:r w:rsidRPr="001C513B">
        <w:rPr>
          <w:rFonts w:ascii="Calibri" w:eastAsia="等线" w:hAnsi="Calibri" w:cs="Calibri"/>
          <w:lang w:bidi="hi-IN"/>
        </w:rPr>
        <w:t>like structure observed</w:t>
      </w:r>
      <w:r>
        <w:rPr>
          <w:rFonts w:ascii="Calibri" w:eastAsia="等线" w:hAnsi="Calibri" w:cs="Calibri"/>
          <w:lang w:bidi="hi-IN"/>
        </w:rPr>
        <w:t xml:space="preserve"> for Group I</w:t>
      </w:r>
      <w:r w:rsidRPr="001C513B">
        <w:rPr>
          <w:rFonts w:ascii="Calibri" w:eastAsia="等线" w:hAnsi="Calibri" w:cs="Calibri"/>
          <w:lang w:bidi="hi-IN"/>
        </w:rPr>
        <w:t xml:space="preserve"> </w:t>
      </w:r>
      <w:r>
        <w:rPr>
          <w:rFonts w:ascii="Calibri" w:eastAsia="等线" w:hAnsi="Calibri" w:cs="Calibri"/>
          <w:lang w:bidi="hi-IN"/>
        </w:rPr>
        <w:t>(</w:t>
      </w:r>
      <w:r w:rsidRPr="001C513B">
        <w:rPr>
          <w:rFonts w:ascii="Calibri" w:eastAsia="等线" w:hAnsi="Calibri" w:cs="Times New Roman"/>
        </w:rPr>
        <w:t>Fig. 5-2</w:t>
      </w:r>
      <w:r>
        <w:rPr>
          <w:rFonts w:ascii="Calibri" w:eastAsia="等线" w:hAnsi="Calibri" w:cs="Times New Roman"/>
        </w:rPr>
        <w:t>)</w:t>
      </w:r>
      <w:r>
        <w:rPr>
          <w:rFonts w:ascii="Calibri" w:eastAsia="等线" w:hAnsi="Calibri" w:cs="Calibri"/>
          <w:lang w:bidi="hi-IN"/>
        </w:rPr>
        <w:t xml:space="preserve"> which could not be fully indexed,</w:t>
      </w:r>
      <w:r w:rsidRPr="001C513B">
        <w:rPr>
          <w:rFonts w:ascii="Calibri" w:eastAsia="等线" w:hAnsi="Calibri" w:cs="Calibri"/>
          <w:lang w:bidi="hi-IN"/>
        </w:rPr>
        <w:t xml:space="preserve"> the needle-like laths in </w:t>
      </w:r>
      <w:r w:rsidRPr="001C513B">
        <w:rPr>
          <w:rFonts w:ascii="Calibri" w:eastAsia="等线" w:hAnsi="Calibri" w:cs="Times New Roman"/>
        </w:rPr>
        <w:t xml:space="preserve">Fig. 5-3 </w:t>
      </w:r>
      <w:r w:rsidRPr="001C513B">
        <w:rPr>
          <w:rFonts w:ascii="Calibri" w:eastAsia="等线" w:hAnsi="Calibri" w:cs="Calibri"/>
          <w:lang w:bidi="hi-IN"/>
        </w:rPr>
        <w:t>were fully identified as martensite phase and appear</w:t>
      </w:r>
      <w:r>
        <w:rPr>
          <w:rFonts w:ascii="Calibri" w:eastAsia="等线" w:hAnsi="Calibri" w:cs="Calibri"/>
          <w:lang w:bidi="hi-IN"/>
        </w:rPr>
        <w:t>ed</w:t>
      </w:r>
      <w:r w:rsidRPr="001C513B">
        <w:rPr>
          <w:rFonts w:ascii="Calibri" w:eastAsia="等线" w:hAnsi="Calibri" w:cs="Calibri"/>
          <w:lang w:bidi="hi-IN"/>
        </w:rPr>
        <w:t xml:space="preserve"> </w:t>
      </w:r>
      <w:r>
        <w:rPr>
          <w:rFonts w:ascii="Calibri" w:eastAsia="等线" w:hAnsi="Calibri" w:cs="Calibri"/>
          <w:lang w:bidi="hi-IN"/>
        </w:rPr>
        <w:t xml:space="preserve">in </w:t>
      </w:r>
      <w:r w:rsidRPr="001C513B">
        <w:rPr>
          <w:rFonts w:ascii="Calibri" w:eastAsia="等线" w:hAnsi="Calibri" w:cs="Calibri"/>
          <w:lang w:bidi="hi-IN"/>
        </w:rPr>
        <w:t>a specific zi</w:t>
      </w:r>
      <w:r>
        <w:rPr>
          <w:rFonts w:ascii="Calibri" w:eastAsia="等线" w:hAnsi="Calibri" w:cs="Calibri"/>
          <w:lang w:bidi="hi-IN"/>
        </w:rPr>
        <w:t>g</w:t>
      </w:r>
      <w:r w:rsidRPr="001C513B">
        <w:rPr>
          <w:rFonts w:ascii="Calibri" w:eastAsia="等线" w:hAnsi="Calibri" w:cs="Calibri"/>
          <w:lang w:bidi="hi-IN"/>
        </w:rPr>
        <w:t>-za</w:t>
      </w:r>
      <w:r>
        <w:rPr>
          <w:rFonts w:ascii="Calibri" w:eastAsia="等线" w:hAnsi="Calibri" w:cs="Calibri"/>
          <w:lang w:bidi="hi-IN"/>
        </w:rPr>
        <w:t>g</w:t>
      </w:r>
      <w:r w:rsidRPr="001C513B">
        <w:rPr>
          <w:rFonts w:ascii="Calibri" w:eastAsia="等线" w:hAnsi="Calibri" w:cs="Calibri"/>
          <w:lang w:bidi="hi-IN"/>
        </w:rPr>
        <w:t xml:space="preserve"> arrangement. Th</w:t>
      </w:r>
      <w:r>
        <w:rPr>
          <w:rFonts w:ascii="Calibri" w:eastAsia="等线" w:hAnsi="Calibri" w:cs="Calibri"/>
          <w:lang w:bidi="hi-IN"/>
        </w:rPr>
        <w:t xml:space="preserve">is </w:t>
      </w:r>
      <w:r w:rsidRPr="001C513B">
        <w:rPr>
          <w:rFonts w:ascii="Calibri" w:eastAsia="等线" w:hAnsi="Calibri" w:cs="Calibri"/>
          <w:lang w:bidi="hi-IN"/>
        </w:rPr>
        <w:t>arrangement</w:t>
      </w:r>
      <w:r>
        <w:rPr>
          <w:rFonts w:ascii="Calibri" w:eastAsia="等线" w:hAnsi="Calibri" w:cs="Calibri"/>
          <w:lang w:bidi="hi-IN"/>
        </w:rPr>
        <w:t xml:space="preserve"> of the martensitic phase</w:t>
      </w:r>
      <w:r w:rsidRPr="001C513B">
        <w:rPr>
          <w:rFonts w:ascii="Calibri" w:eastAsia="等线" w:hAnsi="Calibri" w:cs="Calibri"/>
          <w:lang w:bidi="hi-IN"/>
        </w:rPr>
        <w:t xml:space="preserve"> may </w:t>
      </w:r>
      <w:r>
        <w:rPr>
          <w:rFonts w:ascii="Calibri" w:eastAsia="等线" w:hAnsi="Calibri" w:cs="Calibri"/>
          <w:lang w:bidi="hi-IN"/>
        </w:rPr>
        <w:t>be a</w:t>
      </w:r>
      <w:r w:rsidRPr="001C513B">
        <w:rPr>
          <w:rFonts w:ascii="Calibri" w:eastAsia="等线" w:hAnsi="Calibri" w:cs="Calibri"/>
          <w:lang w:bidi="hi-IN"/>
        </w:rPr>
        <w:t xml:space="preserve"> reason </w:t>
      </w:r>
      <w:r w:rsidR="009469BE">
        <w:rPr>
          <w:rFonts w:ascii="Calibri" w:eastAsia="等线" w:hAnsi="Calibri" w:cs="Calibri"/>
          <w:lang w:bidi="hi-IN"/>
        </w:rPr>
        <w:t>for</w:t>
      </w:r>
      <w:r w:rsidRPr="001C513B">
        <w:rPr>
          <w:rFonts w:ascii="Calibri" w:eastAsia="等线" w:hAnsi="Calibri" w:cs="Calibri"/>
          <w:lang w:bidi="hi-IN"/>
        </w:rPr>
        <w:t xml:space="preserve"> the </w:t>
      </w:r>
      <w:r>
        <w:rPr>
          <w:rFonts w:ascii="Calibri" w:eastAsia="等线" w:hAnsi="Calibri" w:cs="Calibri"/>
          <w:lang w:bidi="hi-IN"/>
        </w:rPr>
        <w:t>occurrence</w:t>
      </w:r>
      <w:r w:rsidRPr="001C513B">
        <w:rPr>
          <w:rFonts w:ascii="Calibri" w:eastAsia="等线" w:hAnsi="Calibri" w:cs="Calibri"/>
          <w:lang w:bidi="hi-IN"/>
        </w:rPr>
        <w:t xml:space="preserve"> of the plateau in </w:t>
      </w:r>
      <w:r>
        <w:rPr>
          <w:rFonts w:ascii="Calibri" w:eastAsia="等线" w:hAnsi="Calibri" w:cs="Calibri"/>
          <w:lang w:bidi="hi-IN"/>
        </w:rPr>
        <w:t xml:space="preserve">the </w:t>
      </w:r>
      <w:r w:rsidR="00FC7323">
        <w:rPr>
          <w:rFonts w:ascii="Calibri" w:eastAsia="等线" w:hAnsi="Calibri" w:cs="Calibri"/>
          <w:lang w:bidi="hi-IN"/>
        </w:rPr>
        <w:t>work</w:t>
      </w:r>
      <w:r w:rsidRPr="001C513B">
        <w:rPr>
          <w:rFonts w:ascii="Calibri" w:eastAsia="等线" w:hAnsi="Calibri" w:cs="Calibri"/>
          <w:lang w:bidi="hi-IN"/>
        </w:rPr>
        <w:t xml:space="preserve"> hardening curve</w:t>
      </w:r>
      <w:r>
        <w:rPr>
          <w:rFonts w:ascii="Calibri" w:eastAsia="等线" w:hAnsi="Calibri" w:cs="Calibri"/>
          <w:lang w:bidi="hi-IN"/>
        </w:rPr>
        <w:t xml:space="preserve"> behaviour of Group II</w:t>
      </w:r>
      <w:r w:rsidRPr="001C513B">
        <w:rPr>
          <w:rFonts w:ascii="Calibri" w:eastAsia="等线" w:hAnsi="Calibri" w:cs="Calibri"/>
          <w:lang w:bidi="hi-IN"/>
        </w:rPr>
        <w:t>. Further lowering</w:t>
      </w:r>
      <w:r>
        <w:rPr>
          <w:rFonts w:ascii="Calibri" w:eastAsia="等线" w:hAnsi="Calibri" w:cs="Calibri"/>
          <w:lang w:bidi="hi-IN"/>
        </w:rPr>
        <w:t xml:space="preserve"> of</w:t>
      </w:r>
      <w:r w:rsidRPr="001C513B">
        <w:rPr>
          <w:rFonts w:ascii="Calibri" w:eastAsia="等线" w:hAnsi="Calibri" w:cs="Calibri"/>
          <w:lang w:bidi="hi-IN"/>
        </w:rPr>
        <w:t xml:space="preserve"> </w:t>
      </w:r>
      <w:r w:rsidRPr="001C513B">
        <w:rPr>
          <w:rFonts w:ascii="Times New Roman" w:eastAsia="等线" w:hAnsi="Times New Roman" w:cs="Times New Roman"/>
          <w:lang w:bidi="hi-IN"/>
        </w:rPr>
        <w:t>β</w:t>
      </w:r>
      <w:r w:rsidRPr="001C513B">
        <w:rPr>
          <w:rFonts w:ascii="Calibri" w:eastAsia="等线" w:hAnsi="Calibri" w:cs="Calibri"/>
          <w:lang w:bidi="hi-IN"/>
        </w:rPr>
        <w:t xml:space="preserve"> phase stability result</w:t>
      </w:r>
      <w:r>
        <w:rPr>
          <w:rFonts w:ascii="Calibri" w:eastAsia="等线" w:hAnsi="Calibri" w:cs="Calibri"/>
          <w:lang w:bidi="hi-IN"/>
        </w:rPr>
        <w:t>ed</w:t>
      </w:r>
      <w:r w:rsidRPr="001C513B">
        <w:rPr>
          <w:rFonts w:ascii="Calibri" w:eastAsia="等线" w:hAnsi="Calibri" w:cs="Calibri"/>
          <w:lang w:bidi="hi-IN"/>
        </w:rPr>
        <w:t xml:space="preserve"> in </w:t>
      </w:r>
      <w:r>
        <w:rPr>
          <w:rFonts w:ascii="Calibri" w:eastAsia="等线" w:hAnsi="Calibri" w:cs="Calibri"/>
          <w:lang w:bidi="hi-IN"/>
        </w:rPr>
        <w:t>an</w:t>
      </w:r>
      <w:r w:rsidRPr="001C513B">
        <w:rPr>
          <w:rFonts w:ascii="Calibri" w:eastAsia="等线" w:hAnsi="Calibri" w:cs="Calibri"/>
          <w:lang w:bidi="hi-IN"/>
        </w:rPr>
        <w:t xml:space="preserve"> increased </w:t>
      </w:r>
      <w:r>
        <w:rPr>
          <w:rFonts w:ascii="Calibri" w:eastAsia="等线" w:hAnsi="Calibri" w:cs="Calibri"/>
          <w:lang w:bidi="hi-IN"/>
        </w:rPr>
        <w:t>amount</w:t>
      </w:r>
      <w:r w:rsidRPr="001C513B">
        <w:rPr>
          <w:rFonts w:ascii="Calibri" w:eastAsia="等线" w:hAnsi="Calibri" w:cs="Calibri"/>
          <w:lang w:bidi="hi-IN"/>
        </w:rPr>
        <w:t xml:space="preserve"> of </w:t>
      </w:r>
      <w:r w:rsidRPr="001C513B">
        <w:rPr>
          <w:rFonts w:ascii="Times New Roman" w:eastAsia="等线" w:hAnsi="Times New Roman" w:cs="Times New Roman"/>
          <w:lang w:bidi="hi-IN"/>
        </w:rPr>
        <w:t>α</w:t>
      </w:r>
      <w:r w:rsidRPr="001C513B">
        <w:rPr>
          <w:rFonts w:ascii="Calibri" w:eastAsia="等线" w:hAnsi="Calibri" w:cs="Calibri"/>
          <w:lang w:bidi="hi-IN"/>
        </w:rPr>
        <w:t>’’ compared with TiZrHfTa</w:t>
      </w:r>
      <w:r w:rsidRPr="001C513B">
        <w:rPr>
          <w:rFonts w:ascii="Calibri" w:eastAsia="等线" w:hAnsi="Calibri" w:cs="Calibri"/>
          <w:vertAlign w:val="subscript"/>
          <w:lang w:bidi="hi-IN"/>
        </w:rPr>
        <w:t xml:space="preserve">0.8 </w:t>
      </w:r>
      <w:r w:rsidRPr="001C513B">
        <w:rPr>
          <w:rFonts w:ascii="Calibri" w:eastAsia="等线" w:hAnsi="Calibri" w:cs="Calibri"/>
          <w:lang w:bidi="hi-IN"/>
        </w:rPr>
        <w:t xml:space="preserve">as shown in </w:t>
      </w:r>
      <w:r w:rsidRPr="001C513B">
        <w:rPr>
          <w:rFonts w:ascii="Calibri" w:eastAsia="等线" w:hAnsi="Calibri" w:cs="Times New Roman"/>
        </w:rPr>
        <w:t>Fig. 5-3(b)</w:t>
      </w:r>
      <w:r>
        <w:rPr>
          <w:rFonts w:ascii="Calibri" w:eastAsia="等线" w:hAnsi="Calibri" w:cs="Calibri"/>
          <w:lang w:bidi="hi-IN"/>
        </w:rPr>
        <w:t xml:space="preserve"> and </w:t>
      </w:r>
      <w:r w:rsidRPr="001C513B">
        <w:rPr>
          <w:rFonts w:ascii="Calibri" w:eastAsia="等线" w:hAnsi="Calibri" w:cs="Calibri"/>
          <w:lang w:bidi="hi-IN"/>
        </w:rPr>
        <w:t>result</w:t>
      </w:r>
      <w:r>
        <w:rPr>
          <w:rFonts w:ascii="Calibri" w:eastAsia="等线" w:hAnsi="Calibri" w:cs="Calibri"/>
          <w:lang w:bidi="hi-IN"/>
        </w:rPr>
        <w:t>ed</w:t>
      </w:r>
      <w:r w:rsidRPr="001C513B">
        <w:rPr>
          <w:rFonts w:ascii="Calibri" w:eastAsia="等线" w:hAnsi="Calibri" w:cs="Calibri"/>
          <w:lang w:bidi="hi-IN"/>
        </w:rPr>
        <w:t xml:space="preserve"> in a full</w:t>
      </w:r>
      <w:r>
        <w:rPr>
          <w:rFonts w:ascii="Calibri" w:eastAsia="等线" w:hAnsi="Calibri" w:cs="Calibri"/>
          <w:lang w:bidi="hi-IN"/>
        </w:rPr>
        <w:t>y</w:t>
      </w:r>
      <w:r w:rsidRPr="001C513B">
        <w:rPr>
          <w:rFonts w:ascii="Calibri" w:eastAsia="等线" w:hAnsi="Calibri" w:cs="Calibri"/>
          <w:lang w:bidi="hi-IN"/>
        </w:rPr>
        <w:t xml:space="preserve"> indexed martensite structure in TiZrHfTa</w:t>
      </w:r>
      <w:r w:rsidRPr="001C513B">
        <w:rPr>
          <w:rFonts w:ascii="Calibri" w:eastAsia="等线" w:hAnsi="Calibri" w:cs="Calibri"/>
          <w:vertAlign w:val="subscript"/>
          <w:lang w:bidi="hi-IN"/>
        </w:rPr>
        <w:t xml:space="preserve">0.5 </w:t>
      </w:r>
      <w:r>
        <w:rPr>
          <w:rFonts w:ascii="Calibri" w:eastAsia="等线" w:hAnsi="Calibri" w:cs="Calibri"/>
          <w:lang w:bidi="hi-IN"/>
        </w:rPr>
        <w:t>(</w:t>
      </w:r>
      <w:r w:rsidRPr="001C513B">
        <w:rPr>
          <w:rFonts w:ascii="Calibri" w:eastAsia="等线" w:hAnsi="Calibri" w:cs="Times New Roman"/>
        </w:rPr>
        <w:t>Fig. 5-3(c)</w:t>
      </w:r>
      <w:r>
        <w:rPr>
          <w:rFonts w:ascii="Calibri" w:eastAsia="等线" w:hAnsi="Calibri" w:cs="Times New Roman"/>
        </w:rPr>
        <w:t>)</w:t>
      </w:r>
      <w:r w:rsidRPr="001C513B">
        <w:rPr>
          <w:rFonts w:ascii="Calibri" w:eastAsia="等线" w:hAnsi="Calibri" w:cs="Calibri"/>
          <w:lang w:bidi="hi-IN"/>
        </w:rPr>
        <w:t xml:space="preserve">. </w:t>
      </w:r>
    </w:p>
    <w:p w14:paraId="69330F67" w14:textId="77777777" w:rsidR="00B145BE" w:rsidRPr="001C513B" w:rsidRDefault="00B145BE" w:rsidP="00B145BE">
      <w:pPr>
        <w:keepNext/>
        <w:suppressAutoHyphens/>
        <w:spacing w:after="120" w:line="360" w:lineRule="auto"/>
        <w:jc w:val="center"/>
        <w:rPr>
          <w:rFonts w:ascii="Calibri" w:eastAsia="等线" w:hAnsi="Calibri" w:cs="Calibri"/>
        </w:rPr>
      </w:pPr>
      <w:r w:rsidRPr="001C513B">
        <w:rPr>
          <w:rFonts w:ascii="Calibri" w:eastAsia="等线" w:hAnsi="Calibri" w:cs="Calibri"/>
          <w:b/>
          <w:noProof/>
          <w:sz w:val="44"/>
          <w:szCs w:val="24"/>
          <w:vertAlign w:val="subscript"/>
          <w:lang w:val="en-US" w:eastAsia="en-US"/>
        </w:rPr>
        <w:lastRenderedPageBreak/>
        <w:drawing>
          <wp:inline distT="0" distB="0" distL="0" distR="0" wp14:anchorId="19D10030" wp14:editId="0200F0D5">
            <wp:extent cx="4873752" cy="4617720"/>
            <wp:effectExtent l="0" t="0" r="3175" b="0"/>
            <wp:docPr id="80" name="图片 79">
              <a:extLst xmlns:a="http://schemas.openxmlformats.org/drawingml/2006/main">
                <a:ext uri="{FF2B5EF4-FFF2-40B4-BE49-F238E27FC236}">
                  <a16:creationId xmlns:a16="http://schemas.microsoft.com/office/drawing/2014/main" id="{D32F4F16-3303-4FF2-A0B5-9AD4FEFE75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9">
                      <a:extLst>
                        <a:ext uri="{FF2B5EF4-FFF2-40B4-BE49-F238E27FC236}">
                          <a16:creationId xmlns:a16="http://schemas.microsoft.com/office/drawing/2014/main" id="{D32F4F16-3303-4FF2-A0B5-9AD4FEFE75DA}"/>
                        </a:ext>
                      </a:extLst>
                    </pic:cNvPr>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4873752" cy="4617720"/>
                    </a:xfrm>
                    <a:prstGeom prst="rect">
                      <a:avLst/>
                    </a:prstGeom>
                  </pic:spPr>
                </pic:pic>
              </a:graphicData>
            </a:graphic>
          </wp:inline>
        </w:drawing>
      </w:r>
    </w:p>
    <w:p w14:paraId="66E2C938" w14:textId="78157980" w:rsidR="00B145BE" w:rsidRPr="001C513B" w:rsidRDefault="00B145BE" w:rsidP="00B145BE">
      <w:pPr>
        <w:shd w:val="clear" w:color="auto" w:fill="FFFFFF"/>
        <w:spacing w:after="60" w:line="360" w:lineRule="auto"/>
        <w:jc w:val="both"/>
        <w:rPr>
          <w:rFonts w:ascii="Calibri" w:eastAsia="等线" w:hAnsi="Calibri" w:cs="Calibri"/>
          <w:b/>
          <w:sz w:val="20"/>
          <w:szCs w:val="18"/>
        </w:rPr>
      </w:pPr>
      <w:bookmarkStart w:id="243" w:name="_Toc7364595"/>
      <w:bookmarkStart w:id="244" w:name="_Toc39312709"/>
      <w:r w:rsidRPr="001C513B">
        <w:rPr>
          <w:rFonts w:ascii="Calibri" w:eastAsia="等线" w:hAnsi="Calibri" w:cs="Calibri"/>
          <w:b/>
          <w:sz w:val="20"/>
          <w:szCs w:val="18"/>
        </w:rPr>
        <w:t>Figure 5-</w:t>
      </w:r>
      <w:r w:rsidRPr="001C513B">
        <w:rPr>
          <w:rFonts w:ascii="Calibri" w:eastAsia="等线" w:hAnsi="Calibri" w:cs="Calibri"/>
          <w:b/>
          <w:sz w:val="20"/>
        </w:rPr>
        <w:fldChar w:fldCharType="begin"/>
      </w:r>
      <w:r w:rsidRPr="001C513B">
        <w:rPr>
          <w:rFonts w:ascii="Calibri" w:eastAsia="等线" w:hAnsi="Calibri" w:cs="Calibri"/>
          <w:b/>
          <w:sz w:val="20"/>
        </w:rPr>
        <w:instrText xml:space="preserve"> SEQ Figure \* ARABIC </w:instrText>
      </w:r>
      <w:r w:rsidRPr="001C513B">
        <w:rPr>
          <w:rFonts w:ascii="Calibri" w:eastAsia="等线" w:hAnsi="Calibri" w:cs="Calibri"/>
          <w:b/>
          <w:sz w:val="20"/>
        </w:rPr>
        <w:fldChar w:fldCharType="separate"/>
      </w:r>
      <w:r>
        <w:rPr>
          <w:rFonts w:ascii="Calibri" w:eastAsia="等线" w:hAnsi="Calibri" w:cs="Calibri"/>
          <w:b/>
          <w:noProof/>
          <w:sz w:val="20"/>
        </w:rPr>
        <w:t>3</w:t>
      </w:r>
      <w:r w:rsidRPr="001C513B">
        <w:rPr>
          <w:rFonts w:ascii="Calibri" w:eastAsia="等线" w:hAnsi="Calibri" w:cs="Calibri"/>
          <w:b/>
          <w:sz w:val="20"/>
        </w:rPr>
        <w:fldChar w:fldCharType="end"/>
      </w:r>
      <w:r w:rsidRPr="001C513B">
        <w:rPr>
          <w:rFonts w:ascii="Calibri" w:eastAsia="等线" w:hAnsi="Calibri" w:cs="Calibri"/>
          <w:b/>
          <w:sz w:val="20"/>
          <w:szCs w:val="18"/>
        </w:rPr>
        <w:t xml:space="preserve"> EBSD image of 5% deformed TiZrHfTa</w:t>
      </w:r>
      <w:r w:rsidRPr="001C513B">
        <w:rPr>
          <w:rFonts w:ascii="Calibri" w:eastAsia="等线" w:hAnsi="Calibri" w:cs="Calibri"/>
          <w:b/>
          <w:sz w:val="20"/>
          <w:szCs w:val="18"/>
          <w:vertAlign w:val="subscript"/>
        </w:rPr>
        <w:t xml:space="preserve">0.6 </w:t>
      </w:r>
      <w:r w:rsidRPr="001C513B">
        <w:rPr>
          <w:rFonts w:ascii="Calibri" w:eastAsia="等线" w:hAnsi="Calibri" w:cs="Calibri"/>
          <w:b/>
          <w:sz w:val="20"/>
          <w:szCs w:val="18"/>
        </w:rPr>
        <w:t>and TiZrHfTa</w:t>
      </w:r>
      <w:r w:rsidRPr="001C513B">
        <w:rPr>
          <w:rFonts w:ascii="Calibri" w:eastAsia="等线" w:hAnsi="Calibri" w:cs="Calibri"/>
          <w:b/>
          <w:sz w:val="20"/>
          <w:szCs w:val="18"/>
          <w:vertAlign w:val="subscript"/>
        </w:rPr>
        <w:t xml:space="preserve">0.5 </w:t>
      </w:r>
      <w:r w:rsidRPr="001C513B">
        <w:rPr>
          <w:rFonts w:ascii="Calibri" w:eastAsia="等线" w:hAnsi="Calibri" w:cs="Calibri"/>
          <w:sz w:val="20"/>
          <w:szCs w:val="18"/>
        </w:rPr>
        <w:t>(</w:t>
      </w:r>
      <w:r w:rsidRPr="001C513B">
        <w:rPr>
          <w:rFonts w:ascii="Calibri" w:eastAsia="等线" w:hAnsi="Calibri" w:cs="Calibri"/>
          <w:b/>
          <w:sz w:val="20"/>
          <w:szCs w:val="18"/>
        </w:rPr>
        <w:t>a</w:t>
      </w:r>
      <w:r w:rsidRPr="001C513B">
        <w:rPr>
          <w:rFonts w:ascii="Calibri" w:eastAsia="等线" w:hAnsi="Calibri" w:cs="Calibri"/>
          <w:sz w:val="20"/>
          <w:szCs w:val="18"/>
        </w:rPr>
        <w:t xml:space="preserve">) </w:t>
      </w:r>
      <w:r>
        <w:rPr>
          <w:rFonts w:ascii="Calibri" w:eastAsia="等线" w:hAnsi="Calibri" w:cs="Calibri"/>
          <w:sz w:val="20"/>
          <w:szCs w:val="18"/>
        </w:rPr>
        <w:t>a</w:t>
      </w:r>
      <w:r w:rsidR="0094184B">
        <w:rPr>
          <w:rFonts w:ascii="Calibri" w:eastAsia="等线" w:hAnsi="Calibri" w:cs="Calibri"/>
          <w:sz w:val="20"/>
          <w:szCs w:val="18"/>
        </w:rPr>
        <w:t>n</w:t>
      </w:r>
      <w:r>
        <w:rPr>
          <w:rFonts w:ascii="Calibri" w:eastAsia="等线" w:hAnsi="Calibri" w:cs="Calibri"/>
          <w:sz w:val="20"/>
          <w:szCs w:val="18"/>
        </w:rPr>
        <w:t xml:space="preserve"> </w:t>
      </w:r>
      <w:r w:rsidRPr="001C513B">
        <w:rPr>
          <w:rFonts w:ascii="Calibri" w:eastAsia="等线" w:hAnsi="Calibri" w:cs="Calibri"/>
          <w:sz w:val="20"/>
          <w:szCs w:val="18"/>
        </w:rPr>
        <w:t xml:space="preserve">Euler angle map showing grain orientation of </w:t>
      </w:r>
      <w:r w:rsidRPr="001C513B">
        <w:rPr>
          <w:rFonts w:ascii="Times New Roman" w:eastAsia="等线" w:hAnsi="Times New Roman" w:cs="Times New Roman"/>
          <w:sz w:val="20"/>
          <w:szCs w:val="18"/>
        </w:rPr>
        <w:t>β</w:t>
      </w:r>
      <w:r w:rsidRPr="001C513B">
        <w:rPr>
          <w:rFonts w:ascii="Calibri" w:eastAsia="等线" w:hAnsi="Calibri" w:cs="Calibri"/>
          <w:sz w:val="20"/>
          <w:szCs w:val="18"/>
        </w:rPr>
        <w:t xml:space="preserve"> and </w:t>
      </w:r>
      <w:r w:rsidRPr="001C513B">
        <w:rPr>
          <w:rFonts w:ascii="Times New Roman" w:eastAsia="等线" w:hAnsi="Times New Roman" w:cs="Times New Roman"/>
          <w:sz w:val="20"/>
          <w:szCs w:val="18"/>
        </w:rPr>
        <w:t>α</w:t>
      </w:r>
      <w:r w:rsidRPr="001C513B">
        <w:rPr>
          <w:rFonts w:ascii="Calibri" w:eastAsia="等线" w:hAnsi="Calibri" w:cs="Calibri"/>
          <w:sz w:val="20"/>
          <w:szCs w:val="18"/>
        </w:rPr>
        <w:t>’’ phases in TiZrHfTa</w:t>
      </w:r>
      <w:r w:rsidRPr="001C513B">
        <w:rPr>
          <w:rFonts w:ascii="Calibri" w:eastAsia="等线" w:hAnsi="Calibri" w:cs="Calibri"/>
          <w:sz w:val="20"/>
          <w:szCs w:val="18"/>
          <w:vertAlign w:val="subscript"/>
        </w:rPr>
        <w:t>0.6.</w:t>
      </w:r>
      <w:r>
        <w:rPr>
          <w:rFonts w:ascii="Calibri" w:eastAsia="等线" w:hAnsi="Calibri" w:cs="Calibri"/>
          <w:sz w:val="20"/>
          <w:szCs w:val="18"/>
        </w:rPr>
        <w:t>; (</w:t>
      </w:r>
      <w:r w:rsidRPr="001C513B">
        <w:rPr>
          <w:rFonts w:ascii="Calibri" w:eastAsia="等线" w:hAnsi="Calibri" w:cs="Calibri"/>
          <w:b/>
          <w:sz w:val="20"/>
          <w:szCs w:val="18"/>
        </w:rPr>
        <w:t>b</w:t>
      </w:r>
      <w:r w:rsidRPr="001C513B">
        <w:rPr>
          <w:rFonts w:ascii="Calibri" w:eastAsia="等线" w:hAnsi="Calibri" w:cs="Calibri"/>
          <w:sz w:val="20"/>
          <w:szCs w:val="18"/>
        </w:rPr>
        <w:t>) phase constitution map for TiZrHfTa</w:t>
      </w:r>
      <w:r w:rsidRPr="001C513B">
        <w:rPr>
          <w:rFonts w:ascii="Calibri" w:eastAsia="等线" w:hAnsi="Calibri" w:cs="Calibri"/>
          <w:sz w:val="20"/>
          <w:szCs w:val="18"/>
          <w:vertAlign w:val="subscript"/>
        </w:rPr>
        <w:t>0.6.</w:t>
      </w:r>
      <w:r w:rsidRPr="001C513B">
        <w:rPr>
          <w:rFonts w:ascii="Calibri" w:eastAsia="等线" w:hAnsi="Calibri" w:cs="Calibri"/>
          <w:sz w:val="20"/>
          <w:szCs w:val="18"/>
        </w:rPr>
        <w:t xml:space="preserve">, </w:t>
      </w:r>
      <w:r w:rsidRPr="001C513B">
        <w:rPr>
          <w:rFonts w:ascii="Times New Roman" w:eastAsia="等线" w:hAnsi="Times New Roman" w:cs="Times New Roman"/>
          <w:sz w:val="20"/>
          <w:szCs w:val="18"/>
        </w:rPr>
        <w:t>β</w:t>
      </w:r>
      <w:r w:rsidRPr="001C513B">
        <w:rPr>
          <w:rFonts w:ascii="Calibri" w:eastAsia="等线" w:hAnsi="Calibri" w:cs="Calibri"/>
          <w:sz w:val="20"/>
          <w:szCs w:val="18"/>
        </w:rPr>
        <w:t xml:space="preserve"> and </w:t>
      </w:r>
      <w:r w:rsidRPr="001C513B">
        <w:rPr>
          <w:rFonts w:ascii="Times New Roman" w:eastAsia="等线" w:hAnsi="Times New Roman" w:cs="Times New Roman"/>
          <w:sz w:val="20"/>
          <w:szCs w:val="18"/>
        </w:rPr>
        <w:t>α</w:t>
      </w:r>
      <w:r w:rsidRPr="001C513B">
        <w:rPr>
          <w:rFonts w:ascii="Calibri" w:eastAsia="等线" w:hAnsi="Calibri" w:cs="Calibri"/>
          <w:sz w:val="20"/>
          <w:szCs w:val="18"/>
        </w:rPr>
        <w:t>’’ phases were marked with red and blue</w:t>
      </w:r>
      <w:r>
        <w:rPr>
          <w:rFonts w:ascii="Calibri" w:eastAsia="等线" w:hAnsi="Calibri" w:cs="Calibri"/>
          <w:sz w:val="20"/>
          <w:szCs w:val="18"/>
        </w:rPr>
        <w:t>,</w:t>
      </w:r>
      <w:r w:rsidRPr="001C513B">
        <w:rPr>
          <w:rFonts w:ascii="Calibri" w:eastAsia="等线" w:hAnsi="Calibri" w:cs="Calibri"/>
          <w:sz w:val="20"/>
          <w:szCs w:val="18"/>
        </w:rPr>
        <w:t xml:space="preserve"> respectively</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c</w:t>
      </w:r>
      <w:r w:rsidRPr="001C513B">
        <w:rPr>
          <w:rFonts w:ascii="Calibri" w:eastAsia="等线" w:hAnsi="Calibri" w:cs="Calibri"/>
          <w:sz w:val="20"/>
          <w:szCs w:val="18"/>
        </w:rPr>
        <w:t xml:space="preserve">) </w:t>
      </w:r>
      <w:r>
        <w:rPr>
          <w:rFonts w:ascii="Calibri" w:eastAsia="等线" w:hAnsi="Calibri" w:cs="Calibri"/>
          <w:sz w:val="20"/>
          <w:szCs w:val="18"/>
        </w:rPr>
        <w:t>a</w:t>
      </w:r>
      <w:r w:rsidR="0094184B">
        <w:rPr>
          <w:rFonts w:ascii="Calibri" w:eastAsia="等线" w:hAnsi="Calibri" w:cs="Calibri"/>
          <w:sz w:val="20"/>
          <w:szCs w:val="18"/>
        </w:rPr>
        <w:t>n</w:t>
      </w:r>
      <w:r>
        <w:rPr>
          <w:rFonts w:ascii="Calibri" w:eastAsia="等线" w:hAnsi="Calibri" w:cs="Calibri"/>
          <w:sz w:val="20"/>
          <w:szCs w:val="18"/>
        </w:rPr>
        <w:t xml:space="preserve"> </w:t>
      </w:r>
      <w:r w:rsidRPr="001C513B">
        <w:rPr>
          <w:rFonts w:ascii="Calibri" w:eastAsia="等线" w:hAnsi="Calibri" w:cs="Calibri"/>
          <w:sz w:val="20"/>
          <w:szCs w:val="18"/>
        </w:rPr>
        <w:t xml:space="preserve">Euler angle map showing grain orientation of </w:t>
      </w:r>
      <w:r w:rsidRPr="001C513B">
        <w:rPr>
          <w:rFonts w:ascii="Times New Roman" w:eastAsia="等线" w:hAnsi="Times New Roman" w:cs="Times New Roman"/>
          <w:sz w:val="20"/>
          <w:szCs w:val="18"/>
        </w:rPr>
        <w:t>β</w:t>
      </w:r>
      <w:r w:rsidRPr="001C513B">
        <w:rPr>
          <w:rFonts w:ascii="Calibri" w:eastAsia="等线" w:hAnsi="Calibri" w:cs="Calibri"/>
          <w:sz w:val="20"/>
          <w:szCs w:val="18"/>
        </w:rPr>
        <w:t xml:space="preserve"> and </w:t>
      </w:r>
      <w:r w:rsidRPr="001C513B">
        <w:rPr>
          <w:rFonts w:ascii="Times New Roman" w:eastAsia="等线" w:hAnsi="Times New Roman" w:cs="Times New Roman"/>
          <w:sz w:val="20"/>
          <w:szCs w:val="18"/>
        </w:rPr>
        <w:t>α</w:t>
      </w:r>
      <w:r w:rsidRPr="001C513B">
        <w:rPr>
          <w:rFonts w:ascii="Calibri" w:eastAsia="等线" w:hAnsi="Calibri" w:cs="Calibri"/>
          <w:sz w:val="20"/>
          <w:szCs w:val="18"/>
        </w:rPr>
        <w:t>’’ phases in TiZrHfTa</w:t>
      </w:r>
      <w:r w:rsidRPr="001C513B">
        <w:rPr>
          <w:rFonts w:ascii="Calibri" w:eastAsia="等线" w:hAnsi="Calibri" w:cs="Calibri"/>
          <w:sz w:val="20"/>
          <w:szCs w:val="18"/>
          <w:vertAlign w:val="subscript"/>
        </w:rPr>
        <w:t>0.5</w:t>
      </w:r>
      <w:r w:rsidRPr="001C513B">
        <w:rPr>
          <w:rFonts w:ascii="Calibri" w:eastAsia="等线" w:hAnsi="Calibri" w:cs="Calibri"/>
          <w:sz w:val="20"/>
          <w:szCs w:val="18"/>
        </w:rPr>
        <w:t>.</w:t>
      </w:r>
      <w:r w:rsidRPr="001C513B">
        <w:rPr>
          <w:rFonts w:ascii="Calibri" w:eastAsia="等线" w:hAnsi="Calibri" w:cs="Calibri"/>
          <w:b/>
          <w:sz w:val="20"/>
          <w:szCs w:val="18"/>
        </w:rPr>
        <w:t xml:space="preserve"> </w:t>
      </w:r>
      <w:r w:rsidRPr="00857918">
        <w:rPr>
          <w:rFonts w:ascii="Calibri" w:eastAsia="等线" w:hAnsi="Calibri" w:cs="Calibri"/>
          <w:bCs/>
          <w:sz w:val="20"/>
          <w:szCs w:val="18"/>
        </w:rPr>
        <w:t>The</w:t>
      </w:r>
      <w:r>
        <w:rPr>
          <w:rFonts w:ascii="Calibri" w:eastAsia="等线" w:hAnsi="Calibri" w:cs="Calibri"/>
          <w:b/>
          <w:sz w:val="20"/>
          <w:szCs w:val="18"/>
        </w:rPr>
        <w:t xml:space="preserve"> </w:t>
      </w:r>
      <w:r>
        <w:rPr>
          <w:rFonts w:ascii="Calibri" w:eastAsia="等线" w:hAnsi="Calibri" w:cs="Calibri"/>
          <w:sz w:val="20"/>
          <w:szCs w:val="18"/>
        </w:rPr>
        <w:t>t</w:t>
      </w:r>
      <w:r w:rsidRPr="001C513B">
        <w:rPr>
          <w:rFonts w:ascii="Calibri" w:eastAsia="等线" w:hAnsi="Calibri" w:cs="Calibri"/>
          <w:sz w:val="20"/>
          <w:szCs w:val="18"/>
        </w:rPr>
        <w:t>w</w:t>
      </w:r>
      <w:r>
        <w:rPr>
          <w:rFonts w:ascii="Calibri" w:eastAsia="等线" w:hAnsi="Calibri" w:cs="Calibri"/>
          <w:sz w:val="20"/>
          <w:szCs w:val="18"/>
        </w:rPr>
        <w:t>i</w:t>
      </w:r>
      <w:r w:rsidRPr="001C513B">
        <w:rPr>
          <w:rFonts w:ascii="Calibri" w:eastAsia="等线" w:hAnsi="Calibri" w:cs="Calibri"/>
          <w:sz w:val="20"/>
          <w:szCs w:val="18"/>
        </w:rPr>
        <w:t>nning boundary of {111} type I &lt;211&gt;type II and {011} compound martensitic self-accommodation twinning boundar</w:t>
      </w:r>
      <w:r w:rsidR="0094184B">
        <w:rPr>
          <w:rFonts w:ascii="Calibri" w:eastAsia="等线" w:hAnsi="Calibri" w:cs="Calibri"/>
          <w:sz w:val="20"/>
          <w:szCs w:val="18"/>
        </w:rPr>
        <w:t>ies</w:t>
      </w:r>
      <w:r w:rsidRPr="001C513B">
        <w:rPr>
          <w:rFonts w:ascii="Calibri" w:eastAsia="等线" w:hAnsi="Calibri" w:cs="Calibri"/>
          <w:sz w:val="20"/>
          <w:szCs w:val="18"/>
        </w:rPr>
        <w:t xml:space="preserve"> are marked with yellow red and green line</w:t>
      </w:r>
      <w:r>
        <w:rPr>
          <w:rFonts w:ascii="Calibri" w:eastAsia="等线" w:hAnsi="Calibri" w:cs="Calibri"/>
          <w:sz w:val="20"/>
          <w:szCs w:val="18"/>
        </w:rPr>
        <w:t>s,</w:t>
      </w:r>
      <w:r w:rsidRPr="001C513B">
        <w:rPr>
          <w:rFonts w:ascii="Calibri" w:eastAsia="等线" w:hAnsi="Calibri" w:cs="Calibri"/>
          <w:sz w:val="20"/>
          <w:szCs w:val="18"/>
        </w:rPr>
        <w:t xml:space="preserve"> respectively</w:t>
      </w:r>
      <w:r>
        <w:rPr>
          <w:rFonts w:ascii="Calibri" w:eastAsia="等线" w:hAnsi="Calibri" w:cs="Calibri"/>
          <w:sz w:val="20"/>
          <w:szCs w:val="18"/>
        </w:rPr>
        <w:t>,</w:t>
      </w:r>
      <w:r w:rsidRPr="001C513B">
        <w:rPr>
          <w:rFonts w:ascii="Calibri" w:eastAsia="等线" w:hAnsi="Calibri" w:cs="Calibri"/>
          <w:sz w:val="20"/>
          <w:szCs w:val="18"/>
        </w:rPr>
        <w:t xml:space="preserve"> where the misorientation profile</w:t>
      </w:r>
      <w:r>
        <w:rPr>
          <w:rFonts w:ascii="Calibri" w:eastAsia="等线" w:hAnsi="Calibri" w:cs="Calibri"/>
          <w:sz w:val="20"/>
          <w:szCs w:val="18"/>
        </w:rPr>
        <w:t>s</w:t>
      </w:r>
      <w:r w:rsidRPr="001C513B">
        <w:rPr>
          <w:rFonts w:ascii="Calibri" w:eastAsia="等线" w:hAnsi="Calibri" w:cs="Calibri"/>
          <w:sz w:val="20"/>
          <w:szCs w:val="18"/>
        </w:rPr>
        <w:t xml:space="preserve"> are listed in (i-iii).</w:t>
      </w:r>
      <w:bookmarkEnd w:id="243"/>
      <w:bookmarkEnd w:id="244"/>
    </w:p>
    <w:p w14:paraId="47AAA5C7" w14:textId="55148050" w:rsidR="00B145BE" w:rsidRDefault="00B145BE" w:rsidP="002D04F2">
      <w:pPr>
        <w:suppressAutoHyphens/>
        <w:spacing w:after="60" w:line="360" w:lineRule="auto"/>
        <w:jc w:val="both"/>
        <w:rPr>
          <w:rFonts w:ascii="Calibri" w:eastAsia="等线" w:hAnsi="Calibri" w:cs="Calibri"/>
        </w:rPr>
      </w:pPr>
      <w:r>
        <w:rPr>
          <w:rFonts w:ascii="Calibri" w:eastAsia="等线" w:hAnsi="Calibri" w:cs="Calibri"/>
          <w:lang w:bidi="hi-IN"/>
        </w:rPr>
        <w:t>T</w:t>
      </w:r>
      <w:r w:rsidRPr="001C513B">
        <w:rPr>
          <w:rFonts w:ascii="Calibri" w:eastAsia="等线" w:hAnsi="Calibri" w:cs="Calibri"/>
          <w:lang w:bidi="hi-IN"/>
        </w:rPr>
        <w:t>he as-cast TiZrHfTa</w:t>
      </w:r>
      <w:r w:rsidRPr="001C513B">
        <w:rPr>
          <w:rFonts w:ascii="Calibri" w:eastAsia="等线" w:hAnsi="Calibri" w:cs="Calibri"/>
          <w:vertAlign w:val="subscript"/>
          <w:lang w:bidi="hi-IN"/>
        </w:rPr>
        <w:t>0.5</w:t>
      </w:r>
      <w:r w:rsidRPr="001C513B">
        <w:rPr>
          <w:rFonts w:ascii="Calibri" w:eastAsia="等线" w:hAnsi="Calibri" w:cs="Calibri"/>
          <w:lang w:bidi="hi-IN"/>
        </w:rPr>
        <w:t xml:space="preserve"> </w:t>
      </w:r>
      <w:r>
        <w:rPr>
          <w:rFonts w:ascii="Calibri" w:eastAsia="等线" w:hAnsi="Calibri" w:cs="Calibri"/>
          <w:lang w:bidi="hi-IN"/>
        </w:rPr>
        <w:t>possessed the</w:t>
      </w:r>
      <w:r w:rsidRPr="001C513B">
        <w:rPr>
          <w:rFonts w:ascii="Calibri" w:eastAsia="等线" w:hAnsi="Calibri" w:cs="Calibri"/>
          <w:lang w:bidi="hi-IN"/>
        </w:rPr>
        <w:t xml:space="preserve"> highest </w:t>
      </w:r>
      <w:r w:rsidR="00FC7323">
        <w:rPr>
          <w:rFonts w:ascii="Calibri" w:eastAsia="等线" w:hAnsi="Calibri" w:cs="Calibri"/>
          <w:lang w:bidi="hi-IN"/>
        </w:rPr>
        <w:t>work</w:t>
      </w:r>
      <w:r w:rsidRPr="001C513B">
        <w:rPr>
          <w:rFonts w:ascii="Calibri" w:eastAsia="等线" w:hAnsi="Calibri" w:cs="Calibri"/>
          <w:lang w:bidi="hi-IN"/>
        </w:rPr>
        <w:t xml:space="preserve"> hardening capacity in</w:t>
      </w:r>
      <w:r>
        <w:rPr>
          <w:rFonts w:ascii="Calibri" w:eastAsia="等线" w:hAnsi="Calibri" w:cs="Calibri"/>
          <w:lang w:bidi="hi-IN"/>
        </w:rPr>
        <w:t xml:space="preserve"> the</w:t>
      </w:r>
      <w:r w:rsidRPr="001C513B">
        <w:rPr>
          <w:rFonts w:ascii="Calibri" w:eastAsia="等线" w:hAnsi="Calibri" w:cs="Calibri"/>
          <w:lang w:bidi="hi-IN"/>
        </w:rPr>
        <w:t xml:space="preserve"> TiZrHfTa</w:t>
      </w:r>
      <w:r w:rsidRPr="001C513B">
        <w:rPr>
          <w:rFonts w:ascii="Calibri" w:eastAsia="等线" w:hAnsi="Calibri" w:cs="Calibri"/>
          <w:vertAlign w:val="subscript"/>
          <w:lang w:bidi="hi-IN"/>
        </w:rPr>
        <w:t>x(x=0.5-1)</w:t>
      </w:r>
      <w:r w:rsidRPr="001C513B">
        <w:rPr>
          <w:rFonts w:ascii="Calibri" w:eastAsia="等线" w:hAnsi="Calibri" w:cs="Calibri"/>
          <w:lang w:bidi="hi-IN"/>
        </w:rPr>
        <w:t xml:space="preserve"> </w:t>
      </w:r>
      <w:r>
        <w:rPr>
          <w:rFonts w:ascii="Calibri" w:eastAsia="等线" w:hAnsi="Calibri" w:cs="Calibri"/>
          <w:lang w:bidi="hi-IN"/>
        </w:rPr>
        <w:t>series and wa</w:t>
      </w:r>
      <w:r w:rsidRPr="001C513B">
        <w:rPr>
          <w:rFonts w:ascii="Calibri" w:eastAsia="等线" w:hAnsi="Calibri" w:cs="Calibri"/>
          <w:lang w:bidi="hi-IN"/>
        </w:rPr>
        <w:t xml:space="preserve">s identified </w:t>
      </w:r>
      <w:r>
        <w:rPr>
          <w:rFonts w:ascii="Calibri" w:eastAsia="等线" w:hAnsi="Calibri" w:cs="Calibri"/>
          <w:lang w:bidi="hi-IN"/>
        </w:rPr>
        <w:t xml:space="preserve">in Figure 5.1 (a) </w:t>
      </w:r>
      <w:r w:rsidRPr="001C513B">
        <w:rPr>
          <w:rFonts w:ascii="Calibri" w:eastAsia="等线" w:hAnsi="Calibri" w:cs="Calibri"/>
          <w:lang w:bidi="hi-IN"/>
        </w:rPr>
        <w:t>as a dual phase alloy</w:t>
      </w:r>
      <w:r>
        <w:rPr>
          <w:rFonts w:ascii="Calibri" w:eastAsia="等线" w:hAnsi="Calibri" w:cs="Calibri"/>
          <w:lang w:bidi="hi-IN"/>
        </w:rPr>
        <w:t>.</w:t>
      </w:r>
      <w:r w:rsidRPr="001C513B">
        <w:rPr>
          <w:rFonts w:ascii="Calibri" w:eastAsia="等线" w:hAnsi="Calibri" w:cs="Calibri"/>
          <w:lang w:bidi="hi-IN"/>
        </w:rPr>
        <w:t xml:space="preserve"> </w:t>
      </w:r>
      <w:r>
        <w:rPr>
          <w:rFonts w:ascii="Calibri" w:eastAsia="等线" w:hAnsi="Calibri" w:cs="Calibri"/>
          <w:lang w:bidi="hi-IN"/>
        </w:rPr>
        <w:t>A number</w:t>
      </w:r>
      <w:r w:rsidRPr="001C513B">
        <w:rPr>
          <w:rFonts w:ascii="Calibri" w:eastAsia="等线" w:hAnsi="Calibri" w:cs="Calibri"/>
          <w:lang w:bidi="hi-IN"/>
        </w:rPr>
        <w:t xml:space="preserve"> of deformation mechanisms </w:t>
      </w:r>
      <w:r>
        <w:rPr>
          <w:rFonts w:ascii="Calibri" w:eastAsia="等线" w:hAnsi="Calibri" w:cs="Calibri"/>
          <w:lang w:bidi="hi-IN"/>
        </w:rPr>
        <w:t>appeared to have been</w:t>
      </w:r>
      <w:r w:rsidRPr="001C513B">
        <w:rPr>
          <w:rFonts w:ascii="Calibri" w:eastAsia="等线" w:hAnsi="Calibri" w:cs="Calibri"/>
          <w:lang w:bidi="hi-IN"/>
        </w:rPr>
        <w:t xml:space="preserve"> activated and </w:t>
      </w:r>
      <w:r>
        <w:rPr>
          <w:rFonts w:ascii="Calibri" w:eastAsia="等线" w:hAnsi="Calibri" w:cs="Calibri"/>
          <w:lang w:bidi="hi-IN"/>
        </w:rPr>
        <w:t xml:space="preserve">this </w:t>
      </w:r>
      <w:r w:rsidRPr="001C513B">
        <w:rPr>
          <w:rFonts w:ascii="Calibri" w:eastAsia="等线" w:hAnsi="Calibri" w:cs="Calibri"/>
          <w:lang w:bidi="hi-IN"/>
        </w:rPr>
        <w:t>result</w:t>
      </w:r>
      <w:r>
        <w:rPr>
          <w:rFonts w:ascii="Calibri" w:eastAsia="等线" w:hAnsi="Calibri" w:cs="Calibri"/>
          <w:lang w:bidi="hi-IN"/>
        </w:rPr>
        <w:t>ed</w:t>
      </w:r>
      <w:r w:rsidRPr="001C513B">
        <w:rPr>
          <w:rFonts w:ascii="Calibri" w:eastAsia="等线" w:hAnsi="Calibri" w:cs="Calibri"/>
          <w:lang w:bidi="hi-IN"/>
        </w:rPr>
        <w:t xml:space="preserve"> in a </w:t>
      </w:r>
      <w:r>
        <w:rPr>
          <w:rFonts w:ascii="Calibri" w:eastAsia="等线" w:hAnsi="Calibri" w:cs="Calibri"/>
          <w:lang w:bidi="hi-IN"/>
        </w:rPr>
        <w:t>complex microstructure that is shown in</w:t>
      </w:r>
      <w:r w:rsidRPr="001C513B">
        <w:rPr>
          <w:rFonts w:ascii="Calibri" w:eastAsia="等线" w:hAnsi="Calibri" w:cs="Calibri"/>
          <w:lang w:bidi="hi-IN"/>
        </w:rPr>
        <w:t xml:space="preserve"> </w:t>
      </w:r>
      <w:r w:rsidRPr="001C513B">
        <w:rPr>
          <w:rFonts w:ascii="Calibri" w:eastAsia="等线" w:hAnsi="Calibri" w:cs="Times New Roman"/>
        </w:rPr>
        <w:t>Fig. 5-3(c)</w:t>
      </w:r>
      <w:r w:rsidRPr="001C513B">
        <w:rPr>
          <w:rFonts w:ascii="Calibri" w:eastAsia="等线" w:hAnsi="Calibri" w:cs="Calibri"/>
          <w:lang w:bidi="hi-IN"/>
        </w:rPr>
        <w:t xml:space="preserve">. In the fully indexed martensite grain shown in </w:t>
      </w:r>
      <w:r w:rsidRPr="001C513B">
        <w:rPr>
          <w:rFonts w:ascii="Calibri" w:eastAsia="等线" w:hAnsi="Calibri" w:cs="Times New Roman"/>
        </w:rPr>
        <w:t>Fig. 5-3(c)</w:t>
      </w:r>
      <w:r w:rsidRPr="001C513B">
        <w:rPr>
          <w:rFonts w:ascii="Calibri" w:eastAsia="等线" w:hAnsi="Calibri" w:cs="Calibri"/>
          <w:lang w:bidi="hi-IN"/>
        </w:rPr>
        <w:t>, substantial martensite variants were discovered</w:t>
      </w:r>
      <w:r>
        <w:rPr>
          <w:rFonts w:ascii="Calibri" w:eastAsia="等线" w:hAnsi="Calibri" w:cs="Calibri"/>
          <w:lang w:bidi="hi-IN"/>
        </w:rPr>
        <w:t xml:space="preserve">. These </w:t>
      </w:r>
      <w:r w:rsidRPr="001C513B">
        <w:rPr>
          <w:rFonts w:ascii="Calibri" w:eastAsia="等线" w:hAnsi="Calibri" w:cs="Calibri"/>
          <w:lang w:bidi="hi-IN"/>
        </w:rPr>
        <w:t>arranged themselves in either zi</w:t>
      </w:r>
      <w:r>
        <w:rPr>
          <w:rFonts w:ascii="Calibri" w:eastAsia="等线" w:hAnsi="Calibri" w:cs="Calibri"/>
          <w:lang w:bidi="hi-IN"/>
        </w:rPr>
        <w:t>g</w:t>
      </w:r>
      <w:r w:rsidRPr="001C513B">
        <w:rPr>
          <w:rFonts w:ascii="Calibri" w:eastAsia="等线" w:hAnsi="Calibri" w:cs="Calibri"/>
          <w:lang w:bidi="hi-IN"/>
        </w:rPr>
        <w:t>-za</w:t>
      </w:r>
      <w:r>
        <w:rPr>
          <w:rFonts w:ascii="Calibri" w:eastAsia="等线" w:hAnsi="Calibri" w:cs="Calibri"/>
          <w:lang w:bidi="hi-IN"/>
        </w:rPr>
        <w:t>g</w:t>
      </w:r>
      <w:r w:rsidRPr="001C513B">
        <w:rPr>
          <w:rFonts w:ascii="Calibri" w:eastAsia="等线" w:hAnsi="Calibri" w:cs="Calibri"/>
          <w:lang w:bidi="hi-IN"/>
        </w:rPr>
        <w:t xml:space="preserve"> or highly entangled structure</w:t>
      </w:r>
      <w:r>
        <w:rPr>
          <w:rFonts w:ascii="Calibri" w:eastAsia="等线" w:hAnsi="Calibri" w:cs="Calibri"/>
          <w:lang w:bidi="hi-IN"/>
        </w:rPr>
        <w:t>s</w:t>
      </w:r>
      <w:r w:rsidRPr="001C513B">
        <w:rPr>
          <w:rFonts w:ascii="Calibri" w:eastAsia="等线" w:hAnsi="Calibri" w:cs="Calibri"/>
          <w:lang w:bidi="hi-IN"/>
        </w:rPr>
        <w:t xml:space="preserve">. Such arrangements of </w:t>
      </w:r>
      <w:r>
        <w:rPr>
          <w:rFonts w:ascii="Calibri" w:eastAsia="等线" w:hAnsi="Calibri" w:cs="Calibri"/>
          <w:lang w:bidi="hi-IN"/>
        </w:rPr>
        <w:t xml:space="preserve">these variants of </w:t>
      </w:r>
      <w:r w:rsidRPr="001C513B">
        <w:rPr>
          <w:rFonts w:ascii="Calibri" w:eastAsia="等线" w:hAnsi="Calibri" w:cs="Calibri"/>
          <w:lang w:bidi="hi-IN"/>
        </w:rPr>
        <w:t xml:space="preserve">martensite in </w:t>
      </w:r>
      <w:r>
        <w:rPr>
          <w:rFonts w:ascii="Calibri" w:eastAsia="等线" w:hAnsi="Calibri" w:cs="Calibri"/>
          <w:lang w:bidi="hi-IN"/>
        </w:rPr>
        <w:t xml:space="preserve">the </w:t>
      </w:r>
      <w:r w:rsidRPr="001C513B">
        <w:rPr>
          <w:rFonts w:ascii="Calibri" w:eastAsia="等线" w:hAnsi="Calibri" w:cs="Calibri"/>
          <w:lang w:bidi="hi-IN"/>
        </w:rPr>
        <w:t xml:space="preserve">primary grain may </w:t>
      </w:r>
      <w:r>
        <w:rPr>
          <w:rFonts w:ascii="Calibri" w:eastAsia="等线" w:hAnsi="Calibri" w:cs="Calibri"/>
          <w:lang w:bidi="hi-IN"/>
        </w:rPr>
        <w:t xml:space="preserve">be </w:t>
      </w:r>
      <w:r w:rsidRPr="001C513B">
        <w:rPr>
          <w:rFonts w:ascii="Calibri" w:eastAsia="等线" w:hAnsi="Calibri" w:cs="Calibri"/>
          <w:lang w:bidi="hi-IN"/>
        </w:rPr>
        <w:t>twinning related</w:t>
      </w:r>
      <w:r>
        <w:rPr>
          <w:rFonts w:ascii="Calibri" w:eastAsia="等线" w:hAnsi="Calibri" w:cs="Calibri"/>
          <w:lang w:bidi="hi-IN"/>
        </w:rPr>
        <w:t xml:space="preserve">, having been </w:t>
      </w:r>
      <w:r w:rsidRPr="001C513B">
        <w:rPr>
          <w:rFonts w:ascii="Calibri" w:eastAsia="等线" w:hAnsi="Calibri" w:cs="Calibri"/>
          <w:lang w:bidi="hi-IN"/>
        </w:rPr>
        <w:t>activated via the stress</w:t>
      </w:r>
      <w:r>
        <w:rPr>
          <w:rFonts w:ascii="Calibri" w:eastAsia="等线" w:hAnsi="Calibri" w:cs="Calibri"/>
          <w:lang w:bidi="hi-IN"/>
        </w:rPr>
        <w:t>-</w:t>
      </w:r>
      <w:r w:rsidRPr="001C513B">
        <w:rPr>
          <w:rFonts w:ascii="Calibri" w:eastAsia="等线" w:hAnsi="Calibri" w:cs="Calibri"/>
          <w:lang w:bidi="hi-IN"/>
        </w:rPr>
        <w:t>induced martensite phase transformation</w:t>
      </w:r>
      <w:r>
        <w:rPr>
          <w:rFonts w:ascii="Calibri" w:eastAsia="等线" w:hAnsi="Calibri" w:cs="Calibri"/>
          <w:lang w:bidi="hi-IN"/>
        </w:rPr>
        <w:t xml:space="preserve"> </w:t>
      </w:r>
      <w:r w:rsidRPr="001C513B">
        <w:rPr>
          <w:rFonts w:ascii="Calibri" w:eastAsia="等线" w:hAnsi="Calibri" w:cs="Calibri"/>
          <w:lang w:bidi="hi-IN"/>
        </w:rPr>
        <w:fldChar w:fldCharType="begin" w:fldLock="1"/>
      </w:r>
      <w:r>
        <w:rPr>
          <w:rFonts w:ascii="Calibri" w:eastAsia="等线" w:hAnsi="Calibri" w:cs="Calibri" w:hint="eastAsia"/>
          <w:lang w:bidi="hi-IN"/>
        </w:rPr>
        <w:instrText xml:space="preserve">ADDIN CSL_CITATION {"citationItems":[{"id":"ITEM-1","itemData":{"DOI":"10.1016/j.actamat.2009.04.051","ISBN":"0000000000","ISSN":"13596454","PMID":"30089621","abstract":"Self-accommodation morphology of the </w:instrText>
      </w:r>
      <w:r>
        <w:rPr>
          <w:rFonts w:ascii="Calibri" w:eastAsia="等线" w:hAnsi="Calibri" w:cs="Calibri" w:hint="eastAsia"/>
          <w:lang w:bidi="hi-IN"/>
        </w:rPr>
        <w:instrText>α″</w:instrText>
      </w:r>
      <w:r>
        <w:rPr>
          <w:rFonts w:ascii="Calibri" w:eastAsia="等线" w:hAnsi="Calibri" w:cs="Calibri" w:hint="eastAsia"/>
          <w:lang w:bidi="hi-IN"/>
        </w:rPr>
        <w:instrText xml:space="preserve">martensites in Ti-Nb shape memory alloys with </w:instrText>
      </w:r>
      <w:r>
        <w:rPr>
          <w:rFonts w:ascii="Calibri" w:eastAsia="等线" w:hAnsi="Calibri" w:cs="Calibri"/>
          <w:lang w:bidi="hi-IN"/>
        </w:rPr>
        <w:instrText>Nb content ranging from 20 to 24 at.% was investigated. Hollow and solid triangular morphologies consisting of three α</w:instrText>
      </w:r>
      <w:r>
        <w:rPr>
          <w:rFonts w:ascii="Calibri" w:eastAsia="等线" w:hAnsi="Calibri" w:cs="Calibri" w:hint="eastAsia"/>
          <w:lang w:bidi="hi-IN"/>
        </w:rPr>
        <w:instrText>″</w:instrText>
      </w:r>
      <w:r>
        <w:rPr>
          <w:rFonts w:ascii="Calibri" w:eastAsia="等线" w:hAnsi="Calibri" w:cs="Calibri"/>
          <w:lang w:bidi="hi-IN"/>
        </w:rPr>
        <w:instrText>variants were found to be the α</w:instrText>
      </w:r>
      <w:r>
        <w:rPr>
          <w:rFonts w:ascii="Calibri" w:eastAsia="等线" w:hAnsi="Calibri" w:cs="Calibri" w:hint="eastAsia"/>
          <w:lang w:bidi="hi-IN"/>
        </w:rPr>
        <w:instrText>″</w:instrText>
      </w:r>
      <w:r>
        <w:rPr>
          <w:rFonts w:ascii="Calibri" w:eastAsia="等线" w:hAnsi="Calibri" w:cs="Calibri"/>
          <w:lang w:bidi="hi-IN"/>
        </w:rPr>
        <w:instrText>self-accommodation morphologies. The α</w:instrText>
      </w:r>
      <w:r>
        <w:rPr>
          <w:rFonts w:ascii="Calibri" w:eastAsia="等线" w:hAnsi="Calibri" w:cs="Calibri" w:hint="eastAsia"/>
          <w:lang w:bidi="hi-IN"/>
        </w:rPr>
        <w:instrText>″</w:instrText>
      </w:r>
      <w:r>
        <w:rPr>
          <w:rFonts w:ascii="Calibri" w:eastAsia="等线" w:hAnsi="Calibri" w:cs="Calibri"/>
          <w:lang w:bidi="hi-IN"/>
        </w:rPr>
        <w:instrText>variants are related to each other by twinning on {1 over(1, ̄) 1</w:instrText>
      </w:r>
      <w:r>
        <w:rPr>
          <w:rFonts w:ascii="Calibri" w:eastAsia="等线" w:hAnsi="Calibri" w:cs="Calibri" w:hint="eastAsia"/>
          <w:lang w:bidi="hi-IN"/>
        </w:rPr>
        <w:instrText>}</w:instrText>
      </w:r>
      <w:r>
        <w:rPr>
          <w:rFonts w:ascii="Calibri" w:eastAsia="等线" w:hAnsi="Calibri" w:cs="Calibri" w:hint="eastAsia"/>
          <w:lang w:bidi="hi-IN"/>
        </w:rPr>
        <w:instrText>α″</w:instrText>
      </w:r>
      <w:r>
        <w:rPr>
          <w:rFonts w:ascii="Calibri" w:eastAsia="等线" w:hAnsi="Calibri" w:cs="Calibri" w:hint="eastAsia"/>
          <w:lang w:bidi="hi-IN"/>
        </w:rPr>
        <w:instrText xml:space="preserve">. A V-shaped morphology consisting of two </w:instrText>
      </w:r>
      <w:r>
        <w:rPr>
          <w:rFonts w:ascii="Calibri" w:eastAsia="等线" w:hAnsi="Calibri" w:cs="Calibri" w:hint="eastAsia"/>
          <w:lang w:bidi="hi-IN"/>
        </w:rPr>
        <w:instrText>α″</w:instrText>
      </w:r>
      <w:r>
        <w:rPr>
          <w:rFonts w:ascii="Calibri" w:eastAsia="等线" w:hAnsi="Calibri" w:cs="Calibri" w:hint="eastAsia"/>
          <w:lang w:bidi="hi-IN"/>
        </w:rPr>
        <w:instrText xml:space="preserve">variants coupled with a solid triangular morphology consisting of three </w:instrText>
      </w:r>
      <w:r>
        <w:rPr>
          <w:rFonts w:ascii="Calibri" w:eastAsia="等线" w:hAnsi="Calibri" w:cs="Calibri" w:hint="eastAsia"/>
          <w:lang w:bidi="hi-IN"/>
        </w:rPr>
        <w:instrText>α″</w:instrText>
      </w:r>
      <w:r>
        <w:rPr>
          <w:rFonts w:ascii="Calibri" w:eastAsia="等线" w:hAnsi="Calibri" w:cs="Calibri" w:hint="eastAsia"/>
          <w:lang w:bidi="hi-IN"/>
        </w:rPr>
        <w:instrText xml:space="preserve">variants was found to be another type of self-accommodation morphology. The </w:instrText>
      </w:r>
      <w:r>
        <w:rPr>
          <w:rFonts w:ascii="Calibri" w:eastAsia="等线" w:hAnsi="Calibri" w:cs="Calibri" w:hint="eastAsia"/>
          <w:lang w:bidi="hi-IN"/>
        </w:rPr>
        <w:instrText>α″</w:instrText>
      </w:r>
      <w:r>
        <w:rPr>
          <w:rFonts w:ascii="Calibri" w:eastAsia="等线" w:hAnsi="Calibri" w:cs="Calibri" w:hint="eastAsia"/>
          <w:lang w:bidi="hi-IN"/>
        </w:rPr>
        <w:instrText>variants from the V-shaped morphology are related by twi</w:instrText>
      </w:r>
      <w:r>
        <w:rPr>
          <w:rFonts w:ascii="Calibri" w:eastAsia="等线" w:hAnsi="Calibri" w:cs="Calibri"/>
          <w:lang w:bidi="hi-IN"/>
        </w:rPr>
        <w:instrText>nning on {1 1 1}α</w:instrText>
      </w:r>
      <w:r>
        <w:rPr>
          <w:rFonts w:ascii="Calibri" w:eastAsia="等线" w:hAnsi="Calibri" w:cs="Calibri" w:hint="eastAsia"/>
          <w:lang w:bidi="hi-IN"/>
        </w:rPr>
        <w:instrText>″</w:instrText>
      </w:r>
      <w:r>
        <w:rPr>
          <w:rFonts w:ascii="Calibri" w:eastAsia="等线" w:hAnsi="Calibri" w:cs="Calibri"/>
          <w:lang w:bidi="hi-IN"/>
        </w:rPr>
        <w:instrText>, whereas the α</w:instrText>
      </w:r>
      <w:r>
        <w:rPr>
          <w:rFonts w:ascii="Calibri" w:eastAsia="等线" w:hAnsi="Calibri" w:cs="Calibri" w:hint="eastAsia"/>
          <w:lang w:bidi="hi-IN"/>
        </w:rPr>
        <w:instrText>″</w:instrText>
      </w:r>
      <w:r>
        <w:rPr>
          <w:rFonts w:ascii="Calibri" w:eastAsia="等线" w:hAnsi="Calibri" w:cs="Calibri"/>
          <w:lang w:bidi="hi-IN"/>
        </w:rPr>
        <w:instrText>variants from the solid triangular morphology are related to each other by twinning on {1 over(1, ̄) 1}α</w:instrText>
      </w:r>
      <w:r>
        <w:rPr>
          <w:rFonts w:ascii="Calibri" w:eastAsia="等线" w:hAnsi="Calibri" w:cs="Calibri" w:hint="eastAsia"/>
          <w:lang w:bidi="hi-IN"/>
        </w:rPr>
        <w:instrText>″</w:instrText>
      </w:r>
      <w:r>
        <w:rPr>
          <w:rFonts w:ascii="Calibri" w:eastAsia="等线" w:hAnsi="Calibri" w:cs="Calibri"/>
          <w:lang w:bidi="hi-IN"/>
        </w:rPr>
        <w:instrText>. Pairs of crystallographically equivalent {1 over(1, ̄) 1}α</w:instrText>
      </w:r>
      <w:r>
        <w:rPr>
          <w:rFonts w:ascii="Calibri" w:eastAsia="等线" w:hAnsi="Calibri" w:cs="Calibri" w:hint="eastAsia"/>
          <w:lang w:bidi="hi-IN"/>
        </w:rPr>
        <w:instrText>″</w:instrText>
      </w:r>
      <w:r>
        <w:rPr>
          <w:rFonts w:ascii="Calibri" w:eastAsia="等线" w:hAnsi="Calibri" w:cs="Calibri"/>
          <w:lang w:bidi="hi-IN"/>
        </w:rPr>
        <w:instrText>twinning dislocations with steps of opposite signs were found to cause the overall orientation of the twinning terraces and steps to be parallel to the {1 over(1, ̄) 1}α</w:instrText>
      </w:r>
      <w:r>
        <w:rPr>
          <w:rFonts w:ascii="Calibri" w:eastAsia="等线" w:hAnsi="Calibri" w:cs="Calibri" w:hint="eastAsia"/>
          <w:lang w:bidi="hi-IN"/>
        </w:rPr>
        <w:instrText>″</w:instrText>
      </w:r>
      <w:r>
        <w:rPr>
          <w:rFonts w:ascii="Calibri" w:eastAsia="等线" w:hAnsi="Calibri" w:cs="Calibri"/>
          <w:lang w:bidi="hi-IN"/>
        </w:rPr>
        <w:instrText>twinning interface. © 2009 Acta Materialia Inc.","author":[{"dropping-particle":"","family":"Chai","given":"Y. W.","non-dropping-particle":"","parse-names":false,"suffix":""},{"dropping-particle":"","family":"Kim","given":"H. Y.","non-dropping-particle":"","parse-names":false,"suffix":""},{"dropping-particle":"","family":"Hosoda","given":"H.","non-dropping-particle":"","parse-names":false,"suffix":""},{"dropping-particle":"","family":"Miyazaki","given":"S.","non-dropping-particle":"","parse-names":false,"suffix":""}],"container-title":"Acta Materialia","id":"ITEM-1","issued":{"date-parts":[["2009"]]},"title":"Self-accommodation in Ti-Nb shape memory alloys","type":"article-journal"},"uris":["http://www.mendeley.com/documents/?uuid=d9dd42fc-c439-4e3a-95e5-e7ad7b328b69"]},{"id":"ITEM-2","itemData":{"DOI":"10.1080/14786430601003874","ISBN":"1478-6435","ISSN":"14786435","abstract":"11q","author":[{"dropping-particle":"","family":"Inamura","given":"T.","non-dropping-particle":"","parse-names":false,"suffix":""},{"dropping-particle":"","family":"Kim","given":"J. I.","non-dropping-particle":"","parse-names":false,"suffix":""},{"dropping-particle":"","family":"Kim","given":"H. Y.","non-dropping-particle":"","parse-names":false,"suffix":""},{"dropping-particle":"","family":"Hosoda","given":"H.","non-dropping-particle":"","parse-names":false,"suffix":""},{"dropping-particle":"","family":"Wakashima","given":"K.","non-dropping-particle":"","parse-names":false,"suffix":""},{"dropping-particle":"","family":"Miyazaki","given":"S.","non-dropping-particle":"","parse-names":false,"suffix":""}],"container-title":"Philosophical Magazine","id":"ITEM-2","issued":{</w:instrText>
      </w:r>
      <w:r>
        <w:rPr>
          <w:rFonts w:ascii="Calibri" w:eastAsia="等线" w:hAnsi="Calibri" w:cs="Calibri" w:hint="eastAsia"/>
          <w:lang w:bidi="hi-IN"/>
        </w:rPr>
        <w:instrText xml:space="preserve">"date-parts":[["2007"]]},"title":"Composition dependent crystallography of </w:instrText>
      </w:r>
      <w:r>
        <w:rPr>
          <w:rFonts w:ascii="Calibri" w:eastAsia="等线" w:hAnsi="Calibri" w:cs="Calibri" w:hint="eastAsia"/>
          <w:lang w:bidi="hi-IN"/>
        </w:rPr>
        <w:instrText>α″</w:instrText>
      </w:r>
      <w:r>
        <w:rPr>
          <w:rFonts w:ascii="Calibri" w:eastAsia="等线" w:hAnsi="Calibri" w:cs="Calibri" w:hint="eastAsia"/>
          <w:lang w:bidi="hi-IN"/>
        </w:rPr>
        <w:instrText xml:space="preserve">-martensite in Ti-Nb-based </w:instrText>
      </w:r>
      <w:r>
        <w:rPr>
          <w:rFonts w:ascii="Calibri" w:eastAsia="等线" w:hAnsi="Calibri" w:cs="Calibri" w:hint="eastAsia"/>
          <w:lang w:bidi="hi-IN"/>
        </w:rPr>
        <w:instrText>β</w:instrText>
      </w:r>
      <w:r>
        <w:rPr>
          <w:rFonts w:ascii="Calibri" w:eastAsia="等线" w:hAnsi="Calibri" w:cs="Calibri" w:hint="eastAsia"/>
          <w:lang w:bidi="hi-IN"/>
        </w:rPr>
        <w:instrText>-titanium alloy","type":"article-journal"},"uris":["http://www.mendeley.com/documents/?uuid=26904a4b-d6c6-4c17-b6da-29a902ada479"]},{"id":"ITEM-3","it</w:instrText>
      </w:r>
      <w:r>
        <w:rPr>
          <w:rFonts w:ascii="Calibri" w:eastAsia="等线" w:hAnsi="Calibri" w:cs="Calibri"/>
          <w:lang w:bidi="hi-IN"/>
        </w:rPr>
        <w:instrText>emData":{"DOI":"10.1007/BF00375026","ISSN":"00039527","abstract":"The shape-memory effect is a phenomenon wherein an apparently plastically deformed specimen recovers all strain when heated above a critical temperature. This is observed in some crystalline solids that undergo martensitic phase transformation. The martensitic transformation is a temperature-induced, diffusionless solid-to-solid phase transformation involving a change in crystalline symmetry. Shape-memory materials are able to transform from the high-temperature austenite to the low-temperature martensite phase without any apparent change in shape. This is known as self-accommodation. Necessary and sufficient conditions that the lattice parameters of a material must satisfy for the material to form a self-accommodating microstructure are derived. The main result states that if the austenite is cubic, the material is self-accommodating if and only if the transformation is volume preserving. On the other hand, if the symmetry of the austenite is not cubic, it is not possible to construct any microstructure that is self-accommodating unless the transformation strain or the Bain strain satisfies additional, rather strict, conditions. These results show good agreement with the available experimental data. The analysis here is significantly different from previous studies because it makes no a priori assumption on the microstructure.","author":[{"dropping-particle":"","family":"Bhattacharya","given":"Kaushik","non-dropping-particle":"","parse-names":false,"suffix":""}],"container-title":"Archive for Rational Mechanics and Analysis","id":"ITEM-3","issued":{"date-parts":[["1992"]]},"title":"Self-accommodation in martensite","type":"article-journal"},"uris":["http://www.mendeley.com/documents/?uuid=2bd4c428-bcb4-43f7-93f3-ce99fdbda6f1","http://www.mendeley.com/documents/?uuid=095adc65-29e2-441f-b824-b2e0b048177e"]}],"mendeley":{"formattedCitation":"[37–39]","plainTextFormattedCitation":"[37–39]","previouslyFormattedCitation":"[37–39]"},"properties":{"noteIndex":0},"schema":"https://github.com/citation-style-language/schema/raw/master/csl-citation.json"}</w:instrText>
      </w:r>
      <w:r w:rsidRPr="001C513B">
        <w:rPr>
          <w:rFonts w:ascii="Calibri" w:eastAsia="等线" w:hAnsi="Calibri" w:cs="Calibri"/>
          <w:lang w:bidi="hi-IN"/>
        </w:rPr>
        <w:fldChar w:fldCharType="separate"/>
      </w:r>
      <w:r w:rsidRPr="001C513B">
        <w:rPr>
          <w:rFonts w:ascii="Calibri" w:eastAsia="等线" w:hAnsi="Calibri" w:cs="Calibri"/>
          <w:noProof/>
          <w:lang w:bidi="hi-IN"/>
        </w:rPr>
        <w:t>[37–39]</w:t>
      </w:r>
      <w:r w:rsidRPr="001C513B">
        <w:rPr>
          <w:rFonts w:ascii="Calibri" w:eastAsia="等线" w:hAnsi="Calibri" w:cs="Calibri"/>
          <w:lang w:bidi="hi-IN"/>
        </w:rPr>
        <w:fldChar w:fldCharType="end"/>
      </w:r>
      <w:r w:rsidRPr="001C513B">
        <w:rPr>
          <w:rFonts w:ascii="Calibri" w:eastAsia="等线" w:hAnsi="Calibri" w:cs="Calibri"/>
          <w:lang w:bidi="hi-IN"/>
        </w:rPr>
        <w:t>. In metastable-</w:t>
      </w:r>
      <w:r w:rsidRPr="001C513B">
        <w:rPr>
          <w:rFonts w:ascii="Times New Roman" w:eastAsia="等线" w:hAnsi="Times New Roman" w:cs="Times New Roman"/>
          <w:lang w:bidi="hi-IN"/>
        </w:rPr>
        <w:t>β</w:t>
      </w:r>
      <w:r w:rsidRPr="001C513B">
        <w:rPr>
          <w:rFonts w:ascii="Calibri" w:eastAsia="等线" w:hAnsi="Calibri" w:cs="Calibri"/>
          <w:lang w:bidi="hi-IN"/>
        </w:rPr>
        <w:t xml:space="preserve"> Ti alloy</w:t>
      </w:r>
      <w:r w:rsidR="0094184B">
        <w:rPr>
          <w:rFonts w:ascii="Calibri" w:eastAsia="等线" w:hAnsi="Calibri" w:cs="Calibri"/>
          <w:lang w:bidi="hi-IN"/>
        </w:rPr>
        <w:t>s</w:t>
      </w:r>
      <w:r w:rsidRPr="001C513B">
        <w:rPr>
          <w:rFonts w:ascii="Calibri" w:eastAsia="等线" w:hAnsi="Calibri" w:cs="Calibri"/>
          <w:lang w:bidi="hi-IN"/>
        </w:rPr>
        <w:t xml:space="preserve">, the reports of martensite twinning </w:t>
      </w:r>
      <w:r w:rsidRPr="001C513B">
        <w:rPr>
          <w:rFonts w:ascii="Calibri" w:eastAsia="等线" w:hAnsi="Calibri" w:cs="Calibri"/>
          <w:lang w:bidi="hi-IN"/>
        </w:rPr>
        <w:lastRenderedPageBreak/>
        <w:t>were first discovered from Ni</w:t>
      </w:r>
      <w:r>
        <w:rPr>
          <w:rFonts w:ascii="Calibri" w:eastAsia="等线" w:hAnsi="Calibri" w:cs="Calibri"/>
          <w:lang w:bidi="hi-IN"/>
        </w:rPr>
        <w:t>-</w:t>
      </w:r>
      <w:r w:rsidRPr="001C513B">
        <w:rPr>
          <w:rFonts w:ascii="Calibri" w:eastAsia="等线" w:hAnsi="Calibri" w:cs="Calibri"/>
          <w:lang w:bidi="hi-IN"/>
        </w:rPr>
        <w:t xml:space="preserve">free </w:t>
      </w:r>
      <w:r w:rsidRPr="001C513B">
        <w:rPr>
          <w:rFonts w:ascii="Times New Roman" w:eastAsia="等线" w:hAnsi="Times New Roman" w:cs="Times New Roman"/>
          <w:lang w:bidi="hi-IN"/>
        </w:rPr>
        <w:t>β</w:t>
      </w:r>
      <w:r w:rsidRPr="001C513B">
        <w:rPr>
          <w:rFonts w:ascii="Calibri" w:eastAsia="等线" w:hAnsi="Calibri" w:cs="Calibri"/>
          <w:lang w:bidi="hi-IN"/>
        </w:rPr>
        <w:t xml:space="preserve"> Ti shape memory alloy</w:t>
      </w:r>
      <w:r w:rsidR="0094184B">
        <w:rPr>
          <w:rFonts w:ascii="Calibri" w:eastAsia="等线" w:hAnsi="Calibri" w:cs="Calibri"/>
          <w:lang w:bidi="hi-IN"/>
        </w:rPr>
        <w:t>s</w:t>
      </w:r>
      <w:r>
        <w:rPr>
          <w:rFonts w:ascii="Calibri" w:eastAsia="等线" w:hAnsi="Calibri" w:cs="Calibri"/>
          <w:lang w:bidi="hi-IN"/>
        </w:rPr>
        <w:t xml:space="preserve"> formed during </w:t>
      </w:r>
      <w:r w:rsidR="0094184B">
        <w:rPr>
          <w:rFonts w:ascii="Calibri" w:eastAsia="等线" w:hAnsi="Calibri" w:cs="Calibri"/>
          <w:lang w:bidi="hi-IN"/>
        </w:rPr>
        <w:t xml:space="preserve">the </w:t>
      </w:r>
      <w:r>
        <w:rPr>
          <w:rFonts w:ascii="Calibri" w:eastAsia="等线" w:hAnsi="Calibri" w:cs="Calibri"/>
          <w:lang w:bidi="hi-IN"/>
        </w:rPr>
        <w:t>B2 to B19 phase transformation</w:t>
      </w:r>
      <w:r w:rsidRPr="001C513B">
        <w:rPr>
          <w:rFonts w:ascii="Calibri" w:eastAsia="等线" w:hAnsi="Calibri" w:cs="Calibri"/>
          <w:lang w:bidi="hi-IN"/>
        </w:rPr>
        <w:t xml:space="preserve">. </w:t>
      </w:r>
      <w:r>
        <w:rPr>
          <w:rFonts w:ascii="Calibri" w:eastAsia="等线" w:hAnsi="Calibri" w:cs="Calibri"/>
          <w:lang w:bidi="hi-IN"/>
        </w:rPr>
        <w:t>This was known as</w:t>
      </w:r>
      <w:r w:rsidRPr="001C513B">
        <w:rPr>
          <w:rFonts w:ascii="Calibri" w:eastAsia="等线" w:hAnsi="Calibri" w:cs="Calibri"/>
          <w:lang w:bidi="hi-IN"/>
        </w:rPr>
        <w:t xml:space="preserve"> self-accommodation twinning, </w:t>
      </w:r>
      <w:r w:rsidRPr="00F82A87">
        <w:rPr>
          <w:rFonts w:ascii="Calibri" w:eastAsia="等线" w:hAnsi="Calibri" w:cs="Calibri"/>
          <w:lang w:bidi="hi-IN"/>
        </w:rPr>
        <w:t xml:space="preserve">where the structure was originally formed to overcome the volume change caused by martensitic phase transformation </w:t>
      </w:r>
      <w:r w:rsidRPr="00F82A87">
        <w:rPr>
          <w:rFonts w:ascii="Calibri" w:eastAsia="等线" w:hAnsi="Calibri" w:cs="Calibri"/>
          <w:lang w:bidi="hi-IN"/>
        </w:rPr>
        <w:fldChar w:fldCharType="begin" w:fldLock="1"/>
      </w:r>
      <w:r>
        <w:rPr>
          <w:rFonts w:ascii="Calibri" w:eastAsia="等线" w:hAnsi="Calibri" w:cs="Calibri"/>
          <w:lang w:bidi="hi-IN"/>
        </w:rPr>
        <w:instrText>ADDIN CSL_CITATION {"citationItems":[{"id":"ITEM-1","itemData":{"DOI":"10.1007/BF00375026","ISSN":"00039527","abstract":"The shape-memory effect is a phenomenon wherein an apparently plastically deformed specimen recovers all strain when heated above a critical temperature. This is observed in some crystalline solids that undergo martensitic phase transformation. The martensitic transformation is a temperature-induced, diffusionless solid-to-solid phase transformation involving a change in crystalline symmetry. Shape-memory materials are able to transform from the high-temperature austenite to the low-temperature martensite phase without any apparent change in shape. This is known as self-accommodation. Necessary and sufficient conditions that the lattice parameters of a material must satisfy for the material to form a self-accommodating microstructure are derived. The main result states that if the austenite is cubic, the material is self-accommodating if and only if the transformation is volume preserving. On the other hand, if the symmetry of the austenite is not cubic, it is not possible to construct any microstructure that is self-accommodating unless the transformation strain or the Bain strain satisfies additional, rather strict, conditions. These results show good agreement with the available experimental data. The analysis here is significantly different from previous studies because it makes no a priori assumption on the microstructure.","author":[{"dropping-particle":"","family":"Bhattacharya","given":"Kaushik","non-dropping-particle":"","parse-names":false,"suffix":""}],"container-title":"Archive for Rational Mechanics and Analysis","id":"ITEM-1","issued":{"date-parts":[["1992"]]},"title":"Self-accommodation in martensite","type":"article-journal"},"uris":["http://www.mendeley.com/documents/?uuid=095adc65-29e2-441f-b824-b2e0b048177e","http://www.mendeley.com/documents/?uuid=2bd4c428-bcb4-43f7-93f3-ce99fdbda6f1"]}],"mendeley":{"formattedCitation":"[39]","plainTextFormattedCitation":"[39]","previouslyFormattedCitation":"[39]"},"properties":{"noteIndex":0},"schema":"https://github.com/citation-style-language/schema/raw/master/csl-citation.json"}</w:instrText>
      </w:r>
      <w:r w:rsidRPr="00F82A87">
        <w:rPr>
          <w:rFonts w:ascii="Calibri" w:eastAsia="等线" w:hAnsi="Calibri" w:cs="Calibri"/>
          <w:lang w:bidi="hi-IN"/>
        </w:rPr>
        <w:fldChar w:fldCharType="separate"/>
      </w:r>
      <w:r w:rsidRPr="00F82A87">
        <w:rPr>
          <w:rFonts w:ascii="Calibri" w:eastAsia="等线" w:hAnsi="Calibri" w:cs="Calibri"/>
          <w:noProof/>
          <w:lang w:bidi="hi-IN"/>
        </w:rPr>
        <w:t>[39]</w:t>
      </w:r>
      <w:r w:rsidRPr="00F82A87">
        <w:rPr>
          <w:rFonts w:ascii="Calibri" w:eastAsia="等线" w:hAnsi="Calibri" w:cs="Calibri"/>
          <w:lang w:bidi="hi-IN"/>
        </w:rPr>
        <w:fldChar w:fldCharType="end"/>
      </w:r>
      <w:r w:rsidRPr="00F82A87">
        <w:rPr>
          <w:rFonts w:ascii="Calibri" w:eastAsia="等线" w:hAnsi="Calibri" w:cs="Calibri"/>
          <w:lang w:bidi="hi-IN"/>
        </w:rPr>
        <w:t>. Similarly, in β to α’’ phase transformation, SA twinning was also generated and concluded as compensation of martensite phase transformation induced shape change</w:t>
      </w:r>
      <w:r w:rsidRPr="00F82A87">
        <w:rPr>
          <w:rFonts w:ascii="Calibri" w:eastAsia="等线" w:hAnsi="Calibri" w:cs="Times New Roman"/>
        </w:rPr>
        <w:t xml:space="preserve">. Applying the infinitesimal deformation approach (IDA), taking the phase transformation induced lattice strain equals to the required strain for activation of martensite twinning related variants conversion, the possible SA twinning modes of six α’’ lattice correspondence variants were mapped </w:t>
      </w:r>
      <w:r w:rsidRPr="00F82A87">
        <w:rPr>
          <w:rFonts w:ascii="Calibri" w:eastAsia="等线" w:hAnsi="Calibri" w:cs="Times New Roman"/>
        </w:rPr>
        <w:fldChar w:fldCharType="begin" w:fldLock="1"/>
      </w:r>
      <w:r>
        <w:rPr>
          <w:rFonts w:ascii="Calibri" w:eastAsia="等线" w:hAnsi="Calibri" w:cs="Times New Roman"/>
        </w:rPr>
        <w:instrText>ADDIN CSL_CITATION {"citationItems":[{"id":"ITEM-1","itemData":{"DOI":"10.1080/14786430601003874","ISBN":"1478-6435","ISSN":"14786435","abstract":"11q","author":[{"dropping-particle":"","family":"Inamura","given":"T.","non-dropping-particle":"","parse-names":false,"suffix":""},{"dropping-particle":"","family":"Kim","given":"J. I.","non-dropping-particle":"","parse-names":false,"suffix":""},{"dropping-particle":"","family":"Kim","given":"H. Y.","non-dropping-particle":"","parse-names":false,"suffix":""},{"dropping-particle":"","family":"Hosoda","given":"H.","non-dropping-particle":"","parse-names":false,"suffix":""},{"dropping-particle":"","family":"Wakashima","given":"K.","non-dropping-particle":"","parse-names":false,"suffix":""},{"dropping-particle":"",</w:instrText>
      </w:r>
      <w:r>
        <w:rPr>
          <w:rFonts w:ascii="Calibri" w:eastAsia="等线" w:hAnsi="Calibri" w:cs="Times New Roman" w:hint="eastAsia"/>
        </w:rPr>
        <w:instrText xml:space="preserve">"family":"Miyazaki","given":"S.","non-dropping-particle":"","parse-names":false,"suffix":""}],"container-title":"Philosophical Magazine","id":"ITEM-1","issued":{"date-parts":[["2007"]]},"title":"Composition dependent crystallography of </w:instrText>
      </w:r>
      <w:r>
        <w:rPr>
          <w:rFonts w:ascii="Calibri" w:eastAsia="等线" w:hAnsi="Calibri" w:cs="Times New Roman" w:hint="eastAsia"/>
        </w:rPr>
        <w:instrText>α″</w:instrText>
      </w:r>
      <w:r>
        <w:rPr>
          <w:rFonts w:ascii="Calibri" w:eastAsia="等线" w:hAnsi="Calibri" w:cs="Times New Roman" w:hint="eastAsia"/>
        </w:rPr>
        <w:instrText>-martensite in Ti</w:instrText>
      </w:r>
      <w:r>
        <w:rPr>
          <w:rFonts w:ascii="Calibri" w:eastAsia="等线" w:hAnsi="Calibri" w:cs="Times New Roman"/>
        </w:rPr>
        <w:instrText>-Nb-based β-titanium alloy","type":"article-journal"},"uris":["http://www.mendeley.com/documents/?uuid=26904a4b-d6c6-4c17-b6da-29a902ada479"]}],"mendeley":{"formattedCitation":"[38]","plainTextFormattedCitation":"[38]","previouslyFormattedCitation":"[38]"},"properties":{"noteIndex":0},"schema":"https://github.com/citation-style-language/schema/raw/master/csl-citation.json"}</w:instrText>
      </w:r>
      <w:r w:rsidRPr="00F82A87">
        <w:rPr>
          <w:rFonts w:ascii="Calibri" w:eastAsia="等线" w:hAnsi="Calibri" w:cs="Times New Roman"/>
        </w:rPr>
        <w:fldChar w:fldCharType="separate"/>
      </w:r>
      <w:r w:rsidRPr="00F82A87">
        <w:rPr>
          <w:rFonts w:ascii="Calibri" w:eastAsia="等线" w:hAnsi="Calibri" w:cs="Times New Roman"/>
          <w:noProof/>
        </w:rPr>
        <w:t>[38]</w:t>
      </w:r>
      <w:r w:rsidRPr="00F82A87">
        <w:rPr>
          <w:rFonts w:ascii="Calibri" w:eastAsia="等线" w:hAnsi="Calibri" w:cs="Times New Roman"/>
        </w:rPr>
        <w:fldChar w:fldCharType="end"/>
      </w:r>
      <w:r w:rsidRPr="00F82A87">
        <w:rPr>
          <w:rFonts w:ascii="Calibri" w:eastAsia="等线" w:hAnsi="Calibri" w:cs="Times New Roman"/>
        </w:rPr>
        <w:t>. According to the twinning elements, the SA twinning modes were divided into three different types; type I {111}</w:t>
      </w:r>
      <w:r w:rsidRPr="00F82A87">
        <w:rPr>
          <w:rFonts w:ascii="Times New Roman" w:eastAsia="等线" w:hAnsi="Times New Roman" w:cs="Times New Roman"/>
          <w:vertAlign w:val="subscript"/>
        </w:rPr>
        <w:t>α</w:t>
      </w:r>
      <w:r w:rsidRPr="00F82A87">
        <w:rPr>
          <w:rFonts w:ascii="Calibri" w:eastAsia="等线" w:hAnsi="Calibri" w:cs="Times New Roman"/>
          <w:vertAlign w:val="subscript"/>
        </w:rPr>
        <w:t>’’</w:t>
      </w:r>
      <w:r w:rsidRPr="00F82A87">
        <w:rPr>
          <w:rFonts w:ascii="Calibri" w:eastAsia="等线" w:hAnsi="Calibri" w:cs="Times New Roman"/>
        </w:rPr>
        <w:t xml:space="preserve"> twin</w:t>
      </w:r>
      <w:r w:rsidR="0077714C">
        <w:rPr>
          <w:rFonts w:ascii="Calibri" w:eastAsia="等线" w:hAnsi="Calibri" w:cs="Times New Roman" w:hint="eastAsia"/>
        </w:rPr>
        <w:t>ning</w:t>
      </w:r>
      <w:r w:rsidRPr="00F82A87">
        <w:rPr>
          <w:rFonts w:ascii="Calibri" w:eastAsia="等线" w:hAnsi="Calibri" w:cs="Times New Roman"/>
        </w:rPr>
        <w:t>, type II &lt;-211&gt;</w:t>
      </w:r>
      <w:r w:rsidRPr="00F82A87">
        <w:rPr>
          <w:rFonts w:ascii="Times New Roman" w:eastAsia="等线" w:hAnsi="Times New Roman" w:cs="Times New Roman"/>
          <w:vertAlign w:val="subscript"/>
        </w:rPr>
        <w:t>α</w:t>
      </w:r>
      <w:r w:rsidRPr="00F82A87">
        <w:rPr>
          <w:rFonts w:ascii="Calibri" w:eastAsia="等线" w:hAnsi="Calibri" w:cs="Times New Roman"/>
          <w:vertAlign w:val="subscript"/>
        </w:rPr>
        <w:t>’’</w:t>
      </w:r>
      <w:r w:rsidRPr="00F82A87">
        <w:rPr>
          <w:rFonts w:ascii="Calibri" w:eastAsia="等线" w:hAnsi="Calibri" w:cs="Times New Roman"/>
        </w:rPr>
        <w:t xml:space="preserve"> twin</w:t>
      </w:r>
      <w:r w:rsidR="0077714C">
        <w:rPr>
          <w:rFonts w:ascii="Calibri" w:eastAsia="等线" w:hAnsi="Calibri" w:cs="Times New Roman" w:hint="eastAsia"/>
        </w:rPr>
        <w:t>ning</w:t>
      </w:r>
      <w:r w:rsidRPr="00F82A87">
        <w:rPr>
          <w:rFonts w:ascii="Calibri" w:eastAsia="等线" w:hAnsi="Calibri" w:cs="Times New Roman"/>
        </w:rPr>
        <w:t xml:space="preserve"> and {011}</w:t>
      </w:r>
      <w:r w:rsidRPr="00F82A87">
        <w:rPr>
          <w:rFonts w:ascii="Times New Roman" w:eastAsia="等线" w:hAnsi="Times New Roman" w:cs="Times New Roman"/>
          <w:vertAlign w:val="subscript"/>
        </w:rPr>
        <w:t>α</w:t>
      </w:r>
      <w:r w:rsidRPr="00F82A87">
        <w:rPr>
          <w:rFonts w:ascii="Calibri" w:eastAsia="等线" w:hAnsi="Calibri" w:cs="Times New Roman"/>
          <w:vertAlign w:val="subscript"/>
        </w:rPr>
        <w:t>’’</w:t>
      </w:r>
      <w:r w:rsidRPr="00F82A87">
        <w:rPr>
          <w:rFonts w:ascii="Calibri" w:eastAsia="等线" w:hAnsi="Calibri" w:cs="Times New Roman"/>
        </w:rPr>
        <w:t xml:space="preserve"> compound twin</w:t>
      </w:r>
      <w:r w:rsidR="0077714C">
        <w:rPr>
          <w:rFonts w:ascii="Calibri" w:eastAsia="等线" w:hAnsi="Calibri" w:cs="Times New Roman" w:hint="eastAsia"/>
        </w:rPr>
        <w:t>ings</w:t>
      </w:r>
      <w:r w:rsidRPr="00F82A87">
        <w:rPr>
          <w:rFonts w:ascii="Calibri" w:eastAsia="等线" w:hAnsi="Calibri" w:cs="Times New Roman"/>
        </w:rPr>
        <w:t xml:space="preserve">. By substitution of the misorientation relationship of the above twinning modes </w:t>
      </w:r>
      <w:r w:rsidRPr="00F82A87">
        <w:rPr>
          <w:rFonts w:ascii="Calibri" w:eastAsia="等线" w:hAnsi="Calibri" w:cs="Times New Roman"/>
        </w:rPr>
        <w:fldChar w:fldCharType="begin" w:fldLock="1"/>
      </w:r>
      <w:r>
        <w:rPr>
          <w:rFonts w:ascii="Calibri" w:eastAsia="等线" w:hAnsi="Calibri" w:cs="Times New Roman" w:hint="eastAsia"/>
        </w:rPr>
        <w:instrText xml:space="preserve">ADDIN CSL_CITATION {"citationItems":[{"id":"ITEM-1","itemData":{"DOI":"10.1016/j.matchar.2018.09.034","ISSN":"10445803","abstract":"The solution-treated (ST), deformed and subsequently annealed microstructures of a full </w:instrText>
      </w:r>
      <w:r>
        <w:rPr>
          <w:rFonts w:ascii="Calibri" w:eastAsia="等线" w:hAnsi="Calibri" w:cs="Times New Roman" w:hint="eastAsia"/>
        </w:rPr>
        <w:instrText>α″</w:instrText>
      </w:r>
      <w:r>
        <w:rPr>
          <w:rFonts w:ascii="Calibri" w:eastAsia="等线" w:hAnsi="Calibri" w:cs="Times New Roman" w:hint="eastAsia"/>
        </w:rPr>
        <w:instrText xml:space="preserve"> martensitic Ti-23Nb at.% alloy have been investigated by optical micrograph (OM), X-ray diffraction (XRD) and electron back-scattered diffraction (EBSD). The results show that both the self-accommodated </w:instrText>
      </w:r>
      <w:r>
        <w:rPr>
          <w:rFonts w:ascii="Calibri" w:eastAsia="等线" w:hAnsi="Calibri" w:cs="Times New Roman" w:hint="eastAsia"/>
        </w:rPr>
        <w:instrText>α″</w:instrText>
      </w:r>
      <w:r>
        <w:rPr>
          <w:rFonts w:ascii="Calibri" w:eastAsia="等线" w:hAnsi="Calibri" w:cs="Times New Roman" w:hint="eastAsia"/>
        </w:rPr>
        <w:instrText xml:space="preserve"> martensites in ST sample and re-orientated martensitic structure and plastic {130}</w:instrText>
      </w:r>
      <w:r>
        <w:rPr>
          <w:rFonts w:ascii="Calibri" w:eastAsia="等线" w:hAnsi="Calibri" w:cs="Times New Roman" w:hint="eastAsia"/>
        </w:rPr>
        <w:instrText>α″</w:instrText>
      </w:r>
      <w:r>
        <w:rPr>
          <w:rFonts w:ascii="Calibri" w:eastAsia="等线" w:hAnsi="Calibri" w:cs="Times New Roman" w:hint="eastAsia"/>
        </w:rPr>
        <w:instrText xml:space="preserve">twins in the Deformed sample fully transformed into the </w:instrText>
      </w:r>
      <w:r>
        <w:rPr>
          <w:rFonts w:ascii="Calibri" w:eastAsia="等线" w:hAnsi="Calibri" w:cs="Times New Roman" w:hint="eastAsia"/>
        </w:rPr>
        <w:instrText>β</w:instrText>
      </w:r>
      <w:r>
        <w:rPr>
          <w:rFonts w:ascii="Calibri" w:eastAsia="等线" w:hAnsi="Calibri" w:cs="Times New Roman" w:hint="eastAsia"/>
        </w:rPr>
        <w:instrText xml:space="preserve"> phase with a small amount of the </w:instrText>
      </w:r>
      <w:r>
        <w:rPr>
          <w:rFonts w:ascii="Calibri" w:eastAsia="等线" w:hAnsi="Calibri" w:cs="Times New Roman" w:hint="eastAsia"/>
        </w:rPr>
        <w:instrText>ω</w:instrText>
      </w:r>
      <w:r>
        <w:rPr>
          <w:rFonts w:ascii="Calibri" w:eastAsia="等线" w:hAnsi="Calibri" w:cs="Times New Roman" w:hint="eastAsia"/>
        </w:rPr>
        <w:instrText xml:space="preserve"> phase by annealing. The ex-situ EBSD measurements showed that the {332}</w:instrText>
      </w:r>
      <w:r>
        <w:rPr>
          <w:rFonts w:ascii="Calibri" w:eastAsia="等线" w:hAnsi="Calibri" w:cs="Times New Roman" w:hint="eastAsia"/>
        </w:rPr>
        <w:instrText>β</w:instrText>
      </w:r>
      <w:r>
        <w:rPr>
          <w:rFonts w:ascii="Calibri" w:eastAsia="等线" w:hAnsi="Calibri" w:cs="Times New Roman" w:hint="eastAsia"/>
        </w:rPr>
        <w:instrText>twins occur in the Annealed sample, which correspond to the {130}</w:instrText>
      </w:r>
      <w:r>
        <w:rPr>
          <w:rFonts w:ascii="Calibri" w:eastAsia="等线" w:hAnsi="Calibri" w:cs="Times New Roman" w:hint="eastAsia"/>
        </w:rPr>
        <w:instrText>α″</w:instrText>
      </w:r>
      <w:r>
        <w:rPr>
          <w:rFonts w:ascii="Calibri" w:eastAsia="等线" w:hAnsi="Calibri" w:cs="Times New Roman" w:hint="eastAsia"/>
        </w:rPr>
        <w:instrText xml:space="preserve">plastic twins of the </w:instrText>
      </w:r>
      <w:r>
        <w:rPr>
          <w:rFonts w:ascii="Calibri" w:eastAsia="等线" w:hAnsi="Calibri" w:cs="Times New Roman" w:hint="eastAsia"/>
        </w:rPr>
        <w:instrText>α″</w:instrText>
      </w:r>
      <w:r>
        <w:rPr>
          <w:rFonts w:ascii="Calibri" w:eastAsia="等线" w:hAnsi="Calibri" w:cs="Times New Roman" w:hint="eastAsia"/>
        </w:rPr>
        <w:instrText xml:space="preserve"> phase in the Deformed sample, and thus give a direct evidence that the {332}</w:instrText>
      </w:r>
      <w:r>
        <w:rPr>
          <w:rFonts w:ascii="Calibri" w:eastAsia="等线" w:hAnsi="Calibri" w:cs="Times New Roman" w:hint="eastAsia"/>
        </w:rPr>
        <w:instrText>β</w:instrText>
      </w:r>
      <w:r>
        <w:rPr>
          <w:rFonts w:ascii="Calibri" w:eastAsia="等线" w:hAnsi="Calibri" w:cs="Times New Roman" w:hint="eastAsia"/>
        </w:rPr>
        <w:instrText xml:space="preserve">twins in the </w:instrText>
      </w:r>
      <w:r>
        <w:rPr>
          <w:rFonts w:ascii="Calibri" w:eastAsia="等线" w:hAnsi="Calibri" w:cs="Times New Roman" w:hint="eastAsia"/>
        </w:rPr>
        <w:instrText>β</w:instrText>
      </w:r>
      <w:r>
        <w:rPr>
          <w:rFonts w:ascii="Calibri" w:eastAsia="等线" w:hAnsi="Calibri" w:cs="Times New Roman" w:hint="eastAsia"/>
        </w:rPr>
        <w:instrText xml:space="preserve"> phase form from the reverse martensitic transformation of the {130}</w:instrText>
      </w:r>
      <w:r>
        <w:rPr>
          <w:rFonts w:ascii="Calibri" w:eastAsia="等线" w:hAnsi="Calibri" w:cs="Times New Roman" w:hint="eastAsia"/>
        </w:rPr>
        <w:instrText>α″</w:instrText>
      </w:r>
      <w:r>
        <w:rPr>
          <w:rFonts w:ascii="Calibri" w:eastAsia="等线" w:hAnsi="Calibri" w:cs="Times New Roman" w:hint="eastAsia"/>
        </w:rPr>
        <w:instrText xml:space="preserve">plastic twins in the </w:instrText>
      </w:r>
      <w:r>
        <w:rPr>
          <w:rFonts w:ascii="Calibri" w:eastAsia="等线" w:hAnsi="Calibri" w:cs="Times New Roman" w:hint="eastAsia"/>
        </w:rPr>
        <w:instrText>α″</w:instrText>
      </w:r>
      <w:r>
        <w:rPr>
          <w:rFonts w:ascii="Calibri" w:eastAsia="等线" w:hAnsi="Calibri" w:cs="Times New Roman" w:hint="eastAsia"/>
        </w:rPr>
        <w:instrText xml:space="preserve"> phase. Moreover, it's also expected from EBSD results that in addition to {130}&lt;31</w:instrText>
      </w:r>
      <w:r>
        <w:rPr>
          <w:rFonts w:ascii="Calibri" w:eastAsia="等线" w:hAnsi="Calibri" w:cs="Times New Roman" w:hint="eastAsia"/>
        </w:rPr>
        <w:instrText>¯</w:instrText>
      </w:r>
      <w:r>
        <w:rPr>
          <w:rFonts w:ascii="Calibri" w:eastAsia="等线" w:hAnsi="Calibri" w:cs="Times New Roman" w:hint="eastAsia"/>
        </w:rPr>
        <w:instrText>0&gt;</w:instrText>
      </w:r>
      <w:r>
        <w:rPr>
          <w:rFonts w:ascii="Calibri" w:eastAsia="等线" w:hAnsi="Calibri" w:cs="Times New Roman" w:hint="eastAsia"/>
        </w:rPr>
        <w:instrText>α″</w:instrText>
      </w:r>
      <w:r>
        <w:rPr>
          <w:rFonts w:ascii="Calibri" w:eastAsia="等线" w:hAnsi="Calibri" w:cs="Times New Roman" w:hint="eastAsia"/>
        </w:rPr>
        <w:instrText xml:space="preserve">, the possible </w:instrText>
      </w:r>
      <w:r>
        <w:rPr>
          <w:rFonts w:ascii="Calibri" w:eastAsia="等线" w:hAnsi="Calibri" w:cs="Times New Roman" w:hint="eastAsia"/>
        </w:rPr>
        <w:instrText>〈</w:instrText>
      </w:r>
      <w:r>
        <w:rPr>
          <w:rFonts w:ascii="Calibri" w:eastAsia="等线" w:hAnsi="Calibri" w:cs="Times New Roman" w:hint="eastAsia"/>
        </w:rPr>
        <w:instrText>{351}&lt;11</w:instrText>
      </w:r>
      <w:r>
        <w:rPr>
          <w:rFonts w:ascii="Calibri" w:eastAsia="等线" w:hAnsi="Calibri" w:cs="Times New Roman" w:hint="eastAsia"/>
        </w:rPr>
        <w:instrText>¯</w:instrText>
      </w:r>
      <w:r>
        <w:rPr>
          <w:rFonts w:ascii="Calibri" w:eastAsia="等线" w:hAnsi="Calibri" w:cs="Times New Roman" w:hint="eastAsia"/>
        </w:rPr>
        <w:instrText>2&gt;</w:instrText>
      </w:r>
      <w:r>
        <w:rPr>
          <w:rFonts w:ascii="Calibri" w:eastAsia="等线" w:hAnsi="Calibri" w:cs="Times New Roman" w:hint="eastAsia"/>
        </w:rPr>
        <w:instrText>α″</w:instrText>
      </w:r>
      <w:r>
        <w:rPr>
          <w:rFonts w:ascii="Calibri" w:eastAsia="等线" w:hAnsi="Calibri" w:cs="Times New Roman" w:hint="eastAsia"/>
        </w:rPr>
        <w:instrText xml:space="preserve">twinning system of the </w:instrText>
      </w:r>
      <w:r>
        <w:rPr>
          <w:rFonts w:ascii="Calibri" w:eastAsia="等线" w:hAnsi="Calibri" w:cs="Times New Roman" w:hint="eastAsia"/>
        </w:rPr>
        <w:instrText>α″</w:instrText>
      </w:r>
      <w:r>
        <w:rPr>
          <w:rFonts w:ascii="Calibri" w:eastAsia="等线" w:hAnsi="Calibri" w:cs="Times New Roman" w:hint="eastAsia"/>
        </w:rPr>
        <w:instrText xml:space="preserve"> phase corresponds to the {332}&lt;113</w:instrText>
      </w:r>
      <w:r>
        <w:rPr>
          <w:rFonts w:ascii="Calibri" w:eastAsia="等线" w:hAnsi="Calibri" w:cs="Times New Roman" w:hint="eastAsia"/>
        </w:rPr>
        <w:instrText>¯</w:instrText>
      </w:r>
      <w:r>
        <w:rPr>
          <w:rFonts w:ascii="Calibri" w:eastAsia="等线" w:hAnsi="Calibri" w:cs="Times New Roman" w:hint="eastAsia"/>
        </w:rPr>
        <w:instrText>&gt;</w:instrText>
      </w:r>
      <w:r>
        <w:rPr>
          <w:rFonts w:ascii="Calibri" w:eastAsia="等线" w:hAnsi="Calibri" w:cs="Times New Roman" w:hint="eastAsia"/>
        </w:rPr>
        <w:instrText>β</w:instrText>
      </w:r>
      <w:r>
        <w:rPr>
          <w:rFonts w:ascii="Calibri" w:eastAsia="等线" w:hAnsi="Calibri" w:cs="Times New Roman" w:hint="eastAsia"/>
        </w:rPr>
        <w:instrText xml:space="preserve">twinning of the </w:instrText>
      </w:r>
      <w:r>
        <w:rPr>
          <w:rFonts w:ascii="Calibri" w:eastAsia="等线" w:hAnsi="Calibri" w:cs="Times New Roman" w:hint="eastAsia"/>
        </w:rPr>
        <w:instrText>β</w:instrText>
      </w:r>
      <w:r>
        <w:rPr>
          <w:rFonts w:ascii="Calibri" w:eastAsia="等线" w:hAnsi="Calibri" w:cs="Times New Roman" w:hint="eastAsia"/>
        </w:rPr>
        <w:instrText xml:space="preserve"> phase.","author":[{"dropping-particle":"","family":"Zhang","given":"Xianbing","non-dropping-particle":"","parse-names":false</w:instrText>
      </w:r>
      <w:r>
        <w:rPr>
          <w:rFonts w:ascii="Calibri" w:eastAsia="等线" w:hAnsi="Calibri" w:cs="Times New Roman"/>
        </w:rPr>
        <w:instrText>,"suffix":""},{"dropping-particle":"","family":"Wang","given":"Weilin","non-dropping-particle":"","parse-names":false,"suffix":""},{"dropping-particle":"","family":"Sun","given":"Jian","non-dropping-particle":"","parse-names":false,"suffix":""}],"containe</w:instrText>
      </w:r>
      <w:r>
        <w:rPr>
          <w:rFonts w:ascii="Calibri" w:eastAsia="等线" w:hAnsi="Calibri" w:cs="Times New Roman" w:hint="eastAsia"/>
        </w:rPr>
        <w:instrText>r-title":"Materials Characterization","id":"ITEM-1","issued":{"date-parts":[["2018"]]},"title":"Formation of {332}</w:instrText>
      </w:r>
      <w:r>
        <w:rPr>
          <w:rFonts w:ascii="Calibri" w:eastAsia="等线" w:hAnsi="Calibri" w:cs="Times New Roman" w:hint="eastAsia"/>
        </w:rPr>
        <w:instrText>〈</w:instrText>
      </w:r>
      <w:r>
        <w:rPr>
          <w:rFonts w:ascii="Calibri" w:eastAsia="等线" w:hAnsi="Calibri" w:cs="Times New Roman" w:hint="eastAsia"/>
        </w:rPr>
        <w:instrText>113</w:instrText>
      </w:r>
      <w:r>
        <w:rPr>
          <w:rFonts w:ascii="Calibri" w:eastAsia="等线" w:hAnsi="Calibri" w:cs="Times New Roman" w:hint="eastAsia"/>
        </w:rPr>
        <w:instrText>〉β</w:instrText>
      </w:r>
      <w:r>
        <w:rPr>
          <w:rFonts w:ascii="Calibri" w:eastAsia="等线" w:hAnsi="Calibri" w:cs="Times New Roman" w:hint="eastAsia"/>
        </w:rPr>
        <w:instrText>twins from parent {130}</w:instrText>
      </w:r>
      <w:r>
        <w:rPr>
          <w:rFonts w:ascii="Calibri" w:eastAsia="等线" w:hAnsi="Calibri" w:cs="Times New Roman" w:hint="eastAsia"/>
        </w:rPr>
        <w:instrText>〈</w:instrText>
      </w:r>
      <w:r>
        <w:rPr>
          <w:rFonts w:ascii="Calibri" w:eastAsia="等线" w:hAnsi="Calibri" w:cs="Times New Roman" w:hint="eastAsia"/>
        </w:rPr>
        <w:instrText>310</w:instrText>
      </w:r>
      <w:r>
        <w:rPr>
          <w:rFonts w:ascii="Calibri" w:eastAsia="等线" w:hAnsi="Calibri" w:cs="Times New Roman" w:hint="eastAsia"/>
        </w:rPr>
        <w:instrText>〉α″</w:instrText>
      </w:r>
      <w:r>
        <w:rPr>
          <w:rFonts w:ascii="Calibri" w:eastAsia="等线" w:hAnsi="Calibri" w:cs="Times New Roman" w:hint="eastAsia"/>
        </w:rPr>
        <w:instrText xml:space="preserve">plastic twins in a full </w:instrText>
      </w:r>
      <w:r>
        <w:rPr>
          <w:rFonts w:ascii="Calibri" w:eastAsia="等线" w:hAnsi="Calibri" w:cs="Times New Roman" w:hint="eastAsia"/>
        </w:rPr>
        <w:instrText>α″</w:instrText>
      </w:r>
      <w:r>
        <w:rPr>
          <w:rFonts w:ascii="Calibri" w:eastAsia="等线" w:hAnsi="Calibri" w:cs="Times New Roman" w:hint="eastAsia"/>
        </w:rPr>
        <w:instrText xml:space="preserve"> Ti-Nb alloy by annealing","type":"article-journal"},"uris":["http://www.mendel</w:instrText>
      </w:r>
      <w:r>
        <w:rPr>
          <w:rFonts w:ascii="Calibri" w:eastAsia="等线" w:hAnsi="Calibri" w:cs="Times New Roman"/>
        </w:rPr>
        <w:instrText>ey.com/documents/?uuid=c8fbe120-5128-4672-9c84-ae5c721deee3","http://www.mendeley.com/documents/?uuid=7c793132-9e62-4511-8db6-1a28c04716bf"]}],"mendeley":{"formattedCitation":"[40]","plainTextFormattedCitation":"[40]","previouslyFormattedCitation":"[40]"},"properties":{"noteIndex":0},"schema":"https://github.com/citation-style-language/schema/raw/master/csl-citation.json"}</w:instrText>
      </w:r>
      <w:r w:rsidRPr="00F82A87">
        <w:rPr>
          <w:rFonts w:ascii="Calibri" w:eastAsia="等线" w:hAnsi="Calibri" w:cs="Times New Roman"/>
        </w:rPr>
        <w:fldChar w:fldCharType="separate"/>
      </w:r>
      <w:r w:rsidRPr="00F82A87">
        <w:rPr>
          <w:rFonts w:ascii="Calibri" w:eastAsia="等线" w:hAnsi="Calibri" w:cs="Times New Roman"/>
          <w:noProof/>
        </w:rPr>
        <w:t>[40]</w:t>
      </w:r>
      <w:r w:rsidRPr="00F82A87">
        <w:rPr>
          <w:rFonts w:ascii="Calibri" w:eastAsia="等线" w:hAnsi="Calibri" w:cs="Times New Roman"/>
        </w:rPr>
        <w:fldChar w:fldCharType="end"/>
      </w:r>
      <w:r w:rsidRPr="00F82A87">
        <w:rPr>
          <w:rFonts w:ascii="Calibri" w:eastAsia="等线" w:hAnsi="Calibri" w:cs="Times New Roman"/>
        </w:rPr>
        <w:t xml:space="preserve"> in Fig. 5-3(c), the orientation relationship within 4 martensite variants were identified and presented in Fig. 5-3(c i-iii). The twinning boundar</w:t>
      </w:r>
      <w:r w:rsidR="0077714C">
        <w:rPr>
          <w:rFonts w:ascii="Calibri" w:eastAsia="等线" w:hAnsi="Calibri" w:cs="Times New Roman" w:hint="eastAsia"/>
        </w:rPr>
        <w:t>ies</w:t>
      </w:r>
      <w:r w:rsidR="0077714C">
        <w:rPr>
          <w:rFonts w:ascii="Calibri" w:eastAsia="等线" w:hAnsi="Calibri" w:cs="Times New Roman"/>
        </w:rPr>
        <w:t xml:space="preserve"> </w:t>
      </w:r>
      <w:r w:rsidRPr="00F82A87">
        <w:rPr>
          <w:rFonts w:ascii="Calibri" w:eastAsia="等线" w:hAnsi="Calibri" w:cs="Times New Roman"/>
        </w:rPr>
        <w:t>of type I {111}</w:t>
      </w:r>
      <w:r w:rsidRPr="00F82A87">
        <w:rPr>
          <w:rFonts w:ascii="Times New Roman" w:eastAsia="等线" w:hAnsi="Times New Roman" w:cs="Times New Roman"/>
          <w:vertAlign w:val="subscript"/>
        </w:rPr>
        <w:t>α</w:t>
      </w:r>
      <w:r w:rsidRPr="00F82A87">
        <w:rPr>
          <w:rFonts w:ascii="Calibri" w:eastAsia="等线" w:hAnsi="Calibri" w:cs="Times New Roman"/>
          <w:vertAlign w:val="subscript"/>
        </w:rPr>
        <w:t>’’</w:t>
      </w:r>
      <w:r w:rsidRPr="00F82A87">
        <w:rPr>
          <w:rFonts w:ascii="Calibri" w:eastAsia="等线" w:hAnsi="Calibri" w:cs="Times New Roman"/>
        </w:rPr>
        <w:t xml:space="preserve"> twin</w:t>
      </w:r>
      <w:r w:rsidR="0077714C">
        <w:rPr>
          <w:rFonts w:ascii="Calibri" w:eastAsia="等线" w:hAnsi="Calibri" w:cs="Times New Roman" w:hint="eastAsia"/>
        </w:rPr>
        <w:t>ning</w:t>
      </w:r>
      <w:r w:rsidRPr="00F82A87">
        <w:rPr>
          <w:rFonts w:ascii="Calibri" w:eastAsia="等线" w:hAnsi="Calibri" w:cs="Times New Roman"/>
        </w:rPr>
        <w:t>, type II &lt;-211&gt;</w:t>
      </w:r>
      <w:r w:rsidRPr="00F82A87">
        <w:rPr>
          <w:rFonts w:ascii="Times New Roman" w:eastAsia="等线" w:hAnsi="Times New Roman" w:cs="Times New Roman"/>
          <w:vertAlign w:val="subscript"/>
        </w:rPr>
        <w:t>α</w:t>
      </w:r>
      <w:r w:rsidRPr="00F82A87">
        <w:rPr>
          <w:rFonts w:ascii="Calibri" w:eastAsia="等线" w:hAnsi="Calibri" w:cs="Times New Roman"/>
          <w:vertAlign w:val="subscript"/>
        </w:rPr>
        <w:t>’’</w:t>
      </w:r>
      <w:r w:rsidRPr="00F82A87">
        <w:rPr>
          <w:rFonts w:ascii="Calibri" w:eastAsia="等线" w:hAnsi="Calibri" w:cs="Times New Roman"/>
        </w:rPr>
        <w:t xml:space="preserve"> twin</w:t>
      </w:r>
      <w:r w:rsidR="0077714C">
        <w:rPr>
          <w:rFonts w:ascii="Calibri" w:eastAsia="等线" w:hAnsi="Calibri" w:cs="Times New Roman" w:hint="eastAsia"/>
        </w:rPr>
        <w:t>ning</w:t>
      </w:r>
      <w:r w:rsidRPr="00F82A87">
        <w:rPr>
          <w:rFonts w:ascii="Calibri" w:eastAsia="等线" w:hAnsi="Calibri" w:cs="Times New Roman"/>
        </w:rPr>
        <w:t xml:space="preserve"> and {011}</w:t>
      </w:r>
      <w:r w:rsidRPr="00F82A87">
        <w:rPr>
          <w:rFonts w:ascii="Times New Roman" w:eastAsia="等线" w:hAnsi="Times New Roman" w:cs="Times New Roman"/>
          <w:vertAlign w:val="subscript"/>
        </w:rPr>
        <w:t>α</w:t>
      </w:r>
      <w:r w:rsidRPr="00F82A87">
        <w:rPr>
          <w:rFonts w:ascii="Calibri" w:eastAsia="等线" w:hAnsi="Calibri" w:cs="Times New Roman"/>
          <w:vertAlign w:val="subscript"/>
        </w:rPr>
        <w:t>’’</w:t>
      </w:r>
      <w:r w:rsidRPr="00F82A87">
        <w:rPr>
          <w:rFonts w:ascii="Calibri" w:eastAsia="等线" w:hAnsi="Calibri" w:cs="Times New Roman"/>
        </w:rPr>
        <w:t xml:space="preserve"> compound twin</w:t>
      </w:r>
      <w:r w:rsidR="0077714C">
        <w:rPr>
          <w:rFonts w:ascii="Calibri" w:eastAsia="等线" w:hAnsi="Calibri" w:cs="Times New Roman" w:hint="eastAsia"/>
        </w:rPr>
        <w:t>ning</w:t>
      </w:r>
      <w:r w:rsidRPr="00F82A87">
        <w:rPr>
          <w:rFonts w:ascii="Calibri" w:eastAsia="等线" w:hAnsi="Calibri" w:cs="Times New Roman"/>
        </w:rPr>
        <w:t xml:space="preserve"> </w:t>
      </w:r>
      <w:r w:rsidR="0077714C">
        <w:rPr>
          <w:rFonts w:ascii="Calibri" w:eastAsia="等线" w:hAnsi="Calibri" w:cs="Times New Roman" w:hint="eastAsia"/>
        </w:rPr>
        <w:t>was</w:t>
      </w:r>
      <w:r w:rsidRPr="00F82A87">
        <w:rPr>
          <w:rFonts w:ascii="Calibri" w:eastAsia="等线" w:hAnsi="Calibri" w:cs="Times New Roman"/>
        </w:rPr>
        <w:t xml:space="preserve"> identified and marked with yellow, red and green lines, respectively. </w:t>
      </w:r>
      <w:r w:rsidRPr="00F82A87">
        <w:rPr>
          <w:rFonts w:ascii="Calibri" w:eastAsia="等线" w:hAnsi="Calibri" w:cs="Calibri"/>
          <w:lang w:bidi="hi-IN"/>
        </w:rPr>
        <w:t>The SA twinning modes selec</w:t>
      </w:r>
      <w:r w:rsidR="0077714C">
        <w:rPr>
          <w:rFonts w:ascii="Calibri" w:eastAsia="等线" w:hAnsi="Calibri" w:cs="Calibri" w:hint="eastAsia"/>
          <w:lang w:bidi="hi-IN"/>
        </w:rPr>
        <w:t>ted</w:t>
      </w:r>
      <w:r w:rsidRPr="00F82A87">
        <w:rPr>
          <w:rFonts w:ascii="Calibri" w:eastAsia="等线" w:hAnsi="Calibri" w:cs="Calibri"/>
          <w:lang w:bidi="hi-IN"/>
        </w:rPr>
        <w:t xml:space="preserve"> are composition dependent, hence related to the </w:t>
      </w:r>
      <w:r w:rsidRPr="00F82A87">
        <w:rPr>
          <w:rFonts w:ascii="Times New Roman" w:eastAsia="等线" w:hAnsi="Times New Roman" w:cs="Times New Roman"/>
          <w:lang w:bidi="hi-IN"/>
        </w:rPr>
        <w:t>β</w:t>
      </w:r>
      <w:r w:rsidRPr="00F82A87">
        <w:rPr>
          <w:rFonts w:ascii="Calibri" w:eastAsia="等线" w:hAnsi="Calibri" w:cs="Calibri"/>
          <w:lang w:bidi="hi-IN"/>
        </w:rPr>
        <w:t xml:space="preserve"> phase stability </w:t>
      </w:r>
      <w:r w:rsidRPr="00F82A87">
        <w:rPr>
          <w:rFonts w:ascii="Calibri" w:eastAsia="等线" w:hAnsi="Calibri" w:cs="Calibri"/>
          <w:lang w:bidi="hi-IN"/>
        </w:rPr>
        <w:fldChar w:fldCharType="begin" w:fldLock="1"/>
      </w:r>
      <w:r>
        <w:rPr>
          <w:rFonts w:ascii="Calibri" w:eastAsia="等线" w:hAnsi="Calibri" w:cs="Calibri"/>
          <w:lang w:bidi="hi-IN"/>
        </w:rPr>
        <w:instrText>ADDIN CSL_CITATION {"citationItems":[{"id":"ITEM-1","itemData":{"DOI":"10.1080/14786430601003874","ISBN":"1478-6435","ISSN":"14786435","abstract":"11q","author":[{"dropping-particle":"","family":"Inamura","given":"T.","non-dropping-particle":"","parse-names":false,"suffix":""},{"dropping-particle":"","family":"Kim","given":"J. I.","non-dropping-particle":"","parse-names":false,"suffix":""},{"dropping-particle":"","family":"Kim","given":"H. Y.","non-dropping-particle":"","parse-names":false,"suffix":""},{"dropping-particle":"","family":"Hosoda","given":"H.","non-dropping-particle":"","parse-names":false,"suffix":""},{"dropping-particle":"","family":"Wakashima","given":"K.","non-dropping-particle":"","parse-names":false,"suffix":""},{"dropping-particle":"",</w:instrText>
      </w:r>
      <w:r>
        <w:rPr>
          <w:rFonts w:ascii="Calibri" w:eastAsia="等线" w:hAnsi="Calibri" w:cs="Calibri" w:hint="eastAsia"/>
          <w:lang w:bidi="hi-IN"/>
        </w:rPr>
        <w:instrText xml:space="preserve">"family":"Miyazaki","given":"S.","non-dropping-particle":"","parse-names":false,"suffix":""}],"container-title":"Philosophical Magazine","id":"ITEM-1","issued":{"date-parts":[["2007"]]},"title":"Composition dependent crystallography of </w:instrText>
      </w:r>
      <w:r>
        <w:rPr>
          <w:rFonts w:ascii="Calibri" w:eastAsia="等线" w:hAnsi="Calibri" w:cs="Calibri" w:hint="eastAsia"/>
          <w:lang w:bidi="hi-IN"/>
        </w:rPr>
        <w:instrText>α″</w:instrText>
      </w:r>
      <w:r>
        <w:rPr>
          <w:rFonts w:ascii="Calibri" w:eastAsia="等线" w:hAnsi="Calibri" w:cs="Calibri" w:hint="eastAsia"/>
          <w:lang w:bidi="hi-IN"/>
        </w:rPr>
        <w:instrText>-martensite in Ti</w:instrText>
      </w:r>
      <w:r>
        <w:rPr>
          <w:rFonts w:ascii="Calibri" w:eastAsia="等线" w:hAnsi="Calibri" w:cs="Calibri"/>
          <w:lang w:bidi="hi-IN"/>
        </w:rPr>
        <w:instrText>-Nb-based β-titanium alloy","type":"article-journal"},"uris":["http://www.mendeley.com/documents/?uuid=26904a4b-d6c6-4c17-b6da-29a902ada479"]}],"mendeley":{"formattedCitation":"[38]","plainTextFormattedCitation":"[38]","previouslyFormattedCitation":"[38]"},"properties":{"noteIndex":0},"schema":"https://github.com/citation-style-language/schema/raw/master/csl-citation.json"}</w:instrText>
      </w:r>
      <w:r w:rsidRPr="00F82A87">
        <w:rPr>
          <w:rFonts w:ascii="Calibri" w:eastAsia="等线" w:hAnsi="Calibri" w:cs="Calibri"/>
          <w:lang w:bidi="hi-IN"/>
        </w:rPr>
        <w:fldChar w:fldCharType="separate"/>
      </w:r>
      <w:r w:rsidRPr="00F82A87">
        <w:rPr>
          <w:rFonts w:ascii="Calibri" w:eastAsia="等线" w:hAnsi="Calibri" w:cs="Calibri"/>
          <w:noProof/>
          <w:lang w:bidi="hi-IN"/>
        </w:rPr>
        <w:t>[38]</w:t>
      </w:r>
      <w:r w:rsidRPr="00F82A87">
        <w:rPr>
          <w:rFonts w:ascii="Calibri" w:eastAsia="等线" w:hAnsi="Calibri" w:cs="Calibri"/>
          <w:lang w:bidi="hi-IN"/>
        </w:rPr>
        <w:fldChar w:fldCharType="end"/>
      </w:r>
      <w:r w:rsidRPr="00F82A87">
        <w:rPr>
          <w:rFonts w:ascii="Calibri" w:eastAsia="等线" w:hAnsi="Calibri" w:cs="Calibri"/>
          <w:lang w:bidi="hi-IN"/>
        </w:rPr>
        <w:t xml:space="preserve">. As determined by the phase transformed lattice strain </w:t>
      </w:r>
      <w:r w:rsidRPr="00F82A87">
        <w:rPr>
          <w:rFonts w:ascii="Times New Roman" w:eastAsia="等线" w:hAnsi="Times New Roman" w:cs="Times New Roman"/>
          <w:lang w:bidi="hi-IN"/>
        </w:rPr>
        <w:t>η</w:t>
      </w:r>
      <w:r w:rsidRPr="00F82A87">
        <w:rPr>
          <w:rFonts w:ascii="Calibri" w:eastAsia="等线" w:hAnsi="Calibri" w:cs="Calibri"/>
          <w:vertAlign w:val="subscript"/>
          <w:lang w:bidi="hi-IN"/>
        </w:rPr>
        <w:t>3</w:t>
      </w:r>
      <w:r w:rsidRPr="00F82A87">
        <w:rPr>
          <w:rFonts w:ascii="Calibri" w:eastAsia="等线" w:hAnsi="Calibri" w:cs="Calibri"/>
          <w:lang w:bidi="hi-IN"/>
        </w:rPr>
        <w:t>=</w:t>
      </w:r>
      <m:oMath>
        <m:r>
          <m:rPr>
            <m:sty m:val="p"/>
          </m:rPr>
          <w:rPr>
            <w:rFonts w:ascii="Cambria Math" w:eastAsia="等线" w:hAnsi="Cambria Math" w:cs="Calibri"/>
            <w:lang w:bidi="hi-IN"/>
          </w:rPr>
          <m:t>(</m:t>
        </m:r>
        <m:sSub>
          <m:sSubPr>
            <m:ctrlPr>
              <w:rPr>
                <w:rFonts w:ascii="Cambria Math" w:eastAsia="等线" w:hAnsi="Cambria Math" w:cs="Calibri"/>
                <w:i/>
                <w:lang w:bidi="hi-IN"/>
              </w:rPr>
            </m:ctrlPr>
          </m:sSubPr>
          <m:e>
            <m:r>
              <w:rPr>
                <w:rFonts w:ascii="Cambria Math" w:eastAsia="等线" w:hAnsi="Cambria Math" w:cs="Calibri"/>
                <w:lang w:bidi="hi-IN"/>
              </w:rPr>
              <m:t>c</m:t>
            </m:r>
          </m:e>
          <m:sub>
            <m:r>
              <w:rPr>
                <w:rFonts w:ascii="Cambria Math" w:eastAsia="等线" w:hAnsi="Cambria Math" w:cs="Calibri"/>
                <w:lang w:bidi="hi-IN"/>
              </w:rPr>
              <m:t>α''</m:t>
            </m:r>
          </m:sub>
        </m:sSub>
        <m:r>
          <m:rPr>
            <m:sty m:val="p"/>
          </m:rPr>
          <w:rPr>
            <w:rFonts w:ascii="Cambria Math" w:eastAsia="等线" w:hAnsi="Cambria Math" w:cs="Calibri"/>
            <w:lang w:bidi="hi-IN"/>
          </w:rPr>
          <m:t>-</m:t>
        </m:r>
        <m:rad>
          <m:radPr>
            <m:degHide m:val="1"/>
            <m:ctrlPr>
              <w:rPr>
                <w:rFonts w:ascii="Cambria Math" w:eastAsia="等线" w:hAnsi="Cambria Math" w:cs="Calibri"/>
                <w:lang w:bidi="hi-IN"/>
              </w:rPr>
            </m:ctrlPr>
          </m:radPr>
          <m:deg/>
          <m:e>
            <m:r>
              <w:rPr>
                <w:rFonts w:ascii="Cambria Math" w:eastAsia="等线" w:hAnsi="Cambria Math" w:cs="Calibri"/>
                <w:lang w:bidi="hi-IN"/>
              </w:rPr>
              <m:t>2</m:t>
            </m:r>
          </m:e>
        </m:rad>
        <m:sSub>
          <m:sSubPr>
            <m:ctrlPr>
              <w:rPr>
                <w:rFonts w:ascii="Cambria Math" w:eastAsia="等线" w:hAnsi="Cambria Math" w:cs="Calibri"/>
                <w:i/>
                <w:lang w:bidi="hi-IN"/>
              </w:rPr>
            </m:ctrlPr>
          </m:sSubPr>
          <m:e>
            <m:r>
              <w:rPr>
                <w:rFonts w:ascii="Cambria Math" w:eastAsia="等线" w:hAnsi="Cambria Math" w:cs="Calibri"/>
                <w:lang w:bidi="hi-IN"/>
              </w:rPr>
              <m:t>a</m:t>
            </m:r>
          </m:e>
          <m:sub>
            <m:r>
              <w:rPr>
                <w:rFonts w:ascii="Cambria Math" w:eastAsia="等线" w:hAnsi="Cambria Math" w:cs="Calibri"/>
                <w:lang w:bidi="hi-IN"/>
              </w:rPr>
              <m:t>β</m:t>
            </m:r>
          </m:sub>
        </m:sSub>
        <m:r>
          <w:rPr>
            <w:rFonts w:ascii="Cambria Math" w:eastAsia="等线" w:hAnsi="Cambria Math" w:cs="Calibri"/>
            <w:lang w:bidi="hi-IN"/>
          </w:rPr>
          <m:t>)/</m:t>
        </m:r>
        <m:sSub>
          <m:sSubPr>
            <m:ctrlPr>
              <w:rPr>
                <w:rFonts w:ascii="Cambria Math" w:eastAsia="等线" w:hAnsi="Cambria Math" w:cs="Calibri"/>
                <w:i/>
                <w:lang w:bidi="hi-IN"/>
              </w:rPr>
            </m:ctrlPr>
          </m:sSubPr>
          <m:e>
            <m:r>
              <w:rPr>
                <w:rFonts w:ascii="Cambria Math" w:eastAsia="等线" w:hAnsi="Cambria Math" w:cs="Calibri"/>
                <w:lang w:bidi="hi-IN"/>
              </w:rPr>
              <m:t>a</m:t>
            </m:r>
          </m:e>
          <m:sub>
            <m:r>
              <w:rPr>
                <w:rFonts w:ascii="Cambria Math" w:eastAsia="等线" w:hAnsi="Cambria Math" w:cs="Calibri"/>
                <w:lang w:bidi="hi-IN"/>
              </w:rPr>
              <m:t>β</m:t>
            </m:r>
          </m:sub>
        </m:sSub>
      </m:oMath>
      <w:r w:rsidRPr="00F82A87">
        <w:rPr>
          <w:rFonts w:ascii="Calibri" w:eastAsia="等线" w:hAnsi="Calibri" w:cs="Calibri"/>
          <w:lang w:bidi="hi-IN"/>
        </w:rPr>
        <w:t xml:space="preserve">, </w:t>
      </w:r>
      <w:r w:rsidR="00C50FC6">
        <w:rPr>
          <w:rFonts w:ascii="Calibri" w:eastAsia="等线" w:hAnsi="Calibri" w:cs="Calibri" w:hint="eastAsia"/>
          <w:lang w:bidi="hi-IN"/>
        </w:rPr>
        <w:t>the</w:t>
      </w:r>
      <w:r w:rsidR="00C50FC6">
        <w:rPr>
          <w:rFonts w:ascii="Calibri" w:eastAsia="等线" w:hAnsi="Calibri" w:cs="Calibri"/>
          <w:lang w:bidi="hi-IN"/>
        </w:rPr>
        <w:t xml:space="preserve"> </w:t>
      </w:r>
      <w:r w:rsidRPr="00F82A87">
        <w:rPr>
          <w:rFonts w:ascii="Calibri" w:eastAsia="等线" w:hAnsi="Calibri" w:cs="Calibri"/>
          <w:lang w:bidi="hi-IN"/>
        </w:rPr>
        <w:t xml:space="preserve">critical point was set as </w:t>
      </w:r>
      <w:r w:rsidRPr="00F82A87">
        <w:rPr>
          <w:rFonts w:ascii="Times New Roman" w:eastAsia="等线" w:hAnsi="Times New Roman" w:cs="Times New Roman"/>
          <w:lang w:bidi="hi-IN"/>
        </w:rPr>
        <w:t>η</w:t>
      </w:r>
      <w:r w:rsidRPr="00F82A87">
        <w:rPr>
          <w:rFonts w:ascii="Calibri" w:eastAsia="等线" w:hAnsi="Calibri" w:cs="Calibri"/>
          <w:vertAlign w:val="subscript"/>
          <w:lang w:bidi="hi-IN"/>
        </w:rPr>
        <w:t xml:space="preserve">3 </w:t>
      </w:r>
      <w:r w:rsidRPr="00F82A87">
        <w:rPr>
          <w:rFonts w:ascii="Calibri" w:eastAsia="等线" w:hAnsi="Calibri" w:cs="Calibri"/>
          <w:lang w:bidi="hi-IN"/>
        </w:rPr>
        <w:t xml:space="preserve">= 0, whilst when </w:t>
      </w:r>
      <w:r w:rsidRPr="00F82A87">
        <w:rPr>
          <w:rFonts w:ascii="Times New Roman" w:eastAsia="等线" w:hAnsi="Times New Roman" w:cs="Times New Roman"/>
          <w:lang w:bidi="hi-IN"/>
        </w:rPr>
        <w:t>η</w:t>
      </w:r>
      <w:r w:rsidRPr="00F82A87">
        <w:rPr>
          <w:rFonts w:ascii="Calibri" w:eastAsia="等线" w:hAnsi="Calibri" w:cs="Calibri"/>
          <w:vertAlign w:val="subscript"/>
          <w:lang w:bidi="hi-IN"/>
        </w:rPr>
        <w:t xml:space="preserve">3 </w:t>
      </w:r>
      <w:r w:rsidRPr="00F82A87">
        <w:rPr>
          <w:rFonts w:ascii="Calibri" w:eastAsia="等线" w:hAnsi="Calibri" w:cs="Calibri"/>
          <w:lang w:bidi="hi-IN"/>
        </w:rPr>
        <w:t xml:space="preserve">&gt; 0 the martensite twin variant is favoured to arrange into type I and type II twins. With further reduction in </w:t>
      </w:r>
      <w:r w:rsidRPr="00F82A87">
        <w:rPr>
          <w:rFonts w:ascii="Times New Roman" w:eastAsia="等线" w:hAnsi="Times New Roman" w:cs="Times New Roman"/>
          <w:lang w:bidi="hi-IN"/>
        </w:rPr>
        <w:t>β</w:t>
      </w:r>
      <w:r w:rsidRPr="00F82A87">
        <w:rPr>
          <w:rFonts w:ascii="Calibri" w:eastAsia="等线" w:hAnsi="Calibri" w:cs="Calibri"/>
          <w:lang w:bidi="hi-IN"/>
        </w:rPr>
        <w:t xml:space="preserve"> phase stability, </w:t>
      </w:r>
      <w:r w:rsidRPr="00F82A87">
        <w:rPr>
          <w:rFonts w:ascii="Times New Roman" w:eastAsia="等线" w:hAnsi="Times New Roman" w:cs="Times New Roman"/>
          <w:lang w:bidi="hi-IN"/>
        </w:rPr>
        <w:t>η</w:t>
      </w:r>
      <w:r w:rsidRPr="00F82A87">
        <w:rPr>
          <w:rFonts w:ascii="Calibri" w:eastAsia="等线" w:hAnsi="Calibri" w:cs="Calibri"/>
          <w:vertAlign w:val="subscript"/>
          <w:lang w:bidi="hi-IN"/>
        </w:rPr>
        <w:t xml:space="preserve">3 </w:t>
      </w:r>
      <w:r w:rsidRPr="00F82A87">
        <w:rPr>
          <w:rFonts w:ascii="Calibri" w:eastAsia="等线" w:hAnsi="Calibri" w:cs="Calibri"/>
          <w:lang w:bidi="hi-IN"/>
        </w:rPr>
        <w:t xml:space="preserve">&gt; 0 martensite variants are favoured to </w:t>
      </w:r>
      <w:r w:rsidR="00C50FC6">
        <w:rPr>
          <w:rFonts w:ascii="Calibri" w:eastAsia="等线" w:hAnsi="Calibri" w:cs="Calibri"/>
          <w:lang w:bidi="hi-IN"/>
        </w:rPr>
        <w:t xml:space="preserve">be </w:t>
      </w:r>
      <w:r w:rsidRPr="00F82A87">
        <w:rPr>
          <w:rFonts w:ascii="Calibri" w:eastAsia="等线" w:hAnsi="Calibri" w:cs="Calibri"/>
          <w:lang w:bidi="hi-IN"/>
        </w:rPr>
        <w:t>relate</w:t>
      </w:r>
      <w:r w:rsidR="00C50FC6">
        <w:rPr>
          <w:rFonts w:ascii="Calibri" w:eastAsia="等线" w:hAnsi="Calibri" w:cs="Calibri"/>
          <w:lang w:bidi="hi-IN"/>
        </w:rPr>
        <w:t>d</w:t>
      </w:r>
      <w:r w:rsidRPr="00F82A87">
        <w:rPr>
          <w:rFonts w:ascii="Calibri" w:eastAsia="等线" w:hAnsi="Calibri" w:cs="Calibri"/>
          <w:lang w:bidi="hi-IN"/>
        </w:rPr>
        <w:t xml:space="preserve"> by type I and type II twins, in order to compensate </w:t>
      </w:r>
      <w:r w:rsidR="00C50FC6">
        <w:rPr>
          <w:rFonts w:ascii="Calibri" w:eastAsia="等线" w:hAnsi="Calibri" w:cs="Calibri"/>
          <w:lang w:bidi="hi-IN"/>
        </w:rPr>
        <w:t xml:space="preserve">for </w:t>
      </w:r>
      <w:r w:rsidRPr="00F82A87">
        <w:rPr>
          <w:rFonts w:ascii="Calibri" w:eastAsia="等线" w:hAnsi="Calibri" w:cs="Calibri"/>
          <w:lang w:bidi="hi-IN"/>
        </w:rPr>
        <w:t>the stress that has been induced by the phase transforming lattice strain. {011}</w:t>
      </w:r>
      <w:r w:rsidRPr="00F82A87">
        <w:rPr>
          <w:rFonts w:ascii="Times New Roman" w:eastAsia="等线" w:hAnsi="Times New Roman" w:cs="Times New Roman"/>
          <w:vertAlign w:val="subscript"/>
        </w:rPr>
        <w:t>α</w:t>
      </w:r>
      <w:r w:rsidRPr="00F82A87">
        <w:rPr>
          <w:rFonts w:ascii="Calibri" w:eastAsia="等线" w:hAnsi="Calibri" w:cs="Times New Roman"/>
          <w:vertAlign w:val="subscript"/>
        </w:rPr>
        <w:t xml:space="preserve">’’ </w:t>
      </w:r>
      <w:r w:rsidRPr="00F82A87">
        <w:rPr>
          <w:rFonts w:ascii="Calibri" w:eastAsia="等线" w:hAnsi="Calibri" w:cs="Calibri"/>
          <w:lang w:bidi="hi-IN"/>
        </w:rPr>
        <w:t>compound twin</w:t>
      </w:r>
      <w:r w:rsidR="00C50FC6">
        <w:rPr>
          <w:rFonts w:ascii="Calibri" w:eastAsia="等线" w:hAnsi="Calibri" w:cs="Calibri"/>
          <w:lang w:bidi="hi-IN"/>
        </w:rPr>
        <w:t>ning</w:t>
      </w:r>
      <w:r w:rsidRPr="00F82A87">
        <w:rPr>
          <w:rFonts w:ascii="Calibri" w:eastAsia="等线" w:hAnsi="Calibri" w:cs="Calibri"/>
          <w:lang w:bidi="hi-IN"/>
        </w:rPr>
        <w:t xml:space="preserve"> which lattice corresponds to the {10-12} twin in a hexagonal structure, is more likely to accommodate the overall volume change when </w:t>
      </w:r>
      <w:r w:rsidRPr="00F82A87">
        <w:rPr>
          <w:rFonts w:ascii="Times New Roman" w:eastAsia="等线" w:hAnsi="Times New Roman" w:cs="Times New Roman"/>
          <w:lang w:bidi="hi-IN"/>
        </w:rPr>
        <w:t>η</w:t>
      </w:r>
      <w:r w:rsidRPr="00F82A87">
        <w:rPr>
          <w:rFonts w:ascii="Calibri" w:eastAsia="等线" w:hAnsi="Calibri" w:cs="Calibri"/>
          <w:vertAlign w:val="subscript"/>
          <w:lang w:bidi="hi-IN"/>
        </w:rPr>
        <w:t xml:space="preserve">3 </w:t>
      </w:r>
      <w:r w:rsidRPr="00F82A87">
        <w:rPr>
          <w:rFonts w:ascii="Calibri" w:eastAsia="等线" w:hAnsi="Calibri" w:cs="Calibri"/>
          <w:lang w:bidi="hi-IN"/>
        </w:rPr>
        <w:t>&lt; 0. Thus, the</w:t>
      </w:r>
      <w:r w:rsidRPr="00F82A87">
        <w:rPr>
          <w:rFonts w:ascii="Calibri" w:eastAsia="等线" w:hAnsi="Calibri" w:cs="Times New Roman"/>
        </w:rPr>
        <w:t xml:space="preserve"> cooperation of SA twinning observed in this work for the TiZrHfTa</w:t>
      </w:r>
      <w:r w:rsidRPr="00F82A87">
        <w:rPr>
          <w:rFonts w:ascii="Calibri" w:eastAsia="等线" w:hAnsi="Calibri" w:cs="Times New Roman"/>
          <w:vertAlign w:val="subscript"/>
        </w:rPr>
        <w:t xml:space="preserve">0.5 </w:t>
      </w:r>
      <w:r w:rsidRPr="00F82A87">
        <w:rPr>
          <w:rFonts w:ascii="Calibri" w:eastAsia="等线" w:hAnsi="Calibri" w:cs="Times New Roman"/>
        </w:rPr>
        <w:t xml:space="preserve">composition is clearly quite abnormal in comparison with the SA twin modes reported for other </w:t>
      </w:r>
      <w:r w:rsidRPr="00F82A87">
        <w:rPr>
          <w:rFonts w:ascii="Calibri" w:eastAsia="等线" w:hAnsi="Calibri" w:cs="Calibri"/>
          <w:lang w:bidi="hi-IN"/>
        </w:rPr>
        <w:t>metastable-</w:t>
      </w:r>
      <w:r w:rsidRPr="00F82A87">
        <w:rPr>
          <w:rFonts w:ascii="Times New Roman" w:eastAsia="等线" w:hAnsi="Times New Roman" w:cs="Times New Roman"/>
          <w:lang w:bidi="hi-IN"/>
        </w:rPr>
        <w:t>β</w:t>
      </w:r>
      <w:r w:rsidRPr="00F82A87">
        <w:rPr>
          <w:rFonts w:ascii="Calibri" w:eastAsia="等线" w:hAnsi="Calibri" w:cs="Calibri"/>
          <w:lang w:bidi="hi-IN"/>
        </w:rPr>
        <w:t xml:space="preserve"> Ti alloy</w:t>
      </w:r>
      <w:r w:rsidR="00C50FC6">
        <w:rPr>
          <w:rFonts w:ascii="Calibri" w:eastAsia="等线" w:hAnsi="Calibri" w:cs="Calibri"/>
          <w:lang w:bidi="hi-IN"/>
        </w:rPr>
        <w:t>s</w:t>
      </w:r>
      <w:r w:rsidRPr="00F82A87">
        <w:rPr>
          <w:rFonts w:ascii="Calibri" w:eastAsia="等线" w:hAnsi="Calibri" w:cs="Calibri"/>
          <w:lang w:bidi="hi-IN"/>
        </w:rPr>
        <w:t xml:space="preserve"> </w:t>
      </w:r>
      <w:r w:rsidRPr="00F82A87">
        <w:rPr>
          <w:rFonts w:ascii="Calibri" w:eastAsia="等线" w:hAnsi="Calibri" w:cs="Calibri"/>
          <w:lang w:bidi="hi-IN"/>
        </w:rPr>
        <w:fldChar w:fldCharType="begin" w:fldLock="1"/>
      </w:r>
      <w:r>
        <w:rPr>
          <w:rFonts w:ascii="Calibri" w:eastAsia="等线" w:hAnsi="Calibri" w:cs="Calibri" w:hint="eastAsia"/>
          <w:lang w:bidi="hi-IN"/>
        </w:rPr>
        <w:instrText xml:space="preserve">ADDIN CSL_CITATION {"citationItems":[{"id":"ITEM-1","itemData":{"DOI":"10.1016/j.actamat.2009.04.051","ISBN":"0000000000","ISSN":"13596454","PMID":"30089621","abstract":"Self-accommodation morphology of the </w:instrText>
      </w:r>
      <w:r>
        <w:rPr>
          <w:rFonts w:ascii="Calibri" w:eastAsia="等线" w:hAnsi="Calibri" w:cs="Calibri" w:hint="eastAsia"/>
          <w:lang w:bidi="hi-IN"/>
        </w:rPr>
        <w:instrText>α″</w:instrText>
      </w:r>
      <w:r>
        <w:rPr>
          <w:rFonts w:ascii="Calibri" w:eastAsia="等线" w:hAnsi="Calibri" w:cs="Calibri" w:hint="eastAsia"/>
          <w:lang w:bidi="hi-IN"/>
        </w:rPr>
        <w:instrText xml:space="preserve">martensites in Ti-Nb shape memory alloys with </w:instrText>
      </w:r>
      <w:r>
        <w:rPr>
          <w:rFonts w:ascii="Calibri" w:eastAsia="等线" w:hAnsi="Calibri" w:cs="Calibri"/>
          <w:lang w:bidi="hi-IN"/>
        </w:rPr>
        <w:instrText>Nb content ranging from 20 to 24 at.% was investigated. Hollow and solid triangular morphologies consisting of three α</w:instrText>
      </w:r>
      <w:r>
        <w:rPr>
          <w:rFonts w:ascii="Calibri" w:eastAsia="等线" w:hAnsi="Calibri" w:cs="Calibri" w:hint="eastAsia"/>
          <w:lang w:bidi="hi-IN"/>
        </w:rPr>
        <w:instrText>″</w:instrText>
      </w:r>
      <w:r>
        <w:rPr>
          <w:rFonts w:ascii="Calibri" w:eastAsia="等线" w:hAnsi="Calibri" w:cs="Calibri"/>
          <w:lang w:bidi="hi-IN"/>
        </w:rPr>
        <w:instrText>variants were found to be the α</w:instrText>
      </w:r>
      <w:r>
        <w:rPr>
          <w:rFonts w:ascii="Calibri" w:eastAsia="等线" w:hAnsi="Calibri" w:cs="Calibri" w:hint="eastAsia"/>
          <w:lang w:bidi="hi-IN"/>
        </w:rPr>
        <w:instrText>″</w:instrText>
      </w:r>
      <w:r>
        <w:rPr>
          <w:rFonts w:ascii="Calibri" w:eastAsia="等线" w:hAnsi="Calibri" w:cs="Calibri"/>
          <w:lang w:bidi="hi-IN"/>
        </w:rPr>
        <w:instrText>self-accommodation morphologies. The α</w:instrText>
      </w:r>
      <w:r>
        <w:rPr>
          <w:rFonts w:ascii="Calibri" w:eastAsia="等线" w:hAnsi="Calibri" w:cs="Calibri" w:hint="eastAsia"/>
          <w:lang w:bidi="hi-IN"/>
        </w:rPr>
        <w:instrText>″</w:instrText>
      </w:r>
      <w:r>
        <w:rPr>
          <w:rFonts w:ascii="Calibri" w:eastAsia="等线" w:hAnsi="Calibri" w:cs="Calibri"/>
          <w:lang w:bidi="hi-IN"/>
        </w:rPr>
        <w:instrText>variants are related to each other by twinning on {1 over(1, ̄) 1</w:instrText>
      </w:r>
      <w:r>
        <w:rPr>
          <w:rFonts w:ascii="Calibri" w:eastAsia="等线" w:hAnsi="Calibri" w:cs="Calibri" w:hint="eastAsia"/>
          <w:lang w:bidi="hi-IN"/>
        </w:rPr>
        <w:instrText>}</w:instrText>
      </w:r>
      <w:r>
        <w:rPr>
          <w:rFonts w:ascii="Calibri" w:eastAsia="等线" w:hAnsi="Calibri" w:cs="Calibri" w:hint="eastAsia"/>
          <w:lang w:bidi="hi-IN"/>
        </w:rPr>
        <w:instrText>α″</w:instrText>
      </w:r>
      <w:r>
        <w:rPr>
          <w:rFonts w:ascii="Calibri" w:eastAsia="等线" w:hAnsi="Calibri" w:cs="Calibri" w:hint="eastAsia"/>
          <w:lang w:bidi="hi-IN"/>
        </w:rPr>
        <w:instrText xml:space="preserve">. A V-shaped morphology consisting of two </w:instrText>
      </w:r>
      <w:r>
        <w:rPr>
          <w:rFonts w:ascii="Calibri" w:eastAsia="等线" w:hAnsi="Calibri" w:cs="Calibri" w:hint="eastAsia"/>
          <w:lang w:bidi="hi-IN"/>
        </w:rPr>
        <w:instrText>α″</w:instrText>
      </w:r>
      <w:r>
        <w:rPr>
          <w:rFonts w:ascii="Calibri" w:eastAsia="等线" w:hAnsi="Calibri" w:cs="Calibri" w:hint="eastAsia"/>
          <w:lang w:bidi="hi-IN"/>
        </w:rPr>
        <w:instrText xml:space="preserve">variants coupled with a solid triangular morphology consisting of three </w:instrText>
      </w:r>
      <w:r>
        <w:rPr>
          <w:rFonts w:ascii="Calibri" w:eastAsia="等线" w:hAnsi="Calibri" w:cs="Calibri" w:hint="eastAsia"/>
          <w:lang w:bidi="hi-IN"/>
        </w:rPr>
        <w:instrText>α″</w:instrText>
      </w:r>
      <w:r>
        <w:rPr>
          <w:rFonts w:ascii="Calibri" w:eastAsia="等线" w:hAnsi="Calibri" w:cs="Calibri" w:hint="eastAsia"/>
          <w:lang w:bidi="hi-IN"/>
        </w:rPr>
        <w:instrText xml:space="preserve">variants was found to be another type of self-accommodation morphology. The </w:instrText>
      </w:r>
      <w:r>
        <w:rPr>
          <w:rFonts w:ascii="Calibri" w:eastAsia="等线" w:hAnsi="Calibri" w:cs="Calibri" w:hint="eastAsia"/>
          <w:lang w:bidi="hi-IN"/>
        </w:rPr>
        <w:instrText>α″</w:instrText>
      </w:r>
      <w:r>
        <w:rPr>
          <w:rFonts w:ascii="Calibri" w:eastAsia="等线" w:hAnsi="Calibri" w:cs="Calibri" w:hint="eastAsia"/>
          <w:lang w:bidi="hi-IN"/>
        </w:rPr>
        <w:instrText>variants from the V-shaped morphology are related by twi</w:instrText>
      </w:r>
      <w:r>
        <w:rPr>
          <w:rFonts w:ascii="Calibri" w:eastAsia="等线" w:hAnsi="Calibri" w:cs="Calibri"/>
          <w:lang w:bidi="hi-IN"/>
        </w:rPr>
        <w:instrText>nning on {1 1 1}α</w:instrText>
      </w:r>
      <w:r>
        <w:rPr>
          <w:rFonts w:ascii="Calibri" w:eastAsia="等线" w:hAnsi="Calibri" w:cs="Calibri" w:hint="eastAsia"/>
          <w:lang w:bidi="hi-IN"/>
        </w:rPr>
        <w:instrText>″</w:instrText>
      </w:r>
      <w:r>
        <w:rPr>
          <w:rFonts w:ascii="Calibri" w:eastAsia="等线" w:hAnsi="Calibri" w:cs="Calibri"/>
          <w:lang w:bidi="hi-IN"/>
        </w:rPr>
        <w:instrText>, whereas the α</w:instrText>
      </w:r>
      <w:r>
        <w:rPr>
          <w:rFonts w:ascii="Calibri" w:eastAsia="等线" w:hAnsi="Calibri" w:cs="Calibri" w:hint="eastAsia"/>
          <w:lang w:bidi="hi-IN"/>
        </w:rPr>
        <w:instrText>″</w:instrText>
      </w:r>
      <w:r>
        <w:rPr>
          <w:rFonts w:ascii="Calibri" w:eastAsia="等线" w:hAnsi="Calibri" w:cs="Calibri"/>
          <w:lang w:bidi="hi-IN"/>
        </w:rPr>
        <w:instrText>variants from the solid triangular morphology are related to each other by twinning on {1 over(1, ̄) 1}α</w:instrText>
      </w:r>
      <w:r>
        <w:rPr>
          <w:rFonts w:ascii="Calibri" w:eastAsia="等线" w:hAnsi="Calibri" w:cs="Calibri" w:hint="eastAsia"/>
          <w:lang w:bidi="hi-IN"/>
        </w:rPr>
        <w:instrText>″</w:instrText>
      </w:r>
      <w:r>
        <w:rPr>
          <w:rFonts w:ascii="Calibri" w:eastAsia="等线" w:hAnsi="Calibri" w:cs="Calibri"/>
          <w:lang w:bidi="hi-IN"/>
        </w:rPr>
        <w:instrText>. Pairs of crystallographically equivalent {1 over(1, ̄) 1}α</w:instrText>
      </w:r>
      <w:r>
        <w:rPr>
          <w:rFonts w:ascii="Calibri" w:eastAsia="等线" w:hAnsi="Calibri" w:cs="Calibri" w:hint="eastAsia"/>
          <w:lang w:bidi="hi-IN"/>
        </w:rPr>
        <w:instrText>″</w:instrText>
      </w:r>
      <w:r>
        <w:rPr>
          <w:rFonts w:ascii="Calibri" w:eastAsia="等线" w:hAnsi="Calibri" w:cs="Calibri"/>
          <w:lang w:bidi="hi-IN"/>
        </w:rPr>
        <w:instrText>twinning dislocations with steps of opposite signs were found to cause the overall orientation of the twinning terraces and steps to be parallel to the {1 over(1, ̄) 1}α</w:instrText>
      </w:r>
      <w:r>
        <w:rPr>
          <w:rFonts w:ascii="Calibri" w:eastAsia="等线" w:hAnsi="Calibri" w:cs="Calibri" w:hint="eastAsia"/>
          <w:lang w:bidi="hi-IN"/>
        </w:rPr>
        <w:instrText>″</w:instrText>
      </w:r>
      <w:r>
        <w:rPr>
          <w:rFonts w:ascii="Calibri" w:eastAsia="等线" w:hAnsi="Calibri" w:cs="Calibri"/>
          <w:lang w:bidi="hi-IN"/>
        </w:rPr>
        <w:instrText>twinning interface. © 2009 Acta Materialia Inc.","author":[{"dropping-particle":"","family":"Chai","given":"Y. W.","non-dropping-particle":"","parse-names":false,"suffix":""},{"dropping-particle":"","family":"Kim","given":"H. Y.","non-dropping-particle":"","parse-names":false,"suffix":""},{"dropping-particle":"","family":"Hosoda","given":"H.","non-dropping-particle":"","parse-names":false,"suffix":""},{"dropping-particle":"","family":"Miyazaki","given":"S.","non-dropping-particle":"","parse-names":false,"suffix":""}],"container-title":"Acta Materialia","id":"ITEM-1","issued":{"date-parts":[["2009"]]},"title":"Self-accommodation in Ti-Nb shape memory alloys","type":"article-journal"},"uris":["http://www.mendeley.com/documents/?uuid=d9dd42fc-c439-4e3a-95e5-e7ad7b328b69"]},{"id":"ITEM-2","itemData":{"DOI":"10.1016/j.actamat.2015.12.001","ISBN":"13596454","ISSN":"13596454","PMID":"10124575","abst</w:instrText>
      </w:r>
      <w:r>
        <w:rPr>
          <w:rFonts w:ascii="Calibri" w:eastAsia="等线" w:hAnsi="Calibri" w:cs="Calibri" w:hint="eastAsia"/>
          <w:lang w:bidi="hi-IN"/>
        </w:rPr>
        <w:instrText xml:space="preserve">ract":"Deformation twinning of the Ti-25Ta-20Nb (mass%) shape memory alloy is characterized using EBSD and TEM. The selfaccommodating </w:instrText>
      </w:r>
      <w:r>
        <w:rPr>
          <w:rFonts w:ascii="Calibri" w:eastAsia="等线" w:hAnsi="Calibri" w:cs="Calibri" w:hint="eastAsia"/>
          <w:lang w:bidi="hi-IN"/>
        </w:rPr>
        <w:instrText>α″</w:instrText>
      </w:r>
      <w:r>
        <w:rPr>
          <w:rFonts w:ascii="Calibri" w:eastAsia="等线" w:hAnsi="Calibri" w:cs="Calibri" w:hint="eastAsia"/>
          <w:lang w:bidi="hi-IN"/>
        </w:rPr>
        <w:instrText xml:space="preserve"> microstructure is shown to be first deformed using {111}</w:instrText>
      </w:r>
      <w:r>
        <w:rPr>
          <w:rFonts w:ascii="Calibri" w:eastAsia="等线" w:hAnsi="Calibri" w:cs="Calibri" w:hint="eastAsia"/>
          <w:lang w:bidi="hi-IN"/>
        </w:rPr>
        <w:instrText>α″</w:instrText>
      </w:r>
      <w:r>
        <w:rPr>
          <w:rFonts w:ascii="Calibri" w:eastAsia="等线" w:hAnsi="Calibri" w:cs="Calibri" w:hint="eastAsia"/>
          <w:lang w:bidi="hi-IN"/>
        </w:rPr>
        <w:instrText xml:space="preserve"> type I and &lt;211&gt;</w:instrText>
      </w:r>
      <w:r>
        <w:rPr>
          <w:rFonts w:ascii="Calibri" w:eastAsia="等线" w:hAnsi="Calibri" w:cs="Calibri" w:hint="eastAsia"/>
          <w:lang w:bidi="hi-IN"/>
        </w:rPr>
        <w:instrText>α″</w:instrText>
      </w:r>
      <w:r>
        <w:rPr>
          <w:rFonts w:ascii="Calibri" w:eastAsia="等线" w:hAnsi="Calibri" w:cs="Calibri" w:hint="eastAsia"/>
          <w:lang w:bidi="hi-IN"/>
        </w:rPr>
        <w:instrText xml:space="preserve"> type II reorientation twinning. Plastic deformation occurs further by plastic twinning with a new {130}&lt;310&gt;</w:instrText>
      </w:r>
      <w:r>
        <w:rPr>
          <w:rFonts w:ascii="Calibri" w:eastAsia="等线" w:hAnsi="Calibri" w:cs="Calibri" w:hint="eastAsia"/>
          <w:lang w:bidi="hi-IN"/>
        </w:rPr>
        <w:instrText>α″</w:instrText>
      </w:r>
      <w:r>
        <w:rPr>
          <w:rFonts w:ascii="Calibri" w:eastAsia="等线" w:hAnsi="Calibri" w:cs="Calibri" w:hint="eastAsia"/>
          <w:lang w:bidi="hi-IN"/>
        </w:rPr>
        <w:instrText xml:space="preserve"> twinning system. Maximum lattice deformation calculation is a relevant parameter to predict the variant of martensite that is favored during the reorientation process. Conversely, Schmid factor analysis can be used to predict the selection of {130}&lt;310&gt;</w:instrText>
      </w:r>
      <w:r>
        <w:rPr>
          <w:rFonts w:ascii="Calibri" w:eastAsia="等线" w:hAnsi="Calibri" w:cs="Calibri" w:hint="eastAsia"/>
          <w:lang w:bidi="hi-IN"/>
        </w:rPr>
        <w:instrText>α″</w:instrText>
      </w:r>
      <w:r>
        <w:rPr>
          <w:rFonts w:ascii="Calibri" w:eastAsia="等线" w:hAnsi="Calibri" w:cs="Calibri" w:hint="eastAsia"/>
          <w:lang w:bidi="hi-IN"/>
        </w:rPr>
        <w:instrText xml:space="preserve"> twinning variants during deformation. Analogy between {130}&lt;310&gt;</w:instrText>
      </w:r>
      <w:r>
        <w:rPr>
          <w:rFonts w:ascii="Calibri" w:eastAsia="等线" w:hAnsi="Calibri" w:cs="Calibri" w:hint="eastAsia"/>
          <w:lang w:bidi="hi-IN"/>
        </w:rPr>
        <w:instrText>α″</w:instrText>
      </w:r>
      <w:r>
        <w:rPr>
          <w:rFonts w:ascii="Calibri" w:eastAsia="等线" w:hAnsi="Calibri" w:cs="Calibri" w:hint="eastAsia"/>
          <w:lang w:bidi="hi-IN"/>
        </w:rPr>
        <w:instrText xml:space="preserve"> and {332}&lt;113&gt;</w:instrText>
      </w:r>
      <w:r>
        <w:rPr>
          <w:rFonts w:ascii="Calibri" w:eastAsia="等线" w:hAnsi="Calibri" w:cs="Calibri" w:hint="eastAsia"/>
          <w:lang w:bidi="hi-IN"/>
        </w:rPr>
        <w:instrText>β</w:instrText>
      </w:r>
      <w:r>
        <w:rPr>
          <w:rFonts w:ascii="Calibri" w:eastAsia="等线" w:hAnsi="Calibri" w:cs="Calibri" w:hint="eastAsia"/>
          <w:lang w:bidi="hi-IN"/>
        </w:rPr>
        <w:instrText>twinning systems is highlighted.","author":[{"dropping-particle":"","family":"Bertrand","given":"Emma</w:instrText>
      </w:r>
      <w:r>
        <w:rPr>
          <w:rFonts w:ascii="Calibri" w:eastAsia="等线" w:hAnsi="Calibri" w:cs="Calibri"/>
          <w:lang w:bidi="hi-IN"/>
        </w:rPr>
        <w:instrText>nuel","non-dropping-particle":"","parse-names":false,"suffix":""},{"dropping-particle":"","family":"Castany","given":"Philippe","non-dropping-particle":"","parse-names":false,"suffix":""},{"dropping-particle":"","family":"Yang","given":"Yang","non-dropping-particle":"","parse-names":false,"suffix":""},{"dropping-particle":"","family":"Menou","given":"Edern","non-dropping-particle":"","parse-names":false,"suffix":""},{"dropping-particle":"","family":"Gloriant","given":"Thierry","non-dropping-particle":"","</w:instrText>
      </w:r>
      <w:r>
        <w:rPr>
          <w:rFonts w:ascii="Calibri" w:eastAsia="等线" w:hAnsi="Calibri" w:cs="Calibri" w:hint="eastAsia"/>
          <w:lang w:bidi="hi-IN"/>
        </w:rPr>
        <w:instrText>parse-names":false,"suffix":""}],"container-title":"Acta Materialia","id":"ITEM-2","issued":{"date-parts":[["2016"]]},"title":"Deformation twinning in the full-</w:instrText>
      </w:r>
      <w:r>
        <w:rPr>
          <w:rFonts w:ascii="Calibri" w:eastAsia="等线" w:hAnsi="Calibri" w:cs="Calibri" w:hint="eastAsia"/>
          <w:lang w:bidi="hi-IN"/>
        </w:rPr>
        <w:instrText>α″</w:instrText>
      </w:r>
      <w:r>
        <w:rPr>
          <w:rFonts w:ascii="Calibri" w:eastAsia="等线" w:hAnsi="Calibri" w:cs="Calibri" w:hint="eastAsia"/>
          <w:lang w:bidi="hi-IN"/>
        </w:rPr>
        <w:instrText xml:space="preserve"> martensitic Ti-25Ta-20Nb shape memory alloy","type":"article-journal"},"uris":["http://www.m</w:instrText>
      </w:r>
      <w:r>
        <w:rPr>
          <w:rFonts w:ascii="Calibri" w:eastAsia="等线" w:hAnsi="Calibri" w:cs="Calibri"/>
          <w:lang w:bidi="hi-IN"/>
        </w:rPr>
        <w:instrText>endeley.com/documents/?uuid=40c9e674-5c50-4012-9404-ce85f346724c"]}],"mendeley":{"formattedCitation":"[37,41]","plainTextFormattedCitation":"[37,41]","previouslyFormattedCitation":"[37,41]"},"properties":{"noteIndex":0},"schema":"https://github.com/citation-style-language/schema/raw/master/csl-citation.json"}</w:instrText>
      </w:r>
      <w:r w:rsidRPr="00F82A87">
        <w:rPr>
          <w:rFonts w:ascii="Calibri" w:eastAsia="等线" w:hAnsi="Calibri" w:cs="Calibri"/>
          <w:lang w:bidi="hi-IN"/>
        </w:rPr>
        <w:fldChar w:fldCharType="separate"/>
      </w:r>
      <w:r w:rsidRPr="00F82A87">
        <w:rPr>
          <w:rFonts w:ascii="Calibri" w:eastAsia="等线" w:hAnsi="Calibri" w:cs="Calibri"/>
          <w:noProof/>
          <w:lang w:bidi="hi-IN"/>
        </w:rPr>
        <w:t>[37,41]</w:t>
      </w:r>
      <w:r w:rsidRPr="00F82A87">
        <w:rPr>
          <w:rFonts w:ascii="Calibri" w:eastAsia="等线" w:hAnsi="Calibri" w:cs="Calibri"/>
          <w:lang w:bidi="hi-IN"/>
        </w:rPr>
        <w:fldChar w:fldCharType="end"/>
      </w:r>
      <w:r w:rsidRPr="00F82A87">
        <w:rPr>
          <w:rFonts w:ascii="Calibri" w:eastAsia="等线" w:hAnsi="Calibri" w:cs="Calibri"/>
          <w:lang w:bidi="hi-IN"/>
        </w:rPr>
        <w:t>.</w:t>
      </w:r>
      <w:r w:rsidRPr="00F82A87">
        <w:rPr>
          <w:rFonts w:ascii="Calibri" w:eastAsia="等线" w:hAnsi="Calibri" w:cs="Times New Roman"/>
        </w:rPr>
        <w:t xml:space="preserve"> </w:t>
      </w:r>
      <w:r w:rsidRPr="00F82A87">
        <w:rPr>
          <w:rFonts w:ascii="Calibri" w:eastAsia="等线" w:hAnsi="Calibri" w:cs="Calibri"/>
          <w:lang w:bidi="hi-IN"/>
        </w:rPr>
        <w:t xml:space="preserve">In </w:t>
      </w:r>
      <w:r w:rsidRPr="00F82A87">
        <w:rPr>
          <w:rFonts w:ascii="Calibri" w:eastAsia="等线" w:hAnsi="Calibri" w:cs="Times New Roman"/>
        </w:rPr>
        <w:t>Fig. 5-3(c)</w:t>
      </w:r>
      <w:r w:rsidRPr="00F82A87">
        <w:rPr>
          <w:rFonts w:ascii="Calibri" w:eastAsia="等线" w:hAnsi="Calibri" w:cs="Calibri"/>
          <w:lang w:bidi="hi-IN"/>
        </w:rPr>
        <w:t xml:space="preserve">, the arrangement of type I </w:t>
      </w:r>
      <w:r w:rsidRPr="00F82A87">
        <w:rPr>
          <w:rFonts w:ascii="Calibri" w:eastAsia="等线" w:hAnsi="Calibri" w:cs="Times New Roman"/>
        </w:rPr>
        <w:t>{111}</w:t>
      </w:r>
      <w:r w:rsidRPr="00F82A87">
        <w:rPr>
          <w:rFonts w:ascii="Times New Roman" w:eastAsia="等线" w:hAnsi="Times New Roman" w:cs="Times New Roman"/>
          <w:vertAlign w:val="subscript"/>
        </w:rPr>
        <w:t>α</w:t>
      </w:r>
      <w:r w:rsidRPr="00F82A87">
        <w:rPr>
          <w:rFonts w:ascii="Calibri" w:eastAsia="等线" w:hAnsi="Calibri" w:cs="Times New Roman"/>
          <w:vertAlign w:val="subscript"/>
        </w:rPr>
        <w:t>’’</w:t>
      </w:r>
      <w:r w:rsidRPr="00F82A87">
        <w:rPr>
          <w:rFonts w:ascii="Calibri" w:eastAsia="等线" w:hAnsi="Calibri" w:cs="Times New Roman"/>
        </w:rPr>
        <w:t xml:space="preserve"> twin</w:t>
      </w:r>
      <w:r w:rsidR="00C50FC6">
        <w:rPr>
          <w:rFonts w:ascii="Calibri" w:eastAsia="等线" w:hAnsi="Calibri" w:cs="Times New Roman"/>
        </w:rPr>
        <w:t>s</w:t>
      </w:r>
      <w:r w:rsidRPr="001C513B">
        <w:rPr>
          <w:rFonts w:ascii="Calibri" w:eastAsia="等线" w:hAnsi="Calibri" w:cs="Times New Roman"/>
        </w:rPr>
        <w:t xml:space="preserve"> </w:t>
      </w:r>
      <w:r>
        <w:rPr>
          <w:rFonts w:ascii="Calibri" w:eastAsia="等线" w:hAnsi="Calibri" w:cs="Times New Roman"/>
        </w:rPr>
        <w:t>exhibits</w:t>
      </w:r>
      <w:r w:rsidRPr="001C513B">
        <w:rPr>
          <w:rFonts w:ascii="Calibri" w:eastAsia="等线" w:hAnsi="Calibri" w:cs="Times New Roman"/>
        </w:rPr>
        <w:t xml:space="preserve"> a V</w:t>
      </w:r>
      <w:r>
        <w:rPr>
          <w:rFonts w:ascii="Calibri" w:eastAsia="等线" w:hAnsi="Calibri" w:cs="Times New Roman"/>
        </w:rPr>
        <w:t>-</w:t>
      </w:r>
      <w:r w:rsidRPr="001C513B">
        <w:rPr>
          <w:rFonts w:ascii="Calibri" w:eastAsia="等线" w:hAnsi="Calibri" w:cs="Times New Roman"/>
        </w:rPr>
        <w:t>shape</w:t>
      </w:r>
      <w:r>
        <w:rPr>
          <w:rFonts w:ascii="Calibri" w:eastAsia="等线" w:hAnsi="Calibri" w:cs="Times New Roman"/>
        </w:rPr>
        <w:t>d</w:t>
      </w:r>
      <w:r w:rsidRPr="001C513B">
        <w:rPr>
          <w:rFonts w:ascii="Calibri" w:eastAsia="等线" w:hAnsi="Calibri" w:cs="Times New Roman"/>
        </w:rPr>
        <w:t xml:space="preserve"> structure</w:t>
      </w:r>
      <w:r w:rsidR="00C50FC6">
        <w:rPr>
          <w:rFonts w:ascii="Calibri" w:eastAsia="等线" w:hAnsi="Calibri" w:cs="Times New Roman"/>
        </w:rPr>
        <w:t>,</w:t>
      </w:r>
      <w:r w:rsidRPr="001C513B">
        <w:rPr>
          <w:rFonts w:ascii="Calibri" w:eastAsia="等线" w:hAnsi="Calibri" w:cs="Times New Roman"/>
        </w:rPr>
        <w:t xml:space="preserve"> which </w:t>
      </w:r>
      <w:r>
        <w:rPr>
          <w:rFonts w:ascii="Calibri" w:eastAsia="等线" w:hAnsi="Calibri" w:cs="Times New Roman"/>
        </w:rPr>
        <w:t xml:space="preserve">was </w:t>
      </w:r>
      <w:r w:rsidRPr="001C513B">
        <w:rPr>
          <w:rFonts w:ascii="Calibri" w:eastAsia="等线" w:hAnsi="Calibri" w:cs="Times New Roman"/>
        </w:rPr>
        <w:t>identical to the self-accommodation twinning morphology observed in metastable β phase Ti-alloy</w:t>
      </w:r>
      <w:r w:rsidR="00C50FC6">
        <w:rPr>
          <w:rFonts w:ascii="Calibri" w:eastAsia="等线" w:hAnsi="Calibri" w:cs="Times New Roman"/>
        </w:rPr>
        <w:t>s</w:t>
      </w:r>
      <w:r w:rsidRPr="001C513B">
        <w:rPr>
          <w:rFonts w:ascii="Calibri" w:eastAsia="等线" w:hAnsi="Calibri" w:cs="Times New Roman"/>
        </w:rPr>
        <w:t xml:space="preserve"> and Zr-alloy</w:t>
      </w:r>
      <w:r w:rsidR="00C50FC6">
        <w:rPr>
          <w:rFonts w:ascii="Calibri" w:eastAsia="等线" w:hAnsi="Calibri" w:cs="Times New Roman"/>
        </w:rPr>
        <w:t>s</w:t>
      </w:r>
      <w:r>
        <w:rPr>
          <w:rFonts w:ascii="Calibri" w:eastAsia="等线" w:hAnsi="Calibri" w:cs="Times New Roman"/>
        </w:rPr>
        <w:t xml:space="preserve"> </w:t>
      </w:r>
      <w:r w:rsidRPr="001C513B">
        <w:rPr>
          <w:rFonts w:ascii="Calibri" w:eastAsia="等线" w:hAnsi="Calibri" w:cs="Times New Roman"/>
        </w:rPr>
        <w:fldChar w:fldCharType="begin" w:fldLock="1"/>
      </w:r>
      <w:r>
        <w:rPr>
          <w:rFonts w:ascii="Calibri" w:eastAsia="等线" w:hAnsi="Calibri" w:cs="Times New Roman" w:hint="eastAsia"/>
        </w:rPr>
        <w:instrText xml:space="preserve">ADDIN CSL_CITATION {"citationItems":[{"id":"ITEM-1","itemData":{"DOI":"10.1016/j.actamat.2009.04.051","ISBN":"0000000000","ISSN":"13596454","PMID":"30089621","abstract":"Self-accommodation morphology of the </w:instrText>
      </w:r>
      <w:r>
        <w:rPr>
          <w:rFonts w:ascii="Calibri" w:eastAsia="等线" w:hAnsi="Calibri" w:cs="Times New Roman" w:hint="eastAsia"/>
        </w:rPr>
        <w:instrText>α″</w:instrText>
      </w:r>
      <w:r>
        <w:rPr>
          <w:rFonts w:ascii="Calibri" w:eastAsia="等线" w:hAnsi="Calibri" w:cs="Times New Roman" w:hint="eastAsia"/>
        </w:rPr>
        <w:instrText xml:space="preserve">martensites in Ti-Nb shape memory alloys with </w:instrText>
      </w:r>
      <w:r>
        <w:rPr>
          <w:rFonts w:ascii="Calibri" w:eastAsia="等线" w:hAnsi="Calibri" w:cs="Times New Roman"/>
        </w:rPr>
        <w:instrText>Nb content ranging from 20 to 24 at.% was investigated. Hollow and solid triangular morphologies consisting of three α</w:instrText>
      </w:r>
      <w:r>
        <w:rPr>
          <w:rFonts w:ascii="Calibri" w:eastAsia="等线" w:hAnsi="Calibri" w:cs="Times New Roman" w:hint="eastAsia"/>
        </w:rPr>
        <w:instrText>″</w:instrText>
      </w:r>
      <w:r>
        <w:rPr>
          <w:rFonts w:ascii="Calibri" w:eastAsia="等线" w:hAnsi="Calibri" w:cs="Times New Roman"/>
        </w:rPr>
        <w:instrText>variants were found to be the α</w:instrText>
      </w:r>
      <w:r>
        <w:rPr>
          <w:rFonts w:ascii="Calibri" w:eastAsia="等线" w:hAnsi="Calibri" w:cs="Times New Roman" w:hint="eastAsia"/>
        </w:rPr>
        <w:instrText>″</w:instrText>
      </w:r>
      <w:r>
        <w:rPr>
          <w:rFonts w:ascii="Calibri" w:eastAsia="等线" w:hAnsi="Calibri" w:cs="Times New Roman"/>
        </w:rPr>
        <w:instrText>self-accommodation morphologies. The α</w:instrText>
      </w:r>
      <w:r>
        <w:rPr>
          <w:rFonts w:ascii="Calibri" w:eastAsia="等线" w:hAnsi="Calibri" w:cs="Times New Roman" w:hint="eastAsia"/>
        </w:rPr>
        <w:instrText>″</w:instrText>
      </w:r>
      <w:r>
        <w:rPr>
          <w:rFonts w:ascii="Calibri" w:eastAsia="等线" w:hAnsi="Calibri" w:cs="Times New Roman"/>
        </w:rPr>
        <w:instrText>variants are related to each other by twinning on {1 over(1, ̄) 1</w:instrText>
      </w:r>
      <w:r>
        <w:rPr>
          <w:rFonts w:ascii="Calibri" w:eastAsia="等线" w:hAnsi="Calibri" w:cs="Times New Roman" w:hint="eastAsia"/>
        </w:rPr>
        <w:instrText>}</w:instrText>
      </w:r>
      <w:r>
        <w:rPr>
          <w:rFonts w:ascii="Calibri" w:eastAsia="等线" w:hAnsi="Calibri" w:cs="Times New Roman" w:hint="eastAsia"/>
        </w:rPr>
        <w:instrText>α″</w:instrText>
      </w:r>
      <w:r>
        <w:rPr>
          <w:rFonts w:ascii="Calibri" w:eastAsia="等线" w:hAnsi="Calibri" w:cs="Times New Roman" w:hint="eastAsia"/>
        </w:rPr>
        <w:instrText xml:space="preserve">. A V-shaped morphology consisting of two </w:instrText>
      </w:r>
      <w:r>
        <w:rPr>
          <w:rFonts w:ascii="Calibri" w:eastAsia="等线" w:hAnsi="Calibri" w:cs="Times New Roman" w:hint="eastAsia"/>
        </w:rPr>
        <w:instrText>α″</w:instrText>
      </w:r>
      <w:r>
        <w:rPr>
          <w:rFonts w:ascii="Calibri" w:eastAsia="等线" w:hAnsi="Calibri" w:cs="Times New Roman" w:hint="eastAsia"/>
        </w:rPr>
        <w:instrText xml:space="preserve">variants coupled with a solid triangular morphology consisting of three </w:instrText>
      </w:r>
      <w:r>
        <w:rPr>
          <w:rFonts w:ascii="Calibri" w:eastAsia="等线" w:hAnsi="Calibri" w:cs="Times New Roman" w:hint="eastAsia"/>
        </w:rPr>
        <w:instrText>α″</w:instrText>
      </w:r>
      <w:r>
        <w:rPr>
          <w:rFonts w:ascii="Calibri" w:eastAsia="等线" w:hAnsi="Calibri" w:cs="Times New Roman" w:hint="eastAsia"/>
        </w:rPr>
        <w:instrText xml:space="preserve">variants was found to be another type of self-accommodation morphology. The </w:instrText>
      </w:r>
      <w:r>
        <w:rPr>
          <w:rFonts w:ascii="Calibri" w:eastAsia="等线" w:hAnsi="Calibri" w:cs="Times New Roman" w:hint="eastAsia"/>
        </w:rPr>
        <w:instrText>α″</w:instrText>
      </w:r>
      <w:r>
        <w:rPr>
          <w:rFonts w:ascii="Calibri" w:eastAsia="等线" w:hAnsi="Calibri" w:cs="Times New Roman" w:hint="eastAsia"/>
        </w:rPr>
        <w:instrText>variants from the V-shaped morphology are related by twi</w:instrText>
      </w:r>
      <w:r>
        <w:rPr>
          <w:rFonts w:ascii="Calibri" w:eastAsia="等线" w:hAnsi="Calibri" w:cs="Times New Roman"/>
        </w:rPr>
        <w:instrText>nning on {1 1 1}α</w:instrText>
      </w:r>
      <w:r>
        <w:rPr>
          <w:rFonts w:ascii="Calibri" w:eastAsia="等线" w:hAnsi="Calibri" w:cs="Times New Roman" w:hint="eastAsia"/>
        </w:rPr>
        <w:instrText>″</w:instrText>
      </w:r>
      <w:r>
        <w:rPr>
          <w:rFonts w:ascii="Calibri" w:eastAsia="等线" w:hAnsi="Calibri" w:cs="Times New Roman"/>
        </w:rPr>
        <w:instrText>, whereas the α</w:instrText>
      </w:r>
      <w:r>
        <w:rPr>
          <w:rFonts w:ascii="Calibri" w:eastAsia="等线" w:hAnsi="Calibri" w:cs="Times New Roman" w:hint="eastAsia"/>
        </w:rPr>
        <w:instrText>″</w:instrText>
      </w:r>
      <w:r>
        <w:rPr>
          <w:rFonts w:ascii="Calibri" w:eastAsia="等线" w:hAnsi="Calibri" w:cs="Times New Roman"/>
        </w:rPr>
        <w:instrText>variants from the solid triangular morphology are related to each other by twinning on {1 over(1, ̄) 1}α</w:instrText>
      </w:r>
      <w:r>
        <w:rPr>
          <w:rFonts w:ascii="Calibri" w:eastAsia="等线" w:hAnsi="Calibri" w:cs="Times New Roman" w:hint="eastAsia"/>
        </w:rPr>
        <w:instrText>″</w:instrText>
      </w:r>
      <w:r>
        <w:rPr>
          <w:rFonts w:ascii="Calibri" w:eastAsia="等线" w:hAnsi="Calibri" w:cs="Times New Roman"/>
        </w:rPr>
        <w:instrText>. Pairs of crystallographically equivalent {1 over(1, ̄) 1}α</w:instrText>
      </w:r>
      <w:r>
        <w:rPr>
          <w:rFonts w:ascii="Calibri" w:eastAsia="等线" w:hAnsi="Calibri" w:cs="Times New Roman" w:hint="eastAsia"/>
        </w:rPr>
        <w:instrText>″</w:instrText>
      </w:r>
      <w:r>
        <w:rPr>
          <w:rFonts w:ascii="Calibri" w:eastAsia="等线" w:hAnsi="Calibri" w:cs="Times New Roman"/>
        </w:rPr>
        <w:instrText>twinning dislocations with steps of opposite signs were found to cause the overall orientation of the twinning terraces and steps to be parallel to the {1 over(1, ̄) 1}α</w:instrText>
      </w:r>
      <w:r>
        <w:rPr>
          <w:rFonts w:ascii="Calibri" w:eastAsia="等线" w:hAnsi="Calibri" w:cs="Times New Roman" w:hint="eastAsia"/>
        </w:rPr>
        <w:instrText>″</w:instrText>
      </w:r>
      <w:r>
        <w:rPr>
          <w:rFonts w:ascii="Calibri" w:eastAsia="等线" w:hAnsi="Calibri" w:cs="Times New Roman"/>
        </w:rPr>
        <w:instrText>twinning interface. © 2009 Acta Materialia Inc.","author":[{"dropping-particle":"","family":"Chai","given":"Y. W.","non-dropping-particle":"","parse-names":false,"suffix":""},{"dropping-particle":"","family":"Kim","given":"H. Y.","non-dropping-particle":"","parse-names":false,"suffix":""},{"dropping-particle":"","family":"Hosoda","given":"H.","non-dropping-particle":"","parse-names":false,"suffix":""},{"dropping-particle":"","family":"Miyazaki","given":"S.","non-dropping-particle":"","parse-names":false,"suffix":""}],"container-title":"Acta Materialia","id":"ITEM-1","issued":{"date-parts":[["2009"]]},"title":"Self-accommodation in Ti-Nb shape memory alloys","type":"article-journal"},"uris":["http://www.mendeley.com/documents/?uuid=d9dd42fc-c439-4e3a-95e5-e7ad7b328b69"]},{"id":"ITEM-2","itemData":{"DOI":"10.1007/BF00375026","ISSN":"00039527","abstract":"The shape-memory effect is a phenomenon wherein an apparently plastically deformed specimen recovers all strain when heated above a critical temperature. This is observed in some crystalline solids that undergo martensitic phase transformation. The martensitic transformation is a temperature-induced, diffusionless solid-to-solid phase transformation involving a change in crystalline symmetry. Shape-memory materials are able to transform from the high-temperature austenite to the low-temperature martensite phase without any apparent change in shape. This is known as self-accommodation. Necessary and sufficient conditions that the lattice parameters of a material must satisfy for the material to form a self-accommodating microstructure are derived. The main result states that if the austenite is cubic, the material is self-accommodating if and only if the transformation is volume preserving. On the other hand, if the symmetry of the austenite is not cubic, it is not possible to construct any microstructure that is self-accommodating unless the transformation strain or the Bain strain satisfies additional, rather strict, conditions. These results show good agreement with the available experimental data. The analysis here is significantly different from previous studies because it makes no a priori assumption on the microstructure.","author":[{"dropping-particle":"","family":"Bhattacharya","given":"Kaushik","non-dropping-particle":"","parse-names":false,"suffix":""}],"container-title":"Archive for Rational Mechanics and Analysis","id":"ITEM-2","issued":{"date-parts":[["1992"]]},"title":"Self-accommodation in martensite","type":"article-journal"},"uris":["http://www.mendeley.com/documents/?uuid=095adc65-29e2-441f-b824-b2e0b048177e","http://www.mendeley.com/documents/?uuid=2bd4c428-bcb4-43f7-93f3-ce99fdbda6f1"]}],"mendeley":{"formattedCitation":"[37,39]","plainTextFormattedCitation":"[37,39]","previouslyFormattedCitation":"[37,39]"},"properties":{"noteIndex":0},"schema":"https://github.com/citation-style-language/schema/raw/master/csl-citation.json"}</w:instrText>
      </w:r>
      <w:r w:rsidRPr="001C513B">
        <w:rPr>
          <w:rFonts w:ascii="Calibri" w:eastAsia="等线" w:hAnsi="Calibri" w:cs="Times New Roman"/>
        </w:rPr>
        <w:fldChar w:fldCharType="separate"/>
      </w:r>
      <w:r w:rsidRPr="001C513B">
        <w:rPr>
          <w:rFonts w:ascii="Calibri" w:eastAsia="等线" w:hAnsi="Calibri" w:cs="Times New Roman"/>
          <w:noProof/>
        </w:rPr>
        <w:t>[37,39]</w:t>
      </w:r>
      <w:r w:rsidRPr="001C513B">
        <w:rPr>
          <w:rFonts w:ascii="Calibri" w:eastAsia="等线" w:hAnsi="Calibri" w:cs="Times New Roman"/>
        </w:rPr>
        <w:fldChar w:fldCharType="end"/>
      </w:r>
      <w:r w:rsidRPr="001C513B">
        <w:rPr>
          <w:rFonts w:ascii="Calibri" w:eastAsia="等线" w:hAnsi="Calibri" w:cs="Times New Roman"/>
        </w:rPr>
        <w:t>. However, the arrangement of type II [-211]</w:t>
      </w:r>
      <w:r w:rsidRPr="001C513B">
        <w:rPr>
          <w:rFonts w:ascii="Times New Roman" w:eastAsia="等线" w:hAnsi="Times New Roman" w:cs="Times New Roman"/>
          <w:vertAlign w:val="subscript"/>
        </w:rPr>
        <w:t>α</w:t>
      </w:r>
      <w:r w:rsidRPr="001C513B">
        <w:rPr>
          <w:rFonts w:ascii="Calibri" w:eastAsia="等线" w:hAnsi="Calibri" w:cs="Times New Roman"/>
          <w:vertAlign w:val="subscript"/>
        </w:rPr>
        <w:t>’’</w:t>
      </w:r>
      <w:r w:rsidRPr="001C513B">
        <w:rPr>
          <w:rFonts w:ascii="Calibri" w:eastAsia="等线" w:hAnsi="Calibri" w:cs="Times New Roman"/>
        </w:rPr>
        <w:t xml:space="preserve"> and compound {011}</w:t>
      </w:r>
      <w:r w:rsidRPr="001C513B">
        <w:rPr>
          <w:rFonts w:ascii="Times New Roman" w:eastAsia="等线" w:hAnsi="Times New Roman" w:cs="Times New Roman"/>
          <w:vertAlign w:val="subscript"/>
        </w:rPr>
        <w:t>α</w:t>
      </w:r>
      <w:r w:rsidRPr="001C513B">
        <w:rPr>
          <w:rFonts w:ascii="Calibri" w:eastAsia="等线" w:hAnsi="Calibri" w:cs="Times New Roman"/>
          <w:vertAlign w:val="subscript"/>
        </w:rPr>
        <w:t>’’</w:t>
      </w:r>
      <w:r w:rsidRPr="001C513B">
        <w:rPr>
          <w:rFonts w:ascii="Calibri" w:eastAsia="等线" w:hAnsi="Calibri" w:cs="Times New Roman"/>
        </w:rPr>
        <w:t xml:space="preserve"> SA twinning </w:t>
      </w:r>
      <w:r>
        <w:rPr>
          <w:rFonts w:ascii="Calibri" w:eastAsia="等线" w:hAnsi="Calibri" w:cs="Times New Roman"/>
        </w:rPr>
        <w:t>was</w:t>
      </w:r>
      <w:r w:rsidRPr="001C513B">
        <w:rPr>
          <w:rFonts w:ascii="Calibri" w:eastAsia="等线" w:hAnsi="Calibri" w:cs="Times New Roman"/>
        </w:rPr>
        <w:t xml:space="preserve"> </w:t>
      </w:r>
      <w:r>
        <w:rPr>
          <w:rFonts w:ascii="Calibri" w:eastAsia="等线" w:hAnsi="Calibri" w:cs="Times New Roman"/>
        </w:rPr>
        <w:t>similar to</w:t>
      </w:r>
      <w:r w:rsidRPr="001C513B">
        <w:rPr>
          <w:rFonts w:ascii="Calibri" w:eastAsia="等线" w:hAnsi="Calibri" w:cs="Times New Roman"/>
        </w:rPr>
        <w:t xml:space="preserve"> mechanical twinning</w:t>
      </w:r>
      <w:r w:rsidR="00C50FC6">
        <w:rPr>
          <w:rFonts w:ascii="Calibri" w:eastAsia="等线" w:hAnsi="Calibri" w:cs="Times New Roman"/>
        </w:rPr>
        <w:t>,</w:t>
      </w:r>
      <w:r>
        <w:rPr>
          <w:rFonts w:ascii="Calibri" w:eastAsia="等线" w:hAnsi="Calibri" w:cs="Times New Roman"/>
        </w:rPr>
        <w:t xml:space="preserve"> </w:t>
      </w:r>
      <w:r w:rsidRPr="001C513B">
        <w:rPr>
          <w:rFonts w:ascii="Calibri" w:eastAsia="等线" w:hAnsi="Calibri" w:cs="Times New Roman"/>
        </w:rPr>
        <w:t xml:space="preserve">showing </w:t>
      </w:r>
      <w:r>
        <w:rPr>
          <w:rFonts w:ascii="Calibri" w:eastAsia="等线" w:hAnsi="Calibri" w:cs="Times New Roman"/>
        </w:rPr>
        <w:t xml:space="preserve">an </w:t>
      </w:r>
      <w:r w:rsidRPr="001C513B">
        <w:rPr>
          <w:rFonts w:ascii="Calibri" w:eastAsia="等线" w:hAnsi="Calibri" w:cs="Times New Roman"/>
        </w:rPr>
        <w:t xml:space="preserve">octothorpe structure. To </w:t>
      </w:r>
      <w:r>
        <w:rPr>
          <w:rFonts w:ascii="Calibri" w:eastAsia="等线" w:hAnsi="Calibri" w:cs="Times New Roman"/>
        </w:rPr>
        <w:t xml:space="preserve">further </w:t>
      </w:r>
      <w:r w:rsidRPr="001C513B">
        <w:rPr>
          <w:rFonts w:ascii="Calibri" w:eastAsia="等线" w:hAnsi="Calibri" w:cs="Times New Roman"/>
        </w:rPr>
        <w:t>identify the microstructur</w:t>
      </w:r>
      <w:r>
        <w:rPr>
          <w:rFonts w:ascii="Calibri" w:eastAsia="等线" w:hAnsi="Calibri" w:cs="Times New Roman"/>
        </w:rPr>
        <w:t>al</w:t>
      </w:r>
      <w:r w:rsidRPr="001C513B">
        <w:rPr>
          <w:rFonts w:ascii="Calibri" w:eastAsia="等线" w:hAnsi="Calibri" w:cs="Times New Roman"/>
        </w:rPr>
        <w:t xml:space="preserve"> evolution and </w:t>
      </w:r>
      <w:r>
        <w:rPr>
          <w:rFonts w:ascii="Calibri" w:eastAsia="等线" w:hAnsi="Calibri" w:cs="Times New Roman"/>
        </w:rPr>
        <w:t>particular</w:t>
      </w:r>
      <w:r w:rsidRPr="001C513B">
        <w:rPr>
          <w:rFonts w:ascii="Calibri" w:eastAsia="等线" w:hAnsi="Calibri" w:cs="Times New Roman"/>
        </w:rPr>
        <w:t xml:space="preserve"> deformation products</w:t>
      </w:r>
      <w:r>
        <w:rPr>
          <w:rFonts w:ascii="Calibri" w:eastAsia="等线" w:hAnsi="Calibri" w:cs="Times New Roman"/>
        </w:rPr>
        <w:t>, TEM was undertaken on</w:t>
      </w:r>
      <w:r w:rsidRPr="001C513B">
        <w:rPr>
          <w:rFonts w:ascii="Calibri" w:eastAsia="等线" w:hAnsi="Calibri" w:cs="Times New Roman"/>
        </w:rPr>
        <w:t xml:space="preserve"> TiZrHfTa</w:t>
      </w:r>
      <w:r w:rsidRPr="001C513B">
        <w:rPr>
          <w:rFonts w:ascii="Calibri" w:eastAsia="等线" w:hAnsi="Calibri" w:cs="Times New Roman"/>
          <w:vertAlign w:val="subscript"/>
        </w:rPr>
        <w:t>0.8</w:t>
      </w:r>
      <w:r w:rsidRPr="001C513B">
        <w:rPr>
          <w:rFonts w:ascii="Calibri" w:eastAsia="等线" w:hAnsi="Calibri" w:cs="Times New Roman"/>
        </w:rPr>
        <w:t>, TiZrHfTa</w:t>
      </w:r>
      <w:r w:rsidRPr="001C513B">
        <w:rPr>
          <w:rFonts w:ascii="Calibri" w:eastAsia="等线" w:hAnsi="Calibri" w:cs="Times New Roman"/>
          <w:vertAlign w:val="subscript"/>
        </w:rPr>
        <w:t xml:space="preserve">0.6 </w:t>
      </w:r>
      <w:r w:rsidRPr="001C513B">
        <w:rPr>
          <w:rFonts w:ascii="Calibri" w:eastAsia="等线" w:hAnsi="Calibri" w:cs="Times New Roman"/>
        </w:rPr>
        <w:t>and TiZrHfTa</w:t>
      </w:r>
      <w:r w:rsidRPr="001C513B">
        <w:rPr>
          <w:rFonts w:ascii="Calibri" w:eastAsia="等线" w:hAnsi="Calibri" w:cs="Times New Roman"/>
          <w:vertAlign w:val="subscript"/>
        </w:rPr>
        <w:t>0.5</w:t>
      </w:r>
      <w:r>
        <w:rPr>
          <w:rFonts w:ascii="Calibri" w:eastAsia="等线" w:hAnsi="Calibri" w:cs="Times New Roman"/>
        </w:rPr>
        <w:t>, all of which were subjected to 5% compressive strain.</w:t>
      </w:r>
      <w:r w:rsidRPr="001C513B">
        <w:rPr>
          <w:rFonts w:ascii="Calibri" w:eastAsia="等线" w:hAnsi="Calibri" w:cs="Calibri"/>
        </w:rPr>
        <w:t>The mechanical twinning system {112}[11-1]</w:t>
      </w:r>
      <w:r w:rsidRPr="001C513B">
        <w:rPr>
          <w:rFonts w:ascii="Calibri" w:eastAsia="等线" w:hAnsi="Calibri" w:cs="Calibri"/>
          <w:vertAlign w:val="subscript"/>
        </w:rPr>
        <w:t>β</w:t>
      </w:r>
      <w:r w:rsidRPr="001C513B">
        <w:rPr>
          <w:rFonts w:ascii="Calibri" w:eastAsia="等线" w:hAnsi="Calibri" w:cs="Calibri"/>
        </w:rPr>
        <w:t xml:space="preserve"> was observed</w:t>
      </w:r>
      <w:r>
        <w:rPr>
          <w:rFonts w:ascii="Calibri" w:eastAsia="等线" w:hAnsi="Calibri" w:cs="Calibri"/>
        </w:rPr>
        <w:t xml:space="preserve"> (</w:t>
      </w:r>
      <w:r w:rsidRPr="001C513B">
        <w:rPr>
          <w:rFonts w:ascii="Calibri" w:eastAsia="等线" w:hAnsi="Calibri" w:cs="Times New Roman"/>
        </w:rPr>
        <w:t>Fig. 5-4</w:t>
      </w:r>
      <w:r>
        <w:rPr>
          <w:rFonts w:ascii="Calibri" w:eastAsia="等线" w:hAnsi="Calibri" w:cs="Times New Roman"/>
        </w:rPr>
        <w:t>)</w:t>
      </w:r>
      <w:r w:rsidRPr="001C513B">
        <w:rPr>
          <w:rFonts w:ascii="Calibri" w:eastAsia="等线" w:hAnsi="Calibri" w:cs="Calibri"/>
        </w:rPr>
        <w:t xml:space="preserve"> in TiZrHfTa</w:t>
      </w:r>
      <w:r w:rsidRPr="001C513B">
        <w:rPr>
          <w:rFonts w:ascii="Calibri" w:eastAsia="等线" w:hAnsi="Calibri" w:cs="Calibri"/>
          <w:vertAlign w:val="subscript"/>
        </w:rPr>
        <w:t xml:space="preserve">0.8 </w:t>
      </w:r>
      <w:r w:rsidRPr="001C513B">
        <w:rPr>
          <w:rFonts w:ascii="Calibri" w:eastAsia="等线" w:hAnsi="Calibri" w:cs="Calibri"/>
        </w:rPr>
        <w:t>which exhibit</w:t>
      </w:r>
      <w:r>
        <w:rPr>
          <w:rFonts w:ascii="Calibri" w:eastAsia="等线" w:hAnsi="Calibri" w:cs="Calibri"/>
        </w:rPr>
        <w:t>ed</w:t>
      </w:r>
      <w:r w:rsidRPr="001C513B">
        <w:rPr>
          <w:rFonts w:ascii="Calibri" w:eastAsia="等线" w:hAnsi="Calibri" w:cs="Calibri"/>
        </w:rPr>
        <w:t xml:space="preserve"> </w:t>
      </w:r>
      <w:r>
        <w:rPr>
          <w:rFonts w:ascii="Calibri" w:eastAsia="等线" w:hAnsi="Calibri" w:cs="Calibri"/>
        </w:rPr>
        <w:t xml:space="preserve">the </w:t>
      </w:r>
      <w:r w:rsidRPr="001C513B">
        <w:rPr>
          <w:rFonts w:ascii="Calibri" w:eastAsia="等线" w:hAnsi="Calibri" w:cs="Calibri"/>
        </w:rPr>
        <w:t xml:space="preserve">highest </w:t>
      </w:r>
      <w:r w:rsidR="00FC7323">
        <w:rPr>
          <w:rFonts w:ascii="Calibri" w:eastAsia="等线" w:hAnsi="Calibri" w:cs="Calibri"/>
        </w:rPr>
        <w:t>work</w:t>
      </w:r>
      <w:r w:rsidRPr="001C513B">
        <w:rPr>
          <w:rFonts w:ascii="Calibri" w:eastAsia="等线" w:hAnsi="Calibri" w:cs="Calibri"/>
        </w:rPr>
        <w:t xml:space="preserve"> hardening capacity in Group I TiZrHfTa</w:t>
      </w:r>
      <w:r w:rsidRPr="001C513B">
        <w:rPr>
          <w:rFonts w:ascii="Calibri" w:eastAsia="等线" w:hAnsi="Calibri" w:cs="Calibri"/>
          <w:vertAlign w:val="subscript"/>
        </w:rPr>
        <w:t>x</w:t>
      </w:r>
      <w:r w:rsidRPr="001C513B">
        <w:rPr>
          <w:rFonts w:ascii="Calibri" w:eastAsia="等线" w:hAnsi="Calibri" w:cs="Calibri"/>
        </w:rPr>
        <w:t xml:space="preserve">. </w:t>
      </w:r>
      <w:r>
        <w:rPr>
          <w:rFonts w:ascii="Calibri" w:eastAsia="等线" w:hAnsi="Calibri" w:cs="Calibri"/>
        </w:rPr>
        <w:t>In addition</w:t>
      </w:r>
      <w:r w:rsidRPr="001C513B">
        <w:rPr>
          <w:rFonts w:ascii="Calibri" w:eastAsia="等线" w:hAnsi="Calibri" w:cs="Calibri"/>
        </w:rPr>
        <w:t>,</w:t>
      </w:r>
      <w:r>
        <w:rPr>
          <w:rFonts w:ascii="Calibri" w:eastAsia="等线" w:hAnsi="Calibri" w:cs="Calibri"/>
        </w:rPr>
        <w:t xml:space="preserve"> analysing the SADP</w:t>
      </w:r>
      <w:r w:rsidRPr="001C513B">
        <w:rPr>
          <w:rFonts w:ascii="Calibri" w:eastAsia="等线" w:hAnsi="Calibri" w:cs="Calibri"/>
        </w:rPr>
        <w:t xml:space="preserve"> diffraction pattern</w:t>
      </w:r>
      <w:r>
        <w:rPr>
          <w:rFonts w:ascii="Calibri" w:eastAsia="等线" w:hAnsi="Calibri" w:cs="Calibri"/>
        </w:rPr>
        <w:t>,</w:t>
      </w:r>
      <w:r w:rsidRPr="001C513B">
        <w:rPr>
          <w:rFonts w:ascii="Calibri" w:eastAsia="等线" w:hAnsi="Calibri" w:cs="Calibri"/>
        </w:rPr>
        <w:t xml:space="preserve"> the orthorhombic martensite phase was indexed a</w:t>
      </w:r>
      <w:r>
        <w:rPr>
          <w:rFonts w:ascii="Calibri" w:eastAsia="等线" w:hAnsi="Calibri" w:cs="Calibri"/>
        </w:rPr>
        <w:t>s shown in</w:t>
      </w:r>
      <w:r w:rsidRPr="001C513B">
        <w:rPr>
          <w:rFonts w:ascii="Calibri" w:eastAsia="等线" w:hAnsi="Calibri" w:cs="Calibri"/>
        </w:rPr>
        <w:t xml:space="preserve"> </w:t>
      </w:r>
      <w:r w:rsidRPr="001C513B">
        <w:rPr>
          <w:rFonts w:ascii="Calibri" w:eastAsia="等线" w:hAnsi="Calibri" w:cs="Times New Roman"/>
        </w:rPr>
        <w:t>Fig. 5-4(b)</w:t>
      </w:r>
      <w:r w:rsidRPr="001C513B">
        <w:rPr>
          <w:rFonts w:ascii="Calibri" w:eastAsia="等线" w:hAnsi="Calibri" w:cs="Calibri"/>
        </w:rPr>
        <w:t>. Parallel to the (-211)</w:t>
      </w:r>
      <w:r w:rsidRPr="001C513B">
        <w:rPr>
          <w:rFonts w:ascii="Calibri" w:eastAsia="等线" w:hAnsi="Calibri" w:cs="Calibri"/>
          <w:vertAlign w:val="subscript"/>
        </w:rPr>
        <w:t>β</w:t>
      </w:r>
      <w:r w:rsidRPr="001C513B">
        <w:rPr>
          <w:rFonts w:ascii="Calibri" w:eastAsia="等线" w:hAnsi="Calibri" w:cs="Calibri"/>
        </w:rPr>
        <w:t xml:space="preserve"> twinning plane, the (1-10)</w:t>
      </w:r>
      <w:r w:rsidRPr="001C513B">
        <w:rPr>
          <w:rFonts w:ascii="Calibri" w:eastAsia="等线" w:hAnsi="Calibri" w:cs="Calibri"/>
          <w:vertAlign w:val="subscript"/>
        </w:rPr>
        <w:t>α’’</w:t>
      </w:r>
      <w:r w:rsidRPr="001C513B">
        <w:rPr>
          <w:rFonts w:ascii="Calibri" w:eastAsia="等线" w:hAnsi="Calibri" w:cs="Calibri"/>
        </w:rPr>
        <w:t xml:space="preserve"> plane of two martensite variants </w:t>
      </w:r>
      <w:r>
        <w:rPr>
          <w:rFonts w:ascii="Calibri" w:eastAsia="等线" w:hAnsi="Calibri" w:cs="Calibri"/>
        </w:rPr>
        <w:t>shows</w:t>
      </w:r>
      <w:r w:rsidRPr="001C513B">
        <w:rPr>
          <w:rFonts w:ascii="Calibri" w:eastAsia="等线" w:hAnsi="Calibri" w:cs="Calibri"/>
        </w:rPr>
        <w:t xml:space="preserve"> a similar twin relationship</w:t>
      </w:r>
      <w:r>
        <w:rPr>
          <w:rFonts w:ascii="Calibri" w:eastAsia="等线" w:hAnsi="Calibri" w:cs="Calibri"/>
        </w:rPr>
        <w:t>, which</w:t>
      </w:r>
      <w:r w:rsidRPr="001C513B">
        <w:rPr>
          <w:rFonts w:ascii="Calibri" w:eastAsia="等线" w:hAnsi="Calibri" w:cs="Calibri"/>
        </w:rPr>
        <w:t xml:space="preserve"> correspond</w:t>
      </w:r>
      <w:r>
        <w:rPr>
          <w:rFonts w:ascii="Calibri" w:eastAsia="等线" w:hAnsi="Calibri" w:cs="Calibri"/>
        </w:rPr>
        <w:t>s</w:t>
      </w:r>
      <w:r w:rsidRPr="001C513B">
        <w:rPr>
          <w:rFonts w:ascii="Calibri" w:eastAsia="等线" w:hAnsi="Calibri" w:cs="Calibri"/>
        </w:rPr>
        <w:t xml:space="preserve"> to the martensite observed in </w:t>
      </w:r>
      <w:r w:rsidR="00C50FC6">
        <w:rPr>
          <w:rFonts w:ascii="Calibri" w:eastAsia="等线" w:hAnsi="Calibri" w:cs="Calibri"/>
        </w:rPr>
        <w:t xml:space="preserve">the </w:t>
      </w:r>
      <w:r w:rsidRPr="001C513B">
        <w:rPr>
          <w:rFonts w:ascii="Calibri" w:eastAsia="等线" w:hAnsi="Calibri" w:cs="Calibri"/>
        </w:rPr>
        <w:t xml:space="preserve">dark field image </w:t>
      </w:r>
      <w:r>
        <w:rPr>
          <w:rFonts w:ascii="Calibri" w:eastAsia="等线" w:hAnsi="Calibri" w:cs="Calibri"/>
        </w:rPr>
        <w:lastRenderedPageBreak/>
        <w:t>presented</w:t>
      </w:r>
      <w:r w:rsidRPr="001C513B">
        <w:rPr>
          <w:rFonts w:ascii="Calibri" w:eastAsia="等线" w:hAnsi="Calibri" w:cs="Calibri"/>
        </w:rPr>
        <w:t xml:space="preserve"> in </w:t>
      </w:r>
      <w:r w:rsidRPr="001C513B">
        <w:rPr>
          <w:rFonts w:ascii="Calibri" w:eastAsia="等线" w:hAnsi="Calibri" w:cs="Times New Roman"/>
        </w:rPr>
        <w:t>Fig. 5-4(e)</w:t>
      </w:r>
      <w:r w:rsidRPr="001C513B">
        <w:rPr>
          <w:rFonts w:ascii="Calibri" w:eastAsia="等线" w:hAnsi="Calibri" w:cs="Calibri"/>
        </w:rPr>
        <w:t>. The activation of stress</w:t>
      </w:r>
      <w:r>
        <w:rPr>
          <w:rFonts w:ascii="Calibri" w:eastAsia="等线" w:hAnsi="Calibri" w:cs="Calibri"/>
        </w:rPr>
        <w:t>-</w:t>
      </w:r>
      <w:r w:rsidRPr="001C513B">
        <w:rPr>
          <w:rFonts w:ascii="Calibri" w:eastAsia="等线" w:hAnsi="Calibri" w:cs="Calibri"/>
        </w:rPr>
        <w:t xml:space="preserve">induced martensite </w:t>
      </w:r>
      <w:r>
        <w:rPr>
          <w:rFonts w:ascii="Calibri" w:eastAsia="等线" w:hAnsi="Calibri" w:cs="Calibri"/>
        </w:rPr>
        <w:t>formation</w:t>
      </w:r>
      <w:r w:rsidRPr="001C513B">
        <w:rPr>
          <w:rFonts w:ascii="Calibri" w:eastAsia="等线" w:hAnsi="Calibri" w:cs="Calibri"/>
        </w:rPr>
        <w:t xml:space="preserve"> within </w:t>
      </w:r>
      <w:r w:rsidR="00C50FC6">
        <w:rPr>
          <w:rFonts w:ascii="Calibri" w:eastAsia="等线" w:hAnsi="Calibri" w:cs="Calibri"/>
        </w:rPr>
        <w:t xml:space="preserve">the  </w:t>
      </w:r>
      <w:r w:rsidRPr="001C513B">
        <w:rPr>
          <w:rFonts w:ascii="Calibri" w:eastAsia="等线" w:hAnsi="Calibri" w:cs="Calibri"/>
        </w:rPr>
        <w:t>{112}[11-1]</w:t>
      </w:r>
      <w:r w:rsidRPr="001C513B">
        <w:rPr>
          <w:rFonts w:ascii="Calibri" w:eastAsia="等线" w:hAnsi="Calibri" w:cs="Calibri"/>
          <w:vertAlign w:val="subscript"/>
        </w:rPr>
        <w:t>β</w:t>
      </w:r>
      <w:r w:rsidRPr="001C513B">
        <w:rPr>
          <w:rFonts w:ascii="Calibri" w:eastAsia="等线" w:hAnsi="Calibri" w:cs="Calibri"/>
        </w:rPr>
        <w:t xml:space="preserve"> twinning boundary indicate</w:t>
      </w:r>
      <w:r>
        <w:rPr>
          <w:rFonts w:ascii="Calibri" w:eastAsia="等线" w:hAnsi="Calibri" w:cs="Calibri"/>
        </w:rPr>
        <w:t>d that</w:t>
      </w:r>
      <w:r w:rsidRPr="001C513B">
        <w:rPr>
          <w:rFonts w:ascii="Calibri" w:eastAsia="等线" w:hAnsi="Calibri" w:cs="Calibri"/>
        </w:rPr>
        <w:t xml:space="preserve"> TRIP</w:t>
      </w:r>
      <w:r>
        <w:rPr>
          <w:rFonts w:ascii="Calibri" w:eastAsia="等线" w:hAnsi="Calibri" w:cs="Calibri"/>
        </w:rPr>
        <w:t xml:space="preserve"> effect</w:t>
      </w:r>
      <w:r w:rsidRPr="001C513B">
        <w:rPr>
          <w:rFonts w:ascii="Calibri" w:eastAsia="等线" w:hAnsi="Calibri" w:cs="Calibri"/>
        </w:rPr>
        <w:t xml:space="preserve"> </w:t>
      </w:r>
      <w:r>
        <w:rPr>
          <w:rFonts w:ascii="Calibri" w:eastAsia="等线" w:hAnsi="Calibri" w:cs="Calibri"/>
        </w:rPr>
        <w:t>had started</w:t>
      </w:r>
      <w:r w:rsidRPr="001C513B">
        <w:rPr>
          <w:rFonts w:ascii="Calibri" w:eastAsia="等线" w:hAnsi="Calibri" w:cs="Calibri"/>
        </w:rPr>
        <w:t xml:space="preserve"> </w:t>
      </w:r>
      <w:r>
        <w:rPr>
          <w:rFonts w:ascii="Calibri" w:eastAsia="等线" w:hAnsi="Calibri" w:cs="Calibri"/>
        </w:rPr>
        <w:t>in addition to</w:t>
      </w:r>
      <w:r w:rsidRPr="001C513B">
        <w:rPr>
          <w:rFonts w:ascii="Calibri" w:eastAsia="等线" w:hAnsi="Calibri" w:cs="Calibri"/>
        </w:rPr>
        <w:t xml:space="preserve"> TWIP. However, </w:t>
      </w:r>
      <w:r>
        <w:rPr>
          <w:rFonts w:ascii="Calibri" w:eastAsia="等线" w:hAnsi="Calibri" w:cs="Calibri"/>
        </w:rPr>
        <w:t>al</w:t>
      </w:r>
      <w:r w:rsidRPr="001C513B">
        <w:rPr>
          <w:rFonts w:ascii="Calibri" w:eastAsia="等线" w:hAnsi="Calibri" w:cs="Calibri"/>
        </w:rPr>
        <w:t>though only one set of martensite diffraction pattern</w:t>
      </w:r>
      <w:r>
        <w:rPr>
          <w:rFonts w:ascii="Calibri" w:eastAsia="等线" w:hAnsi="Calibri" w:cs="Calibri"/>
        </w:rPr>
        <w:t>s</w:t>
      </w:r>
      <w:r w:rsidRPr="001C513B">
        <w:rPr>
          <w:rFonts w:ascii="Calibri" w:eastAsia="等线" w:hAnsi="Calibri" w:cs="Calibri"/>
        </w:rPr>
        <w:t xml:space="preserve"> </w:t>
      </w:r>
      <w:r>
        <w:rPr>
          <w:rFonts w:ascii="Calibri" w:eastAsia="等线" w:hAnsi="Calibri" w:cs="Calibri"/>
        </w:rPr>
        <w:t>were</w:t>
      </w:r>
      <w:r w:rsidRPr="001C513B">
        <w:rPr>
          <w:rFonts w:ascii="Calibri" w:eastAsia="等线" w:hAnsi="Calibri" w:cs="Calibri"/>
        </w:rPr>
        <w:t xml:space="preserve"> indexed </w:t>
      </w:r>
      <w:r>
        <w:rPr>
          <w:rFonts w:ascii="Calibri" w:eastAsia="等线" w:hAnsi="Calibri" w:cs="Calibri"/>
        </w:rPr>
        <w:t>(</w:t>
      </w:r>
      <w:r w:rsidRPr="001C513B">
        <w:rPr>
          <w:rFonts w:ascii="Calibri" w:eastAsia="等线" w:hAnsi="Calibri" w:cs="Times New Roman"/>
        </w:rPr>
        <w:t>Fig. 5-4(b)</w:t>
      </w:r>
      <w:r>
        <w:rPr>
          <w:rFonts w:ascii="Calibri" w:eastAsia="等线" w:hAnsi="Calibri" w:cs="Times New Roman"/>
        </w:rPr>
        <w:t>)</w:t>
      </w:r>
      <w:r w:rsidRPr="001C513B">
        <w:rPr>
          <w:rFonts w:ascii="Calibri" w:eastAsia="等线" w:hAnsi="Calibri" w:cs="Calibri"/>
        </w:rPr>
        <w:t xml:space="preserve">, from the dark field image of </w:t>
      </w:r>
      <w:r>
        <w:rPr>
          <w:rFonts w:ascii="Calibri" w:eastAsia="等线" w:hAnsi="Calibri" w:cs="Calibri"/>
        </w:rPr>
        <w:t xml:space="preserve">identified </w:t>
      </w:r>
      <w:r w:rsidRPr="001C513B">
        <w:rPr>
          <w:rFonts w:ascii="Calibri" w:eastAsia="等线" w:hAnsi="Calibri" w:cs="Calibri"/>
        </w:rPr>
        <w:t xml:space="preserve">martensite within </w:t>
      </w:r>
      <w:r>
        <w:rPr>
          <w:rFonts w:ascii="Calibri" w:eastAsia="等线" w:hAnsi="Calibri" w:cs="Calibri"/>
        </w:rPr>
        <w:t xml:space="preserve">the </w:t>
      </w:r>
      <w:r w:rsidRPr="001C513B">
        <w:rPr>
          <w:rFonts w:ascii="Calibri" w:eastAsia="等线" w:hAnsi="Calibri" w:cs="Calibri"/>
        </w:rPr>
        <w:t xml:space="preserve">twinning boundary in </w:t>
      </w:r>
      <w:r w:rsidRPr="001C513B">
        <w:rPr>
          <w:rFonts w:ascii="Calibri" w:eastAsia="等线" w:hAnsi="Calibri" w:cs="Times New Roman"/>
        </w:rPr>
        <w:t>Fig. 5-4(e)</w:t>
      </w:r>
      <w:r w:rsidRPr="001C513B">
        <w:rPr>
          <w:rFonts w:ascii="Calibri" w:eastAsia="等线" w:hAnsi="Calibri" w:cs="Calibri"/>
        </w:rPr>
        <w:t>, martensite</w:t>
      </w:r>
      <w:r>
        <w:rPr>
          <w:rFonts w:ascii="Calibri" w:eastAsia="等线" w:hAnsi="Calibri" w:cs="Calibri"/>
        </w:rPr>
        <w:t xml:space="preserve"> possessing two different orientation</w:t>
      </w:r>
      <w:r w:rsidR="00C1647E">
        <w:rPr>
          <w:rFonts w:ascii="Calibri" w:eastAsia="等线" w:hAnsi="Calibri" w:cs="Calibri"/>
        </w:rPr>
        <w:t>s</w:t>
      </w:r>
      <w:r w:rsidRPr="001C513B">
        <w:rPr>
          <w:rFonts w:ascii="Calibri" w:eastAsia="等线" w:hAnsi="Calibri" w:cs="Calibri"/>
        </w:rPr>
        <w:t xml:space="preserve"> were observed within both </w:t>
      </w:r>
      <w:r>
        <w:rPr>
          <w:rFonts w:ascii="Calibri" w:eastAsia="等线" w:hAnsi="Calibri" w:cs="Calibri"/>
        </w:rPr>
        <w:t xml:space="preserve">the </w:t>
      </w:r>
      <w:r w:rsidRPr="001C513B">
        <w:rPr>
          <w:rFonts w:ascii="Calibri" w:eastAsia="等线" w:hAnsi="Calibri" w:cs="Calibri"/>
        </w:rPr>
        <w:t>{112}[11-1]</w:t>
      </w:r>
      <w:r w:rsidRPr="001C513B">
        <w:rPr>
          <w:rFonts w:ascii="Calibri" w:eastAsia="等线" w:hAnsi="Calibri" w:cs="Calibri"/>
          <w:vertAlign w:val="subscript"/>
        </w:rPr>
        <w:t>β</w:t>
      </w:r>
      <w:r w:rsidRPr="001C513B">
        <w:rPr>
          <w:rFonts w:ascii="Calibri" w:eastAsia="等线" w:hAnsi="Calibri" w:cs="Calibri"/>
        </w:rPr>
        <w:t xml:space="preserve"> matrix and β twin variant grain. </w:t>
      </w:r>
      <w:r>
        <w:rPr>
          <w:rFonts w:ascii="Calibri" w:eastAsia="等线" w:hAnsi="Calibri" w:cs="Calibri"/>
        </w:rPr>
        <w:t>A s</w:t>
      </w:r>
      <w:r w:rsidRPr="001C513B">
        <w:rPr>
          <w:rFonts w:ascii="Calibri" w:eastAsia="等线" w:hAnsi="Calibri" w:cs="Calibri"/>
        </w:rPr>
        <w:t xml:space="preserve">imilar </w:t>
      </w:r>
      <w:r>
        <w:rPr>
          <w:rFonts w:ascii="Calibri" w:eastAsia="等线" w:hAnsi="Calibri" w:cs="Calibri"/>
        </w:rPr>
        <w:t>occurrence was</w:t>
      </w:r>
      <w:r w:rsidRPr="001C513B">
        <w:rPr>
          <w:rFonts w:ascii="Calibri" w:eastAsia="等线" w:hAnsi="Calibri" w:cs="Calibri"/>
        </w:rPr>
        <w:t xml:space="preserve"> also observed in metastable β-Ti alloy</w:t>
      </w:r>
      <w:r w:rsidR="00C1647E">
        <w:rPr>
          <w:rFonts w:ascii="Calibri" w:eastAsia="等线" w:hAnsi="Calibri" w:cs="Calibri"/>
        </w:rPr>
        <w:t>s</w:t>
      </w:r>
      <w:r w:rsidRPr="001C513B">
        <w:rPr>
          <w:rFonts w:ascii="Calibri" w:eastAsia="等线" w:hAnsi="Calibri" w:cs="Calibri"/>
        </w:rPr>
        <w:t xml:space="preserve"> </w:t>
      </w:r>
      <w:r w:rsidRPr="001C513B">
        <w:rPr>
          <w:rFonts w:ascii="Calibri" w:eastAsia="等线" w:hAnsi="Calibri" w:cs="Calibri"/>
        </w:rPr>
        <w:fldChar w:fldCharType="begin" w:fldLock="1"/>
      </w:r>
      <w:r>
        <w:rPr>
          <w:rFonts w:ascii="Calibri" w:eastAsia="等线" w:hAnsi="Calibri" w:cs="Calibri"/>
        </w:rPr>
        <w:instrText>ADDIN CSL_CITATION {"citationItems":[{"id":"ITEM-1","itemData":{"DOI":"10.1007/s00117-017-0224-0","ISBN":"2041-1723 (Electronic)\\r2041-1723 (Linking)","ISSN":"0033832X","PMID":"28145484","abstract":"The most efficient way to tune microstructures and mechanical properties of metallic alloys lies in designing and using athermal phase transformations. Examples are shape memory alloys and high strength steels, which together stand for 1,500 million tons annual production. In these materials, martensite formation and mechanical twinning are tuned via composition adjustment for realizing complex microstructures and beneficial mechanical properties. Here we report a new phase transformation that has the potential to widen the application window of Ti alloys, the most important structural material in aerospace design, by nanostructuring them via complexion-mediated transformation. This is a reversible martensitic transformation mechanism that leads to a final nanolaminate structure of a 00 (orthorhombic) martensite bounded with planar complexions of athermal o (a–o, hexagonal). Both phases are crystallographically related to the parent b (BCC) matrix. As expected from a planar complexion, the a–o is stable only at the hetero-interface.","author":[{"dropping-particle":"","family":"Zhang","given":"J.","non-dropping-particle":"","parse-names":false,"suffix":""},{"dropping-particle":"","family":"Tasan","given":"C. C.","non-dropping-particle":"","parse-names":false,"suffix":""},{"dropping-particle":"","family":"Lai","given":"M. J.","non-dropping-particle":"","parse-names":false,"suffix":""},{"dropping-particle":"","family":"Dippel","given":"A. C.","non-dropping-particle":"","parse-names":false,"suffix":""},{"dropping-particle":"","family":"Raabe","given":"D.","non-dropping-particle":"","parse-names":false,"suffix":""}],"container-title":"Nature Communications","id":"ITEM-1","issued":{"date-parts":[["2017"]]},"title":"Complexion-mediated martensitic phase transformation in Titanium","type":"article-journal"},"uris":["http://www.mendeley.com/documents/?uuid=2955910d-42fb-4ed0-bf87-a07a80bbb7cb"]}],"mendeley":{"formattedCitation":"[29]","plainTextFormattedCitation":"[29]","previouslyFormattedCitation":"[29]"},"properties":{"noteIndex":0},"schema":"https://github.com/citation-style-language/schema/raw/master/csl-citation.json"}</w:instrText>
      </w:r>
      <w:r w:rsidRPr="001C513B">
        <w:rPr>
          <w:rFonts w:ascii="Calibri" w:eastAsia="等线" w:hAnsi="Calibri" w:cs="Calibri"/>
        </w:rPr>
        <w:fldChar w:fldCharType="separate"/>
      </w:r>
      <w:r w:rsidRPr="001C513B">
        <w:rPr>
          <w:rFonts w:ascii="Calibri" w:eastAsia="等线" w:hAnsi="Calibri" w:cs="Calibri"/>
          <w:noProof/>
        </w:rPr>
        <w:t>[29]</w:t>
      </w:r>
      <w:r w:rsidRPr="001C513B">
        <w:rPr>
          <w:rFonts w:ascii="Calibri" w:eastAsia="等线" w:hAnsi="Calibri" w:cs="Calibri"/>
        </w:rPr>
        <w:fldChar w:fldCharType="end"/>
      </w:r>
      <w:r w:rsidRPr="001C513B">
        <w:rPr>
          <w:rFonts w:ascii="Calibri" w:eastAsia="等线" w:hAnsi="Calibri" w:cs="Calibri"/>
        </w:rPr>
        <w:t xml:space="preserve"> and</w:t>
      </w:r>
      <w:r>
        <w:rPr>
          <w:rFonts w:ascii="Calibri" w:eastAsia="等线" w:hAnsi="Calibri" w:cs="Calibri"/>
        </w:rPr>
        <w:t xml:space="preserve"> this was</w:t>
      </w:r>
      <w:r w:rsidRPr="001C513B">
        <w:rPr>
          <w:rFonts w:ascii="Calibri" w:eastAsia="等线" w:hAnsi="Calibri" w:cs="Calibri"/>
        </w:rPr>
        <w:t xml:space="preserve"> identified as a special (1-10)</w:t>
      </w:r>
      <w:r w:rsidRPr="001C513B">
        <w:rPr>
          <w:rFonts w:ascii="Calibri" w:eastAsia="等线" w:hAnsi="Calibri" w:cs="Calibri"/>
          <w:vertAlign w:val="subscript"/>
        </w:rPr>
        <w:t>α’’</w:t>
      </w:r>
      <w:r w:rsidRPr="001C513B">
        <w:rPr>
          <w:rFonts w:ascii="Calibri" w:eastAsia="等线" w:hAnsi="Calibri" w:cs="Calibri"/>
        </w:rPr>
        <w:t xml:space="preserve"> mechanical martensite twinning</w:t>
      </w:r>
      <w:r>
        <w:rPr>
          <w:rFonts w:ascii="Calibri" w:eastAsia="等线" w:hAnsi="Calibri" w:cs="Calibri"/>
        </w:rPr>
        <w:t>,</w:t>
      </w:r>
      <w:r w:rsidRPr="001C513B">
        <w:rPr>
          <w:rFonts w:ascii="Calibri" w:eastAsia="等线" w:hAnsi="Calibri" w:cs="Calibri"/>
        </w:rPr>
        <w:t xml:space="preserve"> </w:t>
      </w:r>
      <w:r>
        <w:rPr>
          <w:rFonts w:ascii="Calibri" w:eastAsia="等线" w:hAnsi="Calibri" w:cs="Calibri"/>
        </w:rPr>
        <w:t>whose</w:t>
      </w:r>
      <w:r w:rsidRPr="001C513B">
        <w:rPr>
          <w:rFonts w:ascii="Calibri" w:eastAsia="等线" w:hAnsi="Calibri" w:cs="Calibri"/>
        </w:rPr>
        <w:t xml:space="preserve"> lattice correspond</w:t>
      </w:r>
      <w:r>
        <w:rPr>
          <w:rFonts w:ascii="Calibri" w:eastAsia="等线" w:hAnsi="Calibri" w:cs="Calibri"/>
        </w:rPr>
        <w:t>ed</w:t>
      </w:r>
      <w:r w:rsidRPr="001C513B">
        <w:rPr>
          <w:rFonts w:ascii="Calibri" w:eastAsia="等线" w:hAnsi="Calibri" w:cs="Calibri"/>
        </w:rPr>
        <w:t xml:space="preserve"> to {112}[11-1]</w:t>
      </w:r>
      <w:r w:rsidRPr="001C513B">
        <w:rPr>
          <w:rFonts w:ascii="Calibri" w:eastAsia="等线" w:hAnsi="Calibri" w:cs="Calibri"/>
          <w:vertAlign w:val="subscript"/>
        </w:rPr>
        <w:t>β</w:t>
      </w:r>
      <w:r w:rsidRPr="001C513B">
        <w:rPr>
          <w:rFonts w:ascii="Calibri" w:eastAsia="等线" w:hAnsi="Calibri" w:cs="Calibri"/>
        </w:rPr>
        <w:t xml:space="preserve"> mechanical twinning</w:t>
      </w:r>
      <w:r>
        <w:rPr>
          <w:rFonts w:ascii="Calibri" w:eastAsia="等线" w:hAnsi="Calibri" w:cs="Calibri"/>
        </w:rPr>
        <w:t xml:space="preserve">. </w:t>
      </w:r>
    </w:p>
    <w:p w14:paraId="78A6ABF7" w14:textId="77777777" w:rsidR="00B145BE" w:rsidRPr="001C513B" w:rsidRDefault="00B145BE" w:rsidP="00B145BE">
      <w:pPr>
        <w:suppressAutoHyphens/>
        <w:spacing w:after="120" w:line="360" w:lineRule="auto"/>
        <w:jc w:val="center"/>
        <w:rPr>
          <w:rFonts w:ascii="Calibri" w:eastAsia="等线" w:hAnsi="Calibri" w:cs="Calibri"/>
        </w:rPr>
      </w:pPr>
      <w:r w:rsidRPr="00057009">
        <w:rPr>
          <w:rFonts w:ascii="Calibri" w:eastAsia="等线" w:hAnsi="Calibri" w:cs="Calibri"/>
          <w:noProof/>
        </w:rPr>
        <w:drawing>
          <wp:inline distT="0" distB="0" distL="0" distR="0" wp14:anchorId="7923C21D" wp14:editId="6BDACF37">
            <wp:extent cx="4873752" cy="4809744"/>
            <wp:effectExtent l="0" t="0" r="3175" b="0"/>
            <wp:docPr id="231" name="图片 32" descr="图片包含 文字&#10;&#10;描述已自动生成">
              <a:extLst xmlns:a="http://schemas.openxmlformats.org/drawingml/2006/main">
                <a:ext uri="{FF2B5EF4-FFF2-40B4-BE49-F238E27FC236}">
                  <a16:creationId xmlns:a16="http://schemas.microsoft.com/office/drawing/2014/main" id="{89F6A43B-B4E5-4FD1-A61F-D97C47FB66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descr="图片包含 文字&#10;&#10;描述已自动生成">
                      <a:extLst>
                        <a:ext uri="{FF2B5EF4-FFF2-40B4-BE49-F238E27FC236}">
                          <a16:creationId xmlns:a16="http://schemas.microsoft.com/office/drawing/2014/main" id="{89F6A43B-B4E5-4FD1-A61F-D97C47FB66DD}"/>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4873752" cy="4809744"/>
                    </a:xfrm>
                    <a:prstGeom prst="rect">
                      <a:avLst/>
                    </a:prstGeom>
                  </pic:spPr>
                </pic:pic>
              </a:graphicData>
            </a:graphic>
          </wp:inline>
        </w:drawing>
      </w:r>
    </w:p>
    <w:p w14:paraId="2D20196B" w14:textId="4AA100B9" w:rsidR="00B145BE" w:rsidRPr="00D45623" w:rsidRDefault="00B145BE" w:rsidP="00B145BE">
      <w:pPr>
        <w:shd w:val="clear" w:color="auto" w:fill="FFFFFF"/>
        <w:spacing w:after="120" w:line="360" w:lineRule="auto"/>
        <w:jc w:val="both"/>
        <w:rPr>
          <w:rFonts w:eastAsia="等线" w:cs="Calibri"/>
          <w:sz w:val="20"/>
          <w:szCs w:val="18"/>
        </w:rPr>
      </w:pPr>
      <w:bookmarkStart w:id="245" w:name="_Toc39312710"/>
      <w:r w:rsidRPr="001C513B">
        <w:rPr>
          <w:rFonts w:ascii="Calibri" w:eastAsia="等线" w:hAnsi="Calibri" w:cs="Calibri"/>
          <w:b/>
          <w:sz w:val="20"/>
          <w:szCs w:val="18"/>
        </w:rPr>
        <w:t>Figure 5-</w:t>
      </w:r>
      <w:r w:rsidRPr="001C513B">
        <w:rPr>
          <w:rFonts w:ascii="Calibri" w:eastAsia="等线" w:hAnsi="Calibri" w:cs="Calibri"/>
          <w:b/>
          <w:sz w:val="20"/>
        </w:rPr>
        <w:fldChar w:fldCharType="begin"/>
      </w:r>
      <w:r w:rsidRPr="001C513B">
        <w:rPr>
          <w:rFonts w:ascii="Calibri" w:eastAsia="等线" w:hAnsi="Calibri" w:cs="Calibri"/>
          <w:b/>
          <w:sz w:val="20"/>
        </w:rPr>
        <w:instrText xml:space="preserve"> SEQ Figure \* ARABIC </w:instrText>
      </w:r>
      <w:r w:rsidRPr="001C513B">
        <w:rPr>
          <w:rFonts w:ascii="Calibri" w:eastAsia="等线" w:hAnsi="Calibri" w:cs="Calibri"/>
          <w:b/>
          <w:sz w:val="20"/>
        </w:rPr>
        <w:fldChar w:fldCharType="separate"/>
      </w:r>
      <w:r>
        <w:rPr>
          <w:rFonts w:ascii="Calibri" w:eastAsia="等线" w:hAnsi="Calibri" w:cs="Calibri"/>
          <w:b/>
          <w:noProof/>
          <w:sz w:val="20"/>
        </w:rPr>
        <w:t>4</w:t>
      </w:r>
      <w:r w:rsidRPr="001C513B">
        <w:rPr>
          <w:rFonts w:ascii="Calibri" w:eastAsia="等线" w:hAnsi="Calibri" w:cs="Calibri"/>
          <w:b/>
          <w:sz w:val="20"/>
        </w:rPr>
        <w:fldChar w:fldCharType="end"/>
      </w:r>
      <w:r w:rsidRPr="001C513B">
        <w:rPr>
          <w:rFonts w:ascii="Calibri" w:eastAsia="等线" w:hAnsi="Calibri" w:cs="Calibri"/>
          <w:b/>
          <w:sz w:val="20"/>
          <w:szCs w:val="18"/>
        </w:rPr>
        <w:t xml:space="preserve"> TEM image of </w:t>
      </w:r>
      <w:r w:rsidRPr="00D617BF">
        <w:rPr>
          <w:rFonts w:eastAsia="等线" w:cs="Calibri"/>
          <w:b/>
          <w:sz w:val="20"/>
          <w:szCs w:val="18"/>
        </w:rPr>
        <w:t>mechanical twinning observed in 5% deformed TiZrHfTa</w:t>
      </w:r>
      <w:r w:rsidRPr="00D617BF">
        <w:rPr>
          <w:rFonts w:eastAsia="等线" w:cs="Calibri"/>
          <w:b/>
          <w:sz w:val="20"/>
          <w:szCs w:val="18"/>
          <w:vertAlign w:val="subscript"/>
        </w:rPr>
        <w:t xml:space="preserve">0.8 </w:t>
      </w:r>
      <w:r w:rsidRPr="00D617BF">
        <w:rPr>
          <w:rFonts w:eastAsia="等线" w:cs="Calibri"/>
          <w:sz w:val="20"/>
          <w:szCs w:val="18"/>
        </w:rPr>
        <w:t>(</w:t>
      </w:r>
      <w:r w:rsidRPr="00D617BF">
        <w:rPr>
          <w:rFonts w:eastAsia="等线" w:cs="Calibri"/>
          <w:b/>
          <w:sz w:val="20"/>
          <w:szCs w:val="18"/>
        </w:rPr>
        <w:t>a</w:t>
      </w:r>
      <w:r w:rsidRPr="00D617BF">
        <w:rPr>
          <w:rFonts w:eastAsia="等线" w:cs="Calibri"/>
          <w:sz w:val="20"/>
          <w:szCs w:val="18"/>
        </w:rPr>
        <w:t xml:space="preserve">) Bright field image of the twinning like feature. </w:t>
      </w:r>
      <w:r>
        <w:rPr>
          <w:rFonts w:eastAsia="等线" w:cs="Calibri"/>
          <w:sz w:val="20"/>
          <w:szCs w:val="18"/>
        </w:rPr>
        <w:t>Inset is</w:t>
      </w:r>
      <w:r w:rsidRPr="00D617BF">
        <w:rPr>
          <w:rFonts w:eastAsia="等线" w:cs="Calibri"/>
          <w:sz w:val="20"/>
          <w:szCs w:val="18"/>
        </w:rPr>
        <w:t xml:space="preserve"> </w:t>
      </w:r>
      <w:r w:rsidR="00C1647E">
        <w:rPr>
          <w:rFonts w:eastAsia="等线" w:cs="Calibri"/>
          <w:sz w:val="20"/>
          <w:szCs w:val="18"/>
        </w:rPr>
        <w:t xml:space="preserve">a </w:t>
      </w:r>
      <w:r>
        <w:rPr>
          <w:rFonts w:eastAsia="等线" w:cs="Calibri"/>
          <w:sz w:val="20"/>
          <w:szCs w:val="18"/>
        </w:rPr>
        <w:t>s</w:t>
      </w:r>
      <w:r w:rsidRPr="00D617BF">
        <w:rPr>
          <w:rFonts w:eastAsia="等线" w:cs="Calibri"/>
          <w:sz w:val="20"/>
          <w:szCs w:val="18"/>
        </w:rPr>
        <w:t xml:space="preserve">elected area diffraction pattern (SADP) derived </w:t>
      </w:r>
      <w:r w:rsidR="00C1647E">
        <w:rPr>
          <w:rFonts w:eastAsia="等线" w:cs="Calibri"/>
          <w:sz w:val="20"/>
          <w:szCs w:val="18"/>
        </w:rPr>
        <w:t>from the</w:t>
      </w:r>
      <w:r w:rsidRPr="00D617BF">
        <w:rPr>
          <w:rFonts w:eastAsia="等线" w:cs="Calibri"/>
          <w:sz w:val="20"/>
          <w:szCs w:val="18"/>
        </w:rPr>
        <w:t xml:space="preserve"> twin</w:t>
      </w:r>
      <w:r>
        <w:rPr>
          <w:rFonts w:eastAsia="等线" w:cs="Calibri" w:hint="eastAsia"/>
          <w:sz w:val="20"/>
          <w:szCs w:val="18"/>
        </w:rPr>
        <w:t>n</w:t>
      </w:r>
      <w:r w:rsidRPr="00D617BF">
        <w:rPr>
          <w:rFonts w:eastAsia="等线" w:cs="Calibri"/>
          <w:sz w:val="20"/>
          <w:szCs w:val="18"/>
        </w:rPr>
        <w:t xml:space="preserve">ed feature, </w:t>
      </w:r>
      <w:r w:rsidRPr="00D617BF">
        <w:rPr>
          <w:rFonts w:eastAsia="等线" w:cs="Times New Roman"/>
          <w:sz w:val="20"/>
          <w:szCs w:val="18"/>
        </w:rPr>
        <w:t xml:space="preserve">β, </w:t>
      </w:r>
      <w:r w:rsidRPr="00D617BF">
        <w:rPr>
          <w:rFonts w:eastAsia="等线" w:cs="Calibri"/>
          <w:sz w:val="20"/>
          <w:szCs w:val="18"/>
        </w:rPr>
        <w:t>twin</w:t>
      </w:r>
      <w:r>
        <w:rPr>
          <w:rFonts w:eastAsia="等线" w:cs="Calibri"/>
          <w:sz w:val="20"/>
          <w:szCs w:val="18"/>
        </w:rPr>
        <w:t>n</w:t>
      </w:r>
      <w:r w:rsidRPr="00D617BF">
        <w:rPr>
          <w:rFonts w:eastAsia="等线" w:cs="Calibri"/>
          <w:sz w:val="20"/>
          <w:szCs w:val="18"/>
        </w:rPr>
        <w:t xml:space="preserve">ed β and </w:t>
      </w:r>
      <w:r w:rsidRPr="00D617BF">
        <w:rPr>
          <w:rFonts w:eastAsia="等线" w:cs="Times New Roman"/>
          <w:sz w:val="20"/>
          <w:szCs w:val="18"/>
        </w:rPr>
        <w:t>α</w:t>
      </w:r>
      <w:r w:rsidRPr="00D617BF">
        <w:rPr>
          <w:rFonts w:eastAsia="等线" w:cs="Calibri"/>
          <w:sz w:val="20"/>
          <w:szCs w:val="18"/>
        </w:rPr>
        <w:t xml:space="preserve">’’ phases diffraction patterns </w:t>
      </w:r>
      <w:r w:rsidR="00C1647E">
        <w:rPr>
          <w:rFonts w:eastAsia="等线" w:cs="Calibri"/>
          <w:sz w:val="20"/>
          <w:szCs w:val="18"/>
        </w:rPr>
        <w:t>are</w:t>
      </w:r>
      <w:r w:rsidR="00C1647E" w:rsidRPr="00D617BF">
        <w:rPr>
          <w:rFonts w:eastAsia="等线" w:cs="Calibri"/>
          <w:sz w:val="20"/>
          <w:szCs w:val="18"/>
        </w:rPr>
        <w:t xml:space="preserve"> </w:t>
      </w:r>
      <w:r w:rsidRPr="00D617BF">
        <w:rPr>
          <w:rFonts w:eastAsia="等线" w:cs="Calibri"/>
          <w:sz w:val="20"/>
          <w:szCs w:val="18"/>
        </w:rPr>
        <w:t xml:space="preserve">marked with red cyan and orange respectively. </w:t>
      </w:r>
      <w:r w:rsidR="00C1647E">
        <w:rPr>
          <w:rFonts w:eastAsia="等线" w:cs="Calibri"/>
          <w:sz w:val="20"/>
          <w:szCs w:val="18"/>
        </w:rPr>
        <w:t>The t</w:t>
      </w:r>
      <w:r w:rsidRPr="00D617BF">
        <w:rPr>
          <w:rFonts w:eastAsia="等线" w:cs="Calibri"/>
          <w:sz w:val="20"/>
          <w:szCs w:val="18"/>
        </w:rPr>
        <w:t xml:space="preserve">winning plane </w:t>
      </w:r>
      <w:r w:rsidR="00C1647E">
        <w:rPr>
          <w:rFonts w:eastAsia="等线" w:cs="Calibri"/>
          <w:sz w:val="20"/>
          <w:szCs w:val="18"/>
        </w:rPr>
        <w:t>is</w:t>
      </w:r>
      <w:r w:rsidRPr="00D617BF">
        <w:rPr>
          <w:rFonts w:eastAsia="等线" w:cs="Calibri"/>
          <w:sz w:val="20"/>
          <w:szCs w:val="18"/>
        </w:rPr>
        <w:t xml:space="preserve"> marked with </w:t>
      </w:r>
      <w:r w:rsidR="00C1647E">
        <w:rPr>
          <w:rFonts w:eastAsia="等线" w:cs="Calibri"/>
          <w:sz w:val="20"/>
          <w:szCs w:val="18"/>
        </w:rPr>
        <w:t xml:space="preserve">a </w:t>
      </w:r>
      <w:r w:rsidRPr="00D617BF">
        <w:rPr>
          <w:rFonts w:eastAsia="等线" w:cs="Calibri"/>
          <w:sz w:val="20"/>
          <w:szCs w:val="18"/>
        </w:rPr>
        <w:t xml:space="preserve">red circle and indexed as </w:t>
      </w:r>
      <w:r w:rsidR="00C1647E">
        <w:rPr>
          <w:rFonts w:eastAsia="等线" w:cs="Calibri"/>
          <w:sz w:val="20"/>
          <w:szCs w:val="18"/>
        </w:rPr>
        <w:t xml:space="preserve">the </w:t>
      </w:r>
      <w:r w:rsidRPr="00D617BF">
        <w:rPr>
          <w:rFonts w:eastAsia="等线" w:cs="Calibri"/>
          <w:sz w:val="20"/>
          <w:szCs w:val="18"/>
        </w:rPr>
        <w:t>(-211)</w:t>
      </w:r>
      <w:r w:rsidRPr="00D617BF">
        <w:rPr>
          <w:rFonts w:eastAsia="等线" w:cs="Calibri"/>
          <w:sz w:val="20"/>
          <w:szCs w:val="18"/>
          <w:vertAlign w:val="subscript"/>
        </w:rPr>
        <w:t>β</w:t>
      </w:r>
      <w:r w:rsidRPr="00D617BF">
        <w:rPr>
          <w:rFonts w:eastAsia="等线" w:cs="Calibri"/>
          <w:sz w:val="20"/>
          <w:szCs w:val="18"/>
        </w:rPr>
        <w:t xml:space="preserve"> plane. (</w:t>
      </w:r>
      <w:r w:rsidRPr="00D617BF">
        <w:rPr>
          <w:rFonts w:eastAsia="等线" w:cs="Calibri"/>
          <w:b/>
          <w:sz w:val="20"/>
          <w:szCs w:val="18"/>
        </w:rPr>
        <w:t>c</w:t>
      </w:r>
      <w:r w:rsidRPr="00D617BF">
        <w:rPr>
          <w:rFonts w:eastAsia="等线" w:cs="Calibri"/>
          <w:sz w:val="20"/>
          <w:szCs w:val="18"/>
        </w:rPr>
        <w:t xml:space="preserve">) Dark field image of </w:t>
      </w:r>
      <w:r w:rsidR="00C1647E">
        <w:rPr>
          <w:rFonts w:eastAsia="等线" w:cs="Calibri"/>
          <w:sz w:val="20"/>
          <w:szCs w:val="18"/>
        </w:rPr>
        <w:t xml:space="preserve">a </w:t>
      </w:r>
      <w:r w:rsidRPr="00D617BF">
        <w:rPr>
          <w:rFonts w:eastAsia="等线" w:cs="Times New Roman"/>
          <w:sz w:val="20"/>
          <w:szCs w:val="18"/>
        </w:rPr>
        <w:t>β</w:t>
      </w:r>
      <w:r w:rsidRPr="00D617BF">
        <w:rPr>
          <w:rFonts w:eastAsia="等线" w:cs="Calibri"/>
          <w:sz w:val="20"/>
          <w:szCs w:val="18"/>
        </w:rPr>
        <w:t xml:space="preserve"> matrix grain.</w:t>
      </w:r>
      <w:r w:rsidRPr="00D617BF">
        <w:rPr>
          <w:rFonts w:eastAsia="等线" w:cs="Calibri"/>
          <w:b/>
          <w:sz w:val="20"/>
          <w:szCs w:val="18"/>
        </w:rPr>
        <w:t xml:space="preserve"> </w:t>
      </w:r>
      <w:r w:rsidRPr="00D617BF">
        <w:rPr>
          <w:rFonts w:eastAsia="等线" w:cs="Calibri"/>
          <w:sz w:val="20"/>
          <w:szCs w:val="18"/>
        </w:rPr>
        <w:t>(</w:t>
      </w:r>
      <w:r w:rsidRPr="00D617BF">
        <w:rPr>
          <w:rFonts w:eastAsia="等线" w:cs="Calibri"/>
          <w:b/>
          <w:sz w:val="20"/>
          <w:szCs w:val="18"/>
        </w:rPr>
        <w:t>d</w:t>
      </w:r>
      <w:r w:rsidRPr="00D617BF">
        <w:rPr>
          <w:rFonts w:eastAsia="等线" w:cs="Calibri"/>
          <w:sz w:val="20"/>
          <w:szCs w:val="18"/>
        </w:rPr>
        <w:t>) Dark field image of</w:t>
      </w:r>
      <w:r w:rsidR="00C1647E">
        <w:rPr>
          <w:rFonts w:eastAsia="等线" w:cs="Calibri"/>
          <w:sz w:val="20"/>
          <w:szCs w:val="18"/>
        </w:rPr>
        <w:t xml:space="preserve"> the</w:t>
      </w:r>
      <w:r w:rsidRPr="00D617BF">
        <w:rPr>
          <w:rFonts w:eastAsia="等线" w:cs="Calibri"/>
          <w:sz w:val="20"/>
          <w:szCs w:val="18"/>
        </w:rPr>
        <w:t xml:space="preserve"> </w:t>
      </w:r>
      <w:r w:rsidRPr="00D617BF">
        <w:rPr>
          <w:rFonts w:eastAsia="等线" w:cs="Times New Roman"/>
          <w:sz w:val="20"/>
          <w:szCs w:val="18"/>
        </w:rPr>
        <w:t>β</w:t>
      </w:r>
      <w:r w:rsidRPr="00D617BF">
        <w:rPr>
          <w:rFonts w:eastAsia="等线" w:cs="Calibri"/>
          <w:sz w:val="20"/>
          <w:szCs w:val="18"/>
        </w:rPr>
        <w:t xml:space="preserve"> twin</w:t>
      </w:r>
      <w:r>
        <w:rPr>
          <w:rFonts w:eastAsia="等线" w:cs="Calibri"/>
          <w:sz w:val="20"/>
          <w:szCs w:val="18"/>
        </w:rPr>
        <w:t>n</w:t>
      </w:r>
      <w:r w:rsidRPr="00D617BF">
        <w:rPr>
          <w:rFonts w:eastAsia="等线" w:cs="Calibri"/>
          <w:sz w:val="20"/>
          <w:szCs w:val="18"/>
        </w:rPr>
        <w:t>ed structure. (</w:t>
      </w:r>
      <w:r w:rsidRPr="00D617BF">
        <w:rPr>
          <w:rFonts w:eastAsia="等线" w:cs="Calibri"/>
          <w:b/>
          <w:sz w:val="20"/>
          <w:szCs w:val="18"/>
        </w:rPr>
        <w:t>e</w:t>
      </w:r>
      <w:r w:rsidRPr="00D617BF">
        <w:rPr>
          <w:rFonts w:eastAsia="等线" w:cs="Calibri"/>
          <w:sz w:val="20"/>
          <w:szCs w:val="18"/>
        </w:rPr>
        <w:t xml:space="preserve">) Dark field image of martensite phase, the structure is observed </w:t>
      </w:r>
      <w:r w:rsidR="00C1647E">
        <w:rPr>
          <w:rFonts w:eastAsia="等线" w:cs="Calibri"/>
          <w:sz w:val="20"/>
          <w:szCs w:val="18"/>
        </w:rPr>
        <w:t>to form</w:t>
      </w:r>
      <w:r w:rsidR="00C1647E" w:rsidRPr="00D617BF">
        <w:rPr>
          <w:rFonts w:eastAsia="等线" w:cs="Calibri"/>
          <w:sz w:val="20"/>
          <w:szCs w:val="18"/>
        </w:rPr>
        <w:t xml:space="preserve"> </w:t>
      </w:r>
      <w:r w:rsidRPr="00D617BF">
        <w:rPr>
          <w:rFonts w:eastAsia="等线" w:cs="Calibri"/>
          <w:sz w:val="20"/>
          <w:szCs w:val="18"/>
        </w:rPr>
        <w:t>within the β and twin</w:t>
      </w:r>
      <w:r>
        <w:rPr>
          <w:rFonts w:eastAsia="等线" w:cs="Calibri"/>
          <w:sz w:val="20"/>
          <w:szCs w:val="18"/>
        </w:rPr>
        <w:t>n</w:t>
      </w:r>
      <w:r w:rsidRPr="00D617BF">
        <w:rPr>
          <w:rFonts w:eastAsia="等线" w:cs="Calibri"/>
          <w:sz w:val="20"/>
          <w:szCs w:val="18"/>
        </w:rPr>
        <w:t>ed β grain boundary</w:t>
      </w:r>
      <w:r w:rsidRPr="00D617BF">
        <w:rPr>
          <w:rFonts w:eastAsia="等线" w:cs="Times New Roman"/>
          <w:sz w:val="20"/>
          <w:szCs w:val="18"/>
        </w:rPr>
        <w:t>.</w:t>
      </w:r>
      <w:bookmarkEnd w:id="245"/>
      <w:r w:rsidRPr="00D617BF">
        <w:rPr>
          <w:rFonts w:eastAsia="等线" w:cs="Calibri"/>
          <w:sz w:val="20"/>
          <w:szCs w:val="18"/>
        </w:rPr>
        <w:t xml:space="preserve"> </w:t>
      </w:r>
    </w:p>
    <w:p w14:paraId="437BECEC" w14:textId="7B70541D" w:rsidR="00B145BE" w:rsidRDefault="00B145BE" w:rsidP="00B145BE">
      <w:pPr>
        <w:shd w:val="clear" w:color="auto" w:fill="FFFFFF"/>
        <w:spacing w:after="120" w:line="360" w:lineRule="auto"/>
        <w:jc w:val="both"/>
        <w:rPr>
          <w:rFonts w:ascii="Calibri" w:eastAsia="等线" w:hAnsi="Calibri" w:cs="Calibri"/>
        </w:rPr>
      </w:pPr>
      <w:r>
        <w:rPr>
          <w:rFonts w:ascii="Calibri" w:eastAsia="等线" w:hAnsi="Calibri" w:cs="Calibri"/>
        </w:rPr>
        <w:lastRenderedPageBreak/>
        <w:t>Further analyses on the same composition revealed that</w:t>
      </w:r>
      <w:r w:rsidR="00FD58F3">
        <w:rPr>
          <w:rFonts w:ascii="Calibri" w:eastAsia="等线" w:hAnsi="Calibri" w:cs="Calibri"/>
        </w:rPr>
        <w:t>,</w:t>
      </w:r>
      <w:r>
        <w:rPr>
          <w:rFonts w:ascii="Calibri" w:eastAsia="等线" w:hAnsi="Calibri" w:cs="Calibri"/>
        </w:rPr>
        <w:t xml:space="preserve"> in addition to</w:t>
      </w:r>
      <w:r w:rsidRPr="001C513B">
        <w:rPr>
          <w:rFonts w:ascii="Calibri" w:eastAsia="等线" w:hAnsi="Calibri" w:cs="Calibri"/>
        </w:rPr>
        <w:t xml:space="preserve"> the {112}</w:t>
      </w:r>
      <w:r w:rsidRPr="001C513B">
        <w:rPr>
          <w:rFonts w:ascii="Calibri" w:eastAsia="等线" w:hAnsi="Calibri" w:cs="Calibri"/>
          <w:vertAlign w:val="subscript"/>
        </w:rPr>
        <w:t>β</w:t>
      </w:r>
      <w:r w:rsidRPr="001C513B">
        <w:rPr>
          <w:rFonts w:ascii="Calibri" w:eastAsia="等线" w:hAnsi="Calibri" w:cs="Calibri"/>
        </w:rPr>
        <w:t xml:space="preserve"> mechanical twinning which </w:t>
      </w:r>
      <w:r>
        <w:rPr>
          <w:rFonts w:ascii="Calibri" w:eastAsia="等线" w:hAnsi="Calibri" w:cs="Calibri"/>
        </w:rPr>
        <w:t>generally occurs in</w:t>
      </w:r>
      <w:r w:rsidRPr="001C513B">
        <w:rPr>
          <w:rFonts w:ascii="Calibri" w:eastAsia="等线" w:hAnsi="Calibri" w:cs="Calibri"/>
        </w:rPr>
        <w:t xml:space="preserve"> </w:t>
      </w:r>
      <w:r>
        <w:rPr>
          <w:rFonts w:ascii="Calibri" w:eastAsia="等线" w:hAnsi="Calibri" w:cs="Calibri"/>
        </w:rPr>
        <w:t>BCC</w:t>
      </w:r>
      <w:r w:rsidRPr="001C513B">
        <w:rPr>
          <w:rFonts w:ascii="Calibri" w:eastAsia="等线" w:hAnsi="Calibri" w:cs="Calibri"/>
        </w:rPr>
        <w:t xml:space="preserve"> stable metallic materials</w:t>
      </w:r>
      <w:r>
        <w:rPr>
          <w:rFonts w:ascii="Calibri" w:eastAsia="等线" w:hAnsi="Calibri" w:cs="Calibri"/>
        </w:rPr>
        <w:t>,</w:t>
      </w:r>
      <w:r w:rsidRPr="001C513B">
        <w:rPr>
          <w:rFonts w:ascii="Calibri" w:eastAsia="等线" w:hAnsi="Calibri" w:cs="Calibri"/>
        </w:rPr>
        <w:t xml:space="preserve"> {332}[11-3]</w:t>
      </w:r>
      <w:r w:rsidRPr="001C513B">
        <w:rPr>
          <w:rFonts w:ascii="Calibri" w:eastAsia="等线" w:hAnsi="Calibri" w:cs="Calibri"/>
          <w:vertAlign w:val="subscript"/>
        </w:rPr>
        <w:t>β</w:t>
      </w:r>
      <w:r w:rsidRPr="001C513B">
        <w:rPr>
          <w:rFonts w:ascii="Calibri" w:eastAsia="等线" w:hAnsi="Calibri" w:cs="Calibri"/>
        </w:rPr>
        <w:t xml:space="preserve"> mechanical twinning was also observed. In </w:t>
      </w:r>
      <w:r w:rsidRPr="001C513B">
        <w:rPr>
          <w:rFonts w:ascii="Calibri" w:eastAsia="等线" w:hAnsi="Calibri" w:cs="Times New Roman"/>
        </w:rPr>
        <w:t>Fig. 5-5</w:t>
      </w:r>
      <w:r w:rsidRPr="001C513B">
        <w:rPr>
          <w:rFonts w:ascii="Calibri" w:eastAsia="等线" w:hAnsi="Calibri" w:cs="Calibri"/>
        </w:rPr>
        <w:t xml:space="preserve"> a typical {332}</w:t>
      </w:r>
      <w:r w:rsidRPr="001C513B">
        <w:rPr>
          <w:rFonts w:ascii="Calibri" w:eastAsia="等线" w:hAnsi="Calibri" w:cs="Calibri"/>
          <w:vertAlign w:val="subscript"/>
        </w:rPr>
        <w:t>β</w:t>
      </w:r>
      <w:r w:rsidRPr="001C513B">
        <w:rPr>
          <w:rFonts w:ascii="Calibri" w:eastAsia="等线" w:hAnsi="Calibri" w:cs="Calibri"/>
        </w:rPr>
        <w:t xml:space="preserve"> mechanical twinning feature </w:t>
      </w:r>
      <w:r>
        <w:rPr>
          <w:rFonts w:ascii="Calibri" w:eastAsia="等线" w:hAnsi="Calibri" w:cs="Calibri"/>
        </w:rPr>
        <w:t>is presented and the</w:t>
      </w:r>
      <w:r w:rsidRPr="001C513B">
        <w:rPr>
          <w:rFonts w:ascii="Calibri" w:eastAsia="等线" w:hAnsi="Calibri" w:cs="Calibri"/>
        </w:rPr>
        <w:t xml:space="preserve"> orientation relationship of the twinning structure </w:t>
      </w:r>
      <w:r>
        <w:rPr>
          <w:rFonts w:ascii="Calibri" w:eastAsia="等线" w:hAnsi="Calibri" w:cs="Calibri"/>
        </w:rPr>
        <w:t>was</w:t>
      </w:r>
      <w:r w:rsidRPr="001C513B">
        <w:rPr>
          <w:rFonts w:ascii="Calibri" w:eastAsia="等线" w:hAnsi="Calibri" w:cs="Calibri"/>
        </w:rPr>
        <w:t xml:space="preserve"> derived by </w:t>
      </w:r>
      <w:r>
        <w:rPr>
          <w:rFonts w:ascii="Calibri" w:eastAsia="等线" w:hAnsi="Calibri" w:cs="Calibri"/>
        </w:rPr>
        <w:t xml:space="preserve">the </w:t>
      </w:r>
      <w:r w:rsidRPr="001C513B">
        <w:rPr>
          <w:rFonts w:ascii="Calibri" w:eastAsia="等线" w:hAnsi="Calibri" w:cs="Calibri"/>
        </w:rPr>
        <w:t xml:space="preserve">SADP. However, </w:t>
      </w:r>
      <w:r>
        <w:rPr>
          <w:rFonts w:ascii="Calibri" w:eastAsia="等线" w:hAnsi="Calibri" w:cs="Calibri"/>
        </w:rPr>
        <w:t>apart from</w:t>
      </w:r>
      <w:r w:rsidRPr="001C513B">
        <w:rPr>
          <w:rFonts w:ascii="Calibri" w:eastAsia="等线" w:hAnsi="Calibri" w:cs="Calibri"/>
        </w:rPr>
        <w:t xml:space="preserve"> the diffraction spot</w:t>
      </w:r>
      <w:r w:rsidR="00FD58F3">
        <w:rPr>
          <w:rFonts w:ascii="Calibri" w:eastAsia="等线" w:hAnsi="Calibri" w:cs="Calibri"/>
        </w:rPr>
        <w:t>,</w:t>
      </w:r>
      <w:r w:rsidRPr="001C513B">
        <w:rPr>
          <w:rFonts w:ascii="Calibri" w:eastAsia="等线" w:hAnsi="Calibri" w:cs="Calibri"/>
        </w:rPr>
        <w:t xml:space="preserve"> which correspond</w:t>
      </w:r>
      <w:r>
        <w:rPr>
          <w:rFonts w:ascii="Calibri" w:eastAsia="等线" w:hAnsi="Calibri" w:cs="Calibri"/>
        </w:rPr>
        <w:t>ed</w:t>
      </w:r>
      <w:r w:rsidRPr="001C513B">
        <w:rPr>
          <w:rFonts w:ascii="Calibri" w:eastAsia="等线" w:hAnsi="Calibri" w:cs="Calibri"/>
        </w:rPr>
        <w:t xml:space="preserve"> to</w:t>
      </w:r>
      <w:r w:rsidR="00FD58F3">
        <w:rPr>
          <w:rFonts w:ascii="Calibri" w:eastAsia="等线" w:hAnsi="Calibri" w:cs="Calibri"/>
        </w:rPr>
        <w:t xml:space="preserve"> the</w:t>
      </w:r>
      <w:r w:rsidRPr="001C513B">
        <w:rPr>
          <w:rFonts w:ascii="Calibri" w:eastAsia="等线" w:hAnsi="Calibri" w:cs="Calibri"/>
        </w:rPr>
        <w:t xml:space="preserve"> β phase, </w:t>
      </w:r>
      <w:r>
        <w:rPr>
          <w:rFonts w:ascii="Calibri" w:eastAsia="等线" w:hAnsi="Calibri" w:cs="Calibri"/>
        </w:rPr>
        <w:t xml:space="preserve">a </w:t>
      </w:r>
      <w:r w:rsidRPr="001C513B">
        <w:rPr>
          <w:rFonts w:ascii="Calibri" w:eastAsia="等线" w:hAnsi="Calibri" w:cs="Calibri"/>
        </w:rPr>
        <w:t xml:space="preserve">similar additional diffraction spot </w:t>
      </w:r>
      <w:r>
        <w:rPr>
          <w:rFonts w:ascii="Calibri" w:eastAsia="等线" w:hAnsi="Calibri" w:cs="Calibri"/>
        </w:rPr>
        <w:t>w</w:t>
      </w:r>
      <w:r w:rsidRPr="001C513B">
        <w:rPr>
          <w:rFonts w:ascii="Calibri" w:eastAsia="等线" w:hAnsi="Calibri" w:cs="Calibri"/>
        </w:rPr>
        <w:t xml:space="preserve">as indexed in </w:t>
      </w:r>
      <w:r w:rsidRPr="001C513B">
        <w:rPr>
          <w:rFonts w:ascii="Calibri" w:eastAsia="等线" w:hAnsi="Calibri" w:cs="Times New Roman"/>
        </w:rPr>
        <w:t>Fig. 5-4(b)</w:t>
      </w:r>
      <w:r>
        <w:rPr>
          <w:rFonts w:ascii="Calibri" w:eastAsia="等线" w:hAnsi="Calibri" w:cs="Times New Roman"/>
        </w:rPr>
        <w:t>. This was</w:t>
      </w:r>
      <w:r w:rsidRPr="001C513B">
        <w:rPr>
          <w:rFonts w:ascii="Calibri" w:eastAsia="等线" w:hAnsi="Calibri" w:cs="Calibri"/>
        </w:rPr>
        <w:t xml:space="preserve"> found at 1/2{332}</w:t>
      </w:r>
      <w:r w:rsidRPr="001C513B">
        <w:rPr>
          <w:rFonts w:ascii="Calibri" w:eastAsia="等线" w:hAnsi="Calibri" w:cs="Calibri"/>
          <w:vertAlign w:val="subscript"/>
        </w:rPr>
        <w:t>β</w:t>
      </w:r>
      <w:r w:rsidRPr="001C513B">
        <w:rPr>
          <w:rFonts w:ascii="Calibri" w:eastAsia="等线" w:hAnsi="Calibri" w:cs="Calibri"/>
        </w:rPr>
        <w:t xml:space="preserve"> position in </w:t>
      </w:r>
      <w:r w:rsidRPr="001C513B">
        <w:rPr>
          <w:rFonts w:ascii="Calibri" w:eastAsia="等线" w:hAnsi="Calibri" w:cs="Times New Roman"/>
        </w:rPr>
        <w:t>Fig. 5-5(b)</w:t>
      </w:r>
      <w:r>
        <w:rPr>
          <w:rFonts w:ascii="Calibri" w:eastAsia="等线" w:hAnsi="Calibri" w:cs="Times New Roman"/>
        </w:rPr>
        <w:t xml:space="preserve"> and</w:t>
      </w:r>
      <w:r w:rsidRPr="001C513B">
        <w:rPr>
          <w:rFonts w:ascii="Calibri" w:eastAsia="等线" w:hAnsi="Calibri" w:cs="Times New Roman"/>
        </w:rPr>
        <w:t xml:space="preserve"> </w:t>
      </w:r>
      <w:r w:rsidRPr="001C513B">
        <w:rPr>
          <w:rFonts w:ascii="Calibri" w:eastAsia="等线" w:hAnsi="Calibri" w:cs="Calibri"/>
        </w:rPr>
        <w:t>may relate to martensite phases.</w:t>
      </w:r>
    </w:p>
    <w:p w14:paraId="043CE56A" w14:textId="77777777" w:rsidR="00B145BE" w:rsidRPr="001C513B" w:rsidRDefault="00B145BE" w:rsidP="00B145BE">
      <w:pPr>
        <w:keepNext/>
        <w:suppressAutoHyphens/>
        <w:spacing w:after="120" w:line="360" w:lineRule="auto"/>
        <w:jc w:val="center"/>
        <w:rPr>
          <w:rFonts w:ascii="Calibri" w:eastAsia="等线" w:hAnsi="Calibri" w:cs="Calibri"/>
        </w:rPr>
      </w:pPr>
      <w:r w:rsidRPr="001C513B">
        <w:rPr>
          <w:rFonts w:ascii="Calibri" w:eastAsia="等线" w:hAnsi="Calibri" w:cs="Calibri"/>
          <w:b/>
          <w:noProof/>
          <w:sz w:val="44"/>
          <w:szCs w:val="24"/>
          <w:vertAlign w:val="subscript"/>
          <w:lang w:val="en-US" w:eastAsia="en-US"/>
        </w:rPr>
        <w:drawing>
          <wp:inline distT="0" distB="0" distL="0" distR="0" wp14:anchorId="444C6B7D" wp14:editId="59338473">
            <wp:extent cx="5605864" cy="4305300"/>
            <wp:effectExtent l="0" t="0" r="0" b="0"/>
            <wp:docPr id="67" name="图片 18">
              <a:extLst xmlns:a="http://schemas.openxmlformats.org/drawingml/2006/main">
                <a:ext uri="{FF2B5EF4-FFF2-40B4-BE49-F238E27FC236}">
                  <a16:creationId xmlns:a16="http://schemas.microsoft.com/office/drawing/2014/main" id="{295DAD7E-6C45-4386-A0B1-EA195E8631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a:extLst>
                        <a:ext uri="{FF2B5EF4-FFF2-40B4-BE49-F238E27FC236}">
                          <a16:creationId xmlns:a16="http://schemas.microsoft.com/office/drawing/2014/main" id="{295DAD7E-6C45-4386-A0B1-EA195E863144}"/>
                        </a:ext>
                      </a:extLst>
                    </pic:cNvPr>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5687644" cy="4368107"/>
                    </a:xfrm>
                    <a:prstGeom prst="rect">
                      <a:avLst/>
                    </a:prstGeom>
                  </pic:spPr>
                </pic:pic>
              </a:graphicData>
            </a:graphic>
          </wp:inline>
        </w:drawing>
      </w:r>
    </w:p>
    <w:p w14:paraId="2F39D885" w14:textId="1F958786" w:rsidR="00B145BE" w:rsidRPr="001C513B" w:rsidRDefault="00B145BE" w:rsidP="00B145BE">
      <w:pPr>
        <w:shd w:val="clear" w:color="auto" w:fill="FFFFFF"/>
        <w:spacing w:after="60" w:line="360" w:lineRule="auto"/>
        <w:jc w:val="both"/>
        <w:rPr>
          <w:rFonts w:ascii="Calibri" w:eastAsia="等线" w:hAnsi="Calibri" w:cs="Calibri"/>
        </w:rPr>
      </w:pPr>
      <w:bookmarkStart w:id="246" w:name="_Toc7364597"/>
      <w:bookmarkStart w:id="247" w:name="_Toc39312711"/>
      <w:r w:rsidRPr="001C513B">
        <w:rPr>
          <w:rFonts w:ascii="Calibri" w:eastAsia="等线" w:hAnsi="Calibri" w:cs="Calibri"/>
          <w:b/>
          <w:sz w:val="20"/>
          <w:szCs w:val="18"/>
        </w:rPr>
        <w:t>Figure 5-</w:t>
      </w:r>
      <w:r w:rsidRPr="001C513B">
        <w:rPr>
          <w:rFonts w:ascii="Calibri" w:eastAsia="等线" w:hAnsi="Calibri" w:cs="Calibri"/>
          <w:b/>
          <w:sz w:val="20"/>
        </w:rPr>
        <w:fldChar w:fldCharType="begin"/>
      </w:r>
      <w:r w:rsidRPr="001C513B">
        <w:rPr>
          <w:rFonts w:ascii="Calibri" w:eastAsia="等线" w:hAnsi="Calibri" w:cs="Calibri"/>
          <w:b/>
          <w:sz w:val="20"/>
        </w:rPr>
        <w:instrText xml:space="preserve"> SEQ Figure \* ARABIC </w:instrText>
      </w:r>
      <w:r w:rsidRPr="001C513B">
        <w:rPr>
          <w:rFonts w:ascii="Calibri" w:eastAsia="等线" w:hAnsi="Calibri" w:cs="Calibri"/>
          <w:b/>
          <w:sz w:val="20"/>
        </w:rPr>
        <w:fldChar w:fldCharType="separate"/>
      </w:r>
      <w:r>
        <w:rPr>
          <w:rFonts w:ascii="Calibri" w:eastAsia="等线" w:hAnsi="Calibri" w:cs="Calibri"/>
          <w:b/>
          <w:noProof/>
          <w:sz w:val="20"/>
        </w:rPr>
        <w:t>5</w:t>
      </w:r>
      <w:r w:rsidRPr="001C513B">
        <w:rPr>
          <w:rFonts w:ascii="Calibri" w:eastAsia="等线" w:hAnsi="Calibri" w:cs="Calibri"/>
          <w:b/>
          <w:sz w:val="20"/>
        </w:rPr>
        <w:fldChar w:fldCharType="end"/>
      </w:r>
      <w:r w:rsidRPr="001C513B">
        <w:rPr>
          <w:rFonts w:ascii="Calibri" w:eastAsia="等线" w:hAnsi="Calibri" w:cs="Calibri"/>
          <w:b/>
          <w:sz w:val="20"/>
          <w:szCs w:val="18"/>
        </w:rPr>
        <w:t xml:space="preserve"> TEM image</w:t>
      </w:r>
      <w:r>
        <w:rPr>
          <w:rFonts w:ascii="Calibri" w:eastAsia="等线" w:hAnsi="Calibri" w:cs="Calibri"/>
          <w:b/>
          <w:sz w:val="20"/>
          <w:szCs w:val="18"/>
        </w:rPr>
        <w:t>s</w:t>
      </w:r>
      <w:r w:rsidRPr="001C513B">
        <w:rPr>
          <w:rFonts w:ascii="Calibri" w:eastAsia="等线" w:hAnsi="Calibri" w:cs="Calibri"/>
          <w:b/>
          <w:sz w:val="20"/>
          <w:szCs w:val="18"/>
        </w:rPr>
        <w:t xml:space="preserve"> of mechanical twinning in 5% deformed TiZrHfTa</w:t>
      </w:r>
      <w:r w:rsidRPr="001C513B">
        <w:rPr>
          <w:rFonts w:ascii="Calibri" w:eastAsia="等线" w:hAnsi="Calibri" w:cs="Calibri"/>
          <w:b/>
          <w:sz w:val="20"/>
          <w:szCs w:val="18"/>
          <w:vertAlign w:val="subscript"/>
        </w:rPr>
        <w:t xml:space="preserve">0.8 </w:t>
      </w:r>
      <w:r w:rsidRPr="001C513B">
        <w:rPr>
          <w:rFonts w:ascii="Calibri" w:eastAsia="等线" w:hAnsi="Calibri" w:cs="Calibri"/>
          <w:sz w:val="20"/>
          <w:szCs w:val="18"/>
        </w:rPr>
        <w:t>(</w:t>
      </w:r>
      <w:r w:rsidRPr="001C513B">
        <w:rPr>
          <w:rFonts w:ascii="Calibri" w:eastAsia="等线" w:hAnsi="Calibri" w:cs="Calibri"/>
          <w:b/>
          <w:sz w:val="20"/>
          <w:szCs w:val="18"/>
        </w:rPr>
        <w:t>a</w:t>
      </w:r>
      <w:r w:rsidRPr="001C513B">
        <w:rPr>
          <w:rFonts w:ascii="Calibri" w:eastAsia="等线" w:hAnsi="Calibri" w:cs="Calibri"/>
          <w:sz w:val="20"/>
          <w:szCs w:val="18"/>
        </w:rPr>
        <w:t xml:space="preserve">) </w:t>
      </w:r>
      <w:r>
        <w:rPr>
          <w:rFonts w:ascii="Calibri" w:eastAsia="等线" w:hAnsi="Calibri" w:cs="Calibri"/>
          <w:sz w:val="20"/>
          <w:szCs w:val="18"/>
        </w:rPr>
        <w:t>a b</w:t>
      </w:r>
      <w:r w:rsidRPr="001C513B">
        <w:rPr>
          <w:rFonts w:ascii="Calibri" w:eastAsia="等线" w:hAnsi="Calibri" w:cs="Calibri"/>
          <w:sz w:val="20"/>
          <w:szCs w:val="18"/>
        </w:rPr>
        <w:t xml:space="preserve">right field image of </w:t>
      </w:r>
      <w:r>
        <w:rPr>
          <w:rFonts w:ascii="Calibri" w:eastAsia="等线" w:hAnsi="Calibri" w:cs="Calibri"/>
          <w:sz w:val="20"/>
          <w:szCs w:val="18"/>
        </w:rPr>
        <w:t xml:space="preserve">an </w:t>
      </w:r>
      <w:r w:rsidRPr="001C513B">
        <w:rPr>
          <w:rFonts w:ascii="Calibri" w:eastAsia="等线" w:hAnsi="Calibri" w:cs="Calibri"/>
          <w:sz w:val="20"/>
          <w:szCs w:val="18"/>
        </w:rPr>
        <w:t>interest</w:t>
      </w:r>
      <w:r>
        <w:rPr>
          <w:rFonts w:ascii="Calibri" w:eastAsia="等线" w:hAnsi="Calibri" w:cs="Calibri"/>
          <w:sz w:val="20"/>
          <w:szCs w:val="18"/>
        </w:rPr>
        <w:t>ing</w:t>
      </w:r>
      <w:r w:rsidRPr="001C513B">
        <w:rPr>
          <w:rFonts w:ascii="Calibri" w:eastAsia="等线" w:hAnsi="Calibri" w:cs="Calibri"/>
          <w:sz w:val="20"/>
          <w:szCs w:val="18"/>
        </w:rPr>
        <w:t xml:space="preserve"> twinning</w:t>
      </w:r>
      <w:r>
        <w:rPr>
          <w:rFonts w:ascii="Calibri" w:eastAsia="等线" w:hAnsi="Calibri" w:cs="Calibri"/>
          <w:sz w:val="20"/>
          <w:szCs w:val="18"/>
        </w:rPr>
        <w:t>-</w:t>
      </w:r>
      <w:r w:rsidRPr="001C513B">
        <w:rPr>
          <w:rFonts w:ascii="Calibri" w:eastAsia="等线" w:hAnsi="Calibri" w:cs="Calibri"/>
          <w:sz w:val="20"/>
          <w:szCs w:val="18"/>
        </w:rPr>
        <w:t>like feature</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b</w:t>
      </w:r>
      <w:r w:rsidRPr="001C513B">
        <w:rPr>
          <w:rFonts w:ascii="Calibri" w:eastAsia="等线" w:hAnsi="Calibri" w:cs="Calibri"/>
          <w:sz w:val="20"/>
          <w:szCs w:val="18"/>
        </w:rPr>
        <w:t xml:space="preserve">) </w:t>
      </w:r>
      <w:r>
        <w:rPr>
          <w:rFonts w:ascii="Calibri" w:eastAsia="等线" w:hAnsi="Calibri" w:cs="Calibri"/>
          <w:sz w:val="20"/>
          <w:szCs w:val="18"/>
        </w:rPr>
        <w:t xml:space="preserve">a </w:t>
      </w:r>
      <w:r w:rsidRPr="001C513B">
        <w:rPr>
          <w:rFonts w:ascii="Calibri" w:eastAsia="等线" w:hAnsi="Calibri" w:cs="Calibri"/>
          <w:sz w:val="20"/>
          <w:szCs w:val="18"/>
        </w:rPr>
        <w:t xml:space="preserve">SADP </w:t>
      </w:r>
      <w:r>
        <w:rPr>
          <w:rFonts w:ascii="Calibri" w:eastAsia="等线" w:hAnsi="Calibri" w:cs="Calibri"/>
          <w:sz w:val="20"/>
          <w:szCs w:val="18"/>
        </w:rPr>
        <w:t>at the</w:t>
      </w:r>
      <w:r w:rsidRPr="001C513B">
        <w:rPr>
          <w:rFonts w:ascii="Calibri" w:eastAsia="等线" w:hAnsi="Calibri" w:cs="Calibri"/>
          <w:sz w:val="20"/>
          <w:szCs w:val="18"/>
        </w:rPr>
        <w:t xml:space="preserve"> twining boundary</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Times New Roman" w:eastAsia="等线" w:hAnsi="Times New Roman" w:cs="Times New Roman"/>
          <w:sz w:val="20"/>
          <w:szCs w:val="18"/>
        </w:rPr>
        <w:t>Β</w:t>
      </w:r>
      <w:r>
        <w:rPr>
          <w:rFonts w:ascii="Times New Roman" w:eastAsia="等线" w:hAnsi="Times New Roman" w:cs="Times New Roman"/>
          <w:sz w:val="20"/>
          <w:szCs w:val="18"/>
        </w:rPr>
        <w:t xml:space="preserve"> </w:t>
      </w:r>
      <w:r w:rsidRPr="00CE4CE4">
        <w:rPr>
          <w:rFonts w:ascii="Arial" w:eastAsia="等线" w:hAnsi="Arial" w:cs="Arial"/>
          <w:sz w:val="20"/>
          <w:szCs w:val="18"/>
        </w:rPr>
        <w:t>and</w:t>
      </w:r>
      <w:r w:rsidRPr="001C513B">
        <w:rPr>
          <w:rFonts w:ascii="Times New Roman" w:eastAsia="等线" w:hAnsi="Times New Roman" w:cs="Times New Roman"/>
          <w:sz w:val="20"/>
          <w:szCs w:val="18"/>
        </w:rPr>
        <w:t xml:space="preserve"> </w:t>
      </w:r>
      <w:r w:rsidRPr="001C513B">
        <w:rPr>
          <w:rFonts w:ascii="Calibri" w:eastAsia="等线" w:hAnsi="Calibri" w:cs="Calibri"/>
          <w:sz w:val="20"/>
          <w:szCs w:val="18"/>
        </w:rPr>
        <w:t>twin</w:t>
      </w:r>
      <w:r>
        <w:rPr>
          <w:rFonts w:ascii="Calibri" w:eastAsia="等线" w:hAnsi="Calibri" w:cs="Calibri"/>
          <w:sz w:val="20"/>
          <w:szCs w:val="18"/>
        </w:rPr>
        <w:t>n</w:t>
      </w:r>
      <w:r w:rsidRPr="001C513B">
        <w:rPr>
          <w:rFonts w:ascii="Calibri" w:eastAsia="等线" w:hAnsi="Calibri" w:cs="Calibri"/>
          <w:sz w:val="20"/>
          <w:szCs w:val="18"/>
        </w:rPr>
        <w:t xml:space="preserve">ed β diffraction patterns </w:t>
      </w:r>
      <w:r w:rsidR="00FD58F3">
        <w:rPr>
          <w:rFonts w:ascii="Calibri" w:eastAsia="等线" w:hAnsi="Calibri" w:cs="Calibri"/>
          <w:sz w:val="20"/>
          <w:szCs w:val="18"/>
        </w:rPr>
        <w:t>are</w:t>
      </w:r>
      <w:r w:rsidRPr="001C513B">
        <w:rPr>
          <w:rFonts w:ascii="Calibri" w:eastAsia="等线" w:hAnsi="Calibri" w:cs="Calibri"/>
          <w:sz w:val="20"/>
          <w:szCs w:val="18"/>
        </w:rPr>
        <w:t xml:space="preserve"> marked with red and green</w:t>
      </w:r>
      <w:r>
        <w:rPr>
          <w:rFonts w:ascii="Calibri" w:eastAsia="等线" w:hAnsi="Calibri" w:cs="Calibri"/>
          <w:sz w:val="20"/>
          <w:szCs w:val="18"/>
        </w:rPr>
        <w:t>,</w:t>
      </w:r>
      <w:r w:rsidRPr="001C513B">
        <w:rPr>
          <w:rFonts w:ascii="Calibri" w:eastAsia="等线" w:hAnsi="Calibri" w:cs="Calibri"/>
          <w:sz w:val="20"/>
          <w:szCs w:val="18"/>
        </w:rPr>
        <w:t xml:space="preserve"> respectively. </w:t>
      </w:r>
      <w:r w:rsidR="00FD58F3">
        <w:rPr>
          <w:rFonts w:ascii="Calibri" w:eastAsia="等线" w:hAnsi="Calibri" w:cs="Calibri"/>
          <w:sz w:val="20"/>
          <w:szCs w:val="18"/>
        </w:rPr>
        <w:t xml:space="preserve">The </w:t>
      </w:r>
      <w:r w:rsidRPr="001C513B">
        <w:rPr>
          <w:rFonts w:ascii="Calibri" w:eastAsia="等线" w:hAnsi="Calibri" w:cs="Calibri"/>
          <w:sz w:val="20"/>
          <w:szCs w:val="18"/>
        </w:rPr>
        <w:t>{332}</w:t>
      </w:r>
      <w:r w:rsidRPr="001C513B">
        <w:rPr>
          <w:rFonts w:ascii="Calibri" w:eastAsia="等线" w:hAnsi="Calibri" w:cs="Times New Roman"/>
          <w:sz w:val="20"/>
          <w:szCs w:val="18"/>
          <w:vertAlign w:val="subscript"/>
        </w:rPr>
        <w:t>β</w:t>
      </w:r>
      <w:r w:rsidRPr="001C513B">
        <w:rPr>
          <w:rFonts w:ascii="Calibri" w:eastAsia="等线" w:hAnsi="Calibri" w:cs="Times New Roman"/>
          <w:sz w:val="20"/>
          <w:szCs w:val="18"/>
        </w:rPr>
        <w:t xml:space="preserve"> </w:t>
      </w:r>
      <w:r w:rsidRPr="001C513B">
        <w:rPr>
          <w:rFonts w:ascii="Calibri" w:eastAsia="等线" w:hAnsi="Calibri" w:cs="Calibri"/>
          <w:sz w:val="20"/>
          <w:szCs w:val="18"/>
        </w:rPr>
        <w:t xml:space="preserve">twinning plane was marked with </w:t>
      </w:r>
      <w:r>
        <w:rPr>
          <w:rFonts w:ascii="Calibri" w:eastAsia="等线" w:hAnsi="Calibri" w:cs="Calibri"/>
          <w:sz w:val="20"/>
          <w:szCs w:val="18"/>
        </w:rPr>
        <w:t xml:space="preserve">a </w:t>
      </w:r>
      <w:r w:rsidRPr="001C513B">
        <w:rPr>
          <w:rFonts w:ascii="Calibri" w:eastAsia="等线" w:hAnsi="Calibri" w:cs="Calibri"/>
          <w:sz w:val="20"/>
          <w:szCs w:val="18"/>
        </w:rPr>
        <w:t>red circle</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c</w:t>
      </w:r>
      <w:r w:rsidRPr="001C513B">
        <w:rPr>
          <w:rFonts w:ascii="Calibri" w:eastAsia="等线" w:hAnsi="Calibri" w:cs="Calibri"/>
          <w:sz w:val="20"/>
          <w:szCs w:val="18"/>
        </w:rPr>
        <w:t xml:space="preserve">) </w:t>
      </w:r>
      <w:r>
        <w:rPr>
          <w:rFonts w:ascii="Calibri" w:eastAsia="等线" w:hAnsi="Calibri" w:cs="Calibri"/>
          <w:sz w:val="20"/>
          <w:szCs w:val="18"/>
        </w:rPr>
        <w:t>a d</w:t>
      </w:r>
      <w:r w:rsidRPr="001C513B">
        <w:rPr>
          <w:rFonts w:ascii="Calibri" w:eastAsia="等线" w:hAnsi="Calibri" w:cs="Calibri"/>
          <w:sz w:val="20"/>
          <w:szCs w:val="18"/>
        </w:rPr>
        <w:t xml:space="preserve">ark field image of </w:t>
      </w:r>
      <w:r>
        <w:rPr>
          <w:rFonts w:ascii="Calibri" w:eastAsia="等线" w:hAnsi="Calibri" w:cs="Calibri"/>
          <w:sz w:val="20"/>
          <w:szCs w:val="18"/>
        </w:rPr>
        <w:t xml:space="preserve">a </w:t>
      </w:r>
      <w:r w:rsidRPr="001C513B">
        <w:rPr>
          <w:rFonts w:ascii="Calibri" w:eastAsia="等线" w:hAnsi="Calibri" w:cs="Times New Roman"/>
          <w:sz w:val="20"/>
          <w:szCs w:val="18"/>
        </w:rPr>
        <w:t>β</w:t>
      </w:r>
      <w:r w:rsidRPr="001C513B">
        <w:rPr>
          <w:rFonts w:ascii="Calibri" w:eastAsia="等线" w:hAnsi="Calibri" w:cs="Calibri"/>
          <w:sz w:val="20"/>
          <w:szCs w:val="18"/>
        </w:rPr>
        <w:t xml:space="preserve"> matrix grain</w:t>
      </w:r>
      <w:r>
        <w:rPr>
          <w:rFonts w:ascii="Calibri" w:eastAsia="等线" w:hAnsi="Calibri" w:cs="Calibri"/>
          <w:sz w:val="20"/>
          <w:szCs w:val="18"/>
        </w:rPr>
        <w:t>; and</w:t>
      </w:r>
      <w:r w:rsidRPr="001C513B">
        <w:rPr>
          <w:rFonts w:ascii="Calibri" w:eastAsia="等线" w:hAnsi="Calibri" w:cs="Calibri"/>
          <w:sz w:val="20"/>
          <w:szCs w:val="18"/>
        </w:rPr>
        <w:t xml:space="preserve"> (</w:t>
      </w:r>
      <w:r w:rsidRPr="001C513B">
        <w:rPr>
          <w:rFonts w:ascii="Calibri" w:eastAsia="等线" w:hAnsi="Calibri" w:cs="Calibri"/>
          <w:b/>
          <w:sz w:val="20"/>
          <w:szCs w:val="18"/>
        </w:rPr>
        <w:t>d</w:t>
      </w:r>
      <w:r w:rsidRPr="001C513B">
        <w:rPr>
          <w:rFonts w:ascii="Calibri" w:eastAsia="等线" w:hAnsi="Calibri" w:cs="Calibri"/>
          <w:sz w:val="20"/>
          <w:szCs w:val="18"/>
        </w:rPr>
        <w:t xml:space="preserve">) </w:t>
      </w:r>
      <w:r>
        <w:rPr>
          <w:rFonts w:ascii="Calibri" w:eastAsia="等线" w:hAnsi="Calibri" w:cs="Calibri"/>
          <w:sz w:val="20"/>
          <w:szCs w:val="18"/>
        </w:rPr>
        <w:t>a d</w:t>
      </w:r>
      <w:r w:rsidRPr="001C513B">
        <w:rPr>
          <w:rFonts w:ascii="Calibri" w:eastAsia="等线" w:hAnsi="Calibri" w:cs="Calibri"/>
          <w:sz w:val="20"/>
          <w:szCs w:val="18"/>
        </w:rPr>
        <w:t xml:space="preserve">ark field image of </w:t>
      </w:r>
      <w:r w:rsidRPr="001C513B">
        <w:rPr>
          <w:rFonts w:ascii="Calibri" w:eastAsia="等线" w:hAnsi="Calibri" w:cs="Times New Roman"/>
          <w:sz w:val="20"/>
          <w:szCs w:val="18"/>
        </w:rPr>
        <w:t>β</w:t>
      </w:r>
      <w:r w:rsidRPr="001C513B">
        <w:rPr>
          <w:rFonts w:ascii="Calibri" w:eastAsia="等线" w:hAnsi="Calibri" w:cs="Calibri"/>
          <w:sz w:val="20"/>
          <w:szCs w:val="18"/>
        </w:rPr>
        <w:t xml:space="preserve"> twin</w:t>
      </w:r>
      <w:r>
        <w:rPr>
          <w:rFonts w:ascii="Calibri" w:eastAsia="等线" w:hAnsi="Calibri" w:cs="Calibri"/>
          <w:sz w:val="20"/>
          <w:szCs w:val="18"/>
        </w:rPr>
        <w:t>n</w:t>
      </w:r>
      <w:r w:rsidRPr="001C513B">
        <w:rPr>
          <w:rFonts w:ascii="Calibri" w:eastAsia="等线" w:hAnsi="Calibri" w:cs="Calibri"/>
          <w:sz w:val="20"/>
          <w:szCs w:val="18"/>
        </w:rPr>
        <w:t>ed variant.</w:t>
      </w:r>
      <w:bookmarkEnd w:id="246"/>
      <w:bookmarkEnd w:id="247"/>
      <w:r w:rsidRPr="001C513B">
        <w:rPr>
          <w:rFonts w:ascii="Calibri" w:eastAsia="等线" w:hAnsi="Calibri" w:cs="Calibri"/>
        </w:rPr>
        <w:t xml:space="preserve"> </w:t>
      </w:r>
    </w:p>
    <w:p w14:paraId="593424F5" w14:textId="3DAEA28C" w:rsidR="00B145BE" w:rsidRPr="001C513B" w:rsidRDefault="00B145BE" w:rsidP="00B145BE">
      <w:pPr>
        <w:shd w:val="clear" w:color="auto" w:fill="FFFFFF"/>
        <w:spacing w:after="60" w:line="360" w:lineRule="auto"/>
        <w:jc w:val="both"/>
        <w:rPr>
          <w:rFonts w:ascii="Calibri" w:eastAsia="等线" w:hAnsi="Calibri" w:cs="Calibri"/>
        </w:rPr>
      </w:pPr>
      <w:r>
        <w:rPr>
          <w:rFonts w:ascii="Calibri" w:eastAsia="等线" w:hAnsi="Calibri" w:cs="Calibri"/>
        </w:rPr>
        <w:t>As observed for the</w:t>
      </w:r>
      <w:r w:rsidRPr="001C513B">
        <w:rPr>
          <w:rFonts w:ascii="Calibri" w:eastAsia="等线" w:hAnsi="Calibri" w:cs="Calibri"/>
        </w:rPr>
        <w:t xml:space="preserve"> microstructure </w:t>
      </w:r>
      <w:r>
        <w:rPr>
          <w:rFonts w:ascii="Calibri" w:eastAsia="等线" w:hAnsi="Calibri" w:cs="Calibri"/>
        </w:rPr>
        <w:t>evolution determined by EBSD analyses for</w:t>
      </w:r>
      <w:r w:rsidRPr="001C513B">
        <w:rPr>
          <w:rFonts w:ascii="Calibri" w:eastAsia="等线" w:hAnsi="Calibri" w:cs="Calibri"/>
        </w:rPr>
        <w:t xml:space="preserve"> TiZrHfTa</w:t>
      </w:r>
      <w:r w:rsidRPr="001C513B">
        <w:rPr>
          <w:rFonts w:ascii="Calibri" w:eastAsia="等线" w:hAnsi="Calibri" w:cs="Calibri"/>
          <w:vertAlign w:val="subscript"/>
        </w:rPr>
        <w:t>0.8</w:t>
      </w:r>
      <w:r>
        <w:rPr>
          <w:rFonts w:ascii="Calibri" w:eastAsia="等线" w:hAnsi="Calibri" w:cs="Calibri"/>
        </w:rPr>
        <w:t xml:space="preserve">, TEM analyses revealed that </w:t>
      </w:r>
      <w:r w:rsidRPr="001C513B">
        <w:rPr>
          <w:rFonts w:ascii="Calibri" w:eastAsia="等线" w:hAnsi="Calibri" w:cs="Calibri"/>
        </w:rPr>
        <w:t>both {112}[11-1]</w:t>
      </w:r>
      <w:r w:rsidRPr="001C513B">
        <w:rPr>
          <w:rFonts w:ascii="Calibri" w:eastAsia="等线" w:hAnsi="Calibri" w:cs="Calibri"/>
          <w:vertAlign w:val="subscript"/>
        </w:rPr>
        <w:t>β</w:t>
      </w:r>
      <w:r w:rsidRPr="001C513B">
        <w:rPr>
          <w:rFonts w:ascii="Calibri" w:eastAsia="等线" w:hAnsi="Calibri" w:cs="Calibri"/>
        </w:rPr>
        <w:t xml:space="preserve"> and {332}[11-3]</w:t>
      </w:r>
      <w:r w:rsidRPr="001C513B">
        <w:rPr>
          <w:rFonts w:ascii="Calibri" w:eastAsia="等线" w:hAnsi="Calibri" w:cs="Calibri"/>
          <w:vertAlign w:val="subscript"/>
        </w:rPr>
        <w:t>β</w:t>
      </w:r>
      <w:r w:rsidRPr="001C513B">
        <w:rPr>
          <w:rFonts w:ascii="Calibri" w:eastAsia="等线" w:hAnsi="Calibri" w:cs="Calibri"/>
        </w:rPr>
        <w:t xml:space="preserve"> twinning system</w:t>
      </w:r>
      <w:r>
        <w:rPr>
          <w:rFonts w:ascii="Calibri" w:eastAsia="等线" w:hAnsi="Calibri" w:cs="Calibri"/>
        </w:rPr>
        <w:t>s</w:t>
      </w:r>
      <w:r w:rsidRPr="001C513B">
        <w:rPr>
          <w:rFonts w:ascii="Calibri" w:eastAsia="等线" w:hAnsi="Calibri" w:cs="Calibri"/>
        </w:rPr>
        <w:t xml:space="preserve"> </w:t>
      </w:r>
      <w:r>
        <w:rPr>
          <w:rFonts w:ascii="Calibri" w:eastAsia="等线" w:hAnsi="Calibri" w:cs="Calibri"/>
        </w:rPr>
        <w:t>were</w:t>
      </w:r>
      <w:r w:rsidRPr="001C513B">
        <w:rPr>
          <w:rFonts w:ascii="Calibri" w:eastAsia="等线" w:hAnsi="Calibri" w:cs="Calibri"/>
        </w:rPr>
        <w:t xml:space="preserve"> identified and </w:t>
      </w:r>
      <w:r>
        <w:rPr>
          <w:rFonts w:ascii="Calibri" w:eastAsia="等线" w:hAnsi="Calibri" w:cs="Calibri"/>
        </w:rPr>
        <w:t>found to serve</w:t>
      </w:r>
      <w:r w:rsidRPr="001C513B">
        <w:rPr>
          <w:rFonts w:ascii="Calibri" w:eastAsia="等线" w:hAnsi="Calibri" w:cs="Calibri"/>
        </w:rPr>
        <w:t xml:space="preserve"> as </w:t>
      </w:r>
      <w:r>
        <w:rPr>
          <w:rFonts w:ascii="Calibri" w:eastAsia="等线" w:hAnsi="Calibri" w:cs="Calibri"/>
        </w:rPr>
        <w:t xml:space="preserve">the </w:t>
      </w:r>
      <w:r w:rsidRPr="001C513B">
        <w:rPr>
          <w:rFonts w:ascii="Calibri" w:eastAsia="等线" w:hAnsi="Calibri" w:cs="Calibri"/>
        </w:rPr>
        <w:t xml:space="preserve">main twin modes for TWIP. </w:t>
      </w:r>
      <w:r>
        <w:rPr>
          <w:rFonts w:ascii="Calibri" w:eastAsia="等线" w:hAnsi="Calibri" w:cs="Calibri"/>
        </w:rPr>
        <w:t>In addition to</w:t>
      </w:r>
      <w:r w:rsidRPr="001C513B">
        <w:rPr>
          <w:rFonts w:ascii="Calibri" w:eastAsia="等线" w:hAnsi="Calibri" w:cs="Calibri"/>
        </w:rPr>
        <w:t xml:space="preserve"> TWIP, the activation of TRIP </w:t>
      </w:r>
      <w:r>
        <w:rPr>
          <w:rFonts w:ascii="Calibri" w:eastAsia="等线" w:hAnsi="Calibri" w:cs="Calibri"/>
        </w:rPr>
        <w:t>was observed to initialise</w:t>
      </w:r>
      <w:r w:rsidRPr="001C513B">
        <w:rPr>
          <w:rFonts w:ascii="Calibri" w:eastAsia="等线" w:hAnsi="Calibri" w:cs="Calibri"/>
        </w:rPr>
        <w:t xml:space="preserve"> in TiZrHfTa</w:t>
      </w:r>
      <w:r w:rsidRPr="001C513B">
        <w:rPr>
          <w:rFonts w:ascii="Calibri" w:eastAsia="等线" w:hAnsi="Calibri" w:cs="Calibri"/>
          <w:vertAlign w:val="subscript"/>
        </w:rPr>
        <w:t>0.8</w:t>
      </w:r>
      <w:r w:rsidRPr="001C513B">
        <w:rPr>
          <w:rFonts w:ascii="Calibri" w:eastAsia="等线" w:hAnsi="Calibri" w:cs="Calibri"/>
        </w:rPr>
        <w:t xml:space="preserve">, </w:t>
      </w:r>
      <w:r>
        <w:rPr>
          <w:rFonts w:ascii="Calibri" w:eastAsia="等线" w:hAnsi="Calibri" w:cs="Calibri"/>
        </w:rPr>
        <w:t>as</w:t>
      </w:r>
      <w:r w:rsidRPr="001C513B">
        <w:rPr>
          <w:rFonts w:ascii="Calibri" w:eastAsia="等线" w:hAnsi="Calibri" w:cs="Calibri"/>
        </w:rPr>
        <w:t xml:space="preserve"> martensite variants were </w:t>
      </w:r>
      <w:r>
        <w:rPr>
          <w:rFonts w:ascii="Calibri" w:eastAsia="等线" w:hAnsi="Calibri" w:cs="Calibri"/>
        </w:rPr>
        <w:t>found</w:t>
      </w:r>
      <w:r w:rsidRPr="001C513B">
        <w:rPr>
          <w:rFonts w:ascii="Calibri" w:eastAsia="等线" w:hAnsi="Calibri" w:cs="Calibri"/>
        </w:rPr>
        <w:t xml:space="preserve"> in β twin</w:t>
      </w:r>
      <w:r>
        <w:rPr>
          <w:rFonts w:ascii="Calibri" w:eastAsia="等线" w:hAnsi="Calibri" w:cs="Calibri"/>
        </w:rPr>
        <w:t>n</w:t>
      </w:r>
      <w:r w:rsidRPr="001C513B">
        <w:rPr>
          <w:rFonts w:ascii="Calibri" w:eastAsia="等线" w:hAnsi="Calibri" w:cs="Calibri"/>
        </w:rPr>
        <w:t>ed feature</w:t>
      </w:r>
      <w:r>
        <w:rPr>
          <w:rFonts w:ascii="Calibri" w:eastAsia="等线" w:hAnsi="Calibri" w:cs="Calibri"/>
        </w:rPr>
        <w:t>s</w:t>
      </w:r>
      <w:r w:rsidRPr="001C513B">
        <w:rPr>
          <w:rFonts w:ascii="Calibri" w:eastAsia="等线" w:hAnsi="Calibri" w:cs="Calibri"/>
        </w:rPr>
        <w:t xml:space="preserve"> and </w:t>
      </w:r>
      <w:r>
        <w:rPr>
          <w:rFonts w:ascii="Calibri" w:eastAsia="等线" w:hAnsi="Calibri" w:cs="Calibri"/>
        </w:rPr>
        <w:t xml:space="preserve">correlated </w:t>
      </w:r>
      <w:r w:rsidR="00FD58F3">
        <w:rPr>
          <w:rFonts w:ascii="Calibri" w:eastAsia="等线" w:hAnsi="Calibri" w:cs="Calibri"/>
        </w:rPr>
        <w:t xml:space="preserve">with </w:t>
      </w:r>
      <w:r>
        <w:rPr>
          <w:rFonts w:ascii="Calibri" w:eastAsia="等线" w:hAnsi="Calibri" w:cs="Calibri"/>
        </w:rPr>
        <w:t>a</w:t>
      </w:r>
      <w:r w:rsidRPr="001C513B">
        <w:rPr>
          <w:rFonts w:ascii="Calibri" w:eastAsia="等线" w:hAnsi="Calibri" w:cs="Calibri"/>
        </w:rPr>
        <w:t xml:space="preserve"> further </w:t>
      </w:r>
      <w:r>
        <w:rPr>
          <w:rFonts w:ascii="Calibri" w:eastAsia="等线" w:hAnsi="Calibri" w:cs="Calibri"/>
        </w:rPr>
        <w:lastRenderedPageBreak/>
        <w:t>enhancement</w:t>
      </w:r>
      <w:r w:rsidRPr="001C513B">
        <w:rPr>
          <w:rFonts w:ascii="Calibri" w:eastAsia="等线" w:hAnsi="Calibri" w:cs="Calibri"/>
        </w:rPr>
        <w:t xml:space="preserve"> </w:t>
      </w:r>
      <w:r>
        <w:rPr>
          <w:rFonts w:ascii="Calibri" w:eastAsia="等线" w:hAnsi="Calibri" w:cs="Calibri"/>
        </w:rPr>
        <w:t>of</w:t>
      </w:r>
      <w:r w:rsidRPr="001C513B">
        <w:rPr>
          <w:rFonts w:ascii="Calibri" w:eastAsia="等线" w:hAnsi="Calibri" w:cs="Calibri"/>
        </w:rPr>
        <w:t xml:space="preserve"> the mechanical performance of TiZrHfTa</w:t>
      </w:r>
      <w:r w:rsidRPr="001C513B">
        <w:rPr>
          <w:rFonts w:ascii="Calibri" w:eastAsia="等线" w:hAnsi="Calibri" w:cs="Calibri"/>
          <w:vertAlign w:val="subscript"/>
        </w:rPr>
        <w:t>0.8</w:t>
      </w:r>
      <w:r w:rsidRPr="001C513B">
        <w:rPr>
          <w:rFonts w:ascii="Calibri" w:eastAsia="等线" w:hAnsi="Calibri" w:cs="Calibri"/>
        </w:rPr>
        <w:t xml:space="preserve">. </w:t>
      </w:r>
      <w:r>
        <w:rPr>
          <w:rFonts w:ascii="Calibri" w:eastAsia="等线" w:hAnsi="Calibri" w:cs="Calibri"/>
        </w:rPr>
        <w:t xml:space="preserve">When comparing the observations of Group I </w:t>
      </w:r>
      <w:r w:rsidR="000A5412">
        <w:rPr>
          <w:rFonts w:ascii="Calibri" w:eastAsia="等线" w:hAnsi="Calibri" w:cs="Calibri"/>
        </w:rPr>
        <w:t>sample</w:t>
      </w:r>
      <w:r>
        <w:rPr>
          <w:rFonts w:ascii="Calibri" w:eastAsia="等线" w:hAnsi="Calibri" w:cs="Calibri"/>
        </w:rPr>
        <w:t xml:space="preserve"> with Group II, although</w:t>
      </w:r>
      <w:r w:rsidRPr="001C513B">
        <w:rPr>
          <w:rFonts w:ascii="Calibri" w:eastAsia="等线" w:hAnsi="Calibri" w:cs="Calibri"/>
        </w:rPr>
        <w:t xml:space="preserve"> the promotion of </w:t>
      </w:r>
      <w:r w:rsidR="00FC7323">
        <w:rPr>
          <w:rFonts w:ascii="Calibri" w:eastAsia="等线" w:hAnsi="Calibri" w:cs="Calibri"/>
        </w:rPr>
        <w:t>work</w:t>
      </w:r>
      <w:r w:rsidRPr="001C513B">
        <w:rPr>
          <w:rFonts w:ascii="Calibri" w:eastAsia="等线" w:hAnsi="Calibri" w:cs="Calibri"/>
        </w:rPr>
        <w:t xml:space="preserve"> hardening capacity </w:t>
      </w:r>
      <w:r>
        <w:rPr>
          <w:rFonts w:ascii="Calibri" w:eastAsia="等线" w:hAnsi="Calibri" w:cs="Calibri"/>
        </w:rPr>
        <w:t>occurs</w:t>
      </w:r>
      <w:r w:rsidRPr="001C513B">
        <w:rPr>
          <w:rFonts w:ascii="Calibri" w:eastAsia="等线" w:hAnsi="Calibri" w:cs="Calibri"/>
        </w:rPr>
        <w:t xml:space="preserve"> after the activation of TWIP, the </w:t>
      </w:r>
      <w:r>
        <w:rPr>
          <w:rFonts w:ascii="Calibri" w:eastAsia="等线" w:hAnsi="Calibri" w:cs="Calibri"/>
        </w:rPr>
        <w:t>underlying</w:t>
      </w:r>
      <w:r w:rsidRPr="001C513B">
        <w:rPr>
          <w:rFonts w:ascii="Calibri" w:eastAsia="等线" w:hAnsi="Calibri" w:cs="Calibri"/>
        </w:rPr>
        <w:t xml:space="preserve"> mechanism</w:t>
      </w:r>
      <w:r>
        <w:rPr>
          <w:rFonts w:ascii="Calibri" w:eastAsia="等线" w:hAnsi="Calibri" w:cs="Calibri"/>
        </w:rPr>
        <w:t>s relating to the</w:t>
      </w:r>
      <w:r w:rsidRPr="001C513B">
        <w:rPr>
          <w:rFonts w:ascii="Calibri" w:eastAsia="等线" w:hAnsi="Calibri" w:cs="Calibri"/>
        </w:rPr>
        <w:t xml:space="preserve"> abnormal enhancement and the plateau </w:t>
      </w:r>
      <w:r>
        <w:rPr>
          <w:rFonts w:ascii="Calibri" w:eastAsia="等线" w:hAnsi="Calibri" w:cs="Calibri"/>
        </w:rPr>
        <w:t xml:space="preserve">in </w:t>
      </w:r>
      <w:r w:rsidR="00FC7323">
        <w:rPr>
          <w:rFonts w:ascii="Calibri" w:eastAsia="等线" w:hAnsi="Calibri" w:cs="Calibri"/>
        </w:rPr>
        <w:t>work</w:t>
      </w:r>
      <w:r w:rsidRPr="001C513B">
        <w:rPr>
          <w:rFonts w:ascii="Calibri" w:eastAsia="等线" w:hAnsi="Calibri" w:cs="Calibri"/>
        </w:rPr>
        <w:t xml:space="preserve"> hardening </w:t>
      </w:r>
      <w:r>
        <w:rPr>
          <w:rFonts w:ascii="Calibri" w:eastAsia="等线" w:hAnsi="Calibri" w:cs="Calibri"/>
        </w:rPr>
        <w:t>rate</w:t>
      </w:r>
      <w:r w:rsidRPr="001C513B">
        <w:rPr>
          <w:rFonts w:ascii="Calibri" w:eastAsia="等线" w:hAnsi="Calibri" w:cs="Calibri"/>
        </w:rPr>
        <w:t xml:space="preserve"> remain unclear. </w:t>
      </w:r>
      <w:r>
        <w:rPr>
          <w:rFonts w:ascii="Calibri" w:eastAsia="等线" w:hAnsi="Calibri" w:cs="Calibri"/>
        </w:rPr>
        <w:t>In order to determine these mechanisms, an</w:t>
      </w:r>
      <w:r w:rsidRPr="001C513B">
        <w:rPr>
          <w:rFonts w:ascii="Calibri" w:eastAsia="等线" w:hAnsi="Calibri" w:cs="Calibri"/>
        </w:rPr>
        <w:t xml:space="preserve"> investigation was conducted on Group II samples</w:t>
      </w:r>
      <w:r>
        <w:rPr>
          <w:rFonts w:ascii="Calibri" w:eastAsia="等线" w:hAnsi="Calibri" w:cs="Calibri"/>
        </w:rPr>
        <w:t>.</w:t>
      </w:r>
    </w:p>
    <w:p w14:paraId="407A9F26" w14:textId="2BDD860E" w:rsidR="00B145BE" w:rsidRDefault="00B145BE" w:rsidP="00B145BE">
      <w:pPr>
        <w:shd w:val="clear" w:color="auto" w:fill="FFFFFF"/>
        <w:spacing w:after="120" w:line="360" w:lineRule="auto"/>
        <w:jc w:val="both"/>
        <w:rPr>
          <w:rFonts w:ascii="Calibri" w:eastAsia="等线" w:hAnsi="Calibri" w:cs="Calibri"/>
        </w:rPr>
      </w:pPr>
      <w:r>
        <w:rPr>
          <w:rFonts w:ascii="Calibri" w:eastAsia="等线" w:hAnsi="Calibri" w:cs="Calibri"/>
        </w:rPr>
        <w:t>For</w:t>
      </w:r>
      <w:r w:rsidRPr="001C513B">
        <w:rPr>
          <w:rFonts w:ascii="Calibri" w:eastAsia="等线" w:hAnsi="Calibri" w:cs="Calibri"/>
        </w:rPr>
        <w:t xml:space="preserve"> </w:t>
      </w:r>
      <w:r w:rsidR="001C4471">
        <w:rPr>
          <w:rFonts w:ascii="Calibri" w:eastAsia="等线" w:hAnsi="Calibri" w:cs="Calibri"/>
        </w:rPr>
        <w:t xml:space="preserve">the </w:t>
      </w:r>
      <w:r w:rsidRPr="001C513B">
        <w:rPr>
          <w:rFonts w:ascii="Calibri" w:eastAsia="等线" w:hAnsi="Calibri" w:cs="Calibri"/>
        </w:rPr>
        <w:t>TiZrHfTa</w:t>
      </w:r>
      <w:r w:rsidRPr="001C513B">
        <w:rPr>
          <w:rFonts w:ascii="Calibri" w:eastAsia="等线" w:hAnsi="Calibri" w:cs="Calibri"/>
          <w:vertAlign w:val="subscript"/>
        </w:rPr>
        <w:t>0.6</w:t>
      </w:r>
      <w:r w:rsidRPr="001C513B">
        <w:rPr>
          <w:rFonts w:ascii="Calibri" w:eastAsia="等线" w:hAnsi="Calibri" w:cs="Calibri"/>
        </w:rPr>
        <w:t xml:space="preserve"> </w:t>
      </w:r>
      <w:r>
        <w:rPr>
          <w:rFonts w:ascii="Calibri" w:eastAsia="等线" w:hAnsi="Calibri" w:cs="Calibri"/>
        </w:rPr>
        <w:t>composition</w:t>
      </w:r>
      <w:r w:rsidR="001C4471">
        <w:rPr>
          <w:rFonts w:ascii="Calibri" w:eastAsia="等线" w:hAnsi="Calibri" w:cs="Calibri"/>
        </w:rPr>
        <w:t>,</w:t>
      </w:r>
      <w:r>
        <w:rPr>
          <w:rFonts w:ascii="Calibri" w:eastAsia="等线" w:hAnsi="Calibri" w:cs="Calibri"/>
        </w:rPr>
        <w:t xml:space="preserve"> which was found to</w:t>
      </w:r>
      <w:r w:rsidRPr="001C513B">
        <w:rPr>
          <w:rFonts w:ascii="Calibri" w:eastAsia="等线" w:hAnsi="Calibri" w:cs="Calibri"/>
        </w:rPr>
        <w:t xml:space="preserve"> exhibit </w:t>
      </w:r>
      <w:r>
        <w:rPr>
          <w:rFonts w:ascii="Calibri" w:eastAsia="等线" w:hAnsi="Calibri" w:cs="Calibri"/>
        </w:rPr>
        <w:t xml:space="preserve">a </w:t>
      </w:r>
      <w:r w:rsidRPr="001C513B">
        <w:rPr>
          <w:rFonts w:ascii="Calibri" w:eastAsia="等线" w:hAnsi="Calibri" w:cs="Calibri"/>
        </w:rPr>
        <w:t xml:space="preserve">plateau in </w:t>
      </w:r>
      <w:r>
        <w:rPr>
          <w:rFonts w:ascii="Calibri" w:eastAsia="等线" w:hAnsi="Calibri" w:cs="Calibri"/>
        </w:rPr>
        <w:t xml:space="preserve">the </w:t>
      </w:r>
      <w:r w:rsidR="00FC7323">
        <w:rPr>
          <w:rFonts w:ascii="Calibri" w:eastAsia="等线" w:hAnsi="Calibri" w:cs="Calibri"/>
        </w:rPr>
        <w:t>work</w:t>
      </w:r>
      <w:r w:rsidRPr="001C513B">
        <w:rPr>
          <w:rFonts w:ascii="Calibri" w:eastAsia="等线" w:hAnsi="Calibri" w:cs="Calibri"/>
        </w:rPr>
        <w:t xml:space="preserve"> hardening curve after yield</w:t>
      </w:r>
      <w:r>
        <w:rPr>
          <w:rFonts w:ascii="Calibri" w:eastAsia="等线" w:hAnsi="Calibri" w:cs="Calibri"/>
        </w:rPr>
        <w:t>, it is clear from Fig. 5-6 that</w:t>
      </w:r>
      <w:r w:rsidRPr="001C513B">
        <w:rPr>
          <w:rFonts w:ascii="Calibri" w:eastAsia="等线" w:hAnsi="Calibri" w:cs="Calibri"/>
        </w:rPr>
        <w:t xml:space="preserve"> TWIP </w:t>
      </w:r>
      <w:r>
        <w:rPr>
          <w:rFonts w:ascii="Calibri" w:eastAsia="等线" w:hAnsi="Calibri" w:cs="Calibri"/>
        </w:rPr>
        <w:t>occurred with both</w:t>
      </w:r>
      <w:r w:rsidRPr="001C513B">
        <w:rPr>
          <w:rFonts w:ascii="Calibri" w:eastAsia="等线" w:hAnsi="Calibri" w:cs="Calibri"/>
        </w:rPr>
        <w:t xml:space="preserve"> {332}</w:t>
      </w:r>
      <w:r w:rsidRPr="001C513B">
        <w:rPr>
          <w:rFonts w:ascii="Calibri" w:eastAsia="等线" w:hAnsi="Calibri" w:cs="Calibri"/>
          <w:vertAlign w:val="subscript"/>
        </w:rPr>
        <w:t>β</w:t>
      </w:r>
      <w:r w:rsidRPr="001C513B">
        <w:rPr>
          <w:rFonts w:ascii="Calibri" w:eastAsia="等线" w:hAnsi="Calibri" w:cs="Calibri"/>
        </w:rPr>
        <w:t xml:space="preserve"> and {112}</w:t>
      </w:r>
      <w:r w:rsidRPr="001C513B">
        <w:rPr>
          <w:rFonts w:ascii="Calibri" w:eastAsia="等线" w:hAnsi="Calibri" w:cs="Calibri"/>
          <w:vertAlign w:val="subscript"/>
        </w:rPr>
        <w:t>β</w:t>
      </w:r>
      <w:r w:rsidRPr="001C513B">
        <w:rPr>
          <w:rFonts w:ascii="Calibri" w:eastAsia="等线" w:hAnsi="Calibri" w:cs="Calibri"/>
          <w:sz w:val="18"/>
          <w:szCs w:val="18"/>
        </w:rPr>
        <w:t xml:space="preserve"> </w:t>
      </w:r>
      <w:r>
        <w:rPr>
          <w:rFonts w:ascii="Calibri" w:eastAsia="等线" w:hAnsi="Calibri" w:cs="Calibri"/>
        </w:rPr>
        <w:t xml:space="preserve">mechanical </w:t>
      </w:r>
      <w:r w:rsidRPr="001C513B">
        <w:rPr>
          <w:rFonts w:ascii="Calibri" w:eastAsia="等线" w:hAnsi="Calibri" w:cs="Calibri"/>
        </w:rPr>
        <w:t xml:space="preserve">twinning </w:t>
      </w:r>
      <w:r>
        <w:rPr>
          <w:rFonts w:ascii="Calibri" w:eastAsia="等线" w:hAnsi="Calibri" w:cs="Calibri"/>
        </w:rPr>
        <w:t>being</w:t>
      </w:r>
      <w:r w:rsidRPr="001C513B">
        <w:rPr>
          <w:rFonts w:ascii="Calibri" w:eastAsia="等线" w:hAnsi="Calibri" w:cs="Calibri"/>
        </w:rPr>
        <w:t xml:space="preserve"> observed. Next to the {332}</w:t>
      </w:r>
      <w:r w:rsidRPr="001C513B">
        <w:rPr>
          <w:rFonts w:ascii="Calibri" w:eastAsia="等线" w:hAnsi="Calibri" w:cs="Calibri"/>
          <w:vertAlign w:val="subscript"/>
        </w:rPr>
        <w:t>β</w:t>
      </w:r>
      <w:r w:rsidRPr="001C513B">
        <w:rPr>
          <w:rFonts w:ascii="Calibri" w:eastAsia="等线" w:hAnsi="Calibri" w:cs="Calibri"/>
        </w:rPr>
        <w:t xml:space="preserve"> twin</w:t>
      </w:r>
      <w:r>
        <w:rPr>
          <w:rFonts w:ascii="Calibri" w:eastAsia="等线" w:hAnsi="Calibri" w:cs="Calibri"/>
        </w:rPr>
        <w:t>ning</w:t>
      </w:r>
      <w:r w:rsidRPr="001C513B">
        <w:rPr>
          <w:rFonts w:ascii="Calibri" w:eastAsia="等线" w:hAnsi="Calibri" w:cs="Calibri"/>
        </w:rPr>
        <w:t xml:space="preserve"> variant, the {112}</w:t>
      </w:r>
      <w:r w:rsidRPr="001C513B">
        <w:rPr>
          <w:rFonts w:ascii="Calibri" w:eastAsia="等线" w:hAnsi="Calibri" w:cs="Calibri"/>
          <w:vertAlign w:val="subscript"/>
        </w:rPr>
        <w:t>β</w:t>
      </w:r>
      <w:r w:rsidRPr="001C513B">
        <w:rPr>
          <w:rFonts w:ascii="Calibri" w:eastAsia="等线" w:hAnsi="Calibri" w:cs="Calibri"/>
        </w:rPr>
        <w:t xml:space="preserve"> twinning</w:t>
      </w:r>
      <w:r>
        <w:rPr>
          <w:rFonts w:ascii="Calibri" w:eastAsia="等线" w:hAnsi="Calibri" w:cs="Calibri"/>
        </w:rPr>
        <w:t xml:space="preserve"> variant</w:t>
      </w:r>
      <w:r w:rsidRPr="001C513B">
        <w:rPr>
          <w:rFonts w:ascii="Calibri" w:eastAsia="等线" w:hAnsi="Calibri" w:cs="Calibri"/>
        </w:rPr>
        <w:t xml:space="preserve"> was indexed. Identical to the feature captured by EBSD in TiZrHfTa</w:t>
      </w:r>
      <w:r w:rsidRPr="001C513B">
        <w:rPr>
          <w:rFonts w:ascii="Calibri" w:eastAsia="等线" w:hAnsi="Calibri" w:cs="Calibri"/>
          <w:vertAlign w:val="subscript"/>
        </w:rPr>
        <w:t xml:space="preserve">0.8 </w:t>
      </w:r>
      <w:r w:rsidRPr="001C513B">
        <w:rPr>
          <w:rFonts w:ascii="Calibri" w:eastAsia="等线" w:hAnsi="Calibri" w:cs="Calibri"/>
        </w:rPr>
        <w:t xml:space="preserve">at </w:t>
      </w:r>
      <w:r w:rsidRPr="001C513B">
        <w:rPr>
          <w:rFonts w:ascii="Calibri" w:eastAsia="等线" w:hAnsi="Calibri" w:cs="Times New Roman"/>
        </w:rPr>
        <w:t>Fig. 5-2(b)</w:t>
      </w:r>
      <w:r w:rsidRPr="001C513B">
        <w:rPr>
          <w:rFonts w:ascii="Calibri" w:eastAsia="等线" w:hAnsi="Calibri" w:cs="Calibri"/>
        </w:rPr>
        <w:t>, this special entangled {332}</w:t>
      </w:r>
      <w:r w:rsidRPr="001C513B">
        <w:rPr>
          <w:rFonts w:ascii="Calibri" w:eastAsia="等线" w:hAnsi="Calibri" w:cs="Calibri"/>
          <w:vertAlign w:val="subscript"/>
        </w:rPr>
        <w:t>β</w:t>
      </w:r>
      <w:r w:rsidRPr="001C513B">
        <w:rPr>
          <w:rFonts w:ascii="Calibri" w:eastAsia="等线" w:hAnsi="Calibri" w:cs="Calibri"/>
        </w:rPr>
        <w:t xml:space="preserve"> and {112}</w:t>
      </w:r>
      <w:r w:rsidRPr="001C513B">
        <w:rPr>
          <w:rFonts w:ascii="Calibri" w:eastAsia="等线" w:hAnsi="Calibri" w:cs="Calibri"/>
          <w:vertAlign w:val="subscript"/>
        </w:rPr>
        <w:t>β</w:t>
      </w:r>
      <w:r w:rsidRPr="001C513B">
        <w:rPr>
          <w:rFonts w:ascii="Calibri" w:eastAsia="等线" w:hAnsi="Calibri" w:cs="Calibri"/>
          <w:sz w:val="18"/>
          <w:szCs w:val="18"/>
        </w:rPr>
        <w:t xml:space="preserve"> </w:t>
      </w:r>
      <w:r w:rsidRPr="001C513B">
        <w:rPr>
          <w:rFonts w:ascii="Calibri" w:eastAsia="等线" w:hAnsi="Calibri" w:cs="Calibri"/>
        </w:rPr>
        <w:t>twinning feature was observed in various β Ti-alloy</w:t>
      </w:r>
      <w:r w:rsidR="001C4471">
        <w:rPr>
          <w:rFonts w:ascii="Calibri" w:eastAsia="等线" w:hAnsi="Calibri" w:cs="Calibri"/>
        </w:rPr>
        <w:t>s</w:t>
      </w:r>
      <w:r>
        <w:rPr>
          <w:rFonts w:ascii="Calibri" w:eastAsia="等线" w:hAnsi="Calibri" w:cs="Calibri"/>
        </w:rPr>
        <w:t xml:space="preserve"> </w:t>
      </w:r>
      <w:r w:rsidRPr="001C513B">
        <w:rPr>
          <w:rFonts w:ascii="Calibri" w:eastAsia="等线" w:hAnsi="Calibri" w:cs="Calibri"/>
        </w:rPr>
        <w:fldChar w:fldCharType="begin" w:fldLock="1"/>
      </w:r>
      <w:r>
        <w:rPr>
          <w:rFonts w:ascii="Calibri" w:eastAsia="等线" w:hAnsi="Calibri" w:cs="Calibri"/>
        </w:rPr>
        <w:instrText>ADDIN CSL_CITATION {"citationItems":[{"id":"ITEM-1","itemData":{"DOI":"10.1016/j.actamat.2016.03.040","ISBN":"13596454","ISSN":"13596454","abstract":"{332} twinning, an unusual twinning mode in other body-centered cubic (bcc) metals and alloys, has been demonstrated to be a fundamental deformation mode in bcc metastable β titanium alloys. Recent studies suggest that this twinning mode plays an important role in enhancing the work hardening and thus improving the mechanical properties. Here, we studied the mechanism of this twinning mode in a metastable β Ti-36Nb-2Ta-3Zr (wt.%) alloy. Tensile tests were performed to induce the formation of {332} twins. By using electron backscatter diffraction, transmission electron microscopy and in situ scanning electron</w:instrText>
      </w:r>
      <w:r>
        <w:rPr>
          <w:rFonts w:ascii="Calibri" w:eastAsia="等线" w:hAnsi="Calibri" w:cs="Calibri" w:hint="eastAsia"/>
        </w:rPr>
        <w:instrText xml:space="preserve"> microscopy, the surface-to-bulk microstructures and the initiation and propagation of {332} twins were investigated. In addition to the previously reported high densities of straight dislocations within the twin, we have observed that an </w:instrText>
      </w:r>
      <w:r>
        <w:rPr>
          <w:rFonts w:ascii="Calibri" w:eastAsia="等线" w:hAnsi="Calibri" w:cs="Calibri" w:hint="eastAsia"/>
        </w:rPr>
        <w:instrText>α″</w:instrText>
      </w:r>
      <w:r>
        <w:rPr>
          <w:rFonts w:ascii="Calibri" w:eastAsia="等线" w:hAnsi="Calibri" w:cs="Calibri" w:hint="eastAsia"/>
        </w:rPr>
        <w:instrText xml:space="preserve"> martensite band is present near the surface adjacent to the twin. During annealing at 900</w:instrText>
      </w:r>
      <w:r>
        <w:rPr>
          <w:rFonts w:ascii="Calibri" w:eastAsia="等线" w:hAnsi="Calibri" w:cs="Calibri" w:hint="eastAsia"/>
        </w:rPr>
        <w:instrText>°</w:instrText>
      </w:r>
      <w:r>
        <w:rPr>
          <w:rFonts w:ascii="Calibri" w:eastAsia="等线" w:hAnsi="Calibri" w:cs="Calibri" w:hint="eastAsia"/>
        </w:rPr>
        <w:instrText xml:space="preserve">C, the </w:instrText>
      </w:r>
      <w:r>
        <w:rPr>
          <w:rFonts w:ascii="Calibri" w:eastAsia="等线" w:hAnsi="Calibri" w:cs="Calibri" w:hint="eastAsia"/>
        </w:rPr>
        <w:instrText>α″</w:instrText>
      </w:r>
      <w:r>
        <w:rPr>
          <w:rFonts w:ascii="Calibri" w:eastAsia="等线" w:hAnsi="Calibri" w:cs="Calibri" w:hint="eastAsia"/>
        </w:rPr>
        <w:instrText xml:space="preserve"> martensite band transforms into the adjacent twin rather than into the matrix, indicating that {332} twin nucleates within </w:instrText>
      </w:r>
      <w:r>
        <w:rPr>
          <w:rFonts w:ascii="Calibri" w:eastAsia="等线" w:hAnsi="Calibri" w:cs="Calibri" w:hint="eastAsia"/>
        </w:rPr>
        <w:instrText>α″</w:instrText>
      </w:r>
      <w:r>
        <w:rPr>
          <w:rFonts w:ascii="Calibri" w:eastAsia="等线" w:hAnsi="Calibri" w:cs="Calibri" w:hint="eastAsia"/>
        </w:rPr>
        <w:instrText xml:space="preserve"> martensite. Further evidence for this is the constitution of the twin in the initial stage of its formation, where the first portion formed consists of </w:instrText>
      </w:r>
      <w:r>
        <w:rPr>
          <w:rFonts w:ascii="Calibri" w:eastAsia="等线" w:hAnsi="Calibri" w:cs="Calibri" w:hint="eastAsia"/>
        </w:rPr>
        <w:instrText>α″</w:instrText>
      </w:r>
      <w:r>
        <w:rPr>
          <w:rFonts w:ascii="Calibri" w:eastAsia="等线" w:hAnsi="Calibri" w:cs="Calibri" w:hint="eastAsia"/>
        </w:rPr>
        <w:instrText xml:space="preserve"> martensite. During propagation, the twins propagating to the opposite directions can merge together when their lateral boundaries impinge on each other. Based on the experimental observations, an </w:instrText>
      </w:r>
      <w:r>
        <w:rPr>
          <w:rFonts w:ascii="Calibri" w:eastAsia="等线" w:hAnsi="Calibri" w:cs="Calibri" w:hint="eastAsia"/>
        </w:rPr>
        <w:instrText>α″</w:instrText>
      </w:r>
      <w:r>
        <w:rPr>
          <w:rFonts w:ascii="Calibri" w:eastAsia="等线" w:hAnsi="Calibri" w:cs="Calibri" w:hint="eastAsia"/>
        </w:rPr>
        <w:instrText>-assisted twinning mechanism is proposed and the origin of the dislocations within {332} twin is discussed accordingly.","author":[{"dropping-particle":"","family":"Lai","given":"M. J.","non-dropping</w:instrText>
      </w:r>
      <w:r>
        <w:rPr>
          <w:rFonts w:ascii="Calibri" w:eastAsia="等线" w:hAnsi="Calibri" w:cs="Calibri"/>
        </w:rPr>
        <w:instrText>-particle":"","parse-names":false,"suffix":""},{"dropping-particle":"","family":"Tasan","given":"C. C.","non-dropping-particle":"","parse-names":false,"suffix":""},{"dropping-particle":"","family":"Raabe","given":"D.","non-dropping-particle":"","parse-names":false,"suffix":""}],"container-title":"Acta Materialia","id":"ITEM-1","issued":{"date-parts":[["2016"]]},"title":"On the mechanism of {332} twinning in metastable β titanium alloys","type":"article-journal"},"uris":["http://www.mendeley.com/documents/?uuid=6b9cdc24-7719-4876-bc9a-cd2475f9c32b"]},{"id":"ITEM-2","itemData":{"DOI":"10.1016/j.actamat.2018.04.035","ISBN":"13596454","ISSN":"13596454","abstract":"Metastable β titanium alloys with both twinning (TWIP) and martensite transformation (TRIP) usually exhibit a low yield strength of between 200 and 500 MPa, but high strain hardening rate and large uniform elongation. Alloys that exhibit twinning on a single system provide a higher yield strength, but a lower strain hardening rate. Here, for the first time, we report a new alloy (Ti-7Mo-3Cr wt%) with both high yield strength (695 MPa) and high work hardening rate (</w:instrText>
      </w:r>
      <w:r>
        <w:rPr>
          <w:rFonts w:ascii="Cambria Math" w:eastAsia="等线" w:hAnsi="Cambria Math" w:cs="Cambria Math"/>
        </w:rPr>
        <w:instrText>∼</w:instrText>
      </w:r>
      <w:r>
        <w:rPr>
          <w:rFonts w:ascii="Calibri" w:eastAsia="等线" w:hAnsi="Calibri" w:cs="Calibri"/>
        </w:rPr>
        <w:instrText>1900 MPa) and a substantial 33.3% uniform elongation. The deformation mechanisms were systematically investigated using EBSD and TEM for samples strained to 1.3%, 5% and 16%. The high yield strength was achieved through initial deformation mechanisms of two twin systems, namely both {332}&lt;113&gt; and {112}&lt;111&gt; twinning. Importantly, the martensite transformation was suppressed at this stage of deformation. The combination of two twin systems, with approximately the same intensity, resulted in a high strain hardening rate (1600 MPa–1900 MPa), much greater compared to alloys that exhibit a single twin system. Moreover, the TRIP effect was observed at strains greater than 5%, which also contributed to the high strain hardening rate large uniform elongation.","author":[{"dropping-particle":"","family":"Gao","given":"Junheng","non-dropping-particle":"","parse-names":false,"suffix":""},{"dropping-particle":"","family":"Huang","given":"Yuhe","non-dropping-particle":"","parse-names":false,"suffix":""},{"dropping-particle":"","family":"Guan","given":"Dikai","non-dropping-particle":"","parse-names":false,"suffix":""},{"dropping-particle":"","family":"Knowles","given":"Alexander J.","non-dropping-particle":"","parse-names":false,"suffix":""},{"dropping-particle":"","family":"Ma","given":"Le","non-dropping-particle":"","parse-names":false,"suffix":""},{"dropping-particle":"","family":"Dye","given":"David","non-dropping-particle":"","parse-names":false,"suffix":""},{"dropping-particle":"","family":"Rainforth","given":"W. Mark","non-dropping-particle":"","parse-names":false,"suffix":""}],"container-title":"Acta Materialia","id":"ITEM-2","issued":{"date-parts":[["2018"]]},"title":"Deformation mechanisms in a metastable beta titanium twinning induced plasticity alloy with high yield strength and high strain hardening rate","type":"article-journal"},"uris":["http://www.mendeley.com/documents/?uuid=61884fa3-bc3d-41ec-b961-ed37ce5c3470","http://www.mendeley.com/documents/?uuid=ceb35e6f-14d7-475d-957b-f4c504e6fc30"]}],"mendeley":{"formattedCitation":"[42,43]","plainTextFormattedCitation":"[42,43]","previouslyFormattedCitation":"[42,43]"},"properties":{"noteIndex":0},"schema":"https://github.com/citation-style-language/schema/raw/master/csl-citation.json"}</w:instrText>
      </w:r>
      <w:r w:rsidRPr="001C513B">
        <w:rPr>
          <w:rFonts w:ascii="Calibri" w:eastAsia="等线" w:hAnsi="Calibri" w:cs="Calibri"/>
        </w:rPr>
        <w:fldChar w:fldCharType="separate"/>
      </w:r>
      <w:r w:rsidRPr="001C513B">
        <w:rPr>
          <w:rFonts w:ascii="Calibri" w:eastAsia="等线" w:hAnsi="Calibri" w:cs="Calibri"/>
          <w:noProof/>
        </w:rPr>
        <w:t>[42,43]</w:t>
      </w:r>
      <w:r w:rsidRPr="001C513B">
        <w:rPr>
          <w:rFonts w:ascii="Calibri" w:eastAsia="等线" w:hAnsi="Calibri" w:cs="Calibri"/>
        </w:rPr>
        <w:fldChar w:fldCharType="end"/>
      </w:r>
      <w:r w:rsidR="001C4471">
        <w:rPr>
          <w:rFonts w:ascii="Calibri" w:eastAsia="等线" w:hAnsi="Calibri" w:cs="Calibri"/>
        </w:rPr>
        <w:t>,</w:t>
      </w:r>
      <w:r w:rsidRPr="001C513B">
        <w:rPr>
          <w:rFonts w:ascii="Calibri" w:eastAsia="等线" w:hAnsi="Calibri" w:cs="Calibri"/>
        </w:rPr>
        <w:t xml:space="preserve"> result</w:t>
      </w:r>
      <w:r w:rsidR="001C4471">
        <w:rPr>
          <w:rFonts w:ascii="Calibri" w:eastAsia="等线" w:hAnsi="Calibri" w:cs="Calibri"/>
        </w:rPr>
        <w:t>ing</w:t>
      </w:r>
      <w:r w:rsidRPr="001C513B">
        <w:rPr>
          <w:rFonts w:ascii="Calibri" w:eastAsia="等线" w:hAnsi="Calibri" w:cs="Calibri"/>
        </w:rPr>
        <w:t xml:space="preserve"> in </w:t>
      </w:r>
      <w:r>
        <w:rPr>
          <w:rFonts w:ascii="Calibri" w:eastAsia="等线" w:hAnsi="Calibri" w:cs="Calibri"/>
        </w:rPr>
        <w:t xml:space="preserve">significantly increased </w:t>
      </w:r>
      <w:r w:rsidR="00FC7323">
        <w:rPr>
          <w:rFonts w:ascii="Calibri" w:eastAsia="等线" w:hAnsi="Calibri" w:cs="Calibri"/>
        </w:rPr>
        <w:t>work</w:t>
      </w:r>
      <w:r>
        <w:rPr>
          <w:rFonts w:ascii="Calibri" w:eastAsia="等线" w:hAnsi="Calibri" w:cs="Calibri"/>
        </w:rPr>
        <w:t xml:space="preserve"> hardening of the material.</w:t>
      </w:r>
      <w:r w:rsidRPr="001C513B">
        <w:rPr>
          <w:rFonts w:ascii="Calibri" w:eastAsia="等线" w:hAnsi="Calibri" w:cs="Calibri"/>
        </w:rPr>
        <w:t xml:space="preserve"> The effect of TRIP bec</w:t>
      </w:r>
      <w:r>
        <w:rPr>
          <w:rFonts w:ascii="Calibri" w:eastAsia="等线" w:hAnsi="Calibri" w:cs="Calibri"/>
        </w:rPr>
        <w:t>a</w:t>
      </w:r>
      <w:r w:rsidRPr="001C513B">
        <w:rPr>
          <w:rFonts w:ascii="Calibri" w:eastAsia="等线" w:hAnsi="Calibri" w:cs="Calibri"/>
        </w:rPr>
        <w:t>me more obvious in TiZrHfTa</w:t>
      </w:r>
      <w:r w:rsidRPr="001C513B">
        <w:rPr>
          <w:rFonts w:ascii="Calibri" w:eastAsia="等线" w:hAnsi="Calibri" w:cs="Calibri"/>
          <w:vertAlign w:val="subscript"/>
        </w:rPr>
        <w:t xml:space="preserve">0.6 </w:t>
      </w:r>
      <w:r w:rsidRPr="001C513B">
        <w:rPr>
          <w:rFonts w:ascii="Calibri" w:eastAsia="等线" w:hAnsi="Calibri" w:cs="Calibri"/>
        </w:rPr>
        <w:t>and result</w:t>
      </w:r>
      <w:r>
        <w:rPr>
          <w:rFonts w:ascii="Calibri" w:eastAsia="等线" w:hAnsi="Calibri" w:cs="Calibri"/>
        </w:rPr>
        <w:t>ed</w:t>
      </w:r>
      <w:r w:rsidRPr="001C513B">
        <w:rPr>
          <w:rFonts w:ascii="Calibri" w:eastAsia="等线" w:hAnsi="Calibri" w:cs="Calibri"/>
        </w:rPr>
        <w:t xml:space="preserve"> in the activation of self-accommodation twinning</w:t>
      </w:r>
      <w:r w:rsidR="001C4471">
        <w:rPr>
          <w:rFonts w:ascii="Calibri" w:eastAsia="等线" w:hAnsi="Calibri" w:cs="Calibri"/>
        </w:rPr>
        <w:t>,</w:t>
      </w:r>
      <w:r w:rsidRPr="001C513B">
        <w:rPr>
          <w:rFonts w:ascii="Calibri" w:eastAsia="等线" w:hAnsi="Calibri" w:cs="Calibri"/>
        </w:rPr>
        <w:t xml:space="preserve"> as indexed in </w:t>
      </w:r>
      <w:r w:rsidRPr="001C513B">
        <w:rPr>
          <w:rFonts w:ascii="Calibri" w:eastAsia="等线" w:hAnsi="Calibri" w:cs="Times New Roman"/>
        </w:rPr>
        <w:t>Fig. 5-7</w:t>
      </w:r>
      <w:r w:rsidRPr="001C513B">
        <w:rPr>
          <w:rFonts w:ascii="Calibri" w:eastAsia="等线" w:hAnsi="Calibri" w:cs="Calibri"/>
        </w:rPr>
        <w:t>. Type I {111}</w:t>
      </w:r>
      <w:r w:rsidRPr="001C513B">
        <w:rPr>
          <w:rFonts w:ascii="Calibri" w:eastAsia="等线" w:hAnsi="Calibri" w:cs="Calibri"/>
          <w:vertAlign w:val="subscript"/>
        </w:rPr>
        <w:t>α’’</w:t>
      </w:r>
      <w:r w:rsidRPr="001C513B">
        <w:rPr>
          <w:rFonts w:ascii="Calibri" w:eastAsia="等线" w:hAnsi="Calibri" w:cs="Calibri"/>
        </w:rPr>
        <w:t xml:space="preserve"> twinning is commonly observed in most TRIP metastable β-Ti alloy</w:t>
      </w:r>
      <w:r>
        <w:rPr>
          <w:rFonts w:ascii="Calibri" w:eastAsia="等线" w:hAnsi="Calibri" w:cs="Calibri"/>
        </w:rPr>
        <w:t xml:space="preserve">s </w:t>
      </w:r>
      <w:r w:rsidRPr="001C513B">
        <w:rPr>
          <w:rFonts w:ascii="Calibri" w:eastAsia="等线" w:hAnsi="Calibri" w:cs="Calibri"/>
        </w:rPr>
        <w:fldChar w:fldCharType="begin" w:fldLock="1"/>
      </w:r>
      <w:r>
        <w:rPr>
          <w:rFonts w:ascii="Calibri" w:eastAsia="等线" w:hAnsi="Calibri" w:cs="Calibri" w:hint="eastAsia"/>
        </w:rPr>
        <w:instrText xml:space="preserve">ADDIN CSL_CITATION {"citationItems":[{"id":"ITEM-1","itemData":{"DOI":"10.1016/j.actamat.2009.04.051","ISBN":"0000000000","ISSN":"13596454","PMID":"30089621","abstract":"Self-accommodation morphology of the </w:instrText>
      </w:r>
      <w:r>
        <w:rPr>
          <w:rFonts w:ascii="Calibri" w:eastAsia="等线" w:hAnsi="Calibri" w:cs="Calibri" w:hint="eastAsia"/>
        </w:rPr>
        <w:instrText>α″</w:instrText>
      </w:r>
      <w:r>
        <w:rPr>
          <w:rFonts w:ascii="Calibri" w:eastAsia="等线" w:hAnsi="Calibri" w:cs="Calibri" w:hint="eastAsia"/>
        </w:rPr>
        <w:instrText xml:space="preserve">martensites in Ti-Nb shape memory alloys with </w:instrText>
      </w:r>
      <w:r>
        <w:rPr>
          <w:rFonts w:ascii="Calibri" w:eastAsia="等线" w:hAnsi="Calibri" w:cs="Calibri"/>
        </w:rPr>
        <w:instrText>Nb content ranging from 20 to 24 at.% was investigated. Hollow and solid triangular morphologies consisting of three α</w:instrText>
      </w:r>
      <w:r>
        <w:rPr>
          <w:rFonts w:ascii="Calibri" w:eastAsia="等线" w:hAnsi="Calibri" w:cs="Calibri" w:hint="eastAsia"/>
        </w:rPr>
        <w:instrText>″</w:instrText>
      </w:r>
      <w:r>
        <w:rPr>
          <w:rFonts w:ascii="Calibri" w:eastAsia="等线" w:hAnsi="Calibri" w:cs="Calibri"/>
        </w:rPr>
        <w:instrText>variants were found to be the α</w:instrText>
      </w:r>
      <w:r>
        <w:rPr>
          <w:rFonts w:ascii="Calibri" w:eastAsia="等线" w:hAnsi="Calibri" w:cs="Calibri" w:hint="eastAsia"/>
        </w:rPr>
        <w:instrText>″</w:instrText>
      </w:r>
      <w:r>
        <w:rPr>
          <w:rFonts w:ascii="Calibri" w:eastAsia="等线" w:hAnsi="Calibri" w:cs="Calibri"/>
        </w:rPr>
        <w:instrText>self-accommodation morphologies. The α</w:instrText>
      </w:r>
      <w:r>
        <w:rPr>
          <w:rFonts w:ascii="Calibri" w:eastAsia="等线" w:hAnsi="Calibri" w:cs="Calibri" w:hint="eastAsia"/>
        </w:rPr>
        <w:instrText>″</w:instrText>
      </w:r>
      <w:r>
        <w:rPr>
          <w:rFonts w:ascii="Calibri" w:eastAsia="等线" w:hAnsi="Calibri" w:cs="Calibri"/>
        </w:rPr>
        <w:instrText>variants are related to each other by twinning on {1 over(1, ̄) 1</w:instrText>
      </w:r>
      <w:r>
        <w:rPr>
          <w:rFonts w:ascii="Calibri" w:eastAsia="等线" w:hAnsi="Calibri" w:cs="Calibri" w:hint="eastAsia"/>
        </w:rPr>
        <w:instrText>}</w:instrText>
      </w:r>
      <w:r>
        <w:rPr>
          <w:rFonts w:ascii="Calibri" w:eastAsia="等线" w:hAnsi="Calibri" w:cs="Calibri" w:hint="eastAsia"/>
        </w:rPr>
        <w:instrText>α″</w:instrText>
      </w:r>
      <w:r>
        <w:rPr>
          <w:rFonts w:ascii="Calibri" w:eastAsia="等线" w:hAnsi="Calibri" w:cs="Calibri" w:hint="eastAsia"/>
        </w:rPr>
        <w:instrText xml:space="preserve">. A V-shaped morphology consisting of two </w:instrText>
      </w:r>
      <w:r>
        <w:rPr>
          <w:rFonts w:ascii="Calibri" w:eastAsia="等线" w:hAnsi="Calibri" w:cs="Calibri" w:hint="eastAsia"/>
        </w:rPr>
        <w:instrText>α″</w:instrText>
      </w:r>
      <w:r>
        <w:rPr>
          <w:rFonts w:ascii="Calibri" w:eastAsia="等线" w:hAnsi="Calibri" w:cs="Calibri" w:hint="eastAsia"/>
        </w:rPr>
        <w:instrText xml:space="preserve">variants coupled with a solid triangular morphology consisting of three </w:instrText>
      </w:r>
      <w:r>
        <w:rPr>
          <w:rFonts w:ascii="Calibri" w:eastAsia="等线" w:hAnsi="Calibri" w:cs="Calibri" w:hint="eastAsia"/>
        </w:rPr>
        <w:instrText>α″</w:instrText>
      </w:r>
      <w:r>
        <w:rPr>
          <w:rFonts w:ascii="Calibri" w:eastAsia="等线" w:hAnsi="Calibri" w:cs="Calibri" w:hint="eastAsia"/>
        </w:rPr>
        <w:instrText xml:space="preserve">variants was found to be another type of self-accommodation morphology. The </w:instrText>
      </w:r>
      <w:r>
        <w:rPr>
          <w:rFonts w:ascii="Calibri" w:eastAsia="等线" w:hAnsi="Calibri" w:cs="Calibri" w:hint="eastAsia"/>
        </w:rPr>
        <w:instrText>α″</w:instrText>
      </w:r>
      <w:r>
        <w:rPr>
          <w:rFonts w:ascii="Calibri" w:eastAsia="等线" w:hAnsi="Calibri" w:cs="Calibri" w:hint="eastAsia"/>
        </w:rPr>
        <w:instrText>variants from the V-shaped morphology are related by twi</w:instrText>
      </w:r>
      <w:r>
        <w:rPr>
          <w:rFonts w:ascii="Calibri" w:eastAsia="等线" w:hAnsi="Calibri" w:cs="Calibri"/>
        </w:rPr>
        <w:instrText>nning on {1 1 1}α</w:instrText>
      </w:r>
      <w:r>
        <w:rPr>
          <w:rFonts w:ascii="Calibri" w:eastAsia="等线" w:hAnsi="Calibri" w:cs="Calibri" w:hint="eastAsia"/>
        </w:rPr>
        <w:instrText>″</w:instrText>
      </w:r>
      <w:r>
        <w:rPr>
          <w:rFonts w:ascii="Calibri" w:eastAsia="等线" w:hAnsi="Calibri" w:cs="Calibri"/>
        </w:rPr>
        <w:instrText>, whereas the α</w:instrText>
      </w:r>
      <w:r>
        <w:rPr>
          <w:rFonts w:ascii="Calibri" w:eastAsia="等线" w:hAnsi="Calibri" w:cs="Calibri" w:hint="eastAsia"/>
        </w:rPr>
        <w:instrText>″</w:instrText>
      </w:r>
      <w:r>
        <w:rPr>
          <w:rFonts w:ascii="Calibri" w:eastAsia="等线" w:hAnsi="Calibri" w:cs="Calibri"/>
        </w:rPr>
        <w:instrText>variants from the solid triangular morphology are related to each other by twinning on {1 over(1, ̄) 1}α</w:instrText>
      </w:r>
      <w:r>
        <w:rPr>
          <w:rFonts w:ascii="Calibri" w:eastAsia="等线" w:hAnsi="Calibri" w:cs="Calibri" w:hint="eastAsia"/>
        </w:rPr>
        <w:instrText>″</w:instrText>
      </w:r>
      <w:r>
        <w:rPr>
          <w:rFonts w:ascii="Calibri" w:eastAsia="等线" w:hAnsi="Calibri" w:cs="Calibri"/>
        </w:rPr>
        <w:instrText>. Pairs of crystallographically equivalent {1 over(1, ̄) 1}α</w:instrText>
      </w:r>
      <w:r>
        <w:rPr>
          <w:rFonts w:ascii="Calibri" w:eastAsia="等线" w:hAnsi="Calibri" w:cs="Calibri" w:hint="eastAsia"/>
        </w:rPr>
        <w:instrText>″</w:instrText>
      </w:r>
      <w:r>
        <w:rPr>
          <w:rFonts w:ascii="Calibri" w:eastAsia="等线" w:hAnsi="Calibri" w:cs="Calibri"/>
        </w:rPr>
        <w:instrText>twinning dislocations with steps of opposite signs were found to cause the overall orientation of the twinning terraces and steps to be parallel to the {1 over(1, ̄) 1}α</w:instrText>
      </w:r>
      <w:r>
        <w:rPr>
          <w:rFonts w:ascii="Calibri" w:eastAsia="等线" w:hAnsi="Calibri" w:cs="Calibri" w:hint="eastAsia"/>
        </w:rPr>
        <w:instrText>″</w:instrText>
      </w:r>
      <w:r>
        <w:rPr>
          <w:rFonts w:ascii="Calibri" w:eastAsia="等线" w:hAnsi="Calibri" w:cs="Calibri"/>
        </w:rPr>
        <w:instrText>twinning interface. © 2009 Acta Materialia Inc.","author":[{"dropping-particle":"","family":"Chai","given":"Y. W.","non-dropping-particle":"","parse-names":false,"suffix":""},{"dropping-particle":"","family":"Kim","given":"H. Y.","non-dropping-particle":"","parse-names":false,"suffix":""},{"dropping-particle":"","family":"Hosoda","given":"H.","non-dropping-particle":"","parse-names":false,"suffix":""},{"dropping-particle":"","family":"Miyazaki","given":"S.","non-dropping-particle":"","parse-names":false,"suffix":""}],"container-title":"Acta Materialia","id":"ITEM-1","issued":{"date-parts":[["2009"]]},"title":"Self-accommodation in Ti-Nb shape memory alloys","type":"article-journal"},"uris":["http://www.mendeley.com/documents/?uuid=95bc14ff-590f-4858-bc92-38df50f2c3ab"]},{"id":"ITEM-2","itemData":{"DOI":"10.1007/BF00375026","ISSN":"00039527","abstract":"The shape-memory effect is a phenomenon wherein an apparently plastically deformed specimen recovers all strain when heated above a critical temperature. This is observed in some crystalline solids that undergo martensitic phase transformation. The martensitic transformation is a temperature-induced, diffusionless solid-to-solid phase transformation involving a change in crystalline symmetry. Shape-memory materials are able to transform from the high-temperature austenite to the low-temperature martensite phase without any apparent change in shape. This is known as self-accommodation. Necessary and sufficient conditions that the lattice parameters of a material must satisfy for the material to form a self-accommodating microstructure are derived. The main result states that if the austenite is cubic, the material is self-accommodating if and only if the transformation is volume preserving. On the other hand, if the symmetry of the austenite is not cubic, it is not possible to construct any microstructure that is self-accommodating unless the transformation strain or the Bain strain satisfies additional, rather strict, conditions. These results show good agreement with the available experimental data. The analysis here is significantly different from previous studies because it makes no a priori assumption on the microstructure.","author":[{"dropping-particle":"","family":"Bhattacharya","given":"Kaushik","non-dropping-particle":"","parse-names":false,"suffix":""}],"container-title":"Archive for Rational Mechanics and Analysis","id":"ITEM-2","issued":{"date-parts":[["1992"]]},"title":"Self-accommodation in martensite","type":"article-journal"},"uris":["http://www.mendeley.com/documents/?uuid=2bd4c428-bcb4-43f7-93f3-ce99fdbda6f1"]},{"id":"ITEM-3","itemData":{"DOI":"10.1016/j.actamat.2015.12.001","</w:instrText>
      </w:r>
      <w:r>
        <w:rPr>
          <w:rFonts w:ascii="Calibri" w:eastAsia="等线" w:hAnsi="Calibri" w:cs="Calibri" w:hint="eastAsia"/>
        </w:rPr>
        <w:instrText xml:space="preserve">ISBN":"13596454","ISSN":"13596454","PMID":"10124575","abstract":"Deformation twinning of the Ti-25Ta-20Nb (mass%) shape memory alloy is characterized using EBSD and TEM. The selfaccommodating </w:instrText>
      </w:r>
      <w:r>
        <w:rPr>
          <w:rFonts w:ascii="Calibri" w:eastAsia="等线" w:hAnsi="Calibri" w:cs="Calibri" w:hint="eastAsia"/>
        </w:rPr>
        <w:instrText>α″</w:instrText>
      </w:r>
      <w:r>
        <w:rPr>
          <w:rFonts w:ascii="Calibri" w:eastAsia="等线" w:hAnsi="Calibri" w:cs="Calibri" w:hint="eastAsia"/>
        </w:rPr>
        <w:instrText xml:space="preserve"> microstructure is shown to be first deformed using {111}</w:instrText>
      </w:r>
      <w:r>
        <w:rPr>
          <w:rFonts w:ascii="Calibri" w:eastAsia="等线" w:hAnsi="Calibri" w:cs="Calibri" w:hint="eastAsia"/>
        </w:rPr>
        <w:instrText>α″</w:instrText>
      </w:r>
      <w:r>
        <w:rPr>
          <w:rFonts w:ascii="Calibri" w:eastAsia="等线" w:hAnsi="Calibri" w:cs="Calibri" w:hint="eastAsia"/>
        </w:rPr>
        <w:instrText xml:space="preserve"> type I and &lt;211&gt;</w:instrText>
      </w:r>
      <w:r>
        <w:rPr>
          <w:rFonts w:ascii="Calibri" w:eastAsia="等线" w:hAnsi="Calibri" w:cs="Calibri" w:hint="eastAsia"/>
        </w:rPr>
        <w:instrText>α″</w:instrText>
      </w:r>
      <w:r>
        <w:rPr>
          <w:rFonts w:ascii="Calibri" w:eastAsia="等线" w:hAnsi="Calibri" w:cs="Calibri" w:hint="eastAsia"/>
        </w:rPr>
        <w:instrText xml:space="preserve"> type II reorientation twinning. Plastic deformation occurs further by plastic twinning with a new {130}&lt;310&gt;</w:instrText>
      </w:r>
      <w:r>
        <w:rPr>
          <w:rFonts w:ascii="Calibri" w:eastAsia="等线" w:hAnsi="Calibri" w:cs="Calibri" w:hint="eastAsia"/>
        </w:rPr>
        <w:instrText>α″</w:instrText>
      </w:r>
      <w:r>
        <w:rPr>
          <w:rFonts w:ascii="Calibri" w:eastAsia="等线" w:hAnsi="Calibri" w:cs="Calibri" w:hint="eastAsia"/>
        </w:rPr>
        <w:instrText xml:space="preserve"> twinning system. Maximum lattice deformation calculation is a relevant parameter to predict the variant of martensite that is favored during the reorientation process. Conversely, Schmid factor analysis can be used to predict the selection of {130}&lt;310&gt;</w:instrText>
      </w:r>
      <w:r>
        <w:rPr>
          <w:rFonts w:ascii="Calibri" w:eastAsia="等线" w:hAnsi="Calibri" w:cs="Calibri" w:hint="eastAsia"/>
        </w:rPr>
        <w:instrText>α″</w:instrText>
      </w:r>
      <w:r>
        <w:rPr>
          <w:rFonts w:ascii="Calibri" w:eastAsia="等线" w:hAnsi="Calibri" w:cs="Calibri" w:hint="eastAsia"/>
        </w:rPr>
        <w:instrText xml:space="preserve"> twinning variants during deformation. Analogy between {130}&lt;310&gt;</w:instrText>
      </w:r>
      <w:r>
        <w:rPr>
          <w:rFonts w:ascii="Calibri" w:eastAsia="等线" w:hAnsi="Calibri" w:cs="Calibri" w:hint="eastAsia"/>
        </w:rPr>
        <w:instrText>α″</w:instrText>
      </w:r>
      <w:r>
        <w:rPr>
          <w:rFonts w:ascii="Calibri" w:eastAsia="等线" w:hAnsi="Calibri" w:cs="Calibri" w:hint="eastAsia"/>
        </w:rPr>
        <w:instrText xml:space="preserve"> and {332}&lt;113&gt;</w:instrText>
      </w:r>
      <w:r>
        <w:rPr>
          <w:rFonts w:ascii="Calibri" w:eastAsia="等线" w:hAnsi="Calibri" w:cs="Calibri" w:hint="eastAsia"/>
        </w:rPr>
        <w:instrText>β</w:instrText>
      </w:r>
      <w:r>
        <w:rPr>
          <w:rFonts w:ascii="Calibri" w:eastAsia="等线" w:hAnsi="Calibri" w:cs="Calibri" w:hint="eastAsia"/>
        </w:rPr>
        <w:instrText>twinning systems is highlighted.","author":</w:instrText>
      </w:r>
      <w:r>
        <w:rPr>
          <w:rFonts w:ascii="Calibri" w:eastAsia="等线" w:hAnsi="Calibri" w:cs="Calibri"/>
        </w:rPr>
        <w:instrText>[{"dropping-particle":"","family":"Bertrand","given":"Emmanuel","non-dropping-particle":"","parse-names":false,"suffix":""},{"dropping-particle":"","family":"Castany","given":"Philippe","non-dropping-particle":"","parse-names":false,"suffix":""},{"dropping-particle":"","family":"Yang","given":"Yang","non-dropping-particle":"","parse-names":false,"suffix":""},{"dropping-particle":"","family":"Menou","given":"Edern","non-dropping-particle":"","parse-names":false,"suffix":""},{"dropping-particle":"","family"</w:instrText>
      </w:r>
      <w:r>
        <w:rPr>
          <w:rFonts w:ascii="Calibri" w:eastAsia="等线" w:hAnsi="Calibri" w:cs="Calibri" w:hint="eastAsia"/>
        </w:rPr>
        <w:instrText>:"Gloriant","given":"Thierry","non-dropping-particle":"","parse-names":false,"suffix":""}],"container-title":"Acta Materialia","id":"ITEM-3","issued":{"date-parts":[["2016"]]},"title":"Deformation twinning in the full-</w:instrText>
      </w:r>
      <w:r>
        <w:rPr>
          <w:rFonts w:ascii="Calibri" w:eastAsia="等线" w:hAnsi="Calibri" w:cs="Calibri" w:hint="eastAsia"/>
        </w:rPr>
        <w:instrText>α″</w:instrText>
      </w:r>
      <w:r>
        <w:rPr>
          <w:rFonts w:ascii="Calibri" w:eastAsia="等线" w:hAnsi="Calibri" w:cs="Calibri" w:hint="eastAsia"/>
        </w:rPr>
        <w:instrText xml:space="preserve"> martensitic Ti-25Ta-20Nb shape mem</w:instrText>
      </w:r>
      <w:r>
        <w:rPr>
          <w:rFonts w:ascii="Calibri" w:eastAsia="等线" w:hAnsi="Calibri" w:cs="Calibri"/>
        </w:rPr>
        <w:instrText>ory alloy","type":"article-journal"},"uris":["http://www.mendeley.com/documents/?uuid=52547bef-0447-4f2d-a9c5-2bc8e04bf9a6"]}],"mendeley":{"formattedCitation":"[37,39,41]","plainTextFormattedCitation":"[37,39,41]","previouslyFormattedCitation":"[37,39,41]"},"properties":{"noteIndex":0},"schema":"https://github.com/citation-style-language/schema/raw/master/csl-citation.json"}</w:instrText>
      </w:r>
      <w:r w:rsidRPr="001C513B">
        <w:rPr>
          <w:rFonts w:ascii="Calibri" w:eastAsia="等线" w:hAnsi="Calibri" w:cs="Calibri"/>
        </w:rPr>
        <w:fldChar w:fldCharType="separate"/>
      </w:r>
      <w:r w:rsidRPr="001C513B">
        <w:rPr>
          <w:rFonts w:ascii="Calibri" w:eastAsia="等线" w:hAnsi="Calibri" w:cs="Calibri"/>
          <w:noProof/>
        </w:rPr>
        <w:t>[37,39,41]</w:t>
      </w:r>
      <w:r w:rsidRPr="001C513B">
        <w:rPr>
          <w:rFonts w:ascii="Calibri" w:eastAsia="等线" w:hAnsi="Calibri" w:cs="Calibri"/>
        </w:rPr>
        <w:fldChar w:fldCharType="end"/>
      </w:r>
      <w:r w:rsidRPr="001C513B">
        <w:rPr>
          <w:rFonts w:ascii="Calibri" w:eastAsia="等线" w:hAnsi="Calibri" w:cs="Calibri"/>
        </w:rPr>
        <w:t>. The antiphase boundary</w:t>
      </w:r>
      <w:r>
        <w:rPr>
          <w:rFonts w:ascii="Calibri" w:eastAsia="等线" w:hAnsi="Calibri" w:cs="Calibri"/>
        </w:rPr>
        <w:t xml:space="preserve"> </w:t>
      </w:r>
      <w:r w:rsidRPr="001C513B">
        <w:rPr>
          <w:rFonts w:ascii="Calibri" w:eastAsia="等线" w:hAnsi="Calibri" w:cs="Calibri"/>
        </w:rPr>
        <w:t>(APB)</w:t>
      </w:r>
      <w:r>
        <w:rPr>
          <w:rFonts w:ascii="Calibri" w:eastAsia="等线" w:hAnsi="Calibri" w:cs="Calibri"/>
        </w:rPr>
        <w:t>-</w:t>
      </w:r>
      <w:r w:rsidRPr="001C513B">
        <w:rPr>
          <w:rFonts w:ascii="Calibri" w:eastAsia="等线" w:hAnsi="Calibri" w:cs="Calibri"/>
        </w:rPr>
        <w:t xml:space="preserve">like stacking fault was also observed and </w:t>
      </w:r>
      <w:r w:rsidR="001C4471">
        <w:rPr>
          <w:rFonts w:ascii="Calibri" w:eastAsia="等线" w:hAnsi="Calibri" w:cs="Calibri"/>
        </w:rPr>
        <w:t xml:space="preserve">is </w:t>
      </w:r>
      <w:r w:rsidRPr="001C513B">
        <w:rPr>
          <w:rFonts w:ascii="Calibri" w:eastAsia="等线" w:hAnsi="Calibri" w:cs="Calibri"/>
        </w:rPr>
        <w:t xml:space="preserve">highlighted in </w:t>
      </w:r>
      <w:r w:rsidRPr="001C513B">
        <w:rPr>
          <w:rFonts w:ascii="Calibri" w:eastAsia="等线" w:hAnsi="Calibri" w:cs="Times New Roman"/>
        </w:rPr>
        <w:t xml:space="preserve">Fig. 5-7(c-d) </w:t>
      </w:r>
      <w:r w:rsidRPr="001C513B">
        <w:rPr>
          <w:rFonts w:ascii="Calibri" w:eastAsia="等线" w:hAnsi="Calibri" w:cs="Calibri"/>
        </w:rPr>
        <w:fldChar w:fldCharType="begin" w:fldLock="1"/>
      </w:r>
      <w:r>
        <w:rPr>
          <w:rFonts w:ascii="Calibri" w:eastAsia="等线" w:hAnsi="Calibri" w:cs="Calibri"/>
        </w:rPr>
        <w:instrText>ADDIN CSL_CITATION {"citationItems":[{"id":"ITEM-1","itemData":{"DOI":"10.1080/14786435.2010.489889","ISBN":"1478-6435","ISSN":"14786435","abstract":"The ordering and antiphase boundary (APB)-like fault found in the alpha''-martensite of beta-Ti shape memory alloys are studied. Long-range chemical ordering was not found, but APB-like faults were observed in every martensite plate studied by transmission electron microscopy. These faults have morphology similar to the APBs observed in ordered phases. The superlattice reflections observed in some previous works were a consequence of multiple diffractions. APB-like faults were not observed in the parent phase, leading to the conclusion that the faults were introduced by the martensite transformation. The fault took the form of a wavy tube running perpendicular to the habit plane. The fault was a 'transformation-induced APB' with an additional small displacement due to the pre-existing athermal omega phase. The displacement vector was determined to be [-3/50, -23/50, 1/2]. Geometrical aspects of the formation of APB-like faults are also discussed.","author":[{"dropping-particle":"","family":"Inamura","given":"Tomonari","non-dropping-particle":"","parse-names":false,"suffix":""},{"dropping-particle":"","family":"Hosoda","given":"Hideki","non-dropping-particle":"","parse-names":false,"suffix":""},{"dropping-particle":"","family":"Young Kim","given":"Hee","non-dropping-particle":"","parse-names":false,"suffix":""},{"dropping-particle":"","family":"Miyazaki","giv</w:instrText>
      </w:r>
      <w:r>
        <w:rPr>
          <w:rFonts w:ascii="Calibri" w:eastAsia="等线" w:hAnsi="Calibri" w:cs="Calibri" w:hint="eastAsia"/>
        </w:rPr>
        <w:instrText xml:space="preserve">en":"Shuichi","non-dropping-particle":"","parse-names":false,"suffix":""}],"container-title":"Philosophical Magazine","id":"ITEM-1","issued":{"date-parts":[["2010"]]},"title":"Antiphase boundary-like stacking fault in </w:instrText>
      </w:r>
      <w:r>
        <w:rPr>
          <w:rFonts w:ascii="Calibri" w:eastAsia="等线" w:hAnsi="Calibri" w:cs="Calibri" w:hint="eastAsia"/>
        </w:rPr>
        <w:instrText>α″</w:instrText>
      </w:r>
      <w:r>
        <w:rPr>
          <w:rFonts w:ascii="Calibri" w:eastAsia="等线" w:hAnsi="Calibri" w:cs="Calibri" w:hint="eastAsia"/>
        </w:rPr>
        <w:instrText>-martensite of disordered crystal s</w:instrText>
      </w:r>
      <w:r>
        <w:rPr>
          <w:rFonts w:ascii="Calibri" w:eastAsia="等线" w:hAnsi="Calibri" w:cs="Calibri"/>
        </w:rPr>
        <w:instrText>tructure in β-titanium shape memory alloy","type":"article-journal"},"uris":["http://www.mendeley.com/documents/?uuid=9c0b8923-b252-4d20-8016-eb789b499af0","http://www.mendeley.com/documents/?uuid=d373c238-151c-423d-96f9-6504ac70f1ff"]},{"id":"ITEM-2","itemData":{"DOI":"10.2466/PMS.110.1.257-264","ISBN":"9780873397452","ISSN":"0031-5125","abstract":"Antiphase boundary (APB) like defect in ??-martensite (Ccentered orthorhombic) was investigated by transmission electron microscopy (TEM) in Ti-Nb-Al ?-titanium shape memory alloy together with a re-examination of the extinction rule of the martensite phase. Curved plane faults which were similar in morphology to APB were observed in every martensite plate whereas it was not observed in the parent ?(bcc)-phase. The extinction rule was h+k=odd for hkl, h or l=odd for h0l and l=odd for 00l and matched to that of the disordered ??-structure with Cmcm space group which has been widely accepted. The appearance of 001., forbidden reflection which was regarded as the evidence of atomic ordering in some previous reports was found to be a result of the multiple diffraction in TEM. The APBlike fault is, therefore, not APB by order-disorder transition but a fault introduced during the transformation. The conventional g.R analysis revealed that the displacement vector of the fault, R, has three non-zero components as [x y 1/2] where 2x+4y?integer and x+y?half-integer,.","author":[{"dropping-particle":"","family":"Inamura","given":"Tomonari","non-dropping-particle":"","parse-names":false,"suffix":""},{"dropping-particle":"","family":"Kim","given":"Hee Young","non-dropping-particle":"","parse-names":false,"suffix":""},{"dropping-particle":"","family":"Hosoda","given":"Hideki","non-dropping-particle":"","parse-names":false,"suffix":""},{"dropping-particle":"","family":"Wakashima","given":"Kenji","non-dropping-particle":"","parse-names":false,"suffix":""},{"dropping-particle":"","family":"Miyazaki","given":"Shuichi","non-dropping-particle":"","parse-names":false,"suffix":""}],"container-title":"Tms","id":"ITEM-2","issued":{"date-parts":[["2009"]]},"title":"ANTIPHASE BOUNDARY LIKE DEFECT INSIDE a \" -MARTENSITE IN Ti-Nb-Al SHAPE MEMORY ALLOY","type":"article-journal"},"uris":["http://www.mendeley.com/documents/?uuid=58afe0c4-55cf-4a88-b452-09c362ffb4fb","http://www.mendeley.com/documents/?uuid=e41e3827-6c4e-402e-b4bb-dd7b3277114b"]}],"mendeley":{"formattedCitation":"[44,45]","plainTextFormattedCitation":"[44,45]","previouslyFormattedCitation":"[44,45]"},"properties":{"noteIndex":0},"schema":"https://github.com/citation-style-language/schema/raw/master/csl-citation.json"}</w:instrText>
      </w:r>
      <w:r w:rsidRPr="001C513B">
        <w:rPr>
          <w:rFonts w:ascii="Calibri" w:eastAsia="等线" w:hAnsi="Calibri" w:cs="Calibri"/>
        </w:rPr>
        <w:fldChar w:fldCharType="separate"/>
      </w:r>
      <w:r w:rsidRPr="001C513B">
        <w:rPr>
          <w:rFonts w:ascii="Calibri" w:eastAsia="等线" w:hAnsi="Calibri" w:cs="Calibri"/>
          <w:noProof/>
        </w:rPr>
        <w:t>[44,45]</w:t>
      </w:r>
      <w:r w:rsidRPr="001C513B">
        <w:rPr>
          <w:rFonts w:ascii="Calibri" w:eastAsia="等线" w:hAnsi="Calibri" w:cs="Calibri"/>
        </w:rPr>
        <w:fldChar w:fldCharType="end"/>
      </w:r>
      <w:r w:rsidRPr="001C513B">
        <w:rPr>
          <w:rFonts w:ascii="Calibri" w:eastAsia="等线" w:hAnsi="Calibri" w:cs="Calibri"/>
        </w:rPr>
        <w:t xml:space="preserve">. To further identify if the corrugated structure is </w:t>
      </w:r>
      <w:r>
        <w:rPr>
          <w:rFonts w:ascii="Calibri" w:eastAsia="等线" w:hAnsi="Calibri" w:cs="Calibri"/>
        </w:rPr>
        <w:t xml:space="preserve">a </w:t>
      </w:r>
      <w:r w:rsidRPr="001C513B">
        <w:rPr>
          <w:rFonts w:ascii="Calibri" w:eastAsia="等线" w:hAnsi="Calibri" w:cs="Calibri"/>
        </w:rPr>
        <w:t xml:space="preserve">minor defect, </w:t>
      </w:r>
      <w:r>
        <w:rPr>
          <w:rFonts w:ascii="Calibri" w:eastAsia="等线" w:hAnsi="Calibri" w:cs="Calibri"/>
        </w:rPr>
        <w:t xml:space="preserve">the </w:t>
      </w:r>
      <w:r w:rsidRPr="001C513B">
        <w:rPr>
          <w:rFonts w:ascii="Calibri" w:eastAsia="等线" w:hAnsi="Calibri" w:cs="Calibri"/>
        </w:rPr>
        <w:t>sample</w:t>
      </w:r>
      <w:r>
        <w:rPr>
          <w:rFonts w:ascii="Calibri" w:eastAsia="等线" w:hAnsi="Calibri" w:cs="Calibri"/>
        </w:rPr>
        <w:t xml:space="preserve"> was re-tilted</w:t>
      </w:r>
      <w:r w:rsidRPr="001C513B">
        <w:rPr>
          <w:rFonts w:ascii="Calibri" w:eastAsia="等线" w:hAnsi="Calibri" w:cs="Calibri"/>
        </w:rPr>
        <w:t xml:space="preserve"> to</w:t>
      </w:r>
      <w:r>
        <w:rPr>
          <w:rFonts w:ascii="Calibri" w:eastAsia="等线" w:hAnsi="Calibri" w:cs="Calibri"/>
        </w:rPr>
        <w:t xml:space="preserve"> the</w:t>
      </w:r>
      <w:r w:rsidRPr="001C513B">
        <w:rPr>
          <w:rFonts w:ascii="Calibri" w:eastAsia="等线" w:hAnsi="Calibri" w:cs="Calibri"/>
        </w:rPr>
        <w:t xml:space="preserve"> [110]</w:t>
      </w:r>
      <w:r w:rsidRPr="001C513B">
        <w:rPr>
          <w:rFonts w:ascii="Calibri" w:eastAsia="等线" w:hAnsi="Calibri" w:cs="Calibri"/>
          <w:vertAlign w:val="subscript"/>
        </w:rPr>
        <w:t>α’’</w:t>
      </w:r>
      <w:r w:rsidRPr="001C513B">
        <w:rPr>
          <w:rFonts w:ascii="Calibri" w:eastAsia="等线" w:hAnsi="Calibri" w:cs="Calibri"/>
        </w:rPr>
        <w:t xml:space="preserve"> zone axis</w:t>
      </w:r>
      <w:r>
        <w:rPr>
          <w:rFonts w:ascii="Calibri" w:eastAsia="等线" w:hAnsi="Calibri" w:cs="Calibri"/>
        </w:rPr>
        <w:t xml:space="preserve"> and</w:t>
      </w:r>
      <w:r w:rsidRPr="001C513B">
        <w:rPr>
          <w:rFonts w:ascii="Calibri" w:eastAsia="等线" w:hAnsi="Calibri" w:cs="Calibri"/>
        </w:rPr>
        <w:t xml:space="preserve"> the dark field image of this feature</w:t>
      </w:r>
      <w:r>
        <w:rPr>
          <w:rFonts w:ascii="Calibri" w:eastAsia="等线" w:hAnsi="Calibri" w:cs="Calibri"/>
        </w:rPr>
        <w:t xml:space="preserve"> is shown in Fig. 5-8 and exhibiting a different appearance</w:t>
      </w:r>
      <w:r w:rsidRPr="001C513B">
        <w:rPr>
          <w:rFonts w:ascii="Calibri" w:eastAsia="等线" w:hAnsi="Calibri" w:cs="Calibri"/>
        </w:rPr>
        <w:t>. The leopard print</w:t>
      </w:r>
      <w:r>
        <w:rPr>
          <w:rFonts w:ascii="Calibri" w:eastAsia="等线" w:hAnsi="Calibri" w:cs="Calibri"/>
        </w:rPr>
        <w:t>-</w:t>
      </w:r>
      <w:r w:rsidRPr="001C513B">
        <w:rPr>
          <w:rFonts w:ascii="Calibri" w:eastAsia="等线" w:hAnsi="Calibri" w:cs="Calibri"/>
        </w:rPr>
        <w:t xml:space="preserve">like structure </w:t>
      </w:r>
      <w:r>
        <w:rPr>
          <w:rFonts w:ascii="Calibri" w:eastAsia="等线" w:hAnsi="Calibri" w:cs="Calibri"/>
        </w:rPr>
        <w:t>did</w:t>
      </w:r>
      <w:r w:rsidRPr="001C513B">
        <w:rPr>
          <w:rFonts w:ascii="Calibri" w:eastAsia="等线" w:hAnsi="Calibri" w:cs="Calibri"/>
        </w:rPr>
        <w:t xml:space="preserve"> not show a trackable arrangement</w:t>
      </w:r>
      <w:r w:rsidR="001C4471">
        <w:rPr>
          <w:rFonts w:ascii="Calibri" w:eastAsia="等线" w:hAnsi="Calibri" w:cs="Calibri"/>
        </w:rPr>
        <w:t>,</w:t>
      </w:r>
      <w:r w:rsidRPr="001C513B">
        <w:rPr>
          <w:rFonts w:ascii="Calibri" w:eastAsia="等线" w:hAnsi="Calibri" w:cs="Calibri"/>
        </w:rPr>
        <w:t xml:space="preserve"> which indicate</w:t>
      </w:r>
      <w:r>
        <w:rPr>
          <w:rFonts w:ascii="Calibri" w:eastAsia="等线" w:hAnsi="Calibri" w:cs="Calibri"/>
        </w:rPr>
        <w:t>d</w:t>
      </w:r>
      <w:r w:rsidRPr="001C513B">
        <w:rPr>
          <w:rFonts w:ascii="Calibri" w:eastAsia="等线" w:hAnsi="Calibri" w:cs="Calibri"/>
        </w:rPr>
        <w:t xml:space="preserve"> the </w:t>
      </w:r>
      <w:r>
        <w:rPr>
          <w:rFonts w:ascii="Calibri" w:eastAsia="等线" w:hAnsi="Calibri" w:cs="Calibri"/>
        </w:rPr>
        <w:t>formation</w:t>
      </w:r>
      <w:r w:rsidRPr="001C513B">
        <w:rPr>
          <w:rFonts w:ascii="Calibri" w:eastAsia="等线" w:hAnsi="Calibri" w:cs="Calibri"/>
        </w:rPr>
        <w:t xml:space="preserve"> may not </w:t>
      </w:r>
      <w:r>
        <w:rPr>
          <w:rFonts w:ascii="Calibri" w:eastAsia="等线" w:hAnsi="Calibri" w:cs="Calibri"/>
        </w:rPr>
        <w:t>manifest itself</w:t>
      </w:r>
      <w:r w:rsidRPr="001C513B">
        <w:rPr>
          <w:rFonts w:ascii="Calibri" w:eastAsia="等线" w:hAnsi="Calibri" w:cs="Calibri"/>
        </w:rPr>
        <w:t xml:space="preserve"> by specific stress and strain. </w:t>
      </w:r>
    </w:p>
    <w:p w14:paraId="3B384DF8" w14:textId="77777777" w:rsidR="00B145BE" w:rsidRPr="001C513B" w:rsidRDefault="00B145BE" w:rsidP="00B145BE">
      <w:pPr>
        <w:keepNext/>
        <w:shd w:val="clear" w:color="auto" w:fill="FFFFFF"/>
        <w:spacing w:after="120" w:line="360" w:lineRule="auto"/>
        <w:jc w:val="center"/>
        <w:rPr>
          <w:rFonts w:ascii="Calibri" w:eastAsia="等线" w:hAnsi="Calibri" w:cs="Calibri"/>
        </w:rPr>
      </w:pPr>
      <w:r w:rsidRPr="001C513B">
        <w:rPr>
          <w:rFonts w:ascii="Calibri" w:eastAsia="等线" w:hAnsi="Calibri" w:cs="Calibri"/>
          <w:noProof/>
          <w:lang w:val="en-US" w:eastAsia="en-US"/>
        </w:rPr>
        <w:lastRenderedPageBreak/>
        <w:drawing>
          <wp:inline distT="0" distB="0" distL="0" distR="0" wp14:anchorId="05958DF6" wp14:editId="5573C3FF">
            <wp:extent cx="5964658" cy="3307742"/>
            <wp:effectExtent l="0" t="0" r="0" b="6985"/>
            <wp:docPr id="79" name="图片 78">
              <a:extLst xmlns:a="http://schemas.openxmlformats.org/drawingml/2006/main">
                <a:ext uri="{FF2B5EF4-FFF2-40B4-BE49-F238E27FC236}">
                  <a16:creationId xmlns:a16="http://schemas.microsoft.com/office/drawing/2014/main" id="{C6752EA6-CD0F-4FAB-93DB-C9EBD42D2C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8">
                      <a:extLst>
                        <a:ext uri="{FF2B5EF4-FFF2-40B4-BE49-F238E27FC236}">
                          <a16:creationId xmlns:a16="http://schemas.microsoft.com/office/drawing/2014/main" id="{C6752EA6-CD0F-4FAB-93DB-C9EBD42D2C84}"/>
                        </a:ext>
                      </a:extLst>
                    </pic:cNvPr>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976921" cy="3314543"/>
                    </a:xfrm>
                    <a:prstGeom prst="rect">
                      <a:avLst/>
                    </a:prstGeom>
                  </pic:spPr>
                </pic:pic>
              </a:graphicData>
            </a:graphic>
          </wp:inline>
        </w:drawing>
      </w:r>
    </w:p>
    <w:p w14:paraId="7A1402C6" w14:textId="41DADE3D" w:rsidR="00B145BE" w:rsidRPr="001A61E1" w:rsidRDefault="00B145BE" w:rsidP="00B145BE">
      <w:pPr>
        <w:shd w:val="clear" w:color="auto" w:fill="FFFFFF"/>
        <w:spacing w:after="120" w:line="360" w:lineRule="auto"/>
        <w:jc w:val="both"/>
        <w:rPr>
          <w:rFonts w:ascii="Calibri" w:eastAsia="等线" w:hAnsi="Calibri" w:cs="Calibri"/>
          <w:sz w:val="20"/>
          <w:szCs w:val="18"/>
        </w:rPr>
      </w:pPr>
      <w:bookmarkStart w:id="248" w:name="_Toc7364598"/>
      <w:bookmarkStart w:id="249" w:name="_Toc39312712"/>
      <w:r w:rsidRPr="001C513B">
        <w:rPr>
          <w:rFonts w:ascii="Calibri" w:eastAsia="等线" w:hAnsi="Calibri" w:cs="Calibri"/>
          <w:b/>
          <w:sz w:val="20"/>
          <w:szCs w:val="18"/>
        </w:rPr>
        <w:t>Figure 5-</w:t>
      </w:r>
      <w:r w:rsidRPr="001C513B">
        <w:rPr>
          <w:rFonts w:ascii="Calibri" w:eastAsia="等线" w:hAnsi="Calibri" w:cs="Calibri"/>
          <w:b/>
          <w:sz w:val="20"/>
          <w:szCs w:val="20"/>
        </w:rPr>
        <w:fldChar w:fldCharType="begin"/>
      </w:r>
      <w:r w:rsidRPr="001C513B">
        <w:rPr>
          <w:rFonts w:ascii="Calibri" w:eastAsia="等线" w:hAnsi="Calibri" w:cs="Calibri"/>
          <w:b/>
          <w:sz w:val="20"/>
          <w:szCs w:val="20"/>
        </w:rPr>
        <w:instrText xml:space="preserve"> SEQ Figure \* ARABIC </w:instrText>
      </w:r>
      <w:r w:rsidRPr="001C513B">
        <w:rPr>
          <w:rFonts w:ascii="Calibri" w:eastAsia="等线" w:hAnsi="Calibri" w:cs="Calibri"/>
          <w:b/>
          <w:sz w:val="20"/>
          <w:szCs w:val="20"/>
        </w:rPr>
        <w:fldChar w:fldCharType="separate"/>
      </w:r>
      <w:r>
        <w:rPr>
          <w:rFonts w:ascii="Calibri" w:eastAsia="等线" w:hAnsi="Calibri" w:cs="Calibri"/>
          <w:b/>
          <w:noProof/>
          <w:sz w:val="20"/>
          <w:szCs w:val="20"/>
        </w:rPr>
        <w:t>6</w:t>
      </w:r>
      <w:r w:rsidRPr="001C513B">
        <w:rPr>
          <w:rFonts w:ascii="Calibri" w:eastAsia="等线" w:hAnsi="Calibri" w:cs="Calibri"/>
          <w:b/>
          <w:sz w:val="20"/>
          <w:szCs w:val="20"/>
        </w:rPr>
        <w:fldChar w:fldCharType="end"/>
      </w:r>
      <w:r w:rsidRPr="001C513B">
        <w:rPr>
          <w:rFonts w:ascii="Calibri" w:eastAsia="等线" w:hAnsi="Calibri" w:cs="Calibri"/>
          <w:b/>
          <w:sz w:val="20"/>
          <w:szCs w:val="18"/>
        </w:rPr>
        <w:t xml:space="preserve"> TEM image</w:t>
      </w:r>
      <w:r>
        <w:rPr>
          <w:rFonts w:ascii="Calibri" w:eastAsia="等线" w:hAnsi="Calibri" w:cs="Calibri"/>
          <w:b/>
          <w:sz w:val="20"/>
          <w:szCs w:val="18"/>
        </w:rPr>
        <w:t>s</w:t>
      </w:r>
      <w:r w:rsidRPr="001C513B">
        <w:rPr>
          <w:rFonts w:ascii="Calibri" w:eastAsia="等线" w:hAnsi="Calibri" w:cs="Calibri"/>
          <w:b/>
          <w:sz w:val="20"/>
          <w:szCs w:val="18"/>
        </w:rPr>
        <w:t xml:space="preserve"> of mechanical twinning in 5% deformed TiZrHfTa</w:t>
      </w:r>
      <w:r w:rsidRPr="001C513B">
        <w:rPr>
          <w:rFonts w:ascii="Calibri" w:eastAsia="等线" w:hAnsi="Calibri" w:cs="Calibri"/>
          <w:b/>
          <w:sz w:val="20"/>
          <w:szCs w:val="18"/>
          <w:vertAlign w:val="subscript"/>
        </w:rPr>
        <w:t xml:space="preserve">0.6. </w:t>
      </w:r>
      <w:r w:rsidRPr="001C513B">
        <w:rPr>
          <w:rFonts w:ascii="Calibri" w:eastAsia="等线" w:hAnsi="Calibri" w:cs="Calibri"/>
          <w:sz w:val="20"/>
          <w:szCs w:val="18"/>
        </w:rPr>
        <w:t>(</w:t>
      </w:r>
      <w:r w:rsidRPr="001C513B">
        <w:rPr>
          <w:rFonts w:ascii="Calibri" w:eastAsia="等线" w:hAnsi="Calibri" w:cs="Calibri"/>
          <w:b/>
          <w:sz w:val="20"/>
          <w:szCs w:val="18"/>
        </w:rPr>
        <w:t>a</w:t>
      </w:r>
      <w:r w:rsidRPr="001C513B">
        <w:rPr>
          <w:rFonts w:ascii="Calibri" w:eastAsia="等线" w:hAnsi="Calibri" w:cs="Calibri"/>
          <w:sz w:val="20"/>
          <w:szCs w:val="18"/>
        </w:rPr>
        <w:t xml:space="preserve">) </w:t>
      </w:r>
      <w:r>
        <w:rPr>
          <w:rFonts w:ascii="Calibri" w:eastAsia="等线" w:hAnsi="Calibri" w:cs="Calibri"/>
          <w:sz w:val="20"/>
          <w:szCs w:val="18"/>
        </w:rPr>
        <w:t>a b</w:t>
      </w:r>
      <w:r w:rsidRPr="001C513B">
        <w:rPr>
          <w:rFonts w:ascii="Calibri" w:eastAsia="等线" w:hAnsi="Calibri" w:cs="Calibri"/>
          <w:sz w:val="20"/>
          <w:szCs w:val="18"/>
        </w:rPr>
        <w:t>right field image of entangled {332}</w:t>
      </w:r>
      <w:r w:rsidRPr="001C513B">
        <w:rPr>
          <w:rFonts w:ascii="Calibri" w:eastAsia="等线" w:hAnsi="Calibri" w:cs="Calibri"/>
          <w:sz w:val="20"/>
          <w:szCs w:val="18"/>
          <w:vertAlign w:val="subscript"/>
        </w:rPr>
        <w:t>β</w:t>
      </w:r>
      <w:r w:rsidRPr="001C513B">
        <w:rPr>
          <w:rFonts w:ascii="Calibri" w:eastAsia="等线" w:hAnsi="Calibri" w:cs="Calibri"/>
          <w:sz w:val="20"/>
          <w:szCs w:val="18"/>
        </w:rPr>
        <w:t xml:space="preserve"> and {112}</w:t>
      </w:r>
      <w:r w:rsidRPr="001C513B">
        <w:rPr>
          <w:rFonts w:ascii="Calibri" w:eastAsia="等线" w:hAnsi="Calibri" w:cs="Calibri"/>
          <w:sz w:val="20"/>
          <w:szCs w:val="18"/>
          <w:vertAlign w:val="subscript"/>
        </w:rPr>
        <w:t>β</w:t>
      </w:r>
      <w:r w:rsidRPr="001C513B">
        <w:rPr>
          <w:rFonts w:ascii="Calibri" w:eastAsia="等线" w:hAnsi="Calibri" w:cs="Calibri"/>
          <w:sz w:val="20"/>
          <w:szCs w:val="18"/>
        </w:rPr>
        <w:t xml:space="preserve"> twinning</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b</w:t>
      </w:r>
      <w:r w:rsidRPr="001C513B">
        <w:rPr>
          <w:rFonts w:ascii="Calibri" w:eastAsia="等线" w:hAnsi="Calibri" w:cs="Calibri"/>
          <w:sz w:val="20"/>
          <w:szCs w:val="18"/>
        </w:rPr>
        <w:t xml:space="preserve">) </w:t>
      </w:r>
      <w:r>
        <w:rPr>
          <w:rFonts w:ascii="Calibri" w:eastAsia="等线" w:hAnsi="Calibri" w:cs="Calibri"/>
          <w:sz w:val="20"/>
          <w:szCs w:val="18"/>
        </w:rPr>
        <w:t xml:space="preserve">a </w:t>
      </w:r>
      <w:r w:rsidRPr="001C513B">
        <w:rPr>
          <w:rFonts w:ascii="Calibri" w:eastAsia="等线" w:hAnsi="Calibri" w:cs="Calibri"/>
          <w:sz w:val="20"/>
          <w:szCs w:val="18"/>
        </w:rPr>
        <w:t xml:space="preserve">SADP derived </w:t>
      </w:r>
      <w:r w:rsidR="009D4FD7">
        <w:rPr>
          <w:rFonts w:ascii="Calibri" w:eastAsia="等线" w:hAnsi="Calibri" w:cs="Calibri"/>
          <w:sz w:val="20"/>
          <w:szCs w:val="18"/>
        </w:rPr>
        <w:t>from a</w:t>
      </w:r>
      <w:r w:rsidR="009D4FD7" w:rsidRPr="001C513B">
        <w:rPr>
          <w:rFonts w:ascii="Calibri" w:eastAsia="等线" w:hAnsi="Calibri" w:cs="Calibri"/>
          <w:sz w:val="20"/>
          <w:szCs w:val="18"/>
        </w:rPr>
        <w:t xml:space="preserve"> </w:t>
      </w:r>
      <w:r w:rsidRPr="001C513B">
        <w:rPr>
          <w:rFonts w:ascii="Calibri" w:eastAsia="等线" w:hAnsi="Calibri" w:cs="Calibri"/>
          <w:sz w:val="20"/>
          <w:szCs w:val="18"/>
        </w:rPr>
        <w:t>{332}</w:t>
      </w:r>
      <w:r w:rsidRPr="001C513B">
        <w:rPr>
          <w:rFonts w:ascii="Calibri" w:eastAsia="等线" w:hAnsi="Calibri" w:cs="Calibri"/>
          <w:sz w:val="20"/>
          <w:szCs w:val="18"/>
          <w:vertAlign w:val="subscript"/>
        </w:rPr>
        <w:t xml:space="preserve">β </w:t>
      </w:r>
      <w:r w:rsidRPr="001C513B">
        <w:rPr>
          <w:rFonts w:ascii="Calibri" w:eastAsia="等线" w:hAnsi="Calibri" w:cs="Calibri"/>
          <w:sz w:val="20"/>
          <w:szCs w:val="18"/>
        </w:rPr>
        <w:t>twining boundary</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Times New Roman" w:eastAsia="等线" w:hAnsi="Times New Roman" w:cs="Times New Roman"/>
          <w:sz w:val="20"/>
          <w:szCs w:val="18"/>
        </w:rPr>
        <w:t xml:space="preserve">β, </w:t>
      </w:r>
      <w:r w:rsidRPr="001C513B">
        <w:rPr>
          <w:rFonts w:ascii="Calibri" w:eastAsia="等线" w:hAnsi="Calibri" w:cs="Calibri"/>
          <w:sz w:val="20"/>
          <w:szCs w:val="18"/>
        </w:rPr>
        <w:t>twin</w:t>
      </w:r>
      <w:r>
        <w:rPr>
          <w:rFonts w:ascii="Calibri" w:eastAsia="等线" w:hAnsi="Calibri" w:cs="Calibri"/>
          <w:sz w:val="20"/>
          <w:szCs w:val="18"/>
        </w:rPr>
        <w:t>n</w:t>
      </w:r>
      <w:r w:rsidRPr="001C513B">
        <w:rPr>
          <w:rFonts w:ascii="Calibri" w:eastAsia="等线" w:hAnsi="Calibri" w:cs="Calibri"/>
          <w:sz w:val="20"/>
          <w:szCs w:val="18"/>
        </w:rPr>
        <w:t xml:space="preserve">ed β diffraction patterns </w:t>
      </w:r>
      <w:r w:rsidR="009D4FD7">
        <w:rPr>
          <w:rFonts w:ascii="Calibri" w:eastAsia="等线" w:hAnsi="Calibri" w:cs="Calibri"/>
          <w:sz w:val="20"/>
          <w:szCs w:val="18"/>
        </w:rPr>
        <w:t>are</w:t>
      </w:r>
      <w:r w:rsidR="009D4FD7" w:rsidRPr="001C513B">
        <w:rPr>
          <w:rFonts w:ascii="Calibri" w:eastAsia="等线" w:hAnsi="Calibri" w:cs="Calibri"/>
          <w:sz w:val="20"/>
          <w:szCs w:val="18"/>
        </w:rPr>
        <w:t xml:space="preserve"> </w:t>
      </w:r>
      <w:r w:rsidRPr="001C513B">
        <w:rPr>
          <w:rFonts w:ascii="Calibri" w:eastAsia="等线" w:hAnsi="Calibri" w:cs="Calibri"/>
          <w:sz w:val="20"/>
          <w:szCs w:val="18"/>
        </w:rPr>
        <w:t>marked with green and red</w:t>
      </w:r>
      <w:r>
        <w:rPr>
          <w:rFonts w:ascii="Calibri" w:eastAsia="等线" w:hAnsi="Calibri" w:cs="Calibri"/>
          <w:sz w:val="20"/>
          <w:szCs w:val="18"/>
        </w:rPr>
        <w:t>,</w:t>
      </w:r>
      <w:r w:rsidRPr="001C513B">
        <w:rPr>
          <w:rFonts w:ascii="Calibri" w:eastAsia="等线" w:hAnsi="Calibri" w:cs="Calibri"/>
          <w:sz w:val="20"/>
          <w:szCs w:val="18"/>
        </w:rPr>
        <w:t xml:space="preserve"> respectively. </w:t>
      </w:r>
      <w:r>
        <w:rPr>
          <w:rFonts w:ascii="Calibri" w:eastAsia="等线" w:hAnsi="Calibri" w:cs="Calibri"/>
          <w:sz w:val="20"/>
          <w:szCs w:val="18"/>
        </w:rPr>
        <w:t xml:space="preserve">The </w:t>
      </w:r>
      <w:r w:rsidRPr="001C513B">
        <w:rPr>
          <w:rFonts w:ascii="Calibri" w:eastAsia="等线" w:hAnsi="Calibri" w:cs="Calibri"/>
          <w:sz w:val="20"/>
          <w:szCs w:val="18"/>
        </w:rPr>
        <w:t>{332}</w:t>
      </w:r>
      <w:r w:rsidRPr="001C513B">
        <w:rPr>
          <w:rFonts w:ascii="Times New Roman" w:eastAsia="等线" w:hAnsi="Times New Roman" w:cs="Times New Roman"/>
          <w:sz w:val="20"/>
          <w:szCs w:val="18"/>
          <w:vertAlign w:val="subscript"/>
        </w:rPr>
        <w:t>β</w:t>
      </w:r>
      <w:r w:rsidRPr="001C513B">
        <w:rPr>
          <w:rFonts w:ascii="Times New Roman" w:eastAsia="等线" w:hAnsi="Times New Roman" w:cs="Times New Roman"/>
          <w:sz w:val="20"/>
          <w:szCs w:val="18"/>
        </w:rPr>
        <w:t xml:space="preserve"> </w:t>
      </w:r>
      <w:r w:rsidRPr="001C513B">
        <w:rPr>
          <w:rFonts w:ascii="Calibri" w:eastAsia="等线" w:hAnsi="Calibri" w:cs="Calibri"/>
          <w:sz w:val="20"/>
          <w:szCs w:val="18"/>
        </w:rPr>
        <w:t xml:space="preserve">twinning plane </w:t>
      </w:r>
      <w:r w:rsidR="009D4FD7">
        <w:rPr>
          <w:rFonts w:ascii="Calibri" w:eastAsia="等线" w:hAnsi="Calibri" w:cs="Calibri"/>
          <w:sz w:val="20"/>
          <w:szCs w:val="18"/>
        </w:rPr>
        <w:t>is</w:t>
      </w:r>
      <w:r w:rsidRPr="001C513B">
        <w:rPr>
          <w:rFonts w:ascii="Calibri" w:eastAsia="等线" w:hAnsi="Calibri" w:cs="Calibri"/>
          <w:sz w:val="20"/>
          <w:szCs w:val="18"/>
        </w:rPr>
        <w:t xml:space="preserve"> marked with </w:t>
      </w:r>
      <w:r w:rsidR="009D4FD7">
        <w:rPr>
          <w:rFonts w:ascii="Calibri" w:eastAsia="等线" w:hAnsi="Calibri" w:cs="Calibri"/>
          <w:sz w:val="20"/>
          <w:szCs w:val="18"/>
        </w:rPr>
        <w:t xml:space="preserve">a </w:t>
      </w:r>
      <w:r w:rsidRPr="001C513B">
        <w:rPr>
          <w:rFonts w:ascii="Calibri" w:eastAsia="等线" w:hAnsi="Calibri" w:cs="Calibri"/>
          <w:sz w:val="20"/>
          <w:szCs w:val="18"/>
        </w:rPr>
        <w:t>red circle</w:t>
      </w:r>
      <w:r>
        <w:rPr>
          <w:rFonts w:ascii="Calibri" w:eastAsia="等线" w:hAnsi="Calibri" w:cs="Calibri"/>
          <w:sz w:val="20"/>
          <w:szCs w:val="18"/>
        </w:rPr>
        <w:t xml:space="preserve">; </w:t>
      </w:r>
      <w:r w:rsidRPr="001C513B">
        <w:rPr>
          <w:rFonts w:ascii="Calibri" w:eastAsia="等线" w:hAnsi="Calibri" w:cs="Calibri"/>
          <w:sz w:val="20"/>
          <w:szCs w:val="18"/>
        </w:rPr>
        <w:t>(</w:t>
      </w:r>
      <w:r w:rsidRPr="001C513B">
        <w:rPr>
          <w:rFonts w:ascii="Calibri" w:eastAsia="等线" w:hAnsi="Calibri" w:cs="Calibri"/>
          <w:b/>
          <w:sz w:val="20"/>
          <w:szCs w:val="18"/>
        </w:rPr>
        <w:t>c</w:t>
      </w:r>
      <w:r w:rsidRPr="001C513B">
        <w:rPr>
          <w:rFonts w:ascii="Calibri" w:eastAsia="等线" w:hAnsi="Calibri" w:cs="Calibri"/>
          <w:sz w:val="20"/>
          <w:szCs w:val="18"/>
        </w:rPr>
        <w:t xml:space="preserve">) </w:t>
      </w:r>
      <w:r>
        <w:rPr>
          <w:rFonts w:ascii="Calibri" w:eastAsia="等线" w:hAnsi="Calibri" w:cs="Calibri"/>
          <w:sz w:val="20"/>
          <w:szCs w:val="18"/>
        </w:rPr>
        <w:t xml:space="preserve">a </w:t>
      </w:r>
      <w:r w:rsidRPr="001C513B">
        <w:rPr>
          <w:rFonts w:ascii="Calibri" w:eastAsia="等线" w:hAnsi="Calibri" w:cs="Calibri"/>
          <w:sz w:val="20"/>
          <w:szCs w:val="18"/>
        </w:rPr>
        <w:t xml:space="preserve">SADP derived </w:t>
      </w:r>
      <w:r w:rsidR="009D4FD7">
        <w:rPr>
          <w:rFonts w:ascii="Calibri" w:eastAsia="等线" w:hAnsi="Calibri" w:cs="Calibri"/>
          <w:sz w:val="20"/>
          <w:szCs w:val="18"/>
        </w:rPr>
        <w:t xml:space="preserve">from </w:t>
      </w:r>
      <w:r>
        <w:rPr>
          <w:rFonts w:ascii="Calibri" w:eastAsia="等线" w:hAnsi="Calibri" w:cs="Calibri"/>
          <w:sz w:val="20"/>
          <w:szCs w:val="18"/>
        </w:rPr>
        <w:t>a</w:t>
      </w:r>
      <w:r w:rsidRPr="001C513B">
        <w:rPr>
          <w:rFonts w:ascii="Calibri" w:eastAsia="等线" w:hAnsi="Calibri" w:cs="Calibri"/>
          <w:sz w:val="20"/>
          <w:szCs w:val="18"/>
        </w:rPr>
        <w:t xml:space="preserve"> {112}</w:t>
      </w:r>
      <w:r w:rsidRPr="001C513B">
        <w:rPr>
          <w:rFonts w:ascii="Calibri" w:eastAsia="等线" w:hAnsi="Calibri" w:cs="Calibri"/>
          <w:sz w:val="20"/>
          <w:szCs w:val="18"/>
          <w:vertAlign w:val="subscript"/>
        </w:rPr>
        <w:t xml:space="preserve">β </w:t>
      </w:r>
      <w:r w:rsidRPr="001C513B">
        <w:rPr>
          <w:rFonts w:ascii="Calibri" w:eastAsia="等线" w:hAnsi="Calibri" w:cs="Calibri"/>
          <w:sz w:val="20"/>
          <w:szCs w:val="18"/>
        </w:rPr>
        <w:t>twining bounda</w:t>
      </w:r>
      <w:r w:rsidRPr="00F82A87">
        <w:rPr>
          <w:rFonts w:eastAsia="等线" w:cstheme="minorHAnsi"/>
          <w:sz w:val="20"/>
          <w:szCs w:val="18"/>
        </w:rPr>
        <w:t>ry. β matrix and</w:t>
      </w:r>
      <w:r w:rsidRPr="001C513B">
        <w:rPr>
          <w:rFonts w:ascii="Times New Roman" w:eastAsia="等线" w:hAnsi="Times New Roman" w:cs="Times New Roman"/>
          <w:sz w:val="20"/>
          <w:szCs w:val="18"/>
        </w:rPr>
        <w:t xml:space="preserve"> </w:t>
      </w:r>
      <w:r w:rsidRPr="001C513B">
        <w:rPr>
          <w:rFonts w:ascii="Calibri" w:eastAsia="等线" w:hAnsi="Calibri" w:cs="Calibri"/>
          <w:sz w:val="20"/>
          <w:szCs w:val="18"/>
        </w:rPr>
        <w:t>twin</w:t>
      </w:r>
      <w:r>
        <w:rPr>
          <w:rFonts w:ascii="Calibri" w:eastAsia="等线" w:hAnsi="Calibri" w:cs="Calibri"/>
          <w:sz w:val="20"/>
          <w:szCs w:val="18"/>
        </w:rPr>
        <w:t>n</w:t>
      </w:r>
      <w:r w:rsidRPr="001C513B">
        <w:rPr>
          <w:rFonts w:ascii="Calibri" w:eastAsia="等线" w:hAnsi="Calibri" w:cs="Calibri"/>
          <w:sz w:val="20"/>
          <w:szCs w:val="18"/>
        </w:rPr>
        <w:t xml:space="preserve">ed β </w:t>
      </w:r>
      <w:r>
        <w:rPr>
          <w:rFonts w:ascii="Calibri" w:eastAsia="等线" w:hAnsi="Calibri" w:cs="Calibri" w:hint="eastAsia"/>
          <w:sz w:val="20"/>
          <w:szCs w:val="18"/>
        </w:rPr>
        <w:t>grain</w:t>
      </w:r>
      <w:r>
        <w:rPr>
          <w:rFonts w:ascii="Calibri" w:eastAsia="等线" w:hAnsi="Calibri" w:cs="Calibri"/>
          <w:sz w:val="20"/>
          <w:szCs w:val="18"/>
        </w:rPr>
        <w:t>’</w:t>
      </w:r>
      <w:r>
        <w:rPr>
          <w:rFonts w:ascii="Calibri" w:eastAsia="等线" w:hAnsi="Calibri" w:cs="Calibri" w:hint="eastAsia"/>
          <w:sz w:val="20"/>
          <w:szCs w:val="18"/>
        </w:rPr>
        <w:t>s</w:t>
      </w:r>
      <w:r>
        <w:rPr>
          <w:rFonts w:ascii="Calibri" w:eastAsia="等线" w:hAnsi="Calibri" w:cs="Calibri"/>
          <w:sz w:val="20"/>
          <w:szCs w:val="18"/>
        </w:rPr>
        <w:t xml:space="preserve"> </w:t>
      </w:r>
      <w:r w:rsidRPr="001C513B">
        <w:rPr>
          <w:rFonts w:ascii="Calibri" w:eastAsia="等线" w:hAnsi="Calibri" w:cs="Calibri"/>
          <w:sz w:val="20"/>
          <w:szCs w:val="18"/>
        </w:rPr>
        <w:t xml:space="preserve">diffraction patterns </w:t>
      </w:r>
      <w:r w:rsidR="009D4FD7">
        <w:rPr>
          <w:rFonts w:ascii="Calibri" w:eastAsia="等线" w:hAnsi="Calibri" w:cs="Calibri"/>
          <w:sz w:val="20"/>
          <w:szCs w:val="18"/>
        </w:rPr>
        <w:t>are</w:t>
      </w:r>
      <w:r w:rsidR="009D4FD7" w:rsidRPr="001C513B">
        <w:rPr>
          <w:rFonts w:ascii="Calibri" w:eastAsia="等线" w:hAnsi="Calibri" w:cs="Calibri"/>
          <w:sz w:val="20"/>
          <w:szCs w:val="18"/>
        </w:rPr>
        <w:t xml:space="preserve"> </w:t>
      </w:r>
      <w:r w:rsidRPr="001C513B">
        <w:rPr>
          <w:rFonts w:ascii="Calibri" w:eastAsia="等线" w:hAnsi="Calibri" w:cs="Calibri"/>
          <w:sz w:val="20"/>
          <w:szCs w:val="18"/>
        </w:rPr>
        <w:t>marked with green and blue</w:t>
      </w:r>
      <w:r>
        <w:rPr>
          <w:rFonts w:ascii="Calibri" w:eastAsia="等线" w:hAnsi="Calibri" w:cs="Calibri"/>
          <w:sz w:val="20"/>
          <w:szCs w:val="18"/>
        </w:rPr>
        <w:t xml:space="preserve"> lines,</w:t>
      </w:r>
      <w:r w:rsidRPr="001C513B">
        <w:rPr>
          <w:rFonts w:ascii="Calibri" w:eastAsia="等线" w:hAnsi="Calibri" w:cs="Calibri"/>
          <w:sz w:val="20"/>
          <w:szCs w:val="18"/>
        </w:rPr>
        <w:t xml:space="preserve"> respectively. </w:t>
      </w:r>
      <w:r w:rsidR="009D4FD7">
        <w:rPr>
          <w:rFonts w:ascii="Calibri" w:eastAsia="等线" w:hAnsi="Calibri" w:cs="Calibri"/>
          <w:sz w:val="20"/>
          <w:szCs w:val="18"/>
        </w:rPr>
        <w:t xml:space="preserve">The </w:t>
      </w:r>
      <w:r w:rsidRPr="001C513B">
        <w:rPr>
          <w:rFonts w:ascii="Calibri" w:eastAsia="等线" w:hAnsi="Calibri" w:cs="Calibri"/>
          <w:sz w:val="20"/>
          <w:szCs w:val="18"/>
        </w:rPr>
        <w:t>{112}</w:t>
      </w:r>
      <w:r w:rsidRPr="001C513B">
        <w:rPr>
          <w:rFonts w:ascii="Times New Roman" w:eastAsia="等线" w:hAnsi="Times New Roman" w:cs="Times New Roman"/>
          <w:sz w:val="20"/>
          <w:szCs w:val="18"/>
          <w:vertAlign w:val="subscript"/>
        </w:rPr>
        <w:t>β</w:t>
      </w:r>
      <w:r w:rsidRPr="001C513B">
        <w:rPr>
          <w:rFonts w:ascii="Times New Roman" w:eastAsia="等线" w:hAnsi="Times New Roman" w:cs="Times New Roman"/>
          <w:sz w:val="20"/>
          <w:szCs w:val="18"/>
        </w:rPr>
        <w:t xml:space="preserve"> </w:t>
      </w:r>
      <w:r w:rsidRPr="001C513B">
        <w:rPr>
          <w:rFonts w:ascii="Calibri" w:eastAsia="等线" w:hAnsi="Calibri" w:cs="Calibri"/>
          <w:sz w:val="20"/>
          <w:szCs w:val="18"/>
        </w:rPr>
        <w:t xml:space="preserve">twinning plane </w:t>
      </w:r>
      <w:r w:rsidR="009D4FD7">
        <w:rPr>
          <w:rFonts w:ascii="Calibri" w:eastAsia="等线" w:hAnsi="Calibri" w:cs="Calibri"/>
          <w:sz w:val="20"/>
          <w:szCs w:val="18"/>
        </w:rPr>
        <w:t>is</w:t>
      </w:r>
      <w:r w:rsidR="009D4FD7" w:rsidRPr="001C513B">
        <w:rPr>
          <w:rFonts w:ascii="Calibri" w:eastAsia="等线" w:hAnsi="Calibri" w:cs="Calibri"/>
          <w:sz w:val="20"/>
          <w:szCs w:val="18"/>
        </w:rPr>
        <w:t xml:space="preserve"> </w:t>
      </w:r>
      <w:r w:rsidRPr="001C513B">
        <w:rPr>
          <w:rFonts w:ascii="Calibri" w:eastAsia="等线" w:hAnsi="Calibri" w:cs="Calibri"/>
          <w:sz w:val="20"/>
          <w:szCs w:val="18"/>
        </w:rPr>
        <w:t xml:space="preserve">marked with </w:t>
      </w:r>
      <w:r>
        <w:rPr>
          <w:rFonts w:ascii="Calibri" w:eastAsia="等线" w:hAnsi="Calibri" w:cs="Calibri"/>
          <w:sz w:val="20"/>
          <w:szCs w:val="18"/>
        </w:rPr>
        <w:t xml:space="preserve">a </w:t>
      </w:r>
      <w:r w:rsidRPr="001C513B">
        <w:rPr>
          <w:rFonts w:ascii="Calibri" w:eastAsia="等线" w:hAnsi="Calibri" w:cs="Calibri"/>
          <w:sz w:val="20"/>
          <w:szCs w:val="18"/>
        </w:rPr>
        <w:t>red circle</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d-f</w:t>
      </w:r>
      <w:r w:rsidRPr="001C513B">
        <w:rPr>
          <w:rFonts w:ascii="Calibri" w:eastAsia="等线" w:hAnsi="Calibri" w:cs="Calibri"/>
          <w:sz w:val="20"/>
          <w:szCs w:val="18"/>
        </w:rPr>
        <w:t xml:space="preserve">) </w:t>
      </w:r>
      <w:r>
        <w:rPr>
          <w:rFonts w:ascii="Calibri" w:eastAsia="等线" w:hAnsi="Calibri" w:cs="Calibri"/>
          <w:sz w:val="20"/>
          <w:szCs w:val="18"/>
        </w:rPr>
        <w:t>d</w:t>
      </w:r>
      <w:r w:rsidRPr="001C513B">
        <w:rPr>
          <w:rFonts w:ascii="Calibri" w:eastAsia="等线" w:hAnsi="Calibri" w:cs="Calibri"/>
          <w:sz w:val="20"/>
          <w:szCs w:val="18"/>
        </w:rPr>
        <w:t>ark field image</w:t>
      </w:r>
      <w:r>
        <w:rPr>
          <w:rFonts w:ascii="Calibri" w:eastAsia="等线" w:hAnsi="Calibri" w:cs="Calibri"/>
          <w:sz w:val="20"/>
          <w:szCs w:val="18"/>
        </w:rPr>
        <w:t>s</w:t>
      </w:r>
      <w:r w:rsidRPr="001C513B">
        <w:rPr>
          <w:rFonts w:ascii="Calibri" w:eastAsia="等线" w:hAnsi="Calibri" w:cs="Calibri"/>
          <w:sz w:val="20"/>
          <w:szCs w:val="18"/>
        </w:rPr>
        <w:t xml:space="preserve"> of </w:t>
      </w:r>
      <w:r w:rsidRPr="001C513B">
        <w:rPr>
          <w:rFonts w:ascii="Times New Roman" w:eastAsia="等线" w:hAnsi="Times New Roman" w:cs="Times New Roman"/>
          <w:sz w:val="20"/>
          <w:szCs w:val="18"/>
        </w:rPr>
        <w:t>β</w:t>
      </w:r>
      <w:r w:rsidRPr="001C513B">
        <w:rPr>
          <w:rFonts w:ascii="Calibri" w:eastAsia="等线" w:hAnsi="Calibri" w:cs="Calibri"/>
          <w:sz w:val="20"/>
          <w:szCs w:val="18"/>
        </w:rPr>
        <w:t xml:space="preserve"> matrix grain, {332}</w:t>
      </w:r>
      <w:r w:rsidRPr="001C513B">
        <w:rPr>
          <w:rFonts w:ascii="Times New Roman" w:eastAsia="等线" w:hAnsi="Times New Roman" w:cs="Times New Roman"/>
          <w:sz w:val="20"/>
          <w:szCs w:val="18"/>
          <w:vertAlign w:val="subscript"/>
        </w:rPr>
        <w:t>β</w:t>
      </w:r>
      <w:r w:rsidRPr="001C513B">
        <w:rPr>
          <w:rFonts w:ascii="Times New Roman" w:eastAsia="等线" w:hAnsi="Times New Roman" w:cs="Times New Roman"/>
          <w:sz w:val="20"/>
          <w:szCs w:val="18"/>
        </w:rPr>
        <w:t xml:space="preserve"> </w:t>
      </w:r>
      <w:r w:rsidRPr="001C513B">
        <w:rPr>
          <w:rFonts w:ascii="Calibri" w:eastAsia="等线" w:hAnsi="Calibri" w:cs="Calibri"/>
          <w:sz w:val="20"/>
          <w:szCs w:val="18"/>
        </w:rPr>
        <w:t>twin</w:t>
      </w:r>
      <w:r>
        <w:rPr>
          <w:rFonts w:ascii="Calibri" w:eastAsia="等线" w:hAnsi="Calibri" w:cs="Calibri"/>
          <w:sz w:val="20"/>
          <w:szCs w:val="18"/>
        </w:rPr>
        <w:t>n</w:t>
      </w:r>
      <w:r w:rsidRPr="001C513B">
        <w:rPr>
          <w:rFonts w:ascii="Calibri" w:eastAsia="等线" w:hAnsi="Calibri" w:cs="Calibri"/>
          <w:sz w:val="20"/>
          <w:szCs w:val="18"/>
        </w:rPr>
        <w:t>ed variant and {112}</w:t>
      </w:r>
      <w:r w:rsidRPr="001C513B">
        <w:rPr>
          <w:rFonts w:ascii="Calibri" w:eastAsia="等线" w:hAnsi="Calibri" w:cs="Calibri"/>
          <w:sz w:val="20"/>
          <w:szCs w:val="18"/>
          <w:vertAlign w:val="subscript"/>
        </w:rPr>
        <w:t>β</w:t>
      </w:r>
      <w:r w:rsidRPr="001C513B">
        <w:rPr>
          <w:rFonts w:ascii="Calibri" w:eastAsia="等线" w:hAnsi="Calibri" w:cs="Calibri"/>
          <w:sz w:val="20"/>
          <w:szCs w:val="18"/>
        </w:rPr>
        <w:t xml:space="preserve"> twin</w:t>
      </w:r>
      <w:r>
        <w:rPr>
          <w:rFonts w:ascii="Calibri" w:eastAsia="等线" w:hAnsi="Calibri" w:cs="Calibri"/>
          <w:sz w:val="20"/>
          <w:szCs w:val="18"/>
        </w:rPr>
        <w:t>n</w:t>
      </w:r>
      <w:r w:rsidRPr="001C513B">
        <w:rPr>
          <w:rFonts w:ascii="Calibri" w:eastAsia="等线" w:hAnsi="Calibri" w:cs="Calibri"/>
          <w:sz w:val="20"/>
          <w:szCs w:val="18"/>
        </w:rPr>
        <w:t>ed variant</w:t>
      </w:r>
      <w:r>
        <w:rPr>
          <w:rFonts w:ascii="Calibri" w:eastAsia="等线" w:hAnsi="Calibri" w:cs="Calibri"/>
          <w:sz w:val="20"/>
          <w:szCs w:val="18"/>
        </w:rPr>
        <w:t>,</w:t>
      </w:r>
      <w:r w:rsidRPr="001C513B">
        <w:rPr>
          <w:rFonts w:ascii="Calibri" w:eastAsia="等线" w:hAnsi="Calibri" w:cs="Calibri"/>
          <w:sz w:val="20"/>
          <w:szCs w:val="18"/>
        </w:rPr>
        <w:t xml:space="preserve"> respectively.</w:t>
      </w:r>
      <w:bookmarkEnd w:id="248"/>
      <w:bookmarkEnd w:id="249"/>
      <w:r w:rsidRPr="001C513B">
        <w:rPr>
          <w:rFonts w:ascii="Calibri" w:eastAsia="等线" w:hAnsi="Calibri" w:cs="Calibri"/>
          <w:sz w:val="20"/>
          <w:szCs w:val="18"/>
        </w:rPr>
        <w:t xml:space="preserve"> </w:t>
      </w:r>
      <w:r w:rsidRPr="001C513B">
        <w:rPr>
          <w:rFonts w:ascii="Calibri" w:eastAsia="等线" w:hAnsi="Calibri" w:cs="Calibri"/>
          <w:b/>
          <w:sz w:val="44"/>
          <w:szCs w:val="24"/>
          <w:vertAlign w:val="subscript"/>
          <w:lang w:bidi="hi-IN"/>
        </w:rPr>
        <w:t xml:space="preserve"> </w:t>
      </w:r>
    </w:p>
    <w:p w14:paraId="6CBB6468" w14:textId="77777777" w:rsidR="00B145BE" w:rsidRPr="001C513B" w:rsidRDefault="00B145BE" w:rsidP="00B145BE">
      <w:pPr>
        <w:keepNext/>
        <w:suppressAutoHyphens/>
        <w:spacing w:after="120" w:line="360" w:lineRule="auto"/>
        <w:jc w:val="center"/>
        <w:rPr>
          <w:rFonts w:ascii="Calibri" w:eastAsia="等线" w:hAnsi="Calibri" w:cs="Calibri"/>
        </w:rPr>
      </w:pPr>
      <w:r w:rsidRPr="001C513B">
        <w:rPr>
          <w:rFonts w:ascii="Calibri" w:eastAsia="等线" w:hAnsi="Calibri" w:cs="Calibri"/>
          <w:b/>
          <w:noProof/>
          <w:sz w:val="44"/>
          <w:szCs w:val="24"/>
          <w:vertAlign w:val="subscript"/>
          <w:lang w:val="en-US" w:eastAsia="en-US"/>
        </w:rPr>
        <w:lastRenderedPageBreak/>
        <w:drawing>
          <wp:inline distT="0" distB="0" distL="0" distR="0" wp14:anchorId="5532FF3A" wp14:editId="20763C00">
            <wp:extent cx="5157468" cy="3985146"/>
            <wp:effectExtent l="0" t="0" r="5715" b="0"/>
            <wp:docPr id="68" name="图片 36" descr="图片包含 树, 户外, 照片&#10;&#10;自动生成的说明">
              <a:extLst xmlns:a="http://schemas.openxmlformats.org/drawingml/2006/main">
                <a:ext uri="{FF2B5EF4-FFF2-40B4-BE49-F238E27FC236}">
                  <a16:creationId xmlns:a16="http://schemas.microsoft.com/office/drawing/2014/main" id="{44A513A5-C664-4513-BA24-7EDD49C640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descr="图片包含 树, 户外, 照片&#10;&#10;自动生成的说明">
                      <a:extLst>
                        <a:ext uri="{FF2B5EF4-FFF2-40B4-BE49-F238E27FC236}">
                          <a16:creationId xmlns:a16="http://schemas.microsoft.com/office/drawing/2014/main" id="{44A513A5-C664-4513-BA24-7EDD49C64052}"/>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5211227" cy="4026685"/>
                    </a:xfrm>
                    <a:prstGeom prst="rect">
                      <a:avLst/>
                    </a:prstGeom>
                  </pic:spPr>
                </pic:pic>
              </a:graphicData>
            </a:graphic>
          </wp:inline>
        </w:drawing>
      </w:r>
    </w:p>
    <w:p w14:paraId="6C07DAFF" w14:textId="09AFE0C5" w:rsidR="00B145BE" w:rsidRPr="001C513B" w:rsidRDefault="00B145BE" w:rsidP="00B145BE">
      <w:pPr>
        <w:shd w:val="clear" w:color="auto" w:fill="FFFFFF"/>
        <w:spacing w:after="120" w:line="360" w:lineRule="auto"/>
        <w:jc w:val="both"/>
        <w:rPr>
          <w:rFonts w:ascii="Calibri" w:eastAsia="等线" w:hAnsi="Calibri" w:cs="Calibri"/>
          <w:sz w:val="20"/>
          <w:szCs w:val="18"/>
        </w:rPr>
      </w:pPr>
      <w:bookmarkStart w:id="250" w:name="_Toc7364599"/>
      <w:bookmarkStart w:id="251" w:name="_Toc39312713"/>
      <w:r w:rsidRPr="001C513B">
        <w:rPr>
          <w:rFonts w:ascii="Calibri" w:eastAsia="等线" w:hAnsi="Calibri" w:cs="Calibri"/>
          <w:b/>
          <w:sz w:val="20"/>
          <w:szCs w:val="18"/>
        </w:rPr>
        <w:t>Figure 5-</w:t>
      </w:r>
      <w:r w:rsidRPr="001C513B">
        <w:rPr>
          <w:rFonts w:ascii="Calibri" w:eastAsia="等线" w:hAnsi="Calibri" w:cs="Calibri"/>
          <w:b/>
          <w:sz w:val="20"/>
        </w:rPr>
        <w:fldChar w:fldCharType="begin"/>
      </w:r>
      <w:r w:rsidRPr="001C513B">
        <w:rPr>
          <w:rFonts w:ascii="Calibri" w:eastAsia="等线" w:hAnsi="Calibri" w:cs="Calibri"/>
          <w:b/>
          <w:sz w:val="20"/>
        </w:rPr>
        <w:instrText xml:space="preserve"> SEQ Figure \* ARABIC </w:instrText>
      </w:r>
      <w:r w:rsidRPr="001C513B">
        <w:rPr>
          <w:rFonts w:ascii="Calibri" w:eastAsia="等线" w:hAnsi="Calibri" w:cs="Calibri"/>
          <w:b/>
          <w:sz w:val="20"/>
        </w:rPr>
        <w:fldChar w:fldCharType="separate"/>
      </w:r>
      <w:r>
        <w:rPr>
          <w:rFonts w:ascii="Calibri" w:eastAsia="等线" w:hAnsi="Calibri" w:cs="Calibri"/>
          <w:b/>
          <w:noProof/>
          <w:sz w:val="20"/>
        </w:rPr>
        <w:t>7</w:t>
      </w:r>
      <w:r w:rsidRPr="001C513B">
        <w:rPr>
          <w:rFonts w:ascii="Calibri" w:eastAsia="等线" w:hAnsi="Calibri" w:cs="Calibri"/>
          <w:b/>
          <w:sz w:val="20"/>
        </w:rPr>
        <w:fldChar w:fldCharType="end"/>
      </w:r>
      <w:r w:rsidRPr="001C513B">
        <w:rPr>
          <w:rFonts w:ascii="Calibri" w:eastAsia="等线" w:hAnsi="Calibri" w:cs="Calibri"/>
          <w:b/>
          <w:sz w:val="20"/>
          <w:szCs w:val="18"/>
        </w:rPr>
        <w:t xml:space="preserve"> TEM image</w:t>
      </w:r>
      <w:r>
        <w:rPr>
          <w:rFonts w:ascii="Calibri" w:eastAsia="等线" w:hAnsi="Calibri" w:cs="Calibri"/>
          <w:b/>
          <w:sz w:val="20"/>
          <w:szCs w:val="18"/>
        </w:rPr>
        <w:t>s</w:t>
      </w:r>
      <w:r w:rsidRPr="001C513B">
        <w:rPr>
          <w:rFonts w:ascii="Calibri" w:eastAsia="等线" w:hAnsi="Calibri" w:cs="Calibri"/>
          <w:b/>
          <w:sz w:val="20"/>
          <w:szCs w:val="18"/>
        </w:rPr>
        <w:t xml:space="preserve"> of type I {111}</w:t>
      </w:r>
      <w:r w:rsidRPr="001C513B">
        <w:rPr>
          <w:rFonts w:ascii="Calibri" w:eastAsia="等线" w:hAnsi="Calibri" w:cs="Times New Roman"/>
          <w:b/>
          <w:sz w:val="20"/>
          <w:szCs w:val="18"/>
          <w:vertAlign w:val="subscript"/>
        </w:rPr>
        <w:t>α</w:t>
      </w:r>
      <w:r w:rsidRPr="001C513B">
        <w:rPr>
          <w:rFonts w:ascii="Calibri" w:eastAsia="等线" w:hAnsi="Calibri" w:cs="Calibri"/>
          <w:b/>
          <w:sz w:val="20"/>
          <w:szCs w:val="18"/>
          <w:vertAlign w:val="subscript"/>
        </w:rPr>
        <w:t>’’</w:t>
      </w:r>
      <w:r w:rsidRPr="001C513B">
        <w:rPr>
          <w:rFonts w:ascii="Calibri" w:eastAsia="等线" w:hAnsi="Calibri" w:cs="Calibri"/>
          <w:b/>
          <w:sz w:val="20"/>
          <w:szCs w:val="18"/>
        </w:rPr>
        <w:t xml:space="preserve"> SA twinning in 5% deformed TiZrHfTa</w:t>
      </w:r>
      <w:r w:rsidRPr="001C513B">
        <w:rPr>
          <w:rFonts w:ascii="Calibri" w:eastAsia="等线" w:hAnsi="Calibri" w:cs="Calibri"/>
          <w:b/>
          <w:sz w:val="20"/>
          <w:szCs w:val="18"/>
          <w:vertAlign w:val="subscript"/>
        </w:rPr>
        <w:t>0.6</w:t>
      </w:r>
      <w:r w:rsidRPr="001C513B">
        <w:rPr>
          <w:rFonts w:ascii="Calibri" w:eastAsia="等线" w:hAnsi="Calibri" w:cs="Calibri"/>
          <w:sz w:val="20"/>
          <w:szCs w:val="18"/>
        </w:rPr>
        <w:t>. (</w:t>
      </w:r>
      <w:r w:rsidRPr="001C513B">
        <w:rPr>
          <w:rFonts w:ascii="Calibri" w:eastAsia="等线" w:hAnsi="Calibri" w:cs="Calibri"/>
          <w:b/>
          <w:sz w:val="20"/>
          <w:szCs w:val="18"/>
        </w:rPr>
        <w:t>a</w:t>
      </w:r>
      <w:r w:rsidRPr="001C513B">
        <w:rPr>
          <w:rFonts w:ascii="Calibri" w:eastAsia="等线" w:hAnsi="Calibri" w:cs="Calibri"/>
          <w:sz w:val="20"/>
          <w:szCs w:val="18"/>
        </w:rPr>
        <w:t xml:space="preserve">) </w:t>
      </w:r>
      <w:r>
        <w:rPr>
          <w:rFonts w:ascii="Calibri" w:eastAsia="等线" w:hAnsi="Calibri" w:cs="Calibri"/>
          <w:sz w:val="20"/>
          <w:szCs w:val="18"/>
        </w:rPr>
        <w:t>a b</w:t>
      </w:r>
      <w:r w:rsidRPr="001C513B">
        <w:rPr>
          <w:rFonts w:ascii="Calibri" w:eastAsia="等线" w:hAnsi="Calibri" w:cs="Calibri"/>
          <w:sz w:val="20"/>
          <w:szCs w:val="18"/>
        </w:rPr>
        <w:t xml:space="preserve">right field image of </w:t>
      </w:r>
      <w:r>
        <w:rPr>
          <w:rFonts w:ascii="Calibri" w:eastAsia="等线" w:hAnsi="Calibri" w:cs="Calibri"/>
          <w:sz w:val="20"/>
          <w:szCs w:val="18"/>
        </w:rPr>
        <w:t xml:space="preserve">the </w:t>
      </w:r>
      <w:r w:rsidRPr="001C513B">
        <w:rPr>
          <w:rFonts w:ascii="Calibri" w:eastAsia="等线" w:hAnsi="Calibri" w:cs="Calibri"/>
          <w:sz w:val="20"/>
          <w:szCs w:val="18"/>
        </w:rPr>
        <w:t>feature</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b</w:t>
      </w:r>
      <w:r w:rsidRPr="001C513B">
        <w:rPr>
          <w:rFonts w:ascii="Calibri" w:eastAsia="等线" w:hAnsi="Calibri" w:cs="Calibri"/>
          <w:sz w:val="20"/>
          <w:szCs w:val="18"/>
        </w:rPr>
        <w:t xml:space="preserve">) </w:t>
      </w:r>
      <w:r>
        <w:rPr>
          <w:rFonts w:ascii="Calibri" w:eastAsia="等线" w:hAnsi="Calibri" w:cs="Calibri"/>
          <w:sz w:val="20"/>
          <w:szCs w:val="18"/>
        </w:rPr>
        <w:t xml:space="preserve">a </w:t>
      </w:r>
      <w:r w:rsidRPr="001C513B">
        <w:rPr>
          <w:rFonts w:ascii="Calibri" w:eastAsia="等线" w:hAnsi="Calibri" w:cs="Calibri"/>
          <w:sz w:val="20"/>
          <w:szCs w:val="18"/>
        </w:rPr>
        <w:t xml:space="preserve">SADP derived </w:t>
      </w:r>
      <w:r w:rsidR="009B2183">
        <w:rPr>
          <w:rFonts w:ascii="Calibri" w:eastAsia="等线" w:hAnsi="Calibri" w:cs="Calibri"/>
          <w:sz w:val="20"/>
          <w:szCs w:val="18"/>
        </w:rPr>
        <w:t>from</w:t>
      </w:r>
      <w:r w:rsidRPr="001C513B">
        <w:rPr>
          <w:rFonts w:ascii="Calibri" w:eastAsia="等线" w:hAnsi="Calibri" w:cs="Calibri"/>
          <w:sz w:val="20"/>
          <w:szCs w:val="18"/>
        </w:rPr>
        <w:t xml:space="preserve"> </w:t>
      </w:r>
      <w:r>
        <w:rPr>
          <w:rFonts w:ascii="Calibri" w:eastAsia="等线" w:hAnsi="Calibri" w:cs="Calibri"/>
          <w:sz w:val="20"/>
          <w:szCs w:val="18"/>
        </w:rPr>
        <w:t xml:space="preserve">a </w:t>
      </w:r>
      <w:r w:rsidRPr="001C513B">
        <w:rPr>
          <w:rFonts w:ascii="Calibri" w:eastAsia="等线" w:hAnsi="Calibri" w:cs="Calibri"/>
          <w:sz w:val="20"/>
          <w:szCs w:val="18"/>
        </w:rPr>
        <w:t>twin</w:t>
      </w:r>
      <w:r>
        <w:rPr>
          <w:rFonts w:ascii="Calibri" w:eastAsia="等线" w:hAnsi="Calibri" w:cs="Calibri"/>
          <w:sz w:val="20"/>
          <w:szCs w:val="18"/>
        </w:rPr>
        <w:t>n</w:t>
      </w:r>
      <w:r w:rsidRPr="001C513B">
        <w:rPr>
          <w:rFonts w:ascii="Calibri" w:eastAsia="等线" w:hAnsi="Calibri" w:cs="Calibri"/>
          <w:sz w:val="20"/>
          <w:szCs w:val="18"/>
        </w:rPr>
        <w:t xml:space="preserve">ed feature, </w:t>
      </w:r>
      <w:r>
        <w:rPr>
          <w:rFonts w:ascii="Calibri" w:eastAsia="等线" w:hAnsi="Calibri" w:cs="Calibri"/>
          <w:sz w:val="20"/>
          <w:szCs w:val="18"/>
        </w:rPr>
        <w:t xml:space="preserve">where </w:t>
      </w:r>
      <w:r w:rsidRPr="001C513B">
        <w:rPr>
          <w:rFonts w:ascii="Calibri" w:eastAsia="等线" w:hAnsi="Calibri" w:cs="Times New Roman"/>
          <w:sz w:val="20"/>
          <w:szCs w:val="18"/>
        </w:rPr>
        <w:t>α</w:t>
      </w:r>
      <w:r w:rsidRPr="001C513B">
        <w:rPr>
          <w:rFonts w:ascii="Calibri" w:eastAsia="等线" w:hAnsi="Calibri" w:cs="Calibri"/>
          <w:sz w:val="20"/>
          <w:szCs w:val="18"/>
        </w:rPr>
        <w:t>’’ and twin</w:t>
      </w:r>
      <w:r>
        <w:rPr>
          <w:rFonts w:ascii="Calibri" w:eastAsia="等线" w:hAnsi="Calibri" w:cs="Calibri"/>
          <w:sz w:val="20"/>
          <w:szCs w:val="18"/>
        </w:rPr>
        <w:t>n</w:t>
      </w:r>
      <w:r w:rsidRPr="001C513B">
        <w:rPr>
          <w:rFonts w:ascii="Calibri" w:eastAsia="等线" w:hAnsi="Calibri" w:cs="Calibri"/>
          <w:sz w:val="20"/>
          <w:szCs w:val="18"/>
        </w:rPr>
        <w:t xml:space="preserve">ed </w:t>
      </w:r>
      <w:r w:rsidRPr="001C513B">
        <w:rPr>
          <w:rFonts w:ascii="Calibri" w:eastAsia="等线" w:hAnsi="Calibri" w:cs="Times New Roman"/>
          <w:sz w:val="20"/>
          <w:szCs w:val="18"/>
        </w:rPr>
        <w:t>α</w:t>
      </w:r>
      <w:r w:rsidRPr="001C513B">
        <w:rPr>
          <w:rFonts w:ascii="Calibri" w:eastAsia="等线" w:hAnsi="Calibri" w:cs="Calibri"/>
          <w:sz w:val="20"/>
          <w:szCs w:val="18"/>
        </w:rPr>
        <w:t xml:space="preserve">’’ diffraction patterns </w:t>
      </w:r>
      <w:r w:rsidR="009B2183">
        <w:rPr>
          <w:rFonts w:ascii="Calibri" w:eastAsia="等线" w:hAnsi="Calibri" w:cs="Calibri"/>
          <w:sz w:val="20"/>
          <w:szCs w:val="18"/>
        </w:rPr>
        <w:t>are</w:t>
      </w:r>
      <w:r w:rsidRPr="001C513B">
        <w:rPr>
          <w:rFonts w:ascii="Calibri" w:eastAsia="等线" w:hAnsi="Calibri" w:cs="Calibri"/>
          <w:sz w:val="20"/>
          <w:szCs w:val="18"/>
        </w:rPr>
        <w:t xml:space="preserve"> marked with red and yellow</w:t>
      </w:r>
      <w:r>
        <w:rPr>
          <w:rFonts w:ascii="Calibri" w:eastAsia="等线" w:hAnsi="Calibri" w:cs="Calibri"/>
          <w:sz w:val="20"/>
          <w:szCs w:val="18"/>
        </w:rPr>
        <w:t>,</w:t>
      </w:r>
      <w:r w:rsidRPr="001C513B">
        <w:rPr>
          <w:rFonts w:ascii="Calibri" w:eastAsia="等线" w:hAnsi="Calibri" w:cs="Calibri"/>
          <w:sz w:val="20"/>
          <w:szCs w:val="18"/>
        </w:rPr>
        <w:t xml:space="preserve"> respectively. </w:t>
      </w:r>
      <w:r>
        <w:rPr>
          <w:rFonts w:ascii="Calibri" w:eastAsia="等线" w:hAnsi="Calibri" w:cs="Calibri"/>
          <w:sz w:val="20"/>
          <w:szCs w:val="18"/>
        </w:rPr>
        <w:t xml:space="preserve">The </w:t>
      </w:r>
      <w:r w:rsidRPr="001C513B">
        <w:rPr>
          <w:rFonts w:ascii="Calibri" w:eastAsia="等线" w:hAnsi="Calibri" w:cs="Calibri"/>
          <w:sz w:val="20"/>
          <w:szCs w:val="18"/>
        </w:rPr>
        <w:t>{111}</w:t>
      </w:r>
      <w:r w:rsidRPr="001C513B">
        <w:rPr>
          <w:rFonts w:ascii="Calibri" w:eastAsia="等线" w:hAnsi="Calibri" w:cs="Times New Roman"/>
          <w:sz w:val="20"/>
          <w:szCs w:val="18"/>
          <w:vertAlign w:val="subscript"/>
        </w:rPr>
        <w:t>α</w:t>
      </w:r>
      <w:r w:rsidRPr="001C513B">
        <w:rPr>
          <w:rFonts w:ascii="Calibri" w:eastAsia="等线" w:hAnsi="Calibri" w:cs="Calibri"/>
          <w:sz w:val="20"/>
          <w:szCs w:val="18"/>
          <w:vertAlign w:val="subscript"/>
        </w:rPr>
        <w:t>’’</w:t>
      </w:r>
      <w:r w:rsidRPr="001C513B">
        <w:rPr>
          <w:rFonts w:ascii="Calibri" w:eastAsia="等线" w:hAnsi="Calibri" w:cs="Times New Roman"/>
          <w:sz w:val="20"/>
          <w:szCs w:val="18"/>
        </w:rPr>
        <w:t xml:space="preserve"> </w:t>
      </w:r>
      <w:r w:rsidRPr="001C513B">
        <w:rPr>
          <w:rFonts w:ascii="Calibri" w:eastAsia="等线" w:hAnsi="Calibri" w:cs="Calibri"/>
          <w:sz w:val="20"/>
          <w:szCs w:val="18"/>
        </w:rPr>
        <w:t xml:space="preserve">twinning plane </w:t>
      </w:r>
      <w:r w:rsidR="009B2183">
        <w:rPr>
          <w:rFonts w:ascii="Calibri" w:eastAsia="等线" w:hAnsi="Calibri" w:cs="Calibri"/>
          <w:sz w:val="20"/>
          <w:szCs w:val="18"/>
        </w:rPr>
        <w:t>is</w:t>
      </w:r>
      <w:r w:rsidRPr="001C513B">
        <w:rPr>
          <w:rFonts w:ascii="Calibri" w:eastAsia="等线" w:hAnsi="Calibri" w:cs="Calibri"/>
          <w:sz w:val="20"/>
          <w:szCs w:val="18"/>
        </w:rPr>
        <w:t xml:space="preserve"> </w:t>
      </w:r>
      <w:r w:rsidR="000A5412" w:rsidRPr="001C513B">
        <w:rPr>
          <w:rFonts w:ascii="Calibri" w:eastAsia="等线" w:hAnsi="Calibri" w:cs="Calibri"/>
          <w:sz w:val="20"/>
          <w:szCs w:val="18"/>
        </w:rPr>
        <w:t>highlighted</w:t>
      </w:r>
      <w:r w:rsidR="000A5412">
        <w:rPr>
          <w:rFonts w:ascii="Calibri" w:eastAsia="等线" w:hAnsi="Calibri" w:cs="Calibri"/>
          <w:sz w:val="20"/>
          <w:szCs w:val="18"/>
        </w:rPr>
        <w:t xml:space="preserve">; </w:t>
      </w:r>
      <w:r w:rsidR="000A5412" w:rsidRPr="001C513B">
        <w:rPr>
          <w:rFonts w:ascii="Calibri" w:eastAsia="等线" w:hAnsi="Calibri" w:cs="Calibri"/>
          <w:sz w:val="20"/>
          <w:szCs w:val="18"/>
        </w:rPr>
        <w:t>(</w:t>
      </w:r>
      <w:r w:rsidRPr="001C513B">
        <w:rPr>
          <w:rFonts w:ascii="Calibri" w:eastAsia="等线" w:hAnsi="Calibri" w:cs="Calibri"/>
          <w:b/>
          <w:sz w:val="20"/>
          <w:szCs w:val="18"/>
        </w:rPr>
        <w:t>c</w:t>
      </w:r>
      <w:r w:rsidRPr="001C513B">
        <w:rPr>
          <w:rFonts w:ascii="Calibri" w:eastAsia="等线" w:hAnsi="Calibri" w:cs="Calibri"/>
          <w:sz w:val="20"/>
          <w:szCs w:val="18"/>
        </w:rPr>
        <w:t xml:space="preserve">) </w:t>
      </w:r>
      <w:r>
        <w:rPr>
          <w:rFonts w:ascii="Calibri" w:eastAsia="等线" w:hAnsi="Calibri" w:cs="Calibri"/>
          <w:sz w:val="20"/>
          <w:szCs w:val="18"/>
        </w:rPr>
        <w:t>a d</w:t>
      </w:r>
      <w:r w:rsidRPr="001C513B">
        <w:rPr>
          <w:rFonts w:ascii="Calibri" w:eastAsia="等线" w:hAnsi="Calibri" w:cs="Calibri"/>
          <w:sz w:val="20"/>
          <w:szCs w:val="18"/>
        </w:rPr>
        <w:t xml:space="preserve">ark field image of </w:t>
      </w:r>
      <w:r>
        <w:rPr>
          <w:rFonts w:ascii="Calibri" w:eastAsia="等线" w:hAnsi="Calibri" w:cs="Calibri"/>
          <w:sz w:val="20"/>
          <w:szCs w:val="18"/>
        </w:rPr>
        <w:t xml:space="preserve">a </w:t>
      </w:r>
      <w:r w:rsidRPr="001C513B">
        <w:rPr>
          <w:rFonts w:ascii="Calibri" w:eastAsia="等线" w:hAnsi="Calibri" w:cs="Calibri"/>
          <w:sz w:val="20"/>
          <w:szCs w:val="18"/>
        </w:rPr>
        <w:t>twin</w:t>
      </w:r>
      <w:r>
        <w:rPr>
          <w:rFonts w:ascii="Calibri" w:eastAsia="等线" w:hAnsi="Calibri" w:cs="Calibri"/>
          <w:sz w:val="20"/>
          <w:szCs w:val="18"/>
        </w:rPr>
        <w:t>n</w:t>
      </w:r>
      <w:r w:rsidRPr="001C513B">
        <w:rPr>
          <w:rFonts w:ascii="Calibri" w:eastAsia="等线" w:hAnsi="Calibri" w:cs="Calibri"/>
          <w:sz w:val="20"/>
          <w:szCs w:val="18"/>
        </w:rPr>
        <w:t xml:space="preserve">ed α’’ grain. </w:t>
      </w:r>
      <w:r w:rsidR="009B2183">
        <w:rPr>
          <w:rFonts w:ascii="Calibri" w:eastAsia="等线" w:hAnsi="Calibri" w:cs="Calibri"/>
          <w:sz w:val="20"/>
          <w:szCs w:val="18"/>
        </w:rPr>
        <w:t>A c</w:t>
      </w:r>
      <w:r w:rsidRPr="001C513B">
        <w:rPr>
          <w:rFonts w:ascii="Calibri" w:eastAsia="等线" w:hAnsi="Calibri" w:cs="Calibri"/>
          <w:sz w:val="20"/>
          <w:szCs w:val="18"/>
        </w:rPr>
        <w:t>orrugated APB like stacking fault feature</w:t>
      </w:r>
      <w:r>
        <w:rPr>
          <w:rFonts w:ascii="Calibri" w:eastAsia="等线" w:hAnsi="Calibri" w:cs="Calibri"/>
          <w:sz w:val="20"/>
          <w:szCs w:val="18"/>
        </w:rPr>
        <w:t xml:space="preserve"> </w:t>
      </w:r>
      <w:r w:rsidR="009B2183">
        <w:rPr>
          <w:rFonts w:ascii="Calibri" w:eastAsia="等线" w:hAnsi="Calibri" w:cs="Calibri"/>
          <w:sz w:val="20"/>
          <w:szCs w:val="18"/>
        </w:rPr>
        <w:t>is</w:t>
      </w:r>
      <w:r w:rsidRPr="001C513B">
        <w:rPr>
          <w:rFonts w:ascii="Calibri" w:eastAsia="等线" w:hAnsi="Calibri" w:cs="Calibri"/>
          <w:sz w:val="20"/>
          <w:szCs w:val="18"/>
        </w:rPr>
        <w:t xml:space="preserve"> marked with red arrow</w:t>
      </w:r>
      <w:r>
        <w:rPr>
          <w:rFonts w:ascii="Calibri" w:eastAsia="等线" w:hAnsi="Calibri" w:cs="Calibri"/>
          <w:sz w:val="20"/>
          <w:szCs w:val="18"/>
        </w:rPr>
        <w:t>;</w:t>
      </w:r>
      <w:r w:rsidRPr="001C513B">
        <w:rPr>
          <w:rFonts w:ascii="Calibri" w:eastAsia="等线" w:hAnsi="Calibri" w:cs="Calibri"/>
          <w:b/>
          <w:sz w:val="20"/>
          <w:szCs w:val="18"/>
        </w:rPr>
        <w:t xml:space="preserve"> </w:t>
      </w:r>
      <w:r w:rsidRPr="001C513B">
        <w:rPr>
          <w:rFonts w:ascii="Calibri" w:eastAsia="等线" w:hAnsi="Calibri" w:cs="Calibri"/>
          <w:sz w:val="20"/>
          <w:szCs w:val="18"/>
        </w:rPr>
        <w:t>(</w:t>
      </w:r>
      <w:r w:rsidRPr="001C513B">
        <w:rPr>
          <w:rFonts w:ascii="Calibri" w:eastAsia="等线" w:hAnsi="Calibri" w:cs="Calibri"/>
          <w:b/>
          <w:sz w:val="20"/>
          <w:szCs w:val="18"/>
        </w:rPr>
        <w:t>d</w:t>
      </w:r>
      <w:r w:rsidRPr="001C513B">
        <w:rPr>
          <w:rFonts w:ascii="Calibri" w:eastAsia="等线" w:hAnsi="Calibri" w:cs="Calibri"/>
          <w:sz w:val="20"/>
          <w:szCs w:val="18"/>
        </w:rPr>
        <w:t xml:space="preserve">) </w:t>
      </w:r>
      <w:r>
        <w:rPr>
          <w:rFonts w:ascii="Calibri" w:eastAsia="等线" w:hAnsi="Calibri" w:cs="Calibri"/>
          <w:sz w:val="20"/>
          <w:szCs w:val="18"/>
        </w:rPr>
        <w:t>a d</w:t>
      </w:r>
      <w:r w:rsidRPr="001C513B">
        <w:rPr>
          <w:rFonts w:ascii="Calibri" w:eastAsia="等线" w:hAnsi="Calibri" w:cs="Calibri"/>
          <w:sz w:val="20"/>
          <w:szCs w:val="18"/>
        </w:rPr>
        <w:t xml:space="preserve">ark field image of </w:t>
      </w:r>
      <w:r w:rsidR="009B2183">
        <w:rPr>
          <w:rFonts w:ascii="Calibri" w:eastAsia="等线" w:hAnsi="Calibri" w:cs="Calibri"/>
          <w:sz w:val="20"/>
          <w:szCs w:val="18"/>
        </w:rPr>
        <w:t xml:space="preserve">a </w:t>
      </w:r>
      <w:r w:rsidRPr="001C513B">
        <w:rPr>
          <w:rFonts w:ascii="Calibri" w:eastAsia="等线" w:hAnsi="Calibri" w:cs="Calibri"/>
          <w:sz w:val="20"/>
          <w:szCs w:val="18"/>
        </w:rPr>
        <w:t xml:space="preserve">α’’ matrix grain, </w:t>
      </w:r>
      <w:r>
        <w:rPr>
          <w:rFonts w:ascii="Calibri" w:eastAsia="等线" w:hAnsi="Calibri" w:cs="Calibri"/>
          <w:sz w:val="20"/>
          <w:szCs w:val="18"/>
        </w:rPr>
        <w:t>with the s</w:t>
      </w:r>
      <w:r w:rsidRPr="001C513B">
        <w:rPr>
          <w:rFonts w:ascii="Calibri" w:eastAsia="等线" w:hAnsi="Calibri" w:cs="Calibri"/>
          <w:sz w:val="20"/>
          <w:szCs w:val="18"/>
        </w:rPr>
        <w:t xml:space="preserve">ame corrugated APB-like stacking fault feature also observed and marked with </w:t>
      </w:r>
      <w:r w:rsidR="009B2183">
        <w:rPr>
          <w:rFonts w:ascii="Calibri" w:eastAsia="等线" w:hAnsi="Calibri" w:cs="Calibri"/>
          <w:sz w:val="20"/>
          <w:szCs w:val="18"/>
        </w:rPr>
        <w:t xml:space="preserve">a </w:t>
      </w:r>
      <w:r w:rsidRPr="001C513B">
        <w:rPr>
          <w:rFonts w:ascii="Calibri" w:eastAsia="等线" w:hAnsi="Calibri" w:cs="Calibri"/>
          <w:sz w:val="20"/>
          <w:szCs w:val="18"/>
        </w:rPr>
        <w:t>red arrow.</w:t>
      </w:r>
      <w:bookmarkEnd w:id="250"/>
      <w:bookmarkEnd w:id="251"/>
    </w:p>
    <w:p w14:paraId="0469542A" w14:textId="77777777" w:rsidR="00B145BE" w:rsidRPr="001C513B" w:rsidRDefault="00B145BE" w:rsidP="00B145BE">
      <w:pPr>
        <w:keepNext/>
        <w:suppressAutoHyphens/>
        <w:spacing w:after="120" w:line="360" w:lineRule="auto"/>
        <w:jc w:val="center"/>
        <w:rPr>
          <w:rFonts w:ascii="Calibri" w:eastAsia="等线" w:hAnsi="Calibri" w:cs="Calibri"/>
        </w:rPr>
      </w:pPr>
      <w:r w:rsidRPr="001C513B">
        <w:rPr>
          <w:rFonts w:ascii="Calibri" w:eastAsia="等线" w:hAnsi="Calibri" w:cs="Calibri"/>
          <w:b/>
          <w:noProof/>
          <w:sz w:val="44"/>
          <w:szCs w:val="24"/>
          <w:vertAlign w:val="subscript"/>
          <w:lang w:val="en-US" w:eastAsia="en-US"/>
        </w:rPr>
        <w:lastRenderedPageBreak/>
        <w:drawing>
          <wp:inline distT="0" distB="0" distL="0" distR="0" wp14:anchorId="72E87D00" wp14:editId="5C106142">
            <wp:extent cx="4749106" cy="3657600"/>
            <wp:effectExtent l="0" t="0" r="0" b="0"/>
            <wp:docPr id="34" name="图片 33" descr="图片包含 树, 户外&#10;&#10;自动生成的说明">
              <a:extLst xmlns:a="http://schemas.openxmlformats.org/drawingml/2006/main">
                <a:ext uri="{FF2B5EF4-FFF2-40B4-BE49-F238E27FC236}">
                  <a16:creationId xmlns:a16="http://schemas.microsoft.com/office/drawing/2014/main" id="{25F447FE-E388-4135-96ED-F35105CB28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descr="图片包含 树, 户外&#10;&#10;自动生成的说明">
                      <a:extLst>
                        <a:ext uri="{FF2B5EF4-FFF2-40B4-BE49-F238E27FC236}">
                          <a16:creationId xmlns:a16="http://schemas.microsoft.com/office/drawing/2014/main" id="{25F447FE-E388-4135-96ED-F35105CB2864}"/>
                        </a:ext>
                      </a:extLst>
                    </pic:cNvPr>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4819866" cy="3712097"/>
                    </a:xfrm>
                    <a:prstGeom prst="rect">
                      <a:avLst/>
                    </a:prstGeom>
                  </pic:spPr>
                </pic:pic>
              </a:graphicData>
            </a:graphic>
          </wp:inline>
        </w:drawing>
      </w:r>
    </w:p>
    <w:p w14:paraId="57CE758C" w14:textId="5755377B" w:rsidR="00B145BE" w:rsidRPr="001C513B" w:rsidRDefault="00B145BE" w:rsidP="00B145BE">
      <w:pPr>
        <w:shd w:val="clear" w:color="auto" w:fill="FFFFFF"/>
        <w:spacing w:after="60" w:line="360" w:lineRule="auto"/>
        <w:rPr>
          <w:rFonts w:ascii="Calibri" w:eastAsia="等线" w:hAnsi="Calibri" w:cs="Calibri"/>
          <w:sz w:val="20"/>
          <w:szCs w:val="18"/>
        </w:rPr>
      </w:pPr>
      <w:bookmarkStart w:id="252" w:name="_Toc7364600"/>
      <w:bookmarkStart w:id="253" w:name="_Toc39312714"/>
      <w:r w:rsidRPr="001C513B">
        <w:rPr>
          <w:rFonts w:ascii="Calibri" w:eastAsia="等线" w:hAnsi="Calibri" w:cs="Calibri"/>
          <w:b/>
          <w:sz w:val="20"/>
          <w:szCs w:val="18"/>
        </w:rPr>
        <w:t>Figure 5-</w:t>
      </w:r>
      <w:r w:rsidRPr="001C513B">
        <w:rPr>
          <w:rFonts w:ascii="Calibri" w:eastAsia="等线" w:hAnsi="Calibri" w:cs="Calibri"/>
          <w:b/>
          <w:sz w:val="20"/>
        </w:rPr>
        <w:fldChar w:fldCharType="begin"/>
      </w:r>
      <w:r w:rsidRPr="001C513B">
        <w:rPr>
          <w:rFonts w:ascii="Calibri" w:eastAsia="等线" w:hAnsi="Calibri" w:cs="Calibri"/>
          <w:b/>
          <w:sz w:val="20"/>
        </w:rPr>
        <w:instrText xml:space="preserve"> SEQ Figure \* ARABIC </w:instrText>
      </w:r>
      <w:r w:rsidRPr="001C513B">
        <w:rPr>
          <w:rFonts w:ascii="Calibri" w:eastAsia="等线" w:hAnsi="Calibri" w:cs="Calibri"/>
          <w:b/>
          <w:sz w:val="20"/>
        </w:rPr>
        <w:fldChar w:fldCharType="separate"/>
      </w:r>
      <w:r>
        <w:rPr>
          <w:rFonts w:ascii="Calibri" w:eastAsia="等线" w:hAnsi="Calibri" w:cs="Calibri"/>
          <w:b/>
          <w:noProof/>
          <w:sz w:val="20"/>
        </w:rPr>
        <w:t>8</w:t>
      </w:r>
      <w:r w:rsidRPr="001C513B">
        <w:rPr>
          <w:rFonts w:ascii="Calibri" w:eastAsia="等线" w:hAnsi="Calibri" w:cs="Calibri"/>
          <w:b/>
          <w:sz w:val="20"/>
        </w:rPr>
        <w:fldChar w:fldCharType="end"/>
      </w:r>
      <w:r w:rsidRPr="001C513B">
        <w:rPr>
          <w:rFonts w:ascii="Calibri" w:eastAsia="等线" w:hAnsi="Calibri" w:cs="Calibri"/>
          <w:b/>
          <w:sz w:val="20"/>
          <w:szCs w:val="18"/>
        </w:rPr>
        <w:t xml:space="preserve"> TEM image</w:t>
      </w:r>
      <w:r>
        <w:rPr>
          <w:rFonts w:ascii="Calibri" w:eastAsia="等线" w:hAnsi="Calibri" w:cs="Calibri"/>
          <w:b/>
          <w:sz w:val="20"/>
          <w:szCs w:val="18"/>
        </w:rPr>
        <w:t>s</w:t>
      </w:r>
      <w:r w:rsidRPr="001C513B">
        <w:rPr>
          <w:rFonts w:ascii="Calibri" w:eastAsia="等线" w:hAnsi="Calibri" w:cs="Calibri"/>
          <w:b/>
          <w:sz w:val="20"/>
          <w:szCs w:val="18"/>
        </w:rPr>
        <w:t xml:space="preserve"> of APB like stacking fault feature in 5% deformed TiZrHfTa</w:t>
      </w:r>
      <w:r w:rsidRPr="001C513B">
        <w:rPr>
          <w:rFonts w:ascii="Calibri" w:eastAsia="等线" w:hAnsi="Calibri" w:cs="Calibri"/>
          <w:b/>
          <w:sz w:val="20"/>
          <w:szCs w:val="18"/>
          <w:vertAlign w:val="subscript"/>
        </w:rPr>
        <w:t>0.6</w:t>
      </w:r>
      <w:r w:rsidRPr="001C513B">
        <w:rPr>
          <w:rFonts w:ascii="Calibri" w:eastAsia="等线" w:hAnsi="Calibri" w:cs="Calibri"/>
          <w:b/>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a</w:t>
      </w:r>
      <w:r w:rsidRPr="001C513B">
        <w:rPr>
          <w:rFonts w:ascii="Calibri" w:eastAsia="等线" w:hAnsi="Calibri" w:cs="Calibri"/>
          <w:sz w:val="20"/>
          <w:szCs w:val="18"/>
        </w:rPr>
        <w:t xml:space="preserve">) </w:t>
      </w:r>
      <w:r>
        <w:rPr>
          <w:rFonts w:ascii="Calibri" w:eastAsia="等线" w:hAnsi="Calibri" w:cs="Calibri"/>
          <w:sz w:val="20"/>
          <w:szCs w:val="18"/>
        </w:rPr>
        <w:t>a b</w:t>
      </w:r>
      <w:r w:rsidRPr="001C513B">
        <w:rPr>
          <w:rFonts w:ascii="Calibri" w:eastAsia="等线" w:hAnsi="Calibri" w:cs="Calibri"/>
          <w:sz w:val="20"/>
          <w:szCs w:val="18"/>
        </w:rPr>
        <w:t xml:space="preserve">right field image of </w:t>
      </w:r>
      <w:r>
        <w:rPr>
          <w:rFonts w:ascii="Calibri" w:eastAsia="等线" w:hAnsi="Calibri" w:cs="Calibri"/>
          <w:sz w:val="20"/>
          <w:szCs w:val="18"/>
        </w:rPr>
        <w:t>the</w:t>
      </w:r>
      <w:r w:rsidRPr="001C513B">
        <w:rPr>
          <w:rFonts w:ascii="Calibri" w:eastAsia="等线" w:hAnsi="Calibri" w:cs="Calibri"/>
          <w:sz w:val="20"/>
          <w:szCs w:val="18"/>
        </w:rPr>
        <w:t xml:space="preserve"> feature</w:t>
      </w:r>
      <w:r>
        <w:rPr>
          <w:rFonts w:ascii="Calibri" w:eastAsia="等线" w:hAnsi="Calibri" w:cs="Calibri"/>
          <w:sz w:val="20"/>
          <w:szCs w:val="18"/>
        </w:rPr>
        <w:t>,</w:t>
      </w:r>
      <w:r w:rsidRPr="001C513B">
        <w:rPr>
          <w:rFonts w:ascii="Calibri" w:eastAsia="等线" w:hAnsi="Calibri" w:cs="Calibri"/>
          <w:sz w:val="20"/>
          <w:szCs w:val="18"/>
        </w:rPr>
        <w:t xml:space="preserve"> inset </w:t>
      </w:r>
      <w:r>
        <w:rPr>
          <w:rFonts w:ascii="Calibri" w:eastAsia="等线" w:hAnsi="Calibri" w:cs="Calibri"/>
          <w:sz w:val="20"/>
          <w:szCs w:val="18"/>
        </w:rPr>
        <w:t xml:space="preserve">shows the SADP </w:t>
      </w:r>
      <w:r w:rsidRPr="001C513B">
        <w:rPr>
          <w:rFonts w:ascii="Calibri" w:eastAsia="等线" w:hAnsi="Calibri" w:cs="Calibri"/>
          <w:sz w:val="20"/>
          <w:szCs w:val="18"/>
        </w:rPr>
        <w:t xml:space="preserve">derived </w:t>
      </w:r>
      <w:r w:rsidR="00744C13">
        <w:rPr>
          <w:rFonts w:ascii="Calibri" w:eastAsia="等线" w:hAnsi="Calibri" w:cs="Calibri"/>
          <w:sz w:val="20"/>
          <w:szCs w:val="18"/>
        </w:rPr>
        <w:t xml:space="preserve">from </w:t>
      </w:r>
      <w:r>
        <w:rPr>
          <w:rFonts w:ascii="Calibri" w:eastAsia="等线" w:hAnsi="Calibri" w:cs="Calibri"/>
          <w:sz w:val="20"/>
          <w:szCs w:val="18"/>
        </w:rPr>
        <w:t>the</w:t>
      </w:r>
      <w:r w:rsidRPr="001C513B">
        <w:rPr>
          <w:rFonts w:ascii="Calibri" w:eastAsia="等线" w:hAnsi="Calibri" w:cs="Calibri"/>
          <w:sz w:val="20"/>
          <w:szCs w:val="18"/>
        </w:rPr>
        <w:t xml:space="preserve"> martensite feature</w:t>
      </w:r>
      <w:r w:rsidR="00744C13">
        <w:rPr>
          <w:rFonts w:ascii="Calibri" w:eastAsia="等线" w:hAnsi="Calibri" w:cs="Calibri"/>
          <w:sz w:val="20"/>
          <w:szCs w:val="18"/>
        </w:rPr>
        <w:t xml:space="preserve">; </w:t>
      </w:r>
      <w:r w:rsidRPr="001C513B">
        <w:rPr>
          <w:rFonts w:ascii="Calibri" w:eastAsia="等线" w:hAnsi="Calibri" w:cs="Calibri"/>
          <w:sz w:val="20"/>
          <w:szCs w:val="18"/>
        </w:rPr>
        <w:t>(</w:t>
      </w:r>
      <w:r w:rsidRPr="001C513B">
        <w:rPr>
          <w:rFonts w:ascii="Calibri" w:eastAsia="等线" w:hAnsi="Calibri" w:cs="Calibri"/>
          <w:b/>
          <w:sz w:val="20"/>
          <w:szCs w:val="18"/>
        </w:rPr>
        <w:t>b</w:t>
      </w:r>
      <w:r w:rsidRPr="001C513B">
        <w:rPr>
          <w:rFonts w:ascii="Calibri" w:eastAsia="等线" w:hAnsi="Calibri" w:cs="Calibri"/>
          <w:sz w:val="20"/>
          <w:szCs w:val="18"/>
        </w:rPr>
        <w:t xml:space="preserve">) </w:t>
      </w:r>
      <w:r>
        <w:rPr>
          <w:rFonts w:ascii="Calibri" w:eastAsia="等线" w:hAnsi="Calibri" w:cs="Calibri"/>
          <w:sz w:val="20"/>
          <w:szCs w:val="18"/>
        </w:rPr>
        <w:t>a d</w:t>
      </w:r>
      <w:r w:rsidRPr="001C513B">
        <w:rPr>
          <w:rFonts w:ascii="Calibri" w:eastAsia="等线" w:hAnsi="Calibri" w:cs="Calibri"/>
          <w:sz w:val="20"/>
          <w:szCs w:val="18"/>
        </w:rPr>
        <w:t>ark field image of the APB like stacking fault structure observed in</w:t>
      </w:r>
      <w:r>
        <w:rPr>
          <w:rFonts w:ascii="Calibri" w:eastAsia="等线" w:hAnsi="Calibri" w:cs="Calibri"/>
          <w:sz w:val="20"/>
          <w:szCs w:val="18"/>
        </w:rPr>
        <w:t xml:space="preserve"> the</w:t>
      </w:r>
      <w:r w:rsidRPr="001C513B">
        <w:rPr>
          <w:rFonts w:ascii="Calibri" w:eastAsia="等线" w:hAnsi="Calibri" w:cs="Calibri"/>
          <w:sz w:val="20"/>
          <w:szCs w:val="18"/>
        </w:rPr>
        <w:t xml:space="preserve"> two beam condition</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c</w:t>
      </w:r>
      <w:r w:rsidRPr="001C513B">
        <w:rPr>
          <w:rFonts w:ascii="Calibri" w:eastAsia="等线" w:hAnsi="Calibri" w:cs="Calibri"/>
          <w:sz w:val="20"/>
          <w:szCs w:val="18"/>
        </w:rPr>
        <w:t xml:space="preserve">) </w:t>
      </w:r>
      <w:r>
        <w:rPr>
          <w:rFonts w:ascii="Calibri" w:eastAsia="等线" w:hAnsi="Calibri" w:cs="Calibri"/>
          <w:sz w:val="20"/>
          <w:szCs w:val="18"/>
        </w:rPr>
        <w:t>a b</w:t>
      </w:r>
      <w:r w:rsidRPr="001C513B">
        <w:rPr>
          <w:rFonts w:ascii="Calibri" w:eastAsia="等线" w:hAnsi="Calibri" w:cs="Calibri"/>
          <w:sz w:val="20"/>
          <w:szCs w:val="18"/>
        </w:rPr>
        <w:t xml:space="preserve">right field image of </w:t>
      </w:r>
      <w:r w:rsidR="00744C13">
        <w:rPr>
          <w:rFonts w:ascii="Calibri" w:eastAsia="等线" w:hAnsi="Calibri" w:cs="Calibri"/>
          <w:sz w:val="20"/>
          <w:szCs w:val="18"/>
        </w:rPr>
        <w:t xml:space="preserve">a </w:t>
      </w:r>
      <w:r w:rsidRPr="001C513B">
        <w:rPr>
          <w:rFonts w:ascii="Calibri" w:eastAsia="等线" w:hAnsi="Calibri" w:cs="Calibri"/>
          <w:sz w:val="20"/>
          <w:szCs w:val="18"/>
        </w:rPr>
        <w:t>band</w:t>
      </w:r>
      <w:r>
        <w:rPr>
          <w:rFonts w:ascii="Calibri" w:eastAsia="等线" w:hAnsi="Calibri" w:cs="Calibri"/>
          <w:sz w:val="20"/>
          <w:szCs w:val="18"/>
        </w:rPr>
        <w:t>-</w:t>
      </w:r>
      <w:r w:rsidRPr="001C513B">
        <w:rPr>
          <w:rFonts w:ascii="Calibri" w:eastAsia="等线" w:hAnsi="Calibri" w:cs="Calibri"/>
          <w:sz w:val="20"/>
          <w:szCs w:val="18"/>
        </w:rPr>
        <w:t xml:space="preserve">like α’’ grain. Corrugated APB like stacking fault feature discovered in previous feature </w:t>
      </w:r>
      <w:r>
        <w:rPr>
          <w:rFonts w:ascii="Calibri" w:eastAsia="等线" w:hAnsi="Calibri" w:cs="Calibri"/>
          <w:sz w:val="20"/>
          <w:szCs w:val="18"/>
        </w:rPr>
        <w:t>shows</w:t>
      </w:r>
      <w:r w:rsidRPr="001C513B">
        <w:rPr>
          <w:rFonts w:ascii="Calibri" w:eastAsia="等线" w:hAnsi="Calibri" w:cs="Calibri"/>
          <w:sz w:val="20"/>
          <w:szCs w:val="18"/>
        </w:rPr>
        <w:t xml:space="preserve"> a leopard print</w:t>
      </w:r>
      <w:r>
        <w:rPr>
          <w:rFonts w:ascii="Calibri" w:eastAsia="等线" w:hAnsi="Calibri" w:cs="Calibri"/>
          <w:sz w:val="20"/>
          <w:szCs w:val="18"/>
        </w:rPr>
        <w:t>-</w:t>
      </w:r>
      <w:r w:rsidRPr="001C513B">
        <w:rPr>
          <w:rFonts w:ascii="Calibri" w:eastAsia="等线" w:hAnsi="Calibri" w:cs="Calibri"/>
          <w:sz w:val="20"/>
          <w:szCs w:val="18"/>
        </w:rPr>
        <w:t>like pattern</w:t>
      </w:r>
      <w:r>
        <w:rPr>
          <w:rFonts w:ascii="Calibri" w:eastAsia="等线" w:hAnsi="Calibri" w:cs="Calibri"/>
          <w:sz w:val="20"/>
          <w:szCs w:val="18"/>
        </w:rPr>
        <w:t xml:space="preserve">; and </w:t>
      </w:r>
      <w:r w:rsidRPr="001C513B">
        <w:rPr>
          <w:rFonts w:ascii="Calibri" w:eastAsia="等线" w:hAnsi="Calibri" w:cs="Calibri"/>
          <w:sz w:val="20"/>
          <w:szCs w:val="18"/>
        </w:rPr>
        <w:t>(</w:t>
      </w:r>
      <w:r w:rsidRPr="001C513B">
        <w:rPr>
          <w:rFonts w:ascii="Calibri" w:eastAsia="等线" w:hAnsi="Calibri" w:cs="Calibri"/>
          <w:b/>
          <w:sz w:val="20"/>
          <w:szCs w:val="18"/>
        </w:rPr>
        <w:t>d</w:t>
      </w:r>
      <w:r w:rsidRPr="001C513B">
        <w:rPr>
          <w:rFonts w:ascii="Calibri" w:eastAsia="等线" w:hAnsi="Calibri" w:cs="Calibri"/>
          <w:sz w:val="20"/>
          <w:szCs w:val="18"/>
        </w:rPr>
        <w:t xml:space="preserve">) </w:t>
      </w:r>
      <w:r>
        <w:rPr>
          <w:rFonts w:ascii="Calibri" w:eastAsia="等线" w:hAnsi="Calibri" w:cs="Calibri"/>
          <w:sz w:val="20"/>
          <w:szCs w:val="18"/>
        </w:rPr>
        <w:t xml:space="preserve">higher magnification </w:t>
      </w:r>
      <w:r w:rsidRPr="001C513B">
        <w:rPr>
          <w:rFonts w:ascii="Calibri" w:eastAsia="等线" w:hAnsi="Calibri" w:cs="Calibri"/>
          <w:sz w:val="20"/>
          <w:szCs w:val="18"/>
        </w:rPr>
        <w:t>dark field image APB</w:t>
      </w:r>
      <w:r>
        <w:rPr>
          <w:rFonts w:ascii="Calibri" w:eastAsia="等线" w:hAnsi="Calibri" w:cs="Calibri"/>
          <w:sz w:val="20"/>
          <w:szCs w:val="18"/>
        </w:rPr>
        <w:t>-</w:t>
      </w:r>
      <w:r w:rsidRPr="001C513B">
        <w:rPr>
          <w:rFonts w:ascii="Calibri" w:eastAsia="等线" w:hAnsi="Calibri" w:cs="Calibri"/>
          <w:sz w:val="20"/>
          <w:szCs w:val="18"/>
        </w:rPr>
        <w:t>like stacking feature within the martensite grain.</w:t>
      </w:r>
      <w:bookmarkEnd w:id="252"/>
      <w:bookmarkEnd w:id="253"/>
    </w:p>
    <w:p w14:paraId="26804EBB" w14:textId="6E9592AD" w:rsidR="00B145BE" w:rsidRPr="001C513B" w:rsidRDefault="00B145BE" w:rsidP="00B145BE">
      <w:pPr>
        <w:shd w:val="clear" w:color="auto" w:fill="FFFFFF"/>
        <w:spacing w:after="60" w:line="360" w:lineRule="auto"/>
        <w:jc w:val="both"/>
        <w:rPr>
          <w:rFonts w:ascii="Calibri" w:eastAsia="等线" w:hAnsi="Calibri" w:cs="Calibri"/>
          <w:cs/>
        </w:rPr>
      </w:pPr>
      <w:r>
        <w:rPr>
          <w:rFonts w:ascii="Calibri" w:eastAsia="等线" w:hAnsi="Calibri" w:cs="Calibri"/>
        </w:rPr>
        <w:t>The observation of the</w:t>
      </w:r>
      <w:r w:rsidRPr="001C513B">
        <w:rPr>
          <w:rFonts w:ascii="Calibri" w:eastAsia="等线" w:hAnsi="Calibri" w:cs="Calibri"/>
        </w:rPr>
        <w:t xml:space="preserve"> APB</w:t>
      </w:r>
      <w:r>
        <w:rPr>
          <w:rFonts w:ascii="Calibri" w:eastAsia="等线" w:hAnsi="Calibri" w:cs="Calibri"/>
        </w:rPr>
        <w:t>-</w:t>
      </w:r>
      <w:r w:rsidRPr="001C513B">
        <w:rPr>
          <w:rFonts w:ascii="Calibri" w:eastAsia="等线" w:hAnsi="Calibri" w:cs="Calibri"/>
        </w:rPr>
        <w:t>like stacking fault</w:t>
      </w:r>
      <w:r>
        <w:rPr>
          <w:rFonts w:ascii="Calibri" w:eastAsia="等线" w:hAnsi="Calibri" w:cs="Calibri"/>
        </w:rPr>
        <w:t xml:space="preserve">, which is accepted as an iconic feature that can be observed in </w:t>
      </w:r>
      <w:r w:rsidR="00744C13">
        <w:rPr>
          <w:rFonts w:ascii="Calibri" w:eastAsia="等线" w:hAnsi="Calibri" w:cs="Calibri"/>
        </w:rPr>
        <w:t xml:space="preserve">the </w:t>
      </w:r>
      <w:r>
        <w:rPr>
          <w:rFonts w:ascii="Calibri" w:eastAsia="等线" w:hAnsi="Calibri" w:cs="Calibri"/>
        </w:rPr>
        <w:t xml:space="preserve">α’’ orthorhombic martensitic structure </w:t>
      </w:r>
      <w:r w:rsidRPr="001C513B">
        <w:rPr>
          <w:rFonts w:ascii="Calibri" w:eastAsia="等线" w:hAnsi="Calibri" w:cs="Calibri"/>
        </w:rPr>
        <w:fldChar w:fldCharType="begin" w:fldLock="1"/>
      </w:r>
      <w:r>
        <w:rPr>
          <w:rFonts w:ascii="Calibri" w:eastAsia="等线" w:hAnsi="Calibri" w:cs="Calibri" w:hint="eastAsia"/>
        </w:rPr>
        <w:instrText xml:space="preserve">ADDIN CSL_CITATION {"citationItems":[{"id":"ITEM-1","itemData":{"DOI":"10.1016/j.actamat.2009.04.051","ISBN":"0000000000","ISSN":"13596454","PMID":"30089621","abstract":"Self-accommodation morphology of the </w:instrText>
      </w:r>
      <w:r>
        <w:rPr>
          <w:rFonts w:ascii="Calibri" w:eastAsia="等线" w:hAnsi="Calibri" w:cs="Calibri" w:hint="eastAsia"/>
        </w:rPr>
        <w:instrText>α″</w:instrText>
      </w:r>
      <w:r>
        <w:rPr>
          <w:rFonts w:ascii="Calibri" w:eastAsia="等线" w:hAnsi="Calibri" w:cs="Calibri" w:hint="eastAsia"/>
        </w:rPr>
        <w:instrText xml:space="preserve">martensites in Ti-Nb shape memory alloys with </w:instrText>
      </w:r>
      <w:r>
        <w:rPr>
          <w:rFonts w:ascii="Calibri" w:eastAsia="等线" w:hAnsi="Calibri" w:cs="Calibri"/>
        </w:rPr>
        <w:instrText>Nb content ranging from 20 to 24 at.% was investigated. Hollow and solid triangular morphologies consisting of three α</w:instrText>
      </w:r>
      <w:r>
        <w:rPr>
          <w:rFonts w:ascii="Calibri" w:eastAsia="等线" w:hAnsi="Calibri" w:cs="Calibri" w:hint="eastAsia"/>
        </w:rPr>
        <w:instrText>″</w:instrText>
      </w:r>
      <w:r>
        <w:rPr>
          <w:rFonts w:ascii="Calibri" w:eastAsia="等线" w:hAnsi="Calibri" w:cs="Calibri"/>
        </w:rPr>
        <w:instrText>variants were found to be the α</w:instrText>
      </w:r>
      <w:r>
        <w:rPr>
          <w:rFonts w:ascii="Calibri" w:eastAsia="等线" w:hAnsi="Calibri" w:cs="Calibri" w:hint="eastAsia"/>
        </w:rPr>
        <w:instrText>″</w:instrText>
      </w:r>
      <w:r>
        <w:rPr>
          <w:rFonts w:ascii="Calibri" w:eastAsia="等线" w:hAnsi="Calibri" w:cs="Calibri"/>
        </w:rPr>
        <w:instrText>self-accommodation morphologies. The α</w:instrText>
      </w:r>
      <w:r>
        <w:rPr>
          <w:rFonts w:ascii="Calibri" w:eastAsia="等线" w:hAnsi="Calibri" w:cs="Calibri" w:hint="eastAsia"/>
        </w:rPr>
        <w:instrText>″</w:instrText>
      </w:r>
      <w:r>
        <w:rPr>
          <w:rFonts w:ascii="Calibri" w:eastAsia="等线" w:hAnsi="Calibri" w:cs="Calibri"/>
        </w:rPr>
        <w:instrText>variants are related to each other by twinning on {1 over(1, ̄) 1</w:instrText>
      </w:r>
      <w:r>
        <w:rPr>
          <w:rFonts w:ascii="Calibri" w:eastAsia="等线" w:hAnsi="Calibri" w:cs="Calibri" w:hint="eastAsia"/>
        </w:rPr>
        <w:instrText>}</w:instrText>
      </w:r>
      <w:r>
        <w:rPr>
          <w:rFonts w:ascii="Calibri" w:eastAsia="等线" w:hAnsi="Calibri" w:cs="Calibri" w:hint="eastAsia"/>
        </w:rPr>
        <w:instrText>α″</w:instrText>
      </w:r>
      <w:r>
        <w:rPr>
          <w:rFonts w:ascii="Calibri" w:eastAsia="等线" w:hAnsi="Calibri" w:cs="Calibri" w:hint="eastAsia"/>
        </w:rPr>
        <w:instrText xml:space="preserve">. A V-shaped morphology consisting of two </w:instrText>
      </w:r>
      <w:r>
        <w:rPr>
          <w:rFonts w:ascii="Calibri" w:eastAsia="等线" w:hAnsi="Calibri" w:cs="Calibri" w:hint="eastAsia"/>
        </w:rPr>
        <w:instrText>α″</w:instrText>
      </w:r>
      <w:r>
        <w:rPr>
          <w:rFonts w:ascii="Calibri" w:eastAsia="等线" w:hAnsi="Calibri" w:cs="Calibri" w:hint="eastAsia"/>
        </w:rPr>
        <w:instrText xml:space="preserve">variants coupled with a solid triangular morphology consisting of three </w:instrText>
      </w:r>
      <w:r>
        <w:rPr>
          <w:rFonts w:ascii="Calibri" w:eastAsia="等线" w:hAnsi="Calibri" w:cs="Calibri" w:hint="eastAsia"/>
        </w:rPr>
        <w:instrText>α″</w:instrText>
      </w:r>
      <w:r>
        <w:rPr>
          <w:rFonts w:ascii="Calibri" w:eastAsia="等线" w:hAnsi="Calibri" w:cs="Calibri" w:hint="eastAsia"/>
        </w:rPr>
        <w:instrText xml:space="preserve">variants was found to be another type of self-accommodation morphology. The </w:instrText>
      </w:r>
      <w:r>
        <w:rPr>
          <w:rFonts w:ascii="Calibri" w:eastAsia="等线" w:hAnsi="Calibri" w:cs="Calibri" w:hint="eastAsia"/>
        </w:rPr>
        <w:instrText>α″</w:instrText>
      </w:r>
      <w:r>
        <w:rPr>
          <w:rFonts w:ascii="Calibri" w:eastAsia="等线" w:hAnsi="Calibri" w:cs="Calibri" w:hint="eastAsia"/>
        </w:rPr>
        <w:instrText>variants from the V-shaped morphology are related by twi</w:instrText>
      </w:r>
      <w:r>
        <w:rPr>
          <w:rFonts w:ascii="Calibri" w:eastAsia="等线" w:hAnsi="Calibri" w:cs="Calibri"/>
        </w:rPr>
        <w:instrText>nning on {1 1 1}α</w:instrText>
      </w:r>
      <w:r>
        <w:rPr>
          <w:rFonts w:ascii="Calibri" w:eastAsia="等线" w:hAnsi="Calibri" w:cs="Calibri" w:hint="eastAsia"/>
        </w:rPr>
        <w:instrText>″</w:instrText>
      </w:r>
      <w:r>
        <w:rPr>
          <w:rFonts w:ascii="Calibri" w:eastAsia="等线" w:hAnsi="Calibri" w:cs="Calibri"/>
        </w:rPr>
        <w:instrText>, whereas the α</w:instrText>
      </w:r>
      <w:r>
        <w:rPr>
          <w:rFonts w:ascii="Calibri" w:eastAsia="等线" w:hAnsi="Calibri" w:cs="Calibri" w:hint="eastAsia"/>
        </w:rPr>
        <w:instrText>″</w:instrText>
      </w:r>
      <w:r>
        <w:rPr>
          <w:rFonts w:ascii="Calibri" w:eastAsia="等线" w:hAnsi="Calibri" w:cs="Calibri"/>
        </w:rPr>
        <w:instrText>variants from the solid triangular morphology are related to each other by twinning on {1 over(1, ̄) 1}α</w:instrText>
      </w:r>
      <w:r>
        <w:rPr>
          <w:rFonts w:ascii="Calibri" w:eastAsia="等线" w:hAnsi="Calibri" w:cs="Calibri" w:hint="eastAsia"/>
        </w:rPr>
        <w:instrText>″</w:instrText>
      </w:r>
      <w:r>
        <w:rPr>
          <w:rFonts w:ascii="Calibri" w:eastAsia="等线" w:hAnsi="Calibri" w:cs="Calibri"/>
        </w:rPr>
        <w:instrText>. Pairs of crystallographically equivalent {1 over(1, ̄) 1}α</w:instrText>
      </w:r>
      <w:r>
        <w:rPr>
          <w:rFonts w:ascii="Calibri" w:eastAsia="等线" w:hAnsi="Calibri" w:cs="Calibri" w:hint="eastAsia"/>
        </w:rPr>
        <w:instrText>″</w:instrText>
      </w:r>
      <w:r>
        <w:rPr>
          <w:rFonts w:ascii="Calibri" w:eastAsia="等线" w:hAnsi="Calibri" w:cs="Calibri"/>
        </w:rPr>
        <w:instrText>twinning dislocations with steps of opposite signs were found to cause the overall orientation of the twinning terraces and steps to be parallel to the {1 over(1, ̄) 1}α</w:instrText>
      </w:r>
      <w:r>
        <w:rPr>
          <w:rFonts w:ascii="Calibri" w:eastAsia="等线" w:hAnsi="Calibri" w:cs="Calibri" w:hint="eastAsia"/>
        </w:rPr>
        <w:instrText>″</w:instrText>
      </w:r>
      <w:r>
        <w:rPr>
          <w:rFonts w:ascii="Calibri" w:eastAsia="等线" w:hAnsi="Calibri" w:cs="Calibri"/>
        </w:rPr>
        <w:instrText>twinning interface. © 2009 Acta Materialia Inc.","author":[{"dropping-particle":"","family":"Chai","given":"Y. W.","non-dropping-particle":"","parse-names":false,"suffix":""},{"dropping-particle":"","family":"Kim","given":"H. Y.","non-dropping-particle":"","parse-names":false,"suffix":""},{"dropping-particle":"","family":"Hosoda","given":"H.","non-dropping-particle":"","parse-names":false,"suffix":""},{"dropping-particle":"","family":"Miyazaki","given":"S.","non-dropping-particle":"","parse-names":false,"suffix":""}],"container-title":"Acta Materialia","id":"ITEM-1","issued":{"date-parts":[["2009"]]},"title":"Self-accommodation in Ti-Nb shape memory alloys","type":"article-journal"},"uris":["http://www.mendeley.com/documents/?uuid=95bc14ff-590f-4858-bc92-38df50f2c3ab"]},{"id":"ITEM-2","itemData":{"DOI":"10.1007/BF00375026","ISSN":"00039527","abstract":"The shape-memory effect is a phenomenon wherein an apparently plastically deformed specimen recovers all strain when heated above a critical temperature. This is observed in some crystalline solids that undergo martensitic phase transformation. The martensitic transformation is a temperature-induced, diffusionless solid-to-solid phase transformation involving a change in crystalline symmetry. Shape-memory materials are able to transform from the high-temperature austenite to the low-temperature martensite phase without any apparent change in shape. This is known as self-accommodation. Necessary and sufficient conditions that the lattice parameters of a material must satisfy for the material to form a self-accommodating microstructure are derived. The main result states that if the austenite is cubic, the material is self-accommodating if and only if the transformation is volume preserving. On the other hand, if the symmetry of the austenite is not cubic, it is not possible to construct any microstructure that is self-accommodating unless the transformation strain or the Bain strain satisfies additional, rather strict, conditions. These results show good agreement with the available experimental data. The analysis here is significantly different from previous studies because it makes no a priori assumption on the microstructure.","author":[{"dropping-particle":"","family":"Bhattacharya","given":"Kaushik","non-dropping-particle":"","parse-names":false,"suffix":""}],"container-title":"Archive for Rational Mechanics and Analysis","id":"ITEM-2","issued":{"date-parts":[["1992"]]},"title":"Self-accommodation in martensite","type":"article-journal"},"uris":["http://www.mendeley.com/documents/?uuid=2bd4c428-bcb4-43f7-93f3-ce99fdbda6f1"]}],"mendeley":{"formattedCitation":"[37,39]","plainTextFormattedCitation":"[37,39]","previouslyFormattedCitation":"[37,39]"},"properties":{"noteIndex":0},"schema":"https://github.com/citation-style-language/schema/raw/master/csl-citation.json"}</w:instrText>
      </w:r>
      <w:r w:rsidRPr="001C513B">
        <w:rPr>
          <w:rFonts w:ascii="Calibri" w:eastAsia="等线" w:hAnsi="Calibri" w:cs="Calibri"/>
        </w:rPr>
        <w:fldChar w:fldCharType="separate"/>
      </w:r>
      <w:r w:rsidRPr="001C513B">
        <w:rPr>
          <w:rFonts w:ascii="Calibri" w:eastAsia="等线" w:hAnsi="Calibri" w:cs="Calibri"/>
          <w:noProof/>
        </w:rPr>
        <w:t>[37,39]</w:t>
      </w:r>
      <w:r w:rsidRPr="001C513B">
        <w:rPr>
          <w:rFonts w:ascii="Calibri" w:eastAsia="等线" w:hAnsi="Calibri" w:cs="Calibri"/>
        </w:rPr>
        <w:fldChar w:fldCharType="end"/>
      </w:r>
      <w:r>
        <w:rPr>
          <w:rFonts w:ascii="Calibri" w:eastAsia="等线" w:hAnsi="Calibri" w:cs="Calibri"/>
        </w:rPr>
        <w:t xml:space="preserve">, </w:t>
      </w:r>
      <w:r w:rsidRPr="001C513B">
        <w:rPr>
          <w:rFonts w:ascii="Calibri" w:eastAsia="等线" w:hAnsi="Calibri" w:cs="Calibri"/>
        </w:rPr>
        <w:t>provide</w:t>
      </w:r>
      <w:r>
        <w:rPr>
          <w:rFonts w:ascii="Calibri" w:eastAsia="等线" w:hAnsi="Calibri" w:cs="Calibri"/>
        </w:rPr>
        <w:t>s</w:t>
      </w:r>
      <w:r w:rsidRPr="001C513B">
        <w:rPr>
          <w:rFonts w:ascii="Calibri" w:eastAsia="等线" w:hAnsi="Calibri" w:cs="Calibri"/>
        </w:rPr>
        <w:t xml:space="preserve"> solid </w:t>
      </w:r>
      <w:r>
        <w:rPr>
          <w:rFonts w:ascii="Calibri" w:eastAsia="等线" w:hAnsi="Calibri" w:cs="Calibri"/>
        </w:rPr>
        <w:t>evidence</w:t>
      </w:r>
      <w:r w:rsidRPr="001C513B">
        <w:rPr>
          <w:rFonts w:ascii="Calibri" w:eastAsia="等线" w:hAnsi="Calibri" w:cs="Calibri"/>
        </w:rPr>
        <w:t xml:space="preserve"> for the </w:t>
      </w:r>
      <w:r>
        <w:rPr>
          <w:rFonts w:ascii="Calibri" w:eastAsia="等线" w:hAnsi="Calibri" w:cs="Calibri"/>
        </w:rPr>
        <w:t>activation</w:t>
      </w:r>
      <w:r w:rsidRPr="001C513B">
        <w:rPr>
          <w:rFonts w:ascii="Calibri" w:eastAsia="等线" w:hAnsi="Calibri" w:cs="Calibri"/>
        </w:rPr>
        <w:t xml:space="preserve"> of TRIP in TiZrHfTa</w:t>
      </w:r>
      <w:r w:rsidRPr="001C513B">
        <w:rPr>
          <w:rFonts w:ascii="Calibri" w:eastAsia="等线" w:hAnsi="Calibri" w:cs="Calibri"/>
          <w:vertAlign w:val="subscript"/>
        </w:rPr>
        <w:t>0.6</w:t>
      </w:r>
      <w:r>
        <w:rPr>
          <w:rFonts w:ascii="Calibri" w:eastAsia="等线" w:hAnsi="Calibri" w:cs="Calibri"/>
          <w:szCs w:val="18"/>
        </w:rPr>
        <w:t>. W</w:t>
      </w:r>
      <w:r w:rsidRPr="001C513B">
        <w:rPr>
          <w:rFonts w:ascii="Calibri" w:eastAsia="等线" w:hAnsi="Calibri" w:cs="Calibri"/>
          <w:szCs w:val="18"/>
        </w:rPr>
        <w:t xml:space="preserve">ith </w:t>
      </w:r>
      <w:r>
        <w:rPr>
          <w:rFonts w:ascii="Calibri" w:eastAsia="等线" w:hAnsi="Calibri" w:cs="Calibri"/>
          <w:szCs w:val="18"/>
        </w:rPr>
        <w:t>the observed</w:t>
      </w:r>
      <w:r w:rsidRPr="001C513B">
        <w:rPr>
          <w:rFonts w:ascii="Calibri" w:eastAsia="等线" w:hAnsi="Calibri" w:cs="Calibri"/>
          <w:szCs w:val="18"/>
        </w:rPr>
        <w:t xml:space="preserve"> TRIP effect in TiZrHfTa</w:t>
      </w:r>
      <w:r w:rsidRPr="001C513B">
        <w:rPr>
          <w:rFonts w:ascii="Calibri" w:eastAsia="等线" w:hAnsi="Calibri" w:cs="Calibri"/>
          <w:szCs w:val="18"/>
          <w:vertAlign w:val="subscript"/>
        </w:rPr>
        <w:t>0.6</w:t>
      </w:r>
      <w:r w:rsidRPr="001C513B">
        <w:rPr>
          <w:rFonts w:ascii="Calibri" w:eastAsia="等线" w:hAnsi="Calibri" w:cs="Calibri"/>
          <w:szCs w:val="18"/>
        </w:rPr>
        <w:t xml:space="preserve">, the type I SA twinning can exhibit a special self-accommodating morphology forming </w:t>
      </w:r>
      <w:r>
        <w:rPr>
          <w:rFonts w:ascii="Calibri" w:eastAsia="等线" w:hAnsi="Calibri" w:cs="Calibri"/>
          <w:szCs w:val="18"/>
        </w:rPr>
        <w:t xml:space="preserve">a </w:t>
      </w:r>
      <w:r w:rsidRPr="001C513B">
        <w:rPr>
          <w:rFonts w:ascii="Calibri" w:eastAsia="等线" w:hAnsi="Calibri" w:cs="Calibri"/>
          <w:szCs w:val="18"/>
        </w:rPr>
        <w:t xml:space="preserve">polygon twinning structure. In </w:t>
      </w:r>
      <w:r w:rsidRPr="001C513B">
        <w:rPr>
          <w:rFonts w:ascii="Calibri" w:eastAsia="等线" w:hAnsi="Calibri" w:cs="Times New Roman"/>
        </w:rPr>
        <w:t>Fig. 5-9</w:t>
      </w:r>
      <w:r w:rsidRPr="001C513B">
        <w:rPr>
          <w:rFonts w:ascii="Calibri" w:eastAsia="等线" w:hAnsi="Calibri" w:cs="Calibri"/>
          <w:szCs w:val="18"/>
        </w:rPr>
        <w:t>, a tri</w:t>
      </w:r>
      <w:r>
        <w:rPr>
          <w:rFonts w:ascii="Calibri" w:eastAsia="等线" w:hAnsi="Calibri" w:cs="Calibri"/>
          <w:szCs w:val="18"/>
        </w:rPr>
        <w:t>a</w:t>
      </w:r>
      <w:r w:rsidRPr="001C513B">
        <w:rPr>
          <w:rFonts w:ascii="Calibri" w:eastAsia="等线" w:hAnsi="Calibri" w:cs="Calibri"/>
          <w:szCs w:val="18"/>
        </w:rPr>
        <w:t>ng</w:t>
      </w:r>
      <w:r w:rsidR="00744C13">
        <w:rPr>
          <w:rFonts w:ascii="Calibri" w:eastAsia="等线" w:hAnsi="Calibri" w:cs="Calibri"/>
          <w:szCs w:val="18"/>
        </w:rPr>
        <w:t>ular</w:t>
      </w:r>
      <w:r w:rsidRPr="001C513B">
        <w:rPr>
          <w:rFonts w:ascii="Calibri" w:eastAsia="等线" w:hAnsi="Calibri" w:cs="Calibri"/>
          <w:szCs w:val="18"/>
        </w:rPr>
        <w:t xml:space="preserve"> microstructure formed by three martensite variants were </w:t>
      </w:r>
      <w:r>
        <w:rPr>
          <w:rFonts w:ascii="Calibri" w:eastAsia="等线" w:hAnsi="Calibri" w:cs="Calibri"/>
          <w:szCs w:val="18"/>
        </w:rPr>
        <w:t>found</w:t>
      </w:r>
      <w:r w:rsidRPr="001C513B">
        <w:rPr>
          <w:rFonts w:ascii="Calibri" w:eastAsia="等线" w:hAnsi="Calibri" w:cs="Calibri"/>
          <w:szCs w:val="18"/>
        </w:rPr>
        <w:t xml:space="preserve">. </w:t>
      </w:r>
      <w:r w:rsidRPr="001C513B">
        <w:rPr>
          <w:rFonts w:ascii="Calibri" w:eastAsia="等线" w:hAnsi="Calibri" w:cs="Calibri"/>
        </w:rPr>
        <w:t xml:space="preserve"> </w:t>
      </w:r>
    </w:p>
    <w:p w14:paraId="235931BB" w14:textId="77777777" w:rsidR="00B145BE" w:rsidRPr="001C513B" w:rsidRDefault="00B145BE" w:rsidP="00B145BE">
      <w:pPr>
        <w:keepNext/>
        <w:shd w:val="clear" w:color="auto" w:fill="FFFFFF"/>
        <w:spacing w:after="120" w:line="360" w:lineRule="auto"/>
        <w:jc w:val="center"/>
        <w:rPr>
          <w:rFonts w:ascii="Calibri" w:eastAsia="等线" w:hAnsi="Calibri" w:cs="Calibri"/>
        </w:rPr>
      </w:pPr>
      <w:r w:rsidRPr="001C513B">
        <w:rPr>
          <w:rFonts w:ascii="Calibri" w:eastAsia="等线" w:hAnsi="Calibri" w:cs="Calibri"/>
          <w:noProof/>
          <w:szCs w:val="18"/>
          <w:lang w:val="en-US" w:eastAsia="en-US"/>
        </w:rPr>
        <w:lastRenderedPageBreak/>
        <w:drawing>
          <wp:inline distT="0" distB="0" distL="0" distR="0" wp14:anchorId="7B700F58" wp14:editId="34D79EE0">
            <wp:extent cx="6047138" cy="3065069"/>
            <wp:effectExtent l="0" t="0" r="0" b="2540"/>
            <wp:docPr id="122" name="图片 121">
              <a:extLst xmlns:a="http://schemas.openxmlformats.org/drawingml/2006/main">
                <a:ext uri="{FF2B5EF4-FFF2-40B4-BE49-F238E27FC236}">
                  <a16:creationId xmlns:a16="http://schemas.microsoft.com/office/drawing/2014/main" id="{868D8F83-806D-4955-BDD1-A3478A9929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1">
                      <a:extLst>
                        <a:ext uri="{FF2B5EF4-FFF2-40B4-BE49-F238E27FC236}">
                          <a16:creationId xmlns:a16="http://schemas.microsoft.com/office/drawing/2014/main" id="{868D8F83-806D-4955-BDD1-A3478A9929C1}"/>
                        </a:ext>
                      </a:extLst>
                    </pic:cNvPr>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45447" cy="3114898"/>
                    </a:xfrm>
                    <a:prstGeom prst="rect">
                      <a:avLst/>
                    </a:prstGeom>
                  </pic:spPr>
                </pic:pic>
              </a:graphicData>
            </a:graphic>
          </wp:inline>
        </w:drawing>
      </w:r>
    </w:p>
    <w:p w14:paraId="2FD58596" w14:textId="49377DB8" w:rsidR="00B145BE" w:rsidRPr="001C513B" w:rsidRDefault="00B145BE" w:rsidP="00B145BE">
      <w:pPr>
        <w:shd w:val="clear" w:color="auto" w:fill="FFFFFF"/>
        <w:spacing w:after="60" w:line="360" w:lineRule="auto"/>
        <w:jc w:val="both"/>
        <w:rPr>
          <w:rFonts w:ascii="Calibri" w:eastAsia="等线" w:hAnsi="Calibri" w:cs="Calibri"/>
          <w:sz w:val="20"/>
          <w:szCs w:val="18"/>
        </w:rPr>
      </w:pPr>
      <w:bookmarkStart w:id="254" w:name="_Toc7364601"/>
      <w:bookmarkStart w:id="255" w:name="_Toc39312715"/>
      <w:r w:rsidRPr="001C513B">
        <w:rPr>
          <w:rFonts w:ascii="Calibri" w:eastAsia="等线" w:hAnsi="Calibri" w:cs="Calibri"/>
          <w:b/>
          <w:sz w:val="20"/>
          <w:szCs w:val="18"/>
        </w:rPr>
        <w:t>Figure 5-</w:t>
      </w:r>
      <w:r w:rsidRPr="001C513B">
        <w:rPr>
          <w:rFonts w:ascii="Calibri" w:eastAsia="等线" w:hAnsi="Calibri" w:cs="Calibri"/>
          <w:b/>
          <w:sz w:val="20"/>
        </w:rPr>
        <w:fldChar w:fldCharType="begin"/>
      </w:r>
      <w:r w:rsidRPr="001C513B">
        <w:rPr>
          <w:rFonts w:ascii="Calibri" w:eastAsia="等线" w:hAnsi="Calibri" w:cs="Calibri"/>
          <w:b/>
          <w:sz w:val="20"/>
        </w:rPr>
        <w:instrText xml:space="preserve"> SEQ Figure \* ARABIC </w:instrText>
      </w:r>
      <w:r w:rsidRPr="001C513B">
        <w:rPr>
          <w:rFonts w:ascii="Calibri" w:eastAsia="等线" w:hAnsi="Calibri" w:cs="Calibri"/>
          <w:b/>
          <w:sz w:val="20"/>
        </w:rPr>
        <w:fldChar w:fldCharType="separate"/>
      </w:r>
      <w:r>
        <w:rPr>
          <w:rFonts w:ascii="Calibri" w:eastAsia="等线" w:hAnsi="Calibri" w:cs="Calibri"/>
          <w:b/>
          <w:noProof/>
          <w:sz w:val="20"/>
        </w:rPr>
        <w:t>9</w:t>
      </w:r>
      <w:r w:rsidRPr="001C513B">
        <w:rPr>
          <w:rFonts w:ascii="Calibri" w:eastAsia="等线" w:hAnsi="Calibri" w:cs="Calibri"/>
          <w:b/>
          <w:sz w:val="20"/>
        </w:rPr>
        <w:fldChar w:fldCharType="end"/>
      </w:r>
      <w:r>
        <w:rPr>
          <w:rFonts w:ascii="Calibri" w:eastAsia="等线" w:hAnsi="Calibri" w:cs="Calibri"/>
          <w:b/>
          <w:sz w:val="20"/>
          <w:szCs w:val="18"/>
        </w:rPr>
        <w:t xml:space="preserve"> </w:t>
      </w:r>
      <w:r w:rsidRPr="001C513B">
        <w:rPr>
          <w:rFonts w:ascii="Calibri" w:eastAsia="等线" w:hAnsi="Calibri" w:cs="Calibri"/>
          <w:b/>
          <w:sz w:val="20"/>
          <w:szCs w:val="18"/>
        </w:rPr>
        <w:t>TEM image</w:t>
      </w:r>
      <w:r>
        <w:rPr>
          <w:rFonts w:ascii="Calibri" w:eastAsia="等线" w:hAnsi="Calibri" w:cs="Calibri"/>
          <w:b/>
          <w:sz w:val="20"/>
          <w:szCs w:val="18"/>
        </w:rPr>
        <w:t>s</w:t>
      </w:r>
      <w:r w:rsidRPr="001C513B">
        <w:rPr>
          <w:rFonts w:ascii="Calibri" w:eastAsia="等线" w:hAnsi="Calibri" w:cs="Calibri"/>
          <w:b/>
          <w:sz w:val="20"/>
          <w:szCs w:val="18"/>
        </w:rPr>
        <w:t xml:space="preserve"> of SA twinning feature in 5% deformed TiZrHfTa</w:t>
      </w:r>
      <w:r w:rsidRPr="001C513B">
        <w:rPr>
          <w:rFonts w:ascii="Calibri" w:eastAsia="等线" w:hAnsi="Calibri" w:cs="Calibri"/>
          <w:b/>
          <w:sz w:val="20"/>
          <w:szCs w:val="18"/>
          <w:vertAlign w:val="subscript"/>
        </w:rPr>
        <w:t>0.6</w:t>
      </w:r>
      <w:r w:rsidRPr="001C513B">
        <w:rPr>
          <w:rFonts w:ascii="Calibri" w:eastAsia="等线" w:hAnsi="Calibri" w:cs="Calibri"/>
          <w:b/>
          <w:sz w:val="20"/>
          <w:szCs w:val="18"/>
        </w:rPr>
        <w:t>.</w:t>
      </w:r>
      <w:r w:rsidRPr="001C513B">
        <w:rPr>
          <w:rFonts w:ascii="Calibri" w:eastAsia="等线" w:hAnsi="Calibri" w:cs="Calibri"/>
          <w:b/>
          <w:sz w:val="20"/>
          <w:szCs w:val="18"/>
          <w:vertAlign w:val="subscript"/>
        </w:rPr>
        <w:t xml:space="preserve"> </w:t>
      </w:r>
      <w:r w:rsidRPr="001C513B">
        <w:rPr>
          <w:rFonts w:ascii="Calibri" w:eastAsia="等线" w:hAnsi="Calibri" w:cs="Calibri"/>
          <w:sz w:val="20"/>
          <w:szCs w:val="18"/>
        </w:rPr>
        <w:t>(</w:t>
      </w:r>
      <w:r w:rsidRPr="001C513B">
        <w:rPr>
          <w:rFonts w:ascii="Calibri" w:eastAsia="等线" w:hAnsi="Calibri" w:cs="Calibri"/>
          <w:b/>
          <w:sz w:val="20"/>
          <w:szCs w:val="18"/>
        </w:rPr>
        <w:t>a</w:t>
      </w:r>
      <w:r w:rsidRPr="001C513B">
        <w:rPr>
          <w:rFonts w:ascii="Calibri" w:eastAsia="等线" w:hAnsi="Calibri" w:cs="Calibri"/>
          <w:sz w:val="20"/>
          <w:szCs w:val="18"/>
        </w:rPr>
        <w:t xml:space="preserve">) </w:t>
      </w:r>
      <w:r>
        <w:rPr>
          <w:rFonts w:ascii="Calibri" w:eastAsia="等线" w:hAnsi="Calibri" w:cs="Calibri"/>
          <w:sz w:val="20"/>
          <w:szCs w:val="18"/>
        </w:rPr>
        <w:t>a b</w:t>
      </w:r>
      <w:r w:rsidRPr="001C513B">
        <w:rPr>
          <w:rFonts w:ascii="Calibri" w:eastAsia="等线" w:hAnsi="Calibri" w:cs="Calibri"/>
          <w:sz w:val="20"/>
          <w:szCs w:val="18"/>
        </w:rPr>
        <w:t xml:space="preserve">right field image of </w:t>
      </w:r>
      <w:r>
        <w:rPr>
          <w:rFonts w:ascii="Calibri" w:eastAsia="等线" w:hAnsi="Calibri" w:cs="Calibri"/>
          <w:sz w:val="20"/>
          <w:szCs w:val="18"/>
        </w:rPr>
        <w:t>the</w:t>
      </w:r>
      <w:r w:rsidRPr="001C513B">
        <w:rPr>
          <w:rFonts w:ascii="Calibri" w:eastAsia="等线" w:hAnsi="Calibri" w:cs="Calibri"/>
          <w:sz w:val="20"/>
          <w:szCs w:val="18"/>
        </w:rPr>
        <w:t xml:space="preserve"> feature, </w:t>
      </w:r>
      <w:r>
        <w:rPr>
          <w:rFonts w:ascii="Calibri" w:eastAsia="等线" w:hAnsi="Calibri" w:cs="Calibri"/>
          <w:sz w:val="20"/>
          <w:szCs w:val="18"/>
        </w:rPr>
        <w:t xml:space="preserve">with a </w:t>
      </w:r>
      <w:r w:rsidRPr="001C513B">
        <w:rPr>
          <w:rFonts w:ascii="Calibri" w:eastAsia="等线" w:hAnsi="Calibri" w:cs="Calibri"/>
          <w:sz w:val="20"/>
          <w:szCs w:val="18"/>
        </w:rPr>
        <w:t xml:space="preserve">special triangle </w:t>
      </w:r>
      <w:r w:rsidR="00210813">
        <w:rPr>
          <w:rFonts w:ascii="Calibri" w:eastAsia="等线" w:hAnsi="Calibri" w:cs="Calibri"/>
          <w:sz w:val="20"/>
          <w:szCs w:val="18"/>
        </w:rPr>
        <w:t xml:space="preserve">of </w:t>
      </w:r>
      <w:r w:rsidRPr="001C513B">
        <w:rPr>
          <w:rFonts w:ascii="Calibri" w:eastAsia="等线" w:hAnsi="Calibri" w:cs="Calibri"/>
          <w:sz w:val="20"/>
          <w:szCs w:val="18"/>
        </w:rPr>
        <w:t xml:space="preserve">SA martensite laths </w:t>
      </w:r>
      <w:r>
        <w:rPr>
          <w:rFonts w:ascii="Calibri" w:eastAsia="等线" w:hAnsi="Calibri" w:cs="Calibri"/>
          <w:sz w:val="20"/>
          <w:szCs w:val="18"/>
        </w:rPr>
        <w:t>observed to</w:t>
      </w:r>
      <w:r w:rsidRPr="001C513B">
        <w:rPr>
          <w:rFonts w:ascii="Calibri" w:eastAsia="等线" w:hAnsi="Calibri" w:cs="Calibri"/>
          <w:sz w:val="20"/>
          <w:szCs w:val="18"/>
        </w:rPr>
        <w:t xml:space="preserve"> form</w:t>
      </w:r>
      <w:r>
        <w:rPr>
          <w:rFonts w:ascii="Calibri" w:eastAsia="等线" w:hAnsi="Calibri" w:cs="Calibri"/>
          <w:sz w:val="20"/>
          <w:szCs w:val="18"/>
        </w:rPr>
        <w:t xml:space="preserve"> a</w:t>
      </w:r>
      <w:r w:rsidRPr="001C513B">
        <w:rPr>
          <w:rFonts w:ascii="Calibri" w:eastAsia="等线" w:hAnsi="Calibri" w:cs="Calibri"/>
          <w:sz w:val="20"/>
          <w:szCs w:val="18"/>
        </w:rPr>
        <w:t xml:space="preserve"> complex polygon structure</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b</w:t>
      </w:r>
      <w:r w:rsidRPr="001C513B">
        <w:rPr>
          <w:rFonts w:ascii="Calibri" w:eastAsia="等线" w:hAnsi="Calibri" w:cs="Calibri"/>
          <w:sz w:val="20"/>
          <w:szCs w:val="18"/>
        </w:rPr>
        <w:t xml:space="preserve">) </w:t>
      </w:r>
      <w:r>
        <w:rPr>
          <w:rFonts w:ascii="Calibri" w:eastAsia="等线" w:hAnsi="Calibri" w:cs="Calibri"/>
          <w:sz w:val="20"/>
          <w:szCs w:val="18"/>
        </w:rPr>
        <w:t xml:space="preserve">a </w:t>
      </w:r>
      <w:r w:rsidRPr="001C513B">
        <w:rPr>
          <w:rFonts w:ascii="Calibri" w:eastAsia="等线" w:hAnsi="Calibri" w:cs="Calibri"/>
          <w:sz w:val="20"/>
          <w:szCs w:val="18"/>
        </w:rPr>
        <w:t>SADP along</w:t>
      </w:r>
      <w:r>
        <w:rPr>
          <w:rFonts w:ascii="Calibri" w:eastAsia="等线" w:hAnsi="Calibri" w:cs="Calibri"/>
          <w:sz w:val="20"/>
          <w:szCs w:val="18"/>
        </w:rPr>
        <w:t xml:space="preserve"> the</w:t>
      </w:r>
      <w:r w:rsidRPr="001C513B">
        <w:rPr>
          <w:rFonts w:ascii="Calibri" w:eastAsia="等线" w:hAnsi="Calibri" w:cs="Calibri"/>
          <w:sz w:val="20"/>
          <w:szCs w:val="18"/>
        </w:rPr>
        <w:t xml:space="preserve"> [110]</w:t>
      </w:r>
      <w:r w:rsidRPr="001C513B">
        <w:rPr>
          <w:rFonts w:ascii="Calibri" w:eastAsia="等线" w:hAnsi="Calibri" w:cs="Calibri"/>
          <w:sz w:val="20"/>
          <w:szCs w:val="18"/>
          <w:vertAlign w:val="subscript"/>
        </w:rPr>
        <w:t>α’’</w:t>
      </w:r>
      <w:r w:rsidRPr="001C513B">
        <w:rPr>
          <w:rFonts w:ascii="Calibri" w:eastAsia="等线" w:hAnsi="Calibri" w:cs="Calibri"/>
          <w:sz w:val="20"/>
          <w:szCs w:val="18"/>
        </w:rPr>
        <w:t xml:space="preserve"> zone axis, </w:t>
      </w:r>
      <w:r>
        <w:rPr>
          <w:rFonts w:ascii="Calibri" w:eastAsia="等线" w:hAnsi="Calibri" w:cs="Calibri"/>
          <w:sz w:val="20"/>
          <w:szCs w:val="18"/>
        </w:rPr>
        <w:t xml:space="preserve">with </w:t>
      </w:r>
      <w:r w:rsidRPr="001C513B">
        <w:rPr>
          <w:rFonts w:ascii="Calibri" w:eastAsia="等线" w:hAnsi="Calibri" w:cs="Calibri"/>
          <w:sz w:val="20"/>
          <w:szCs w:val="18"/>
        </w:rPr>
        <w:t>three martensite variants</w:t>
      </w:r>
      <w:r>
        <w:rPr>
          <w:rFonts w:ascii="Calibri" w:eastAsia="等线" w:hAnsi="Calibri" w:cs="Calibri"/>
          <w:sz w:val="20"/>
          <w:szCs w:val="18"/>
        </w:rPr>
        <w:t xml:space="preserve"> </w:t>
      </w:r>
      <w:r w:rsidRPr="001C513B">
        <w:rPr>
          <w:rFonts w:ascii="Calibri" w:eastAsia="等线" w:hAnsi="Calibri" w:cs="Calibri"/>
          <w:sz w:val="20"/>
          <w:szCs w:val="18"/>
        </w:rPr>
        <w:t>coloured with red</w:t>
      </w:r>
      <w:r>
        <w:rPr>
          <w:rFonts w:ascii="Calibri" w:eastAsia="等线" w:hAnsi="Calibri" w:cs="Calibri"/>
          <w:sz w:val="20"/>
          <w:szCs w:val="18"/>
        </w:rPr>
        <w:t>,</w:t>
      </w:r>
      <w:r w:rsidRPr="001C513B">
        <w:rPr>
          <w:rFonts w:ascii="Calibri" w:eastAsia="等线" w:hAnsi="Calibri" w:cs="Calibri"/>
          <w:sz w:val="20"/>
          <w:szCs w:val="18"/>
        </w:rPr>
        <w:t xml:space="preserve"> yellow and blue</w:t>
      </w:r>
      <w:r>
        <w:rPr>
          <w:rFonts w:ascii="Calibri" w:eastAsia="等线" w:hAnsi="Calibri" w:cs="Calibri"/>
          <w:sz w:val="20"/>
          <w:szCs w:val="18"/>
        </w:rPr>
        <w:t>,</w:t>
      </w:r>
      <w:r w:rsidRPr="001C513B">
        <w:rPr>
          <w:rFonts w:ascii="Calibri" w:eastAsia="等线" w:hAnsi="Calibri" w:cs="Calibri"/>
          <w:sz w:val="20"/>
          <w:szCs w:val="18"/>
        </w:rPr>
        <w:t xml:space="preserve"> respectively</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c-e</w:t>
      </w:r>
      <w:r w:rsidRPr="001C513B">
        <w:rPr>
          <w:rFonts w:ascii="Calibri" w:eastAsia="等线" w:hAnsi="Calibri" w:cs="Calibri"/>
          <w:sz w:val="20"/>
          <w:szCs w:val="18"/>
        </w:rPr>
        <w:t xml:space="preserve">) </w:t>
      </w:r>
      <w:r>
        <w:rPr>
          <w:rFonts w:ascii="Calibri" w:eastAsia="等线" w:hAnsi="Calibri" w:cs="Calibri"/>
          <w:sz w:val="20"/>
          <w:szCs w:val="18"/>
        </w:rPr>
        <w:t>d</w:t>
      </w:r>
      <w:r w:rsidRPr="001C513B">
        <w:rPr>
          <w:rFonts w:ascii="Calibri" w:eastAsia="等线" w:hAnsi="Calibri" w:cs="Calibri"/>
          <w:sz w:val="20"/>
          <w:szCs w:val="18"/>
        </w:rPr>
        <w:t>ark field image</w:t>
      </w:r>
      <w:r>
        <w:rPr>
          <w:rFonts w:ascii="Calibri" w:eastAsia="等线" w:hAnsi="Calibri" w:cs="Calibri"/>
          <w:sz w:val="20"/>
          <w:szCs w:val="18"/>
        </w:rPr>
        <w:t>s</w:t>
      </w:r>
      <w:r w:rsidRPr="001C513B">
        <w:rPr>
          <w:rFonts w:ascii="Calibri" w:eastAsia="等线" w:hAnsi="Calibri" w:cs="Calibri"/>
          <w:sz w:val="20"/>
          <w:szCs w:val="18"/>
        </w:rPr>
        <w:t xml:space="preserve"> of {111}</w:t>
      </w:r>
      <w:r w:rsidRPr="001C513B">
        <w:rPr>
          <w:rFonts w:ascii="Calibri" w:eastAsia="等线" w:hAnsi="Calibri" w:cs="Calibri"/>
          <w:sz w:val="20"/>
          <w:szCs w:val="18"/>
          <w:vertAlign w:val="subscript"/>
        </w:rPr>
        <w:t>α’’</w:t>
      </w:r>
      <w:r w:rsidRPr="001C513B">
        <w:rPr>
          <w:rFonts w:ascii="Calibri" w:eastAsia="等线" w:hAnsi="Calibri" w:cs="Calibri"/>
          <w:sz w:val="20"/>
          <w:szCs w:val="18"/>
        </w:rPr>
        <w:t xml:space="preserve"> related martensite variant</w:t>
      </w:r>
      <w:r>
        <w:rPr>
          <w:rFonts w:ascii="Calibri" w:eastAsia="等线" w:hAnsi="Calibri" w:cs="Calibri"/>
          <w:sz w:val="20"/>
          <w:szCs w:val="18"/>
        </w:rPr>
        <w:t>s</w:t>
      </w:r>
      <w:r w:rsidRPr="001C513B">
        <w:rPr>
          <w:rFonts w:ascii="Calibri" w:eastAsia="等线" w:hAnsi="Calibri" w:cs="Calibri"/>
          <w:sz w:val="20"/>
          <w:szCs w:val="18"/>
        </w:rPr>
        <w:t xml:space="preserve"> </w:t>
      </w:r>
      <w:r>
        <w:rPr>
          <w:rFonts w:ascii="Calibri" w:eastAsia="等线" w:hAnsi="Calibri" w:cs="Calibri"/>
          <w:sz w:val="20"/>
          <w:szCs w:val="18"/>
        </w:rPr>
        <w:t>V1-V3; and</w:t>
      </w:r>
      <w:r w:rsidRPr="001C513B">
        <w:rPr>
          <w:rFonts w:ascii="Calibri" w:eastAsia="等线" w:hAnsi="Calibri" w:cs="Calibri"/>
          <w:sz w:val="20"/>
          <w:szCs w:val="18"/>
        </w:rPr>
        <w:t xml:space="preserve"> (</w:t>
      </w:r>
      <w:r w:rsidRPr="001C513B">
        <w:rPr>
          <w:rFonts w:ascii="Calibri" w:eastAsia="等线" w:hAnsi="Calibri" w:cs="Calibri"/>
          <w:b/>
          <w:sz w:val="20"/>
          <w:szCs w:val="18"/>
        </w:rPr>
        <w:t>f</w:t>
      </w:r>
      <w:r w:rsidRPr="001C513B">
        <w:rPr>
          <w:rFonts w:ascii="Calibri" w:eastAsia="等线" w:hAnsi="Calibri" w:cs="Calibri"/>
          <w:sz w:val="20"/>
          <w:szCs w:val="18"/>
        </w:rPr>
        <w:t xml:space="preserve">) </w:t>
      </w:r>
      <w:r>
        <w:rPr>
          <w:rFonts w:ascii="Calibri" w:eastAsia="等线" w:hAnsi="Calibri" w:cs="Calibri"/>
          <w:sz w:val="20"/>
          <w:szCs w:val="18"/>
        </w:rPr>
        <w:t>a schematic</w:t>
      </w:r>
      <w:r w:rsidRPr="001C513B">
        <w:rPr>
          <w:rFonts w:ascii="Calibri" w:eastAsia="等线" w:hAnsi="Calibri" w:cs="Calibri"/>
          <w:sz w:val="20"/>
          <w:szCs w:val="18"/>
        </w:rPr>
        <w:t xml:space="preserve"> of the triangle SA morphology formation, </w:t>
      </w:r>
      <w:r>
        <w:rPr>
          <w:rFonts w:ascii="Calibri" w:eastAsia="等线" w:hAnsi="Calibri" w:cs="Calibri"/>
          <w:sz w:val="20"/>
          <w:szCs w:val="18"/>
        </w:rPr>
        <w:t xml:space="preserve">where the </w:t>
      </w:r>
      <w:r w:rsidRPr="001C513B">
        <w:rPr>
          <w:rFonts w:ascii="Calibri" w:eastAsia="等线" w:hAnsi="Calibri" w:cs="Calibri"/>
          <w:sz w:val="20"/>
          <w:szCs w:val="18"/>
        </w:rPr>
        <w:t>habit plane was identified as {775}</w:t>
      </w:r>
      <w:r w:rsidRPr="001C513B">
        <w:rPr>
          <w:rFonts w:ascii="Calibri" w:eastAsia="等线" w:hAnsi="Calibri" w:cs="Calibri"/>
          <w:sz w:val="20"/>
          <w:szCs w:val="18"/>
          <w:vertAlign w:val="subscript"/>
        </w:rPr>
        <w:t>α’’</w:t>
      </w:r>
      <w:r>
        <w:rPr>
          <w:rFonts w:ascii="Calibri" w:eastAsia="等线" w:hAnsi="Calibri" w:cs="Calibri"/>
          <w:sz w:val="20"/>
          <w:szCs w:val="18"/>
        </w:rPr>
        <w:t xml:space="preserve"> and</w:t>
      </w:r>
      <w:r w:rsidR="00210813">
        <w:rPr>
          <w:rFonts w:ascii="Calibri" w:eastAsia="等线" w:hAnsi="Calibri" w:cs="Calibri"/>
          <w:sz w:val="20"/>
          <w:szCs w:val="18"/>
        </w:rPr>
        <w:t xml:space="preserve"> the</w:t>
      </w:r>
      <w:r w:rsidRPr="001C513B">
        <w:rPr>
          <w:rFonts w:ascii="Calibri" w:eastAsia="等线" w:hAnsi="Calibri" w:cs="Calibri"/>
          <w:sz w:val="20"/>
          <w:szCs w:val="18"/>
        </w:rPr>
        <w:t xml:space="preserve"> three twinning planes were identified as {111}</w:t>
      </w:r>
      <w:r w:rsidRPr="001C513B">
        <w:rPr>
          <w:rFonts w:ascii="Calibri" w:eastAsia="等线" w:hAnsi="Calibri" w:cs="Calibri"/>
          <w:sz w:val="20"/>
          <w:szCs w:val="18"/>
          <w:vertAlign w:val="subscript"/>
        </w:rPr>
        <w:t>α’’</w:t>
      </w:r>
      <w:r w:rsidRPr="001C513B">
        <w:rPr>
          <w:rFonts w:ascii="Calibri" w:eastAsia="等线" w:hAnsi="Calibri" w:cs="Calibri"/>
          <w:sz w:val="20"/>
          <w:szCs w:val="18"/>
        </w:rPr>
        <w:t>.</w:t>
      </w:r>
      <w:bookmarkEnd w:id="254"/>
      <w:bookmarkEnd w:id="255"/>
      <w:r w:rsidRPr="001C513B">
        <w:rPr>
          <w:rFonts w:ascii="Calibri" w:eastAsia="等线" w:hAnsi="Calibri" w:cs="Calibri"/>
          <w:sz w:val="20"/>
          <w:szCs w:val="18"/>
        </w:rPr>
        <w:t xml:space="preserve"> </w:t>
      </w:r>
    </w:p>
    <w:p w14:paraId="276E6510" w14:textId="05B51520" w:rsidR="00832DBC" w:rsidRDefault="00B145BE" w:rsidP="00832DBC">
      <w:pPr>
        <w:shd w:val="clear" w:color="auto" w:fill="FFFFFF"/>
        <w:spacing w:after="60" w:line="360" w:lineRule="auto"/>
        <w:jc w:val="both"/>
        <w:rPr>
          <w:rFonts w:ascii="Calibri" w:eastAsia="等线" w:hAnsi="Calibri" w:cs="Calibri"/>
        </w:rPr>
      </w:pPr>
      <w:r w:rsidRPr="001C513B">
        <w:rPr>
          <w:rFonts w:ascii="Calibri" w:eastAsia="等线" w:hAnsi="Calibri" w:cs="Calibri"/>
          <w:szCs w:val="18"/>
        </w:rPr>
        <w:t xml:space="preserve">The orientation relationship between every two of the three martensite variants </w:t>
      </w:r>
      <w:r>
        <w:rPr>
          <w:rFonts w:ascii="Calibri" w:eastAsia="等线" w:hAnsi="Calibri" w:cs="Calibri"/>
          <w:szCs w:val="18"/>
        </w:rPr>
        <w:t>were</w:t>
      </w:r>
      <w:r w:rsidRPr="001C513B">
        <w:rPr>
          <w:rFonts w:ascii="Calibri" w:eastAsia="等线" w:hAnsi="Calibri" w:cs="Calibri"/>
          <w:szCs w:val="18"/>
        </w:rPr>
        <w:t xml:space="preserve"> all identified as type I {</w:t>
      </w:r>
      <w:r w:rsidR="000A5412" w:rsidRPr="001C513B">
        <w:rPr>
          <w:rFonts w:ascii="Calibri" w:eastAsia="等线" w:hAnsi="Calibri" w:cs="Calibri"/>
          <w:szCs w:val="18"/>
        </w:rPr>
        <w:t>111}</w:t>
      </w:r>
      <w:r w:rsidR="000A5412" w:rsidRPr="001C513B">
        <w:rPr>
          <w:rFonts w:ascii="Calibri" w:eastAsia="等线" w:hAnsi="Calibri" w:cs="Calibri"/>
          <w:vertAlign w:val="subscript"/>
        </w:rPr>
        <w:t xml:space="preserve"> α</w:t>
      </w:r>
      <w:r w:rsidRPr="001C513B">
        <w:rPr>
          <w:rFonts w:ascii="Calibri" w:eastAsia="等线" w:hAnsi="Calibri" w:cs="Calibri"/>
          <w:vertAlign w:val="subscript"/>
        </w:rPr>
        <w:t>’’</w:t>
      </w:r>
      <w:r w:rsidRPr="001C513B">
        <w:rPr>
          <w:rFonts w:ascii="Calibri" w:eastAsia="等线" w:hAnsi="Calibri" w:cs="Calibri"/>
          <w:szCs w:val="18"/>
        </w:rPr>
        <w:t xml:space="preserve"> SA twinning. The three {111}</w:t>
      </w:r>
      <w:r w:rsidRPr="001C513B">
        <w:rPr>
          <w:rFonts w:ascii="Calibri" w:eastAsia="等线" w:hAnsi="Calibri" w:cs="Calibri"/>
          <w:vertAlign w:val="subscript"/>
        </w:rPr>
        <w:t>α’’</w:t>
      </w:r>
      <w:r w:rsidRPr="001C513B">
        <w:rPr>
          <w:rFonts w:ascii="Calibri" w:eastAsia="等线" w:hAnsi="Calibri" w:cs="Calibri"/>
        </w:rPr>
        <w:t xml:space="preserve"> twin related martensite variants </w:t>
      </w:r>
      <w:r>
        <w:rPr>
          <w:rFonts w:ascii="Calibri" w:eastAsia="等线" w:hAnsi="Calibri" w:cs="Calibri"/>
        </w:rPr>
        <w:t xml:space="preserve">were found to </w:t>
      </w:r>
      <w:r w:rsidRPr="001C513B">
        <w:rPr>
          <w:rFonts w:ascii="Calibri" w:eastAsia="等线" w:hAnsi="Calibri" w:cs="Calibri"/>
        </w:rPr>
        <w:t>arrange themselves into a triang</w:t>
      </w:r>
      <w:r w:rsidR="00210813">
        <w:rPr>
          <w:rFonts w:ascii="Calibri" w:eastAsia="等线" w:hAnsi="Calibri" w:cs="Calibri"/>
        </w:rPr>
        <w:t>ular</w:t>
      </w:r>
      <w:r w:rsidRPr="001C513B">
        <w:rPr>
          <w:rFonts w:ascii="Calibri" w:eastAsia="等线" w:hAnsi="Calibri" w:cs="Calibri"/>
        </w:rPr>
        <w:t xml:space="preserve"> structure to accommodate the stress and strain accumulated during phase transformation. The habit plane of all three martensite variants involved in </w:t>
      </w:r>
      <w:r w:rsidR="00210813">
        <w:rPr>
          <w:rFonts w:ascii="Calibri" w:eastAsia="等线" w:hAnsi="Calibri" w:cs="Calibri"/>
        </w:rPr>
        <w:t>the trangular</w:t>
      </w:r>
      <w:r w:rsidR="00210813" w:rsidRPr="001C513B">
        <w:rPr>
          <w:rFonts w:ascii="Calibri" w:eastAsia="等线" w:hAnsi="Calibri" w:cs="Calibri"/>
        </w:rPr>
        <w:t xml:space="preserve"> </w:t>
      </w:r>
      <w:r w:rsidRPr="001C513B">
        <w:rPr>
          <w:rFonts w:ascii="Calibri" w:eastAsia="等线" w:hAnsi="Calibri" w:cs="Calibri"/>
        </w:rPr>
        <w:t xml:space="preserve">SA structure </w:t>
      </w:r>
      <w:r>
        <w:rPr>
          <w:rFonts w:ascii="Calibri" w:eastAsia="等线" w:hAnsi="Calibri" w:cs="Calibri"/>
        </w:rPr>
        <w:t>were</w:t>
      </w:r>
      <w:r w:rsidRPr="001C513B">
        <w:rPr>
          <w:rFonts w:ascii="Calibri" w:eastAsia="等线" w:hAnsi="Calibri" w:cs="Calibri"/>
        </w:rPr>
        <w:t xml:space="preserve"> indexed as {775}</w:t>
      </w:r>
      <w:r w:rsidRPr="001C513B">
        <w:rPr>
          <w:rFonts w:ascii="Calibri" w:eastAsia="等线" w:hAnsi="Calibri" w:cs="Calibri"/>
          <w:vertAlign w:val="subscript"/>
        </w:rPr>
        <w:t>β</w:t>
      </w:r>
      <w:r w:rsidRPr="001C513B">
        <w:rPr>
          <w:rFonts w:ascii="Calibri" w:eastAsia="等线" w:hAnsi="Calibri" w:cs="Calibri"/>
        </w:rPr>
        <w:t xml:space="preserve"> plane group</w:t>
      </w:r>
      <w:r>
        <w:rPr>
          <w:rFonts w:ascii="Calibri" w:eastAsia="等线" w:hAnsi="Calibri" w:cs="Calibri"/>
        </w:rPr>
        <w:t>. This was</w:t>
      </w:r>
      <w:r w:rsidRPr="001C513B">
        <w:rPr>
          <w:rFonts w:ascii="Calibri" w:eastAsia="等线" w:hAnsi="Calibri" w:cs="Calibri"/>
        </w:rPr>
        <w:t xml:space="preserve"> </w:t>
      </w:r>
      <w:r>
        <w:rPr>
          <w:rFonts w:ascii="Calibri" w:eastAsia="等线" w:hAnsi="Calibri" w:cs="Calibri"/>
        </w:rPr>
        <w:t xml:space="preserve">determined to be </w:t>
      </w:r>
      <w:r w:rsidRPr="001C513B">
        <w:rPr>
          <w:rFonts w:ascii="Calibri" w:eastAsia="等线" w:hAnsi="Calibri" w:cs="Calibri"/>
        </w:rPr>
        <w:t xml:space="preserve">identical to the habit plane </w:t>
      </w:r>
      <w:r>
        <w:rPr>
          <w:rFonts w:ascii="Calibri" w:eastAsia="等线" w:hAnsi="Calibri" w:cs="Calibri"/>
        </w:rPr>
        <w:t>reported for</w:t>
      </w:r>
      <w:r w:rsidRPr="001C513B">
        <w:rPr>
          <w:rFonts w:ascii="Calibri" w:eastAsia="等线" w:hAnsi="Calibri" w:cs="Calibri"/>
        </w:rPr>
        <w:t xml:space="preserve"> Ti-Nb metastable β-Ti alloy</w:t>
      </w:r>
      <w:r w:rsidR="00210813">
        <w:rPr>
          <w:rFonts w:ascii="Calibri" w:eastAsia="等线" w:hAnsi="Calibri" w:cs="Calibri"/>
        </w:rPr>
        <w:t>s</w:t>
      </w:r>
      <w:r>
        <w:rPr>
          <w:rFonts w:ascii="Calibri" w:eastAsia="等线" w:hAnsi="Calibri" w:cs="Calibri"/>
        </w:rPr>
        <w:t xml:space="preserve"> </w:t>
      </w:r>
      <w:r w:rsidRPr="001C513B">
        <w:rPr>
          <w:rFonts w:ascii="Calibri" w:eastAsia="等线" w:hAnsi="Calibri" w:cs="Calibri"/>
        </w:rPr>
        <w:fldChar w:fldCharType="begin" w:fldLock="1"/>
      </w:r>
      <w:r>
        <w:rPr>
          <w:rFonts w:ascii="Calibri" w:eastAsia="等线" w:hAnsi="Calibri" w:cs="Calibri" w:hint="eastAsia"/>
        </w:rPr>
        <w:instrText xml:space="preserve">ADDIN CSL_CITATION {"citationItems":[{"id":"ITEM-1","itemData":{"DOI":"10.1016/j.actamat.2009.04.051","ISBN":"0000000000","ISSN":"13596454","PMID":"30089621","abstract":"Self-accommodation morphology of the </w:instrText>
      </w:r>
      <w:r>
        <w:rPr>
          <w:rFonts w:ascii="Calibri" w:eastAsia="等线" w:hAnsi="Calibri" w:cs="Calibri" w:hint="eastAsia"/>
        </w:rPr>
        <w:instrText>α″</w:instrText>
      </w:r>
      <w:r>
        <w:rPr>
          <w:rFonts w:ascii="Calibri" w:eastAsia="等线" w:hAnsi="Calibri" w:cs="Calibri" w:hint="eastAsia"/>
        </w:rPr>
        <w:instrText xml:space="preserve">martensites in Ti-Nb shape memory alloys with </w:instrText>
      </w:r>
      <w:r>
        <w:rPr>
          <w:rFonts w:ascii="Calibri" w:eastAsia="等线" w:hAnsi="Calibri" w:cs="Calibri"/>
        </w:rPr>
        <w:instrText>Nb content ranging from 20 to 24 at.% was investigated. Hollow and solid triangular morphologies consisting of three α</w:instrText>
      </w:r>
      <w:r>
        <w:rPr>
          <w:rFonts w:ascii="Calibri" w:eastAsia="等线" w:hAnsi="Calibri" w:cs="Calibri" w:hint="eastAsia"/>
        </w:rPr>
        <w:instrText>″</w:instrText>
      </w:r>
      <w:r>
        <w:rPr>
          <w:rFonts w:ascii="Calibri" w:eastAsia="等线" w:hAnsi="Calibri" w:cs="Calibri"/>
        </w:rPr>
        <w:instrText>variants were found to be the α</w:instrText>
      </w:r>
      <w:r>
        <w:rPr>
          <w:rFonts w:ascii="Calibri" w:eastAsia="等线" w:hAnsi="Calibri" w:cs="Calibri" w:hint="eastAsia"/>
        </w:rPr>
        <w:instrText>″</w:instrText>
      </w:r>
      <w:r>
        <w:rPr>
          <w:rFonts w:ascii="Calibri" w:eastAsia="等线" w:hAnsi="Calibri" w:cs="Calibri"/>
        </w:rPr>
        <w:instrText>self-accommodation morphologies. The α</w:instrText>
      </w:r>
      <w:r>
        <w:rPr>
          <w:rFonts w:ascii="Calibri" w:eastAsia="等线" w:hAnsi="Calibri" w:cs="Calibri" w:hint="eastAsia"/>
        </w:rPr>
        <w:instrText>″</w:instrText>
      </w:r>
      <w:r>
        <w:rPr>
          <w:rFonts w:ascii="Calibri" w:eastAsia="等线" w:hAnsi="Calibri" w:cs="Calibri"/>
        </w:rPr>
        <w:instrText>variants are related to each other by twinning on {1 over(1, ̄) 1</w:instrText>
      </w:r>
      <w:r>
        <w:rPr>
          <w:rFonts w:ascii="Calibri" w:eastAsia="等线" w:hAnsi="Calibri" w:cs="Calibri" w:hint="eastAsia"/>
        </w:rPr>
        <w:instrText>}</w:instrText>
      </w:r>
      <w:r>
        <w:rPr>
          <w:rFonts w:ascii="Calibri" w:eastAsia="等线" w:hAnsi="Calibri" w:cs="Calibri" w:hint="eastAsia"/>
        </w:rPr>
        <w:instrText>α″</w:instrText>
      </w:r>
      <w:r>
        <w:rPr>
          <w:rFonts w:ascii="Calibri" w:eastAsia="等线" w:hAnsi="Calibri" w:cs="Calibri" w:hint="eastAsia"/>
        </w:rPr>
        <w:instrText xml:space="preserve">. A V-shaped morphology consisting of two </w:instrText>
      </w:r>
      <w:r>
        <w:rPr>
          <w:rFonts w:ascii="Calibri" w:eastAsia="等线" w:hAnsi="Calibri" w:cs="Calibri" w:hint="eastAsia"/>
        </w:rPr>
        <w:instrText>α″</w:instrText>
      </w:r>
      <w:r>
        <w:rPr>
          <w:rFonts w:ascii="Calibri" w:eastAsia="等线" w:hAnsi="Calibri" w:cs="Calibri" w:hint="eastAsia"/>
        </w:rPr>
        <w:instrText xml:space="preserve">variants coupled with a solid triangular morphology consisting of three </w:instrText>
      </w:r>
      <w:r>
        <w:rPr>
          <w:rFonts w:ascii="Calibri" w:eastAsia="等线" w:hAnsi="Calibri" w:cs="Calibri" w:hint="eastAsia"/>
        </w:rPr>
        <w:instrText>α″</w:instrText>
      </w:r>
      <w:r>
        <w:rPr>
          <w:rFonts w:ascii="Calibri" w:eastAsia="等线" w:hAnsi="Calibri" w:cs="Calibri" w:hint="eastAsia"/>
        </w:rPr>
        <w:instrText xml:space="preserve">variants was found to be another type of self-accommodation morphology. The </w:instrText>
      </w:r>
      <w:r>
        <w:rPr>
          <w:rFonts w:ascii="Calibri" w:eastAsia="等线" w:hAnsi="Calibri" w:cs="Calibri" w:hint="eastAsia"/>
        </w:rPr>
        <w:instrText>α″</w:instrText>
      </w:r>
      <w:r>
        <w:rPr>
          <w:rFonts w:ascii="Calibri" w:eastAsia="等线" w:hAnsi="Calibri" w:cs="Calibri" w:hint="eastAsia"/>
        </w:rPr>
        <w:instrText>variants from the V-shaped morphology are related by twi</w:instrText>
      </w:r>
      <w:r>
        <w:rPr>
          <w:rFonts w:ascii="Calibri" w:eastAsia="等线" w:hAnsi="Calibri" w:cs="Calibri"/>
        </w:rPr>
        <w:instrText>nning on {1 1 1}α</w:instrText>
      </w:r>
      <w:r>
        <w:rPr>
          <w:rFonts w:ascii="Calibri" w:eastAsia="等线" w:hAnsi="Calibri" w:cs="Calibri" w:hint="eastAsia"/>
        </w:rPr>
        <w:instrText>″</w:instrText>
      </w:r>
      <w:r>
        <w:rPr>
          <w:rFonts w:ascii="Calibri" w:eastAsia="等线" w:hAnsi="Calibri" w:cs="Calibri"/>
        </w:rPr>
        <w:instrText>, whereas the α</w:instrText>
      </w:r>
      <w:r>
        <w:rPr>
          <w:rFonts w:ascii="Calibri" w:eastAsia="等线" w:hAnsi="Calibri" w:cs="Calibri" w:hint="eastAsia"/>
        </w:rPr>
        <w:instrText>″</w:instrText>
      </w:r>
      <w:r>
        <w:rPr>
          <w:rFonts w:ascii="Calibri" w:eastAsia="等线" w:hAnsi="Calibri" w:cs="Calibri"/>
        </w:rPr>
        <w:instrText>variants from the solid triangular morphology are related to each other by twinning on {1 over(1, ̄) 1}α</w:instrText>
      </w:r>
      <w:r>
        <w:rPr>
          <w:rFonts w:ascii="Calibri" w:eastAsia="等线" w:hAnsi="Calibri" w:cs="Calibri" w:hint="eastAsia"/>
        </w:rPr>
        <w:instrText>″</w:instrText>
      </w:r>
      <w:r>
        <w:rPr>
          <w:rFonts w:ascii="Calibri" w:eastAsia="等线" w:hAnsi="Calibri" w:cs="Calibri"/>
        </w:rPr>
        <w:instrText>. Pairs of crystallographically equivalent {1 over(1, ̄) 1}α</w:instrText>
      </w:r>
      <w:r>
        <w:rPr>
          <w:rFonts w:ascii="Calibri" w:eastAsia="等线" w:hAnsi="Calibri" w:cs="Calibri" w:hint="eastAsia"/>
        </w:rPr>
        <w:instrText>″</w:instrText>
      </w:r>
      <w:r>
        <w:rPr>
          <w:rFonts w:ascii="Calibri" w:eastAsia="等线" w:hAnsi="Calibri" w:cs="Calibri"/>
        </w:rPr>
        <w:instrText>twinning dislocations with steps of opposite signs were found to cause the overall orientation of the twinning terraces and steps to be parallel to the {1 over(1, ̄) 1}α</w:instrText>
      </w:r>
      <w:r>
        <w:rPr>
          <w:rFonts w:ascii="Calibri" w:eastAsia="等线" w:hAnsi="Calibri" w:cs="Calibri" w:hint="eastAsia"/>
        </w:rPr>
        <w:instrText>″</w:instrText>
      </w:r>
      <w:r>
        <w:rPr>
          <w:rFonts w:ascii="Calibri" w:eastAsia="等线" w:hAnsi="Calibri" w:cs="Calibri"/>
        </w:rPr>
        <w:instrText>twinning interface. © 2009 Acta Materialia Inc.","author":[{"dropping-particle":"","family":"Chai","given":"Y. W.","non-dropping-particle":"","parse-names":false,"suffix":""},{"dropping-particle":"","family":"Kim","given":"H. Y.","non-dropping-particle":"","parse-names":false,"suffix":""},{"dropping-particle":"","family":"Hosoda","given":"H.","non-dropping-particle":"","parse-names":false,"suffix":""},{"dropping-particle":"","family":"Miyazaki","given":"S.","non-dropping-particle":"","parse-names":false,"suffix":""}],"container-title":"Acta Materialia","id":"ITEM-1","issued":{"date-parts":[["2009"]]},"title":"Self-accommodation in Ti-Nb shape memory alloys","type":"article-journal"},"uris":["http://www.mendeley.com/documents/?uuid=95bc14ff-590f-4858-bc92-38df50f2c3ab"]}],"mendeley":{"formattedCitation":"[37]","plainTextFormattedCitation":"[37]","previouslyFormattedCitation":"[37]"},"properties":{"noteIndex":0},"schema":"https://github.com/citation-style-language/schema/raw/master/csl-citation.json"}</w:instrText>
      </w:r>
      <w:r w:rsidRPr="001C513B">
        <w:rPr>
          <w:rFonts w:ascii="Calibri" w:eastAsia="等线" w:hAnsi="Calibri" w:cs="Calibri"/>
        </w:rPr>
        <w:fldChar w:fldCharType="separate"/>
      </w:r>
      <w:r w:rsidRPr="001C513B">
        <w:rPr>
          <w:rFonts w:ascii="Calibri" w:eastAsia="等线" w:hAnsi="Calibri" w:cs="Calibri"/>
          <w:noProof/>
        </w:rPr>
        <w:t>[37]</w:t>
      </w:r>
      <w:r w:rsidRPr="001C513B">
        <w:rPr>
          <w:rFonts w:ascii="Calibri" w:eastAsia="等线" w:hAnsi="Calibri" w:cs="Calibri"/>
        </w:rPr>
        <w:fldChar w:fldCharType="end"/>
      </w:r>
      <w:r w:rsidRPr="001C513B">
        <w:rPr>
          <w:rFonts w:ascii="Calibri" w:eastAsia="等线" w:hAnsi="Calibri" w:cs="Calibri"/>
        </w:rPr>
        <w:t>. The {001}</w:t>
      </w:r>
      <w:r w:rsidRPr="001C513B">
        <w:rPr>
          <w:rFonts w:ascii="Calibri" w:eastAsia="等线" w:hAnsi="Calibri" w:cs="Calibri"/>
          <w:vertAlign w:val="subscript"/>
        </w:rPr>
        <w:t>α’’</w:t>
      </w:r>
      <w:r w:rsidRPr="001C513B">
        <w:rPr>
          <w:rFonts w:ascii="Calibri" w:eastAsia="等线" w:hAnsi="Calibri" w:cs="Calibri"/>
        </w:rPr>
        <w:t xml:space="preserve"> plane defects are easy to activate next to the twinning boundary as highlighted in </w:t>
      </w:r>
      <w:r w:rsidRPr="001C513B">
        <w:rPr>
          <w:rFonts w:ascii="Calibri" w:eastAsia="等线" w:hAnsi="Calibri" w:cs="Times New Roman"/>
        </w:rPr>
        <w:t>Fig. 5-9(f)</w:t>
      </w:r>
      <w:r w:rsidRPr="001C513B">
        <w:rPr>
          <w:rFonts w:ascii="Calibri" w:eastAsia="等线" w:hAnsi="Calibri" w:cs="Calibri"/>
        </w:rPr>
        <w:t xml:space="preserve">. An illustration of the SA </w:t>
      </w:r>
      <w:r w:rsidR="00210813">
        <w:rPr>
          <w:rFonts w:ascii="Calibri" w:eastAsia="等线" w:hAnsi="Calibri" w:cs="Calibri"/>
        </w:rPr>
        <w:t>triangular</w:t>
      </w:r>
      <w:r w:rsidR="00210813" w:rsidRPr="001C513B">
        <w:rPr>
          <w:rFonts w:ascii="Calibri" w:eastAsia="等线" w:hAnsi="Calibri" w:cs="Calibri"/>
        </w:rPr>
        <w:t xml:space="preserve"> </w:t>
      </w:r>
      <w:r w:rsidRPr="001C513B">
        <w:rPr>
          <w:rFonts w:ascii="Calibri" w:eastAsia="等线" w:hAnsi="Calibri" w:cs="Calibri"/>
        </w:rPr>
        <w:t xml:space="preserve">morphology formation </w:t>
      </w:r>
      <w:r w:rsidR="00210813">
        <w:rPr>
          <w:rFonts w:ascii="Calibri" w:eastAsia="等线" w:hAnsi="Calibri" w:cs="Calibri"/>
        </w:rPr>
        <w:t>is</w:t>
      </w:r>
      <w:r w:rsidRPr="001C513B">
        <w:rPr>
          <w:rFonts w:ascii="Calibri" w:eastAsia="等线" w:hAnsi="Calibri" w:cs="Calibri"/>
        </w:rPr>
        <w:t xml:space="preserve"> shown in</w:t>
      </w:r>
      <w:r w:rsidRPr="001C513B">
        <w:rPr>
          <w:rFonts w:ascii="Calibri" w:eastAsia="等线" w:hAnsi="Calibri" w:cs="Times New Roman"/>
        </w:rPr>
        <w:t xml:space="preserve"> Fig. 5-9(f)</w:t>
      </w:r>
      <w:r w:rsidRPr="001C513B">
        <w:rPr>
          <w:rFonts w:ascii="Calibri" w:eastAsia="等线" w:hAnsi="Calibri" w:cs="Calibri"/>
        </w:rPr>
        <w:t>. Nucleat</w:t>
      </w:r>
      <w:r>
        <w:rPr>
          <w:rFonts w:ascii="Calibri" w:eastAsia="等线" w:hAnsi="Calibri" w:cs="Calibri"/>
        </w:rPr>
        <w:t>ing</w:t>
      </w:r>
      <w:r w:rsidRPr="001C513B">
        <w:rPr>
          <w:rFonts w:ascii="Calibri" w:eastAsia="等线" w:hAnsi="Calibri" w:cs="Calibri"/>
        </w:rPr>
        <w:t xml:space="preserve"> from a special defect </w:t>
      </w:r>
      <w:r>
        <w:rPr>
          <w:rFonts w:ascii="Calibri" w:eastAsia="等线" w:hAnsi="Calibri" w:cs="Calibri"/>
        </w:rPr>
        <w:t>that occurs</w:t>
      </w:r>
      <w:r w:rsidRPr="001C513B">
        <w:rPr>
          <w:rFonts w:ascii="Calibri" w:eastAsia="等线" w:hAnsi="Calibri" w:cs="Calibri"/>
        </w:rPr>
        <w:t xml:space="preserve"> during phase transformation, (001)</w:t>
      </w:r>
      <w:r w:rsidRPr="001C513B">
        <w:rPr>
          <w:rFonts w:ascii="Calibri" w:eastAsia="等线" w:hAnsi="Calibri" w:cs="Calibri"/>
          <w:vertAlign w:val="subscript"/>
        </w:rPr>
        <w:t>α’’</w:t>
      </w:r>
      <w:r w:rsidRPr="001C513B">
        <w:rPr>
          <w:rFonts w:ascii="Calibri" w:eastAsia="等线" w:hAnsi="Calibri" w:cs="Calibri"/>
        </w:rPr>
        <w:t xml:space="preserve"> plane defects in V1 </w:t>
      </w:r>
      <w:r>
        <w:rPr>
          <w:rFonts w:ascii="Calibri" w:eastAsia="等线" w:hAnsi="Calibri" w:cs="Calibri"/>
        </w:rPr>
        <w:t>were</w:t>
      </w:r>
      <w:r w:rsidRPr="001C513B">
        <w:rPr>
          <w:rFonts w:ascii="Calibri" w:eastAsia="等线" w:hAnsi="Calibri" w:cs="Calibri"/>
        </w:rPr>
        <w:t xml:space="preserve"> parallel to the {111}</w:t>
      </w:r>
      <w:r w:rsidRPr="001C513B">
        <w:rPr>
          <w:rFonts w:ascii="Calibri" w:eastAsia="等线" w:hAnsi="Calibri" w:cs="Calibri"/>
          <w:vertAlign w:val="subscript"/>
        </w:rPr>
        <w:t>α’’</w:t>
      </w:r>
      <w:r w:rsidRPr="001C513B">
        <w:rPr>
          <w:rFonts w:ascii="Calibri" w:eastAsia="等线" w:hAnsi="Calibri" w:cs="Calibri"/>
        </w:rPr>
        <w:t xml:space="preserve"> plane of V2 and V3</w:t>
      </w:r>
      <w:r>
        <w:rPr>
          <w:rFonts w:ascii="Calibri" w:eastAsia="等线" w:hAnsi="Calibri" w:cs="Calibri"/>
        </w:rPr>
        <w:t xml:space="preserve"> and the </w:t>
      </w:r>
      <w:r w:rsidRPr="001C513B">
        <w:rPr>
          <w:rFonts w:ascii="Calibri" w:eastAsia="等线" w:hAnsi="Calibri" w:cs="Calibri"/>
        </w:rPr>
        <w:t>accumulated dislocation slides will result in activation of the SA twinning along {111}</w:t>
      </w:r>
      <w:r w:rsidRPr="001C513B">
        <w:rPr>
          <w:rFonts w:ascii="Calibri" w:eastAsia="等线" w:hAnsi="Calibri" w:cs="Calibri"/>
          <w:vertAlign w:val="subscript"/>
        </w:rPr>
        <w:t>α’’</w:t>
      </w:r>
      <w:r w:rsidRPr="001C513B">
        <w:rPr>
          <w:rFonts w:ascii="Calibri" w:eastAsia="等线" w:hAnsi="Calibri" w:cs="Calibri"/>
        </w:rPr>
        <w:t xml:space="preserve"> plane on V2 and V3. After the formation of </w:t>
      </w:r>
      <w:r>
        <w:rPr>
          <w:rFonts w:ascii="Calibri" w:eastAsia="等线" w:hAnsi="Calibri" w:cs="Calibri"/>
        </w:rPr>
        <w:t xml:space="preserve">the </w:t>
      </w:r>
      <w:r w:rsidRPr="001C513B">
        <w:rPr>
          <w:rFonts w:ascii="Calibri" w:eastAsia="等线" w:hAnsi="Calibri" w:cs="Calibri"/>
        </w:rPr>
        <w:t>triangle twin</w:t>
      </w:r>
      <w:r>
        <w:rPr>
          <w:rFonts w:ascii="Calibri" w:eastAsia="等线" w:hAnsi="Calibri" w:cs="Calibri"/>
        </w:rPr>
        <w:t>n</w:t>
      </w:r>
      <w:r w:rsidRPr="001C513B">
        <w:rPr>
          <w:rFonts w:ascii="Calibri" w:eastAsia="等线" w:hAnsi="Calibri" w:cs="Calibri"/>
        </w:rPr>
        <w:t>ed martensite nucleus, with further deformation</w:t>
      </w:r>
      <w:r>
        <w:rPr>
          <w:rFonts w:ascii="Calibri" w:eastAsia="等线" w:hAnsi="Calibri" w:cs="Calibri"/>
        </w:rPr>
        <w:t xml:space="preserve"> the</w:t>
      </w:r>
      <w:r w:rsidRPr="001C513B">
        <w:rPr>
          <w:rFonts w:ascii="Calibri" w:eastAsia="等线" w:hAnsi="Calibri" w:cs="Calibri"/>
        </w:rPr>
        <w:t xml:space="preserve"> secondary SA twinning </w:t>
      </w:r>
      <w:r>
        <w:rPr>
          <w:rFonts w:ascii="Calibri" w:eastAsia="等线" w:hAnsi="Calibri" w:cs="Calibri"/>
        </w:rPr>
        <w:t>is</w:t>
      </w:r>
      <w:r w:rsidRPr="001C513B">
        <w:rPr>
          <w:rFonts w:ascii="Calibri" w:eastAsia="等线" w:hAnsi="Calibri" w:cs="Calibri"/>
        </w:rPr>
        <w:t xml:space="preserve"> </w:t>
      </w:r>
      <w:r w:rsidR="000A5412" w:rsidRPr="001C513B">
        <w:rPr>
          <w:rFonts w:ascii="Calibri" w:eastAsia="等线" w:hAnsi="Calibri" w:cs="Calibri"/>
        </w:rPr>
        <w:t>favoured</w:t>
      </w:r>
      <w:r w:rsidRPr="001C513B">
        <w:rPr>
          <w:rFonts w:ascii="Calibri" w:eastAsia="等线" w:hAnsi="Calibri" w:cs="Calibri"/>
        </w:rPr>
        <w:t xml:space="preserve"> to form next to the </w:t>
      </w:r>
      <w:r w:rsidR="00210813">
        <w:rPr>
          <w:rFonts w:ascii="Calibri" w:eastAsia="等线" w:hAnsi="Calibri" w:cs="Calibri"/>
        </w:rPr>
        <w:t>triangular</w:t>
      </w:r>
      <w:r w:rsidR="00210813" w:rsidRPr="001C513B">
        <w:rPr>
          <w:rFonts w:ascii="Calibri" w:eastAsia="等线" w:hAnsi="Calibri" w:cs="Calibri"/>
        </w:rPr>
        <w:t xml:space="preserve"> </w:t>
      </w:r>
      <w:r w:rsidRPr="001C513B">
        <w:rPr>
          <w:rFonts w:ascii="Calibri" w:eastAsia="等线" w:hAnsi="Calibri" w:cs="Calibri"/>
        </w:rPr>
        <w:t xml:space="preserve">martensitic nucleus and forming a larger </w:t>
      </w:r>
      <w:r w:rsidR="00210813">
        <w:rPr>
          <w:rFonts w:ascii="Calibri" w:eastAsia="等线" w:hAnsi="Calibri" w:cs="Calibri"/>
        </w:rPr>
        <w:t>triangular</w:t>
      </w:r>
      <w:r w:rsidR="00210813" w:rsidRPr="001C513B">
        <w:rPr>
          <w:rFonts w:ascii="Calibri" w:eastAsia="等线" w:hAnsi="Calibri" w:cs="Calibri"/>
        </w:rPr>
        <w:t xml:space="preserve"> </w:t>
      </w:r>
      <w:r w:rsidRPr="001C513B">
        <w:rPr>
          <w:rFonts w:ascii="Calibri" w:eastAsia="等线" w:hAnsi="Calibri" w:cs="Calibri"/>
        </w:rPr>
        <w:t>{111}</w:t>
      </w:r>
      <w:r w:rsidRPr="001C513B">
        <w:rPr>
          <w:rFonts w:ascii="Calibri" w:eastAsia="等线" w:hAnsi="Calibri" w:cs="Calibri"/>
          <w:vertAlign w:val="subscript"/>
        </w:rPr>
        <w:t>α’’</w:t>
      </w:r>
      <w:r w:rsidRPr="001C513B">
        <w:rPr>
          <w:rFonts w:ascii="Calibri" w:eastAsia="等线" w:hAnsi="Calibri" w:cs="Calibri"/>
        </w:rPr>
        <w:t xml:space="preserve"> twinning entanglement. </w:t>
      </w:r>
    </w:p>
    <w:p w14:paraId="4508677C" w14:textId="77777777" w:rsidR="00832DBC" w:rsidRPr="00832DBC" w:rsidRDefault="00832DBC" w:rsidP="00832DBC">
      <w:pPr>
        <w:shd w:val="clear" w:color="auto" w:fill="FFFFFF"/>
        <w:spacing w:after="60" w:line="360" w:lineRule="auto"/>
        <w:jc w:val="both"/>
        <w:rPr>
          <w:rFonts w:ascii="Calibri" w:eastAsia="等线" w:hAnsi="Calibri" w:cs="Calibri"/>
        </w:rPr>
      </w:pPr>
    </w:p>
    <w:p w14:paraId="2EC1571D" w14:textId="4833F9C1" w:rsidR="00832DBC" w:rsidRDefault="00B145BE" w:rsidP="00B145BE">
      <w:pPr>
        <w:shd w:val="clear" w:color="auto" w:fill="FFFFFF"/>
        <w:spacing w:after="60" w:line="360" w:lineRule="auto"/>
        <w:jc w:val="both"/>
        <w:rPr>
          <w:rFonts w:ascii="Calibri" w:eastAsia="等线" w:hAnsi="Calibri" w:cs="Calibri"/>
          <w:szCs w:val="18"/>
        </w:rPr>
      </w:pPr>
      <w:r w:rsidRPr="001C513B">
        <w:rPr>
          <w:rFonts w:ascii="Calibri" w:eastAsia="等线" w:hAnsi="Calibri" w:cs="Calibri"/>
          <w:szCs w:val="18"/>
        </w:rPr>
        <w:lastRenderedPageBreak/>
        <w:t>Instead of the triang</w:t>
      </w:r>
      <w:r w:rsidR="00E726EF">
        <w:rPr>
          <w:rFonts w:ascii="Calibri" w:eastAsia="等线" w:hAnsi="Calibri" w:cs="Calibri"/>
          <w:szCs w:val="18"/>
        </w:rPr>
        <w:t>ular</w:t>
      </w:r>
      <w:r w:rsidRPr="001C513B">
        <w:rPr>
          <w:rFonts w:ascii="Calibri" w:eastAsia="等线" w:hAnsi="Calibri" w:cs="Calibri"/>
          <w:szCs w:val="18"/>
        </w:rPr>
        <w:t xml:space="preserve"> morphology, highly entangled martensite laths which form</w:t>
      </w:r>
      <w:r>
        <w:rPr>
          <w:rFonts w:ascii="Calibri" w:eastAsia="等线" w:hAnsi="Calibri" w:cs="Calibri"/>
          <w:szCs w:val="18"/>
        </w:rPr>
        <w:t>ed</w:t>
      </w:r>
      <w:r w:rsidRPr="001C513B">
        <w:rPr>
          <w:rFonts w:ascii="Calibri" w:eastAsia="等线" w:hAnsi="Calibri" w:cs="Calibri"/>
          <w:szCs w:val="18"/>
        </w:rPr>
        <w:t xml:space="preserve"> polygon</w:t>
      </w:r>
      <w:r w:rsidR="00E726EF">
        <w:rPr>
          <w:rFonts w:ascii="Calibri" w:eastAsia="等线" w:hAnsi="Calibri" w:cs="Calibri"/>
          <w:szCs w:val="18"/>
        </w:rPr>
        <w:t>al</w:t>
      </w:r>
      <w:r w:rsidRPr="001C513B">
        <w:rPr>
          <w:rFonts w:ascii="Calibri" w:eastAsia="等线" w:hAnsi="Calibri" w:cs="Calibri"/>
          <w:szCs w:val="18"/>
        </w:rPr>
        <w:t xml:space="preserve"> structures </w:t>
      </w:r>
      <w:r>
        <w:rPr>
          <w:rFonts w:ascii="Calibri" w:eastAsia="等线" w:hAnsi="Calibri" w:cs="Calibri"/>
          <w:szCs w:val="18"/>
        </w:rPr>
        <w:t>were</w:t>
      </w:r>
      <w:r w:rsidRPr="001C513B">
        <w:rPr>
          <w:rFonts w:ascii="Calibri" w:eastAsia="等线" w:hAnsi="Calibri" w:cs="Calibri"/>
          <w:szCs w:val="18"/>
        </w:rPr>
        <w:t xml:space="preserve"> also observed in </w:t>
      </w:r>
      <w:r w:rsidRPr="001C513B">
        <w:rPr>
          <w:rFonts w:ascii="Calibri" w:eastAsia="等线" w:hAnsi="Calibri" w:cs="Times New Roman"/>
        </w:rPr>
        <w:t>Fig. 5-10</w:t>
      </w:r>
      <w:r w:rsidRPr="001C513B">
        <w:rPr>
          <w:rFonts w:ascii="Calibri" w:eastAsia="等线" w:hAnsi="Calibri" w:cs="Calibri"/>
          <w:szCs w:val="18"/>
        </w:rPr>
        <w:t>. Compar</w:t>
      </w:r>
      <w:r>
        <w:rPr>
          <w:rFonts w:ascii="Calibri" w:eastAsia="等线" w:hAnsi="Calibri" w:cs="Calibri"/>
          <w:szCs w:val="18"/>
        </w:rPr>
        <w:t>ed</w:t>
      </w:r>
      <w:r w:rsidRPr="001C513B">
        <w:rPr>
          <w:rFonts w:ascii="Calibri" w:eastAsia="等线" w:hAnsi="Calibri" w:cs="Calibri"/>
          <w:szCs w:val="18"/>
        </w:rPr>
        <w:t xml:space="preserve"> with the IFFT figure derived from </w:t>
      </w:r>
      <w:r w:rsidRPr="001C513B">
        <w:rPr>
          <w:rFonts w:ascii="Calibri" w:eastAsia="等线" w:hAnsi="Calibri" w:cs="Times New Roman"/>
        </w:rPr>
        <w:t>Fig. 5-1</w:t>
      </w:r>
      <w:r w:rsidR="00AB2332">
        <w:rPr>
          <w:rFonts w:ascii="Calibri" w:eastAsia="等线" w:hAnsi="Calibri" w:cs="Times New Roman"/>
        </w:rPr>
        <w:t>0</w:t>
      </w:r>
      <w:r w:rsidRPr="001C513B">
        <w:rPr>
          <w:rFonts w:ascii="Calibri" w:eastAsia="等线" w:hAnsi="Calibri" w:cs="Times New Roman"/>
        </w:rPr>
        <w:t>(e)</w:t>
      </w:r>
      <w:r w:rsidRPr="001C513B">
        <w:rPr>
          <w:rFonts w:ascii="Calibri" w:eastAsia="等线" w:hAnsi="Calibri" w:cs="Calibri"/>
          <w:szCs w:val="18"/>
        </w:rPr>
        <w:t xml:space="preserve">, the grain boundary angle between any two of these martensite variants </w:t>
      </w:r>
      <w:r>
        <w:rPr>
          <w:rFonts w:ascii="Calibri" w:eastAsia="等线" w:hAnsi="Calibri" w:cs="Calibri"/>
          <w:szCs w:val="18"/>
        </w:rPr>
        <w:t>was</w:t>
      </w:r>
      <w:r w:rsidRPr="001C513B">
        <w:rPr>
          <w:rFonts w:ascii="Calibri" w:eastAsia="等线" w:hAnsi="Calibri" w:cs="Calibri"/>
          <w:szCs w:val="18"/>
        </w:rPr>
        <w:t xml:space="preserve"> identical to the angle between the (1-11)</w:t>
      </w:r>
      <w:r w:rsidRPr="001C513B">
        <w:rPr>
          <w:rFonts w:ascii="Calibri" w:eastAsia="等线" w:hAnsi="Calibri" w:cs="Calibri"/>
          <w:vertAlign w:val="subscript"/>
        </w:rPr>
        <w:t>α’’</w:t>
      </w:r>
      <w:r w:rsidRPr="001C513B">
        <w:rPr>
          <w:rFonts w:ascii="Calibri" w:eastAsia="等线" w:hAnsi="Calibri" w:cs="Calibri"/>
        </w:rPr>
        <w:t xml:space="preserve"> plane of </w:t>
      </w:r>
      <w:r>
        <w:rPr>
          <w:rFonts w:ascii="Calibri" w:eastAsia="等线" w:hAnsi="Calibri" w:cs="Calibri"/>
        </w:rPr>
        <w:t xml:space="preserve">the </w:t>
      </w:r>
      <w:r w:rsidRPr="001C513B">
        <w:rPr>
          <w:rFonts w:ascii="Calibri" w:eastAsia="等线" w:hAnsi="Calibri" w:cs="Calibri"/>
        </w:rPr>
        <w:t>correspond</w:t>
      </w:r>
      <w:r w:rsidR="00E726EF">
        <w:rPr>
          <w:rFonts w:ascii="Calibri" w:eastAsia="等线" w:hAnsi="Calibri" w:cs="Calibri"/>
        </w:rPr>
        <w:t>ing</w:t>
      </w:r>
      <w:r w:rsidRPr="001C513B">
        <w:rPr>
          <w:rFonts w:ascii="Calibri" w:eastAsia="等线" w:hAnsi="Calibri" w:cs="Calibri"/>
        </w:rPr>
        <w:t xml:space="preserve"> martensite variants.</w:t>
      </w:r>
      <w:r w:rsidRPr="001C513B">
        <w:rPr>
          <w:rFonts w:ascii="Calibri" w:eastAsia="等线" w:hAnsi="Calibri" w:cs="Calibri"/>
          <w:szCs w:val="18"/>
        </w:rPr>
        <w:t xml:space="preserve"> As highlighted in </w:t>
      </w:r>
      <w:r w:rsidRPr="001C513B">
        <w:rPr>
          <w:rFonts w:ascii="Calibri" w:eastAsia="等线" w:hAnsi="Calibri" w:cs="Times New Roman"/>
        </w:rPr>
        <w:t>Fig. 5-10(e)</w:t>
      </w:r>
      <w:r w:rsidRPr="001C513B">
        <w:rPr>
          <w:rFonts w:ascii="Calibri" w:eastAsia="等线" w:hAnsi="Calibri" w:cs="Calibri"/>
          <w:szCs w:val="18"/>
        </w:rPr>
        <w:t>, the nucleation of this triang</w:t>
      </w:r>
      <w:r w:rsidR="00E726EF">
        <w:rPr>
          <w:rFonts w:ascii="Calibri" w:eastAsia="等线" w:hAnsi="Calibri" w:cs="Calibri"/>
          <w:szCs w:val="18"/>
        </w:rPr>
        <w:t>ular</w:t>
      </w:r>
      <w:r w:rsidRPr="001C513B">
        <w:rPr>
          <w:rFonts w:ascii="Calibri" w:eastAsia="等线" w:hAnsi="Calibri" w:cs="Calibri"/>
          <w:szCs w:val="18"/>
        </w:rPr>
        <w:t xml:space="preserve"> structure indeed form</w:t>
      </w:r>
      <w:r>
        <w:rPr>
          <w:rFonts w:ascii="Calibri" w:eastAsia="等线" w:hAnsi="Calibri" w:cs="Calibri"/>
          <w:szCs w:val="18"/>
        </w:rPr>
        <w:t>ed</w:t>
      </w:r>
      <w:r w:rsidRPr="001C513B">
        <w:rPr>
          <w:rFonts w:ascii="Calibri" w:eastAsia="等线" w:hAnsi="Calibri" w:cs="Calibri"/>
          <w:szCs w:val="18"/>
        </w:rPr>
        <w:t xml:space="preserve"> a nano-size tri</w:t>
      </w:r>
      <w:r>
        <w:rPr>
          <w:rFonts w:ascii="Calibri" w:eastAsia="等线" w:hAnsi="Calibri" w:cs="Calibri"/>
          <w:szCs w:val="18"/>
        </w:rPr>
        <w:t>a</w:t>
      </w:r>
      <w:r w:rsidRPr="001C513B">
        <w:rPr>
          <w:rFonts w:ascii="Calibri" w:eastAsia="等线" w:hAnsi="Calibri" w:cs="Calibri"/>
          <w:szCs w:val="18"/>
        </w:rPr>
        <w:t>ng</w:t>
      </w:r>
      <w:r w:rsidR="00E726EF">
        <w:rPr>
          <w:rFonts w:ascii="Calibri" w:eastAsia="等线" w:hAnsi="Calibri" w:cs="Calibri"/>
          <w:szCs w:val="18"/>
        </w:rPr>
        <w:t>ular</w:t>
      </w:r>
      <w:r w:rsidRPr="001C513B">
        <w:rPr>
          <w:rFonts w:ascii="Calibri" w:eastAsia="等线" w:hAnsi="Calibri" w:cs="Calibri"/>
          <w:szCs w:val="18"/>
        </w:rPr>
        <w:t xml:space="preserve"> structure</w:t>
      </w:r>
      <w:r>
        <w:rPr>
          <w:rFonts w:ascii="Calibri" w:eastAsia="等线" w:hAnsi="Calibri" w:cs="Calibri"/>
          <w:szCs w:val="18"/>
        </w:rPr>
        <w:t>. This</w:t>
      </w:r>
      <w:r w:rsidRPr="001C513B">
        <w:rPr>
          <w:rFonts w:ascii="Calibri" w:eastAsia="等线" w:hAnsi="Calibri" w:cs="Calibri"/>
          <w:szCs w:val="18"/>
        </w:rPr>
        <w:t xml:space="preserve"> indicate</w:t>
      </w:r>
      <w:r>
        <w:rPr>
          <w:rFonts w:ascii="Calibri" w:eastAsia="等线" w:hAnsi="Calibri" w:cs="Calibri"/>
          <w:szCs w:val="18"/>
        </w:rPr>
        <w:t>d</w:t>
      </w:r>
      <w:r w:rsidRPr="001C513B">
        <w:rPr>
          <w:rFonts w:ascii="Calibri" w:eastAsia="等线" w:hAnsi="Calibri" w:cs="Calibri"/>
          <w:szCs w:val="18"/>
        </w:rPr>
        <w:t xml:space="preserve"> the origin of this structure may </w:t>
      </w:r>
      <w:r>
        <w:rPr>
          <w:rFonts w:ascii="Calibri" w:eastAsia="等线" w:hAnsi="Calibri" w:cs="Calibri"/>
          <w:szCs w:val="18"/>
        </w:rPr>
        <w:t>be a result of the</w:t>
      </w:r>
      <w:r w:rsidRPr="001C513B">
        <w:rPr>
          <w:rFonts w:ascii="Calibri" w:eastAsia="等线" w:hAnsi="Calibri" w:cs="Calibri"/>
          <w:szCs w:val="18"/>
        </w:rPr>
        <w:t xml:space="preserve"> evolution of certain defects </w:t>
      </w:r>
      <w:r>
        <w:rPr>
          <w:rFonts w:ascii="Calibri" w:eastAsia="等线" w:hAnsi="Calibri" w:cs="Calibri"/>
          <w:szCs w:val="18"/>
        </w:rPr>
        <w:t>lead</w:t>
      </w:r>
      <w:r w:rsidRPr="001C513B">
        <w:rPr>
          <w:rFonts w:ascii="Calibri" w:eastAsia="等线" w:hAnsi="Calibri" w:cs="Calibri"/>
          <w:szCs w:val="18"/>
        </w:rPr>
        <w:t xml:space="preserve"> by the TRIP effect. </w:t>
      </w:r>
    </w:p>
    <w:p w14:paraId="13AB7D33" w14:textId="694298E9" w:rsidR="00832DBC" w:rsidRDefault="00832DBC" w:rsidP="00B145BE">
      <w:pPr>
        <w:shd w:val="clear" w:color="auto" w:fill="FFFFFF"/>
        <w:spacing w:after="60" w:line="360" w:lineRule="auto"/>
        <w:jc w:val="both"/>
        <w:rPr>
          <w:rFonts w:ascii="Calibri" w:eastAsia="等线" w:hAnsi="Calibri" w:cs="Calibri"/>
          <w:szCs w:val="18"/>
        </w:rPr>
      </w:pPr>
      <w:r w:rsidRPr="001C513B">
        <w:rPr>
          <w:rFonts w:ascii="Calibri" w:eastAsia="等线" w:hAnsi="Calibri" w:cs="Calibri"/>
          <w:b/>
          <w:noProof/>
          <w:sz w:val="44"/>
          <w:szCs w:val="24"/>
          <w:vertAlign w:val="subscript"/>
          <w:lang w:val="en-US" w:eastAsia="en-US"/>
        </w:rPr>
        <w:drawing>
          <wp:inline distT="0" distB="0" distL="0" distR="0" wp14:anchorId="69107F2D" wp14:editId="75DD3D45">
            <wp:extent cx="5943600" cy="2589748"/>
            <wp:effectExtent l="0" t="0" r="0" b="1270"/>
            <wp:docPr id="57" name="图片 56" descr="图片包含 树, 户外&#10;&#10;自动生成的说明">
              <a:extLst xmlns:a="http://schemas.openxmlformats.org/drawingml/2006/main">
                <a:ext uri="{FF2B5EF4-FFF2-40B4-BE49-F238E27FC236}">
                  <a16:creationId xmlns:a16="http://schemas.microsoft.com/office/drawing/2014/main" id="{809F9E06-433E-4CE6-B5B6-39CACF578E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descr="图片包含 树, 户外&#10;&#10;自动生成的说明">
                      <a:extLst>
                        <a:ext uri="{FF2B5EF4-FFF2-40B4-BE49-F238E27FC236}">
                          <a16:creationId xmlns:a16="http://schemas.microsoft.com/office/drawing/2014/main" id="{809F9E06-433E-4CE6-B5B6-39CACF578EBA}"/>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2589748"/>
                    </a:xfrm>
                    <a:prstGeom prst="rect">
                      <a:avLst/>
                    </a:prstGeom>
                  </pic:spPr>
                </pic:pic>
              </a:graphicData>
            </a:graphic>
          </wp:inline>
        </w:drawing>
      </w:r>
    </w:p>
    <w:p w14:paraId="36478E2E" w14:textId="3E7A85CF" w:rsidR="00832DBC" w:rsidRPr="001C513B" w:rsidRDefault="00832DBC" w:rsidP="00832DBC">
      <w:pPr>
        <w:shd w:val="clear" w:color="auto" w:fill="FFFFFF"/>
        <w:spacing w:after="60" w:line="360" w:lineRule="auto"/>
        <w:jc w:val="both"/>
        <w:rPr>
          <w:rFonts w:ascii="Calibri" w:eastAsia="等线" w:hAnsi="Calibri" w:cs="Calibri"/>
          <w:sz w:val="20"/>
          <w:szCs w:val="18"/>
        </w:rPr>
      </w:pPr>
      <w:bookmarkStart w:id="256" w:name="_Toc7364602"/>
      <w:bookmarkStart w:id="257" w:name="_Toc39312716"/>
      <w:r w:rsidRPr="001C513B">
        <w:rPr>
          <w:rFonts w:ascii="Calibri" w:eastAsia="等线" w:hAnsi="Calibri" w:cs="Calibri"/>
          <w:b/>
          <w:sz w:val="20"/>
          <w:szCs w:val="18"/>
        </w:rPr>
        <w:t>Figure 5-</w:t>
      </w:r>
      <w:r w:rsidRPr="001C513B">
        <w:rPr>
          <w:rFonts w:ascii="Calibri" w:eastAsia="等线" w:hAnsi="Calibri" w:cs="Calibri"/>
          <w:b/>
          <w:sz w:val="20"/>
        </w:rPr>
        <w:fldChar w:fldCharType="begin"/>
      </w:r>
      <w:r w:rsidRPr="001C513B">
        <w:rPr>
          <w:rFonts w:ascii="Calibri" w:eastAsia="等线" w:hAnsi="Calibri" w:cs="Calibri"/>
          <w:b/>
          <w:sz w:val="20"/>
        </w:rPr>
        <w:instrText xml:space="preserve"> SEQ Figure \* ARABIC </w:instrText>
      </w:r>
      <w:r w:rsidRPr="001C513B">
        <w:rPr>
          <w:rFonts w:ascii="Calibri" w:eastAsia="等线" w:hAnsi="Calibri" w:cs="Calibri"/>
          <w:b/>
          <w:sz w:val="20"/>
        </w:rPr>
        <w:fldChar w:fldCharType="separate"/>
      </w:r>
      <w:r>
        <w:rPr>
          <w:rFonts w:ascii="Calibri" w:eastAsia="等线" w:hAnsi="Calibri" w:cs="Calibri"/>
          <w:b/>
          <w:noProof/>
          <w:sz w:val="20"/>
        </w:rPr>
        <w:t>10</w:t>
      </w:r>
      <w:r w:rsidRPr="001C513B">
        <w:rPr>
          <w:rFonts w:ascii="Calibri" w:eastAsia="等线" w:hAnsi="Calibri" w:cs="Calibri"/>
          <w:b/>
          <w:sz w:val="20"/>
        </w:rPr>
        <w:fldChar w:fldCharType="end"/>
      </w:r>
      <w:r w:rsidRPr="001C513B">
        <w:rPr>
          <w:rFonts w:ascii="Calibri" w:eastAsia="等线" w:hAnsi="Calibri" w:cs="Calibri"/>
          <w:b/>
          <w:sz w:val="20"/>
          <w:szCs w:val="18"/>
        </w:rPr>
        <w:t xml:space="preserve"> TEM image</w:t>
      </w:r>
      <w:r>
        <w:rPr>
          <w:rFonts w:ascii="Calibri" w:eastAsia="等线" w:hAnsi="Calibri" w:cs="Calibri"/>
          <w:b/>
          <w:sz w:val="20"/>
          <w:szCs w:val="18"/>
        </w:rPr>
        <w:t>s</w:t>
      </w:r>
      <w:r w:rsidRPr="001C513B">
        <w:rPr>
          <w:rFonts w:ascii="Calibri" w:eastAsia="等线" w:hAnsi="Calibri" w:cs="Calibri"/>
          <w:b/>
          <w:sz w:val="20"/>
          <w:szCs w:val="18"/>
        </w:rPr>
        <w:t xml:space="preserve"> of SA twinning feature in 5% deformed TiZrHfTa</w:t>
      </w:r>
      <w:r w:rsidRPr="001C513B">
        <w:rPr>
          <w:rFonts w:ascii="Calibri" w:eastAsia="等线" w:hAnsi="Calibri" w:cs="Calibri"/>
          <w:b/>
          <w:sz w:val="20"/>
          <w:szCs w:val="18"/>
          <w:vertAlign w:val="subscript"/>
        </w:rPr>
        <w:t>0.6</w:t>
      </w:r>
      <w:r w:rsidRPr="001C513B">
        <w:rPr>
          <w:rFonts w:ascii="Calibri" w:eastAsia="等线" w:hAnsi="Calibri" w:cs="Calibri"/>
          <w:b/>
          <w:sz w:val="20"/>
          <w:szCs w:val="18"/>
        </w:rPr>
        <w:t>.</w:t>
      </w:r>
      <w:r w:rsidRPr="001C513B">
        <w:rPr>
          <w:rFonts w:ascii="Calibri" w:eastAsia="等线" w:hAnsi="Calibri" w:cs="Calibri"/>
          <w:b/>
          <w:sz w:val="20"/>
          <w:szCs w:val="18"/>
          <w:vertAlign w:val="subscript"/>
        </w:rPr>
        <w:t xml:space="preserve"> </w:t>
      </w:r>
      <w:r w:rsidRPr="001C513B">
        <w:rPr>
          <w:rFonts w:ascii="Calibri" w:eastAsia="等线" w:hAnsi="Calibri" w:cs="Calibri"/>
          <w:sz w:val="20"/>
          <w:szCs w:val="18"/>
        </w:rPr>
        <w:t>(</w:t>
      </w:r>
      <w:r w:rsidRPr="001C513B">
        <w:rPr>
          <w:rFonts w:ascii="Calibri" w:eastAsia="等线" w:hAnsi="Calibri" w:cs="Calibri"/>
          <w:b/>
          <w:sz w:val="20"/>
          <w:szCs w:val="18"/>
        </w:rPr>
        <w:t>a</w:t>
      </w:r>
      <w:r w:rsidRPr="001C513B">
        <w:rPr>
          <w:rFonts w:ascii="Calibri" w:eastAsia="等线" w:hAnsi="Calibri" w:cs="Calibri"/>
          <w:sz w:val="20"/>
          <w:szCs w:val="18"/>
        </w:rPr>
        <w:t xml:space="preserve">) </w:t>
      </w:r>
      <w:r>
        <w:rPr>
          <w:rFonts w:ascii="Calibri" w:eastAsia="等线" w:hAnsi="Calibri" w:cs="Calibri"/>
          <w:sz w:val="20"/>
          <w:szCs w:val="18"/>
        </w:rPr>
        <w:t>a b</w:t>
      </w:r>
      <w:r w:rsidRPr="001C513B">
        <w:rPr>
          <w:rFonts w:ascii="Calibri" w:eastAsia="等线" w:hAnsi="Calibri" w:cs="Calibri"/>
          <w:sz w:val="20"/>
          <w:szCs w:val="18"/>
        </w:rPr>
        <w:t xml:space="preserve">right field image of </w:t>
      </w:r>
      <w:r>
        <w:rPr>
          <w:rFonts w:ascii="Calibri" w:eastAsia="等线" w:hAnsi="Calibri" w:cs="Calibri"/>
          <w:sz w:val="20"/>
          <w:szCs w:val="18"/>
        </w:rPr>
        <w:t>the</w:t>
      </w:r>
      <w:r w:rsidRPr="001C513B">
        <w:rPr>
          <w:rFonts w:ascii="Calibri" w:eastAsia="等线" w:hAnsi="Calibri" w:cs="Calibri"/>
          <w:sz w:val="20"/>
          <w:szCs w:val="18"/>
        </w:rPr>
        <w:t>feature,</w:t>
      </w:r>
      <w:r>
        <w:rPr>
          <w:rFonts w:ascii="Calibri" w:eastAsia="等线" w:hAnsi="Calibri" w:cs="Calibri"/>
          <w:sz w:val="20"/>
          <w:szCs w:val="18"/>
        </w:rPr>
        <w:t xml:space="preserve"> with</w:t>
      </w:r>
      <w:r w:rsidRPr="001C513B">
        <w:rPr>
          <w:rFonts w:ascii="Calibri" w:eastAsia="等线" w:hAnsi="Calibri" w:cs="Calibri"/>
          <w:sz w:val="20"/>
          <w:szCs w:val="18"/>
        </w:rPr>
        <w:t xml:space="preserve"> highly entangled martensite laths forming complex polygon structure</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b</w:t>
      </w:r>
      <w:r w:rsidRPr="001C513B">
        <w:rPr>
          <w:rFonts w:ascii="Calibri" w:eastAsia="等线" w:hAnsi="Calibri" w:cs="Calibri"/>
          <w:sz w:val="20"/>
          <w:szCs w:val="18"/>
        </w:rPr>
        <w:t xml:space="preserve">) </w:t>
      </w:r>
      <w:r>
        <w:rPr>
          <w:rFonts w:ascii="Calibri" w:eastAsia="等线" w:hAnsi="Calibri" w:cs="Calibri"/>
          <w:sz w:val="20"/>
          <w:szCs w:val="18"/>
        </w:rPr>
        <w:t>a d</w:t>
      </w:r>
      <w:r w:rsidRPr="001C513B">
        <w:rPr>
          <w:rFonts w:ascii="Calibri" w:eastAsia="等线" w:hAnsi="Calibri" w:cs="Calibri"/>
          <w:sz w:val="20"/>
          <w:szCs w:val="18"/>
        </w:rPr>
        <w:t>ark field image of {111}</w:t>
      </w:r>
      <w:r w:rsidRPr="001C513B">
        <w:rPr>
          <w:rFonts w:ascii="Calibri" w:eastAsia="等线" w:hAnsi="Calibri" w:cs="Calibri"/>
          <w:sz w:val="20"/>
          <w:szCs w:val="18"/>
          <w:vertAlign w:val="subscript"/>
        </w:rPr>
        <w:t>α’’</w:t>
      </w:r>
      <w:r w:rsidRPr="001C513B">
        <w:rPr>
          <w:rFonts w:ascii="Calibri" w:eastAsia="等线" w:hAnsi="Calibri" w:cs="Calibri"/>
          <w:sz w:val="20"/>
          <w:szCs w:val="18"/>
        </w:rPr>
        <w:t xml:space="preserve"> related </w:t>
      </w:r>
      <w:r>
        <w:rPr>
          <w:rFonts w:ascii="Calibri" w:eastAsia="等线" w:hAnsi="Calibri" w:cs="Calibri"/>
          <w:sz w:val="20"/>
          <w:szCs w:val="18"/>
        </w:rPr>
        <w:t xml:space="preserve">to </w:t>
      </w:r>
      <w:r w:rsidRPr="001C513B">
        <w:rPr>
          <w:rFonts w:ascii="Calibri" w:eastAsia="等线" w:hAnsi="Calibri" w:cs="Calibri"/>
          <w:sz w:val="20"/>
          <w:szCs w:val="18"/>
        </w:rPr>
        <w:t>martensite variant one</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c</w:t>
      </w:r>
      <w:r w:rsidRPr="001C513B">
        <w:rPr>
          <w:rFonts w:ascii="Calibri" w:eastAsia="等线" w:hAnsi="Calibri" w:cs="Calibri"/>
          <w:sz w:val="20"/>
          <w:szCs w:val="18"/>
        </w:rPr>
        <w:t xml:space="preserve">) </w:t>
      </w:r>
      <w:r>
        <w:rPr>
          <w:rFonts w:ascii="Calibri" w:eastAsia="等线" w:hAnsi="Calibri" w:cs="Calibri"/>
          <w:sz w:val="20"/>
          <w:szCs w:val="18"/>
        </w:rPr>
        <w:t>a d</w:t>
      </w:r>
      <w:r w:rsidRPr="001C513B">
        <w:rPr>
          <w:rFonts w:ascii="Calibri" w:eastAsia="等线" w:hAnsi="Calibri" w:cs="Calibri"/>
          <w:sz w:val="20"/>
          <w:szCs w:val="18"/>
        </w:rPr>
        <w:t>ark field image of {111}</w:t>
      </w:r>
      <w:r w:rsidRPr="001C513B">
        <w:rPr>
          <w:rFonts w:ascii="Calibri" w:eastAsia="等线" w:hAnsi="Calibri" w:cs="Calibri"/>
          <w:sz w:val="20"/>
          <w:szCs w:val="18"/>
          <w:vertAlign w:val="subscript"/>
        </w:rPr>
        <w:t>α’’</w:t>
      </w:r>
      <w:r w:rsidRPr="001C513B">
        <w:rPr>
          <w:rFonts w:ascii="Calibri" w:eastAsia="等线" w:hAnsi="Calibri" w:cs="Calibri"/>
          <w:sz w:val="20"/>
          <w:szCs w:val="18"/>
        </w:rPr>
        <w:t xml:space="preserve"> related martensite variant two</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d</w:t>
      </w:r>
      <w:r w:rsidRPr="001C513B">
        <w:rPr>
          <w:rFonts w:ascii="Calibri" w:eastAsia="等线" w:hAnsi="Calibri" w:cs="Calibri"/>
          <w:sz w:val="20"/>
          <w:szCs w:val="18"/>
        </w:rPr>
        <w:t xml:space="preserve">) </w:t>
      </w:r>
      <w:r>
        <w:rPr>
          <w:rFonts w:ascii="Calibri" w:eastAsia="等线" w:hAnsi="Calibri" w:cs="Calibri"/>
          <w:sz w:val="20"/>
          <w:szCs w:val="18"/>
        </w:rPr>
        <w:t>a d</w:t>
      </w:r>
      <w:r w:rsidRPr="001C513B">
        <w:rPr>
          <w:rFonts w:ascii="Calibri" w:eastAsia="等线" w:hAnsi="Calibri" w:cs="Calibri"/>
          <w:sz w:val="20"/>
          <w:szCs w:val="18"/>
        </w:rPr>
        <w:t>ark field image of {111}</w:t>
      </w:r>
      <w:r w:rsidRPr="001C513B">
        <w:rPr>
          <w:rFonts w:ascii="Calibri" w:eastAsia="等线" w:hAnsi="Calibri" w:cs="Calibri"/>
          <w:sz w:val="20"/>
          <w:szCs w:val="18"/>
          <w:vertAlign w:val="subscript"/>
        </w:rPr>
        <w:t>α’’</w:t>
      </w:r>
      <w:r w:rsidRPr="001C513B">
        <w:rPr>
          <w:rFonts w:ascii="Calibri" w:eastAsia="等线" w:hAnsi="Calibri" w:cs="Calibri"/>
          <w:sz w:val="20"/>
          <w:szCs w:val="18"/>
        </w:rPr>
        <w:t xml:space="preserve"> related martensite variant three</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e</w:t>
      </w:r>
      <w:r w:rsidRPr="001C513B">
        <w:rPr>
          <w:rFonts w:ascii="Calibri" w:eastAsia="等线" w:hAnsi="Calibri" w:cs="Calibri"/>
          <w:sz w:val="20"/>
          <w:szCs w:val="18"/>
        </w:rPr>
        <w:t xml:space="preserve">) </w:t>
      </w:r>
      <w:r>
        <w:rPr>
          <w:rFonts w:ascii="Calibri" w:eastAsia="等线" w:hAnsi="Calibri" w:cs="Calibri"/>
          <w:sz w:val="20"/>
          <w:szCs w:val="18"/>
        </w:rPr>
        <w:t xml:space="preserve">a </w:t>
      </w:r>
      <w:r w:rsidRPr="001C513B">
        <w:rPr>
          <w:rFonts w:ascii="Calibri" w:eastAsia="等线" w:hAnsi="Calibri" w:cs="Calibri"/>
          <w:sz w:val="20"/>
          <w:szCs w:val="18"/>
        </w:rPr>
        <w:t xml:space="preserve">HRTEM </w:t>
      </w:r>
      <w:r>
        <w:rPr>
          <w:rFonts w:ascii="Calibri" w:eastAsia="等线" w:hAnsi="Calibri" w:cs="Calibri"/>
          <w:sz w:val="20"/>
          <w:szCs w:val="18"/>
        </w:rPr>
        <w:t xml:space="preserve">image </w:t>
      </w:r>
      <w:r w:rsidRPr="001C513B">
        <w:rPr>
          <w:rFonts w:ascii="Calibri" w:eastAsia="等线" w:hAnsi="Calibri" w:cs="Calibri"/>
          <w:sz w:val="20"/>
          <w:szCs w:val="18"/>
        </w:rPr>
        <w:t xml:space="preserve">of the feature </w:t>
      </w:r>
      <w:r>
        <w:rPr>
          <w:rFonts w:ascii="Calibri" w:eastAsia="等线" w:hAnsi="Calibri" w:cs="Calibri"/>
          <w:sz w:val="20"/>
          <w:szCs w:val="18"/>
        </w:rPr>
        <w:t xml:space="preserve">involving </w:t>
      </w:r>
      <w:r w:rsidRPr="001C513B">
        <w:rPr>
          <w:rFonts w:ascii="Calibri" w:eastAsia="等线" w:hAnsi="Calibri" w:cs="Calibri"/>
          <w:sz w:val="20"/>
          <w:szCs w:val="18"/>
        </w:rPr>
        <w:t>all three martensite variants</w:t>
      </w:r>
      <w:r>
        <w:rPr>
          <w:rFonts w:ascii="Calibri" w:eastAsia="等线" w:hAnsi="Calibri" w:cs="Calibri"/>
          <w:sz w:val="20"/>
          <w:szCs w:val="18"/>
        </w:rPr>
        <w:t>.</w:t>
      </w:r>
      <w:r w:rsidRPr="001C513B">
        <w:rPr>
          <w:rFonts w:ascii="Calibri" w:eastAsia="等线" w:hAnsi="Calibri" w:cs="Calibri"/>
          <w:sz w:val="20"/>
          <w:szCs w:val="18"/>
        </w:rPr>
        <w:t xml:space="preserve"> </w:t>
      </w:r>
      <w:r>
        <w:rPr>
          <w:rFonts w:ascii="Calibri" w:eastAsia="等线" w:hAnsi="Calibri" w:cs="Calibri"/>
          <w:sz w:val="20"/>
          <w:szCs w:val="18"/>
        </w:rPr>
        <w:t>T</w:t>
      </w:r>
      <w:r w:rsidRPr="001C513B">
        <w:rPr>
          <w:rFonts w:ascii="Calibri" w:eastAsia="等线" w:hAnsi="Calibri" w:cs="Calibri"/>
          <w:sz w:val="20"/>
          <w:szCs w:val="18"/>
        </w:rPr>
        <w:t xml:space="preserve">he grain relationship is marked in </w:t>
      </w:r>
      <w:r>
        <w:rPr>
          <w:rFonts w:ascii="Calibri" w:eastAsia="等线" w:hAnsi="Calibri" w:cs="Calibri"/>
          <w:sz w:val="20"/>
          <w:szCs w:val="18"/>
        </w:rPr>
        <w:t xml:space="preserve">the </w:t>
      </w:r>
      <w:r w:rsidRPr="001C513B">
        <w:rPr>
          <w:rFonts w:ascii="Calibri" w:eastAsia="等线" w:hAnsi="Calibri" w:cs="Calibri"/>
          <w:sz w:val="20"/>
          <w:szCs w:val="18"/>
        </w:rPr>
        <w:t>FFT image shown inset</w:t>
      </w:r>
      <w:r>
        <w:rPr>
          <w:rFonts w:ascii="Calibri" w:eastAsia="等线" w:hAnsi="Calibri" w:cs="Calibri"/>
          <w:sz w:val="20"/>
          <w:szCs w:val="18"/>
        </w:rPr>
        <w:t>.</w:t>
      </w:r>
      <w:r w:rsidRPr="001C513B">
        <w:rPr>
          <w:rFonts w:ascii="Calibri" w:eastAsia="等线" w:hAnsi="Calibri" w:cs="Calibri"/>
          <w:sz w:val="20"/>
          <w:szCs w:val="18"/>
        </w:rPr>
        <w:t xml:space="preserve"> </w:t>
      </w:r>
      <w:r w:rsidR="00E726EF">
        <w:rPr>
          <w:rFonts w:ascii="Calibri" w:eastAsia="等线" w:hAnsi="Calibri" w:cs="Calibri"/>
          <w:sz w:val="20"/>
          <w:szCs w:val="18"/>
        </w:rPr>
        <w:t>The t</w:t>
      </w:r>
      <w:r w:rsidRPr="001C513B">
        <w:rPr>
          <w:rFonts w:ascii="Calibri" w:eastAsia="等线" w:hAnsi="Calibri" w:cs="Calibri"/>
          <w:sz w:val="20"/>
          <w:szCs w:val="18"/>
        </w:rPr>
        <w:t xml:space="preserve">hree martensite variants </w:t>
      </w:r>
      <w:r w:rsidR="00E726EF">
        <w:rPr>
          <w:rFonts w:ascii="Calibri" w:eastAsia="等线" w:hAnsi="Calibri" w:cs="Calibri"/>
          <w:sz w:val="20"/>
          <w:szCs w:val="18"/>
        </w:rPr>
        <w:t xml:space="preserve">are </w:t>
      </w:r>
      <w:r w:rsidRPr="001C513B">
        <w:rPr>
          <w:rFonts w:ascii="Calibri" w:eastAsia="等线" w:hAnsi="Calibri" w:cs="Calibri"/>
          <w:sz w:val="20"/>
          <w:szCs w:val="18"/>
        </w:rPr>
        <w:t>marked with red</w:t>
      </w:r>
      <w:r>
        <w:rPr>
          <w:rFonts w:ascii="Calibri" w:eastAsia="等线" w:hAnsi="Calibri" w:cs="Calibri"/>
          <w:sz w:val="20"/>
          <w:szCs w:val="18"/>
        </w:rPr>
        <w:t xml:space="preserve">, </w:t>
      </w:r>
      <w:r w:rsidRPr="001C513B">
        <w:rPr>
          <w:rFonts w:ascii="Calibri" w:eastAsia="等线" w:hAnsi="Calibri" w:cs="Calibri"/>
          <w:sz w:val="20"/>
          <w:szCs w:val="18"/>
        </w:rPr>
        <w:t>cyan and yellow</w:t>
      </w:r>
      <w:r>
        <w:rPr>
          <w:rFonts w:ascii="Calibri" w:eastAsia="等线" w:hAnsi="Calibri" w:cs="Calibri"/>
          <w:sz w:val="20"/>
          <w:szCs w:val="18"/>
        </w:rPr>
        <w:t>,</w:t>
      </w:r>
      <w:r w:rsidRPr="001C513B">
        <w:rPr>
          <w:rFonts w:ascii="Calibri" w:eastAsia="等线" w:hAnsi="Calibri" w:cs="Calibri"/>
          <w:sz w:val="20"/>
          <w:szCs w:val="18"/>
        </w:rPr>
        <w:t xml:space="preserve"> while the {111}</w:t>
      </w:r>
      <w:r w:rsidRPr="001C513B">
        <w:rPr>
          <w:rFonts w:ascii="Calibri" w:eastAsia="等线" w:hAnsi="Calibri" w:cs="Calibri"/>
          <w:sz w:val="20"/>
          <w:szCs w:val="18"/>
          <w:vertAlign w:val="subscript"/>
        </w:rPr>
        <w:t>α’’</w:t>
      </w:r>
      <w:r w:rsidRPr="001C513B">
        <w:rPr>
          <w:rFonts w:ascii="Calibri" w:eastAsia="等线" w:hAnsi="Calibri" w:cs="Calibri"/>
          <w:sz w:val="20"/>
          <w:szCs w:val="18"/>
        </w:rPr>
        <w:t xml:space="preserve"> twinning plane </w:t>
      </w:r>
      <w:r>
        <w:rPr>
          <w:rFonts w:ascii="Calibri" w:eastAsia="等线" w:hAnsi="Calibri" w:cs="Calibri"/>
          <w:sz w:val="20"/>
          <w:szCs w:val="18"/>
        </w:rPr>
        <w:t>formed</w:t>
      </w:r>
      <w:r w:rsidRPr="001C513B">
        <w:rPr>
          <w:rFonts w:ascii="Calibri" w:eastAsia="等线" w:hAnsi="Calibri" w:cs="Calibri"/>
          <w:sz w:val="20"/>
          <w:szCs w:val="18"/>
        </w:rPr>
        <w:t xml:space="preserve"> a classical triangle self-accommodation morphology</w:t>
      </w:r>
      <w:r>
        <w:rPr>
          <w:rFonts w:ascii="Calibri" w:eastAsia="等线" w:hAnsi="Calibri" w:cs="Calibri"/>
          <w:sz w:val="20"/>
          <w:szCs w:val="18"/>
        </w:rPr>
        <w:t>,</w:t>
      </w:r>
      <w:r w:rsidRPr="001C513B">
        <w:rPr>
          <w:rFonts w:ascii="Calibri" w:eastAsia="等线" w:hAnsi="Calibri" w:cs="Calibri"/>
          <w:sz w:val="20"/>
          <w:szCs w:val="18"/>
        </w:rPr>
        <w:t xml:space="preserve"> as highlighted by red</w:t>
      </w:r>
      <w:r>
        <w:rPr>
          <w:rFonts w:ascii="Calibri" w:eastAsia="等线" w:hAnsi="Calibri" w:cs="Calibri"/>
          <w:sz w:val="20"/>
          <w:szCs w:val="18"/>
        </w:rPr>
        <w:t>,</w:t>
      </w:r>
      <w:r w:rsidRPr="001C513B">
        <w:rPr>
          <w:rFonts w:ascii="Calibri" w:eastAsia="等线" w:hAnsi="Calibri" w:cs="Calibri"/>
          <w:sz w:val="20"/>
          <w:szCs w:val="18"/>
        </w:rPr>
        <w:t xml:space="preserve"> cyan and yellow line</w:t>
      </w:r>
      <w:r>
        <w:rPr>
          <w:rFonts w:ascii="Calibri" w:eastAsia="等线" w:hAnsi="Calibri" w:cs="Calibri"/>
          <w:sz w:val="20"/>
          <w:szCs w:val="18"/>
        </w:rPr>
        <w:t>s</w:t>
      </w:r>
      <w:r w:rsidRPr="001C513B">
        <w:rPr>
          <w:rFonts w:ascii="Calibri" w:eastAsia="等线" w:hAnsi="Calibri" w:cs="Calibri"/>
          <w:sz w:val="20"/>
          <w:szCs w:val="18"/>
        </w:rPr>
        <w:t>.</w:t>
      </w:r>
      <w:bookmarkEnd w:id="256"/>
      <w:bookmarkEnd w:id="257"/>
      <w:r w:rsidRPr="001C513B">
        <w:rPr>
          <w:rFonts w:ascii="Calibri" w:eastAsia="等线" w:hAnsi="Calibri" w:cs="Calibri"/>
          <w:sz w:val="20"/>
          <w:szCs w:val="18"/>
        </w:rPr>
        <w:t xml:space="preserve"> </w:t>
      </w:r>
    </w:p>
    <w:p w14:paraId="3AF10C5E" w14:textId="77777777" w:rsidR="00832DBC" w:rsidRPr="001C513B" w:rsidRDefault="00832DBC" w:rsidP="00B145BE">
      <w:pPr>
        <w:shd w:val="clear" w:color="auto" w:fill="FFFFFF"/>
        <w:spacing w:after="60" w:line="360" w:lineRule="auto"/>
        <w:jc w:val="both"/>
        <w:rPr>
          <w:rFonts w:ascii="Calibri" w:eastAsia="等线" w:hAnsi="Calibri" w:cs="Calibri"/>
          <w:szCs w:val="18"/>
        </w:rPr>
      </w:pPr>
    </w:p>
    <w:p w14:paraId="5CB7A03D" w14:textId="77777777" w:rsidR="00B145BE" w:rsidRPr="001C513B" w:rsidRDefault="00B145BE" w:rsidP="00B145BE">
      <w:pPr>
        <w:keepNext/>
        <w:suppressAutoHyphens/>
        <w:spacing w:after="120" w:line="360" w:lineRule="auto"/>
        <w:jc w:val="center"/>
        <w:rPr>
          <w:rFonts w:ascii="Calibri" w:eastAsia="等线" w:hAnsi="Calibri" w:cs="Calibri"/>
        </w:rPr>
      </w:pPr>
      <w:r w:rsidRPr="001C513B">
        <w:rPr>
          <w:rFonts w:ascii="Calibri" w:eastAsia="等线" w:hAnsi="Calibri" w:cs="Calibri"/>
          <w:b/>
          <w:noProof/>
          <w:sz w:val="44"/>
          <w:szCs w:val="24"/>
          <w:vertAlign w:val="subscript"/>
          <w:lang w:val="en-US" w:eastAsia="en-US"/>
        </w:rPr>
        <w:lastRenderedPageBreak/>
        <w:drawing>
          <wp:inline distT="0" distB="0" distL="0" distR="0" wp14:anchorId="6770AD6E" wp14:editId="68BA40DB">
            <wp:extent cx="4873752" cy="3767328"/>
            <wp:effectExtent l="0" t="0" r="3175" b="5080"/>
            <wp:docPr id="42" name="图片 41" descr="图片包含 照片, 展示&#10;&#10;自动生成的说明">
              <a:extLst xmlns:a="http://schemas.openxmlformats.org/drawingml/2006/main">
                <a:ext uri="{FF2B5EF4-FFF2-40B4-BE49-F238E27FC236}">
                  <a16:creationId xmlns:a16="http://schemas.microsoft.com/office/drawing/2014/main" id="{459154A8-1444-46BE-B88F-9B96289ABF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descr="图片包含 照片, 展示&#10;&#10;自动生成的说明">
                      <a:extLst>
                        <a:ext uri="{FF2B5EF4-FFF2-40B4-BE49-F238E27FC236}">
                          <a16:creationId xmlns:a16="http://schemas.microsoft.com/office/drawing/2014/main" id="{459154A8-1444-46BE-B88F-9B96289ABF4B}"/>
                        </a:ext>
                      </a:extLst>
                    </pic:cNvPr>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4873752" cy="3767328"/>
                    </a:xfrm>
                    <a:prstGeom prst="rect">
                      <a:avLst/>
                    </a:prstGeom>
                  </pic:spPr>
                </pic:pic>
              </a:graphicData>
            </a:graphic>
          </wp:inline>
        </w:drawing>
      </w:r>
    </w:p>
    <w:p w14:paraId="0B8B36CE" w14:textId="0C697F4E" w:rsidR="00B145BE" w:rsidRDefault="00B145BE" w:rsidP="00B145BE">
      <w:pPr>
        <w:shd w:val="clear" w:color="auto" w:fill="FFFFFF"/>
        <w:spacing w:after="60" w:line="360" w:lineRule="auto"/>
        <w:jc w:val="both"/>
        <w:rPr>
          <w:rFonts w:ascii="Calibri" w:eastAsia="等线" w:hAnsi="Calibri" w:cs="Calibri"/>
          <w:sz w:val="20"/>
          <w:szCs w:val="18"/>
        </w:rPr>
      </w:pPr>
      <w:bookmarkStart w:id="258" w:name="_Toc7364603"/>
      <w:bookmarkStart w:id="259" w:name="_Toc39312717"/>
      <w:r w:rsidRPr="001C513B">
        <w:rPr>
          <w:rFonts w:ascii="Calibri" w:eastAsia="等线" w:hAnsi="Calibri" w:cs="Calibri"/>
          <w:b/>
          <w:sz w:val="20"/>
          <w:szCs w:val="18"/>
        </w:rPr>
        <w:t>Figure 5-</w:t>
      </w:r>
      <w:r w:rsidRPr="001C513B">
        <w:rPr>
          <w:rFonts w:ascii="Calibri" w:eastAsia="等线" w:hAnsi="Calibri" w:cs="Calibri"/>
          <w:b/>
          <w:sz w:val="20"/>
        </w:rPr>
        <w:fldChar w:fldCharType="begin"/>
      </w:r>
      <w:r w:rsidRPr="001C513B">
        <w:rPr>
          <w:rFonts w:ascii="Calibri" w:eastAsia="等线" w:hAnsi="Calibri" w:cs="Calibri"/>
          <w:b/>
          <w:sz w:val="20"/>
        </w:rPr>
        <w:instrText xml:space="preserve"> SEQ Figure \* ARABIC </w:instrText>
      </w:r>
      <w:r w:rsidRPr="001C513B">
        <w:rPr>
          <w:rFonts w:ascii="Calibri" w:eastAsia="等线" w:hAnsi="Calibri" w:cs="Calibri"/>
          <w:b/>
          <w:sz w:val="20"/>
        </w:rPr>
        <w:fldChar w:fldCharType="separate"/>
      </w:r>
      <w:r>
        <w:rPr>
          <w:rFonts w:ascii="Calibri" w:eastAsia="等线" w:hAnsi="Calibri" w:cs="Calibri"/>
          <w:b/>
          <w:noProof/>
          <w:sz w:val="20"/>
        </w:rPr>
        <w:t>11</w:t>
      </w:r>
      <w:r w:rsidRPr="001C513B">
        <w:rPr>
          <w:rFonts w:ascii="Calibri" w:eastAsia="等线" w:hAnsi="Calibri" w:cs="Calibri"/>
          <w:b/>
          <w:sz w:val="20"/>
        </w:rPr>
        <w:fldChar w:fldCharType="end"/>
      </w:r>
      <w:r w:rsidRPr="001C513B">
        <w:rPr>
          <w:rFonts w:ascii="Calibri" w:eastAsia="等线" w:hAnsi="Calibri" w:cs="Calibri"/>
          <w:b/>
          <w:sz w:val="20"/>
          <w:szCs w:val="18"/>
        </w:rPr>
        <w:t xml:space="preserve"> TEM image</w:t>
      </w:r>
      <w:r>
        <w:rPr>
          <w:rFonts w:ascii="Calibri" w:eastAsia="等线" w:hAnsi="Calibri" w:cs="Calibri"/>
          <w:b/>
          <w:sz w:val="20"/>
          <w:szCs w:val="18"/>
        </w:rPr>
        <w:t>s</w:t>
      </w:r>
      <w:r w:rsidRPr="001C513B">
        <w:rPr>
          <w:rFonts w:ascii="Calibri" w:eastAsia="等线" w:hAnsi="Calibri" w:cs="Calibri"/>
          <w:b/>
          <w:sz w:val="20"/>
          <w:szCs w:val="18"/>
        </w:rPr>
        <w:t xml:space="preserve"> of {011}</w:t>
      </w:r>
      <w:r w:rsidRPr="001C513B">
        <w:rPr>
          <w:rFonts w:ascii="Calibri" w:eastAsia="等线" w:hAnsi="Calibri" w:cs="Calibri"/>
          <w:b/>
          <w:sz w:val="20"/>
          <w:szCs w:val="18"/>
          <w:vertAlign w:val="subscript"/>
        </w:rPr>
        <w:t>α’’</w:t>
      </w:r>
      <w:r w:rsidRPr="001C513B">
        <w:rPr>
          <w:rFonts w:ascii="Calibri" w:eastAsia="等线" w:hAnsi="Calibri" w:cs="Calibri"/>
          <w:b/>
          <w:sz w:val="20"/>
          <w:szCs w:val="18"/>
        </w:rPr>
        <w:t xml:space="preserve"> compound SA twinning feature in 5% deformed TiZrHfTa</w:t>
      </w:r>
      <w:r w:rsidRPr="001C513B">
        <w:rPr>
          <w:rFonts w:ascii="Calibri" w:eastAsia="等线" w:hAnsi="Calibri" w:cs="Calibri"/>
          <w:b/>
          <w:sz w:val="20"/>
          <w:szCs w:val="18"/>
          <w:vertAlign w:val="subscript"/>
        </w:rPr>
        <w:t>0.6</w:t>
      </w:r>
      <w:r w:rsidRPr="001C513B">
        <w:rPr>
          <w:rFonts w:ascii="Calibri" w:eastAsia="等线" w:hAnsi="Calibri" w:cs="Calibri"/>
          <w:b/>
          <w:sz w:val="20"/>
          <w:szCs w:val="18"/>
        </w:rPr>
        <w:t>.</w:t>
      </w:r>
      <w:r w:rsidRPr="001C513B">
        <w:rPr>
          <w:rFonts w:ascii="Calibri" w:eastAsia="等线" w:hAnsi="Calibri" w:cs="Calibri"/>
          <w:b/>
          <w:sz w:val="20"/>
          <w:szCs w:val="18"/>
          <w:vertAlign w:val="subscript"/>
        </w:rPr>
        <w:t xml:space="preserve"> </w:t>
      </w:r>
      <w:r w:rsidRPr="001C513B">
        <w:rPr>
          <w:rFonts w:ascii="Calibri" w:eastAsia="等线" w:hAnsi="Calibri" w:cs="Calibri"/>
          <w:sz w:val="20"/>
          <w:szCs w:val="18"/>
        </w:rPr>
        <w:t>(</w:t>
      </w:r>
      <w:r w:rsidRPr="001C513B">
        <w:rPr>
          <w:rFonts w:ascii="Calibri" w:eastAsia="等线" w:hAnsi="Calibri" w:cs="Calibri"/>
          <w:b/>
          <w:sz w:val="20"/>
          <w:szCs w:val="18"/>
        </w:rPr>
        <w:t>a</w:t>
      </w:r>
      <w:r w:rsidRPr="001C513B">
        <w:rPr>
          <w:rFonts w:ascii="Calibri" w:eastAsia="等线" w:hAnsi="Calibri" w:cs="Calibri"/>
          <w:sz w:val="20"/>
          <w:szCs w:val="18"/>
        </w:rPr>
        <w:t xml:space="preserve">) </w:t>
      </w:r>
      <w:r>
        <w:rPr>
          <w:rFonts w:ascii="Calibri" w:eastAsia="等线" w:hAnsi="Calibri" w:cs="Calibri"/>
          <w:sz w:val="20"/>
          <w:szCs w:val="18"/>
        </w:rPr>
        <w:t>a b</w:t>
      </w:r>
      <w:r w:rsidRPr="001C513B">
        <w:rPr>
          <w:rFonts w:ascii="Calibri" w:eastAsia="等线" w:hAnsi="Calibri" w:cs="Calibri"/>
          <w:sz w:val="20"/>
          <w:szCs w:val="18"/>
        </w:rPr>
        <w:t xml:space="preserve">right field image of </w:t>
      </w:r>
      <w:r>
        <w:rPr>
          <w:rFonts w:ascii="Calibri" w:eastAsia="等线" w:hAnsi="Calibri" w:cs="Calibri"/>
          <w:sz w:val="20"/>
          <w:szCs w:val="18"/>
        </w:rPr>
        <w:t xml:space="preserve">the </w:t>
      </w:r>
      <w:r w:rsidRPr="001C513B">
        <w:rPr>
          <w:rFonts w:ascii="Calibri" w:eastAsia="等线" w:hAnsi="Calibri" w:cs="Calibri"/>
          <w:sz w:val="20"/>
          <w:szCs w:val="18"/>
        </w:rPr>
        <w:t>feature</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b</w:t>
      </w:r>
      <w:r w:rsidRPr="001C513B">
        <w:rPr>
          <w:rFonts w:ascii="Calibri" w:eastAsia="等线" w:hAnsi="Calibri" w:cs="Calibri"/>
          <w:sz w:val="20"/>
          <w:szCs w:val="18"/>
        </w:rPr>
        <w:t xml:space="preserve">) </w:t>
      </w:r>
      <w:r>
        <w:rPr>
          <w:rFonts w:ascii="Calibri" w:eastAsia="等线" w:hAnsi="Calibri" w:cs="Calibri"/>
          <w:sz w:val="20"/>
          <w:szCs w:val="18"/>
        </w:rPr>
        <w:t>a SADP</w:t>
      </w:r>
      <w:r w:rsidRPr="001C513B">
        <w:rPr>
          <w:rFonts w:ascii="Calibri" w:eastAsia="等线" w:hAnsi="Calibri" w:cs="Calibri"/>
          <w:sz w:val="20"/>
          <w:szCs w:val="18"/>
        </w:rPr>
        <w:t xml:space="preserve"> derived </w:t>
      </w:r>
      <w:r w:rsidR="003563E8">
        <w:rPr>
          <w:rFonts w:ascii="Calibri" w:eastAsia="等线" w:hAnsi="Calibri" w:cs="Calibri"/>
          <w:sz w:val="20"/>
          <w:szCs w:val="18"/>
        </w:rPr>
        <w:t>from</w:t>
      </w:r>
      <w:r w:rsidR="003563E8" w:rsidRPr="001C513B">
        <w:rPr>
          <w:rFonts w:ascii="Calibri" w:eastAsia="等线" w:hAnsi="Calibri" w:cs="Calibri"/>
          <w:sz w:val="20"/>
          <w:szCs w:val="18"/>
        </w:rPr>
        <w:t xml:space="preserve"> </w:t>
      </w:r>
      <w:r>
        <w:rPr>
          <w:rFonts w:ascii="Calibri" w:eastAsia="等线" w:hAnsi="Calibri" w:cs="Calibri"/>
          <w:sz w:val="20"/>
          <w:szCs w:val="18"/>
        </w:rPr>
        <w:t>the t</w:t>
      </w:r>
      <w:r w:rsidRPr="001C513B">
        <w:rPr>
          <w:rFonts w:ascii="Calibri" w:eastAsia="等线" w:hAnsi="Calibri" w:cs="Calibri"/>
          <w:sz w:val="20"/>
          <w:szCs w:val="18"/>
        </w:rPr>
        <w:t>win</w:t>
      </w:r>
      <w:r>
        <w:rPr>
          <w:rFonts w:ascii="Calibri" w:eastAsia="等线" w:hAnsi="Calibri" w:cs="Calibri"/>
          <w:sz w:val="20"/>
          <w:szCs w:val="18"/>
        </w:rPr>
        <w:t>n</w:t>
      </w:r>
      <w:r w:rsidRPr="001C513B">
        <w:rPr>
          <w:rFonts w:ascii="Calibri" w:eastAsia="等线" w:hAnsi="Calibri" w:cs="Calibri"/>
          <w:sz w:val="20"/>
          <w:szCs w:val="18"/>
        </w:rPr>
        <w:t>ed feature</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Times New Roman"/>
          <w:sz w:val="20"/>
          <w:szCs w:val="18"/>
        </w:rPr>
        <w:t>α</w:t>
      </w:r>
      <w:r w:rsidRPr="001C513B">
        <w:rPr>
          <w:rFonts w:ascii="Calibri" w:eastAsia="等线" w:hAnsi="Calibri" w:cs="Calibri"/>
          <w:sz w:val="20"/>
          <w:szCs w:val="18"/>
        </w:rPr>
        <w:t>’’ and twin</w:t>
      </w:r>
      <w:r>
        <w:rPr>
          <w:rFonts w:ascii="Calibri" w:eastAsia="等线" w:hAnsi="Calibri" w:cs="Calibri"/>
          <w:sz w:val="20"/>
          <w:szCs w:val="18"/>
        </w:rPr>
        <w:t>n</w:t>
      </w:r>
      <w:r w:rsidRPr="001C513B">
        <w:rPr>
          <w:rFonts w:ascii="Calibri" w:eastAsia="等线" w:hAnsi="Calibri" w:cs="Calibri"/>
          <w:sz w:val="20"/>
          <w:szCs w:val="18"/>
        </w:rPr>
        <w:t xml:space="preserve">ed </w:t>
      </w:r>
      <w:r w:rsidRPr="001C513B">
        <w:rPr>
          <w:rFonts w:ascii="Calibri" w:eastAsia="等线" w:hAnsi="Calibri" w:cs="Times New Roman"/>
          <w:sz w:val="20"/>
          <w:szCs w:val="18"/>
        </w:rPr>
        <w:t>α</w:t>
      </w:r>
      <w:r w:rsidRPr="001C513B">
        <w:rPr>
          <w:rFonts w:ascii="Calibri" w:eastAsia="等线" w:hAnsi="Calibri" w:cs="Calibri"/>
          <w:sz w:val="20"/>
          <w:szCs w:val="18"/>
        </w:rPr>
        <w:t xml:space="preserve">’’ diffraction patterns </w:t>
      </w:r>
      <w:r w:rsidR="003563E8">
        <w:rPr>
          <w:rFonts w:ascii="Calibri" w:eastAsia="等线" w:hAnsi="Calibri" w:cs="Calibri"/>
          <w:sz w:val="20"/>
          <w:szCs w:val="18"/>
        </w:rPr>
        <w:t>are</w:t>
      </w:r>
      <w:r w:rsidRPr="001C513B">
        <w:rPr>
          <w:rFonts w:ascii="Calibri" w:eastAsia="等线" w:hAnsi="Calibri" w:cs="Calibri"/>
          <w:sz w:val="20"/>
          <w:szCs w:val="18"/>
        </w:rPr>
        <w:t xml:space="preserve"> marked with green and red</w:t>
      </w:r>
      <w:r>
        <w:rPr>
          <w:rFonts w:ascii="Calibri" w:eastAsia="等线" w:hAnsi="Calibri" w:cs="Calibri"/>
          <w:sz w:val="20"/>
          <w:szCs w:val="18"/>
        </w:rPr>
        <w:t>,</w:t>
      </w:r>
      <w:r w:rsidRPr="001C513B">
        <w:rPr>
          <w:rFonts w:ascii="Calibri" w:eastAsia="等线" w:hAnsi="Calibri" w:cs="Calibri"/>
          <w:sz w:val="20"/>
          <w:szCs w:val="18"/>
        </w:rPr>
        <w:t xml:space="preserve"> respectively. </w:t>
      </w:r>
      <w:r>
        <w:rPr>
          <w:rFonts w:ascii="Calibri" w:eastAsia="等线" w:hAnsi="Calibri" w:cs="Calibri"/>
          <w:sz w:val="20"/>
          <w:szCs w:val="18"/>
        </w:rPr>
        <w:t xml:space="preserve">The </w:t>
      </w:r>
      <w:r w:rsidRPr="001C513B">
        <w:rPr>
          <w:rFonts w:ascii="Calibri" w:eastAsia="等线" w:hAnsi="Calibri" w:cs="Calibri"/>
          <w:sz w:val="20"/>
          <w:szCs w:val="18"/>
        </w:rPr>
        <w:t>{011}</w:t>
      </w:r>
      <w:r w:rsidRPr="001C513B">
        <w:rPr>
          <w:rFonts w:ascii="Calibri" w:eastAsia="等线" w:hAnsi="Calibri" w:cs="Times New Roman"/>
          <w:sz w:val="20"/>
          <w:szCs w:val="18"/>
          <w:vertAlign w:val="subscript"/>
        </w:rPr>
        <w:t>α</w:t>
      </w:r>
      <w:r w:rsidRPr="001C513B">
        <w:rPr>
          <w:rFonts w:ascii="Calibri" w:eastAsia="等线" w:hAnsi="Calibri" w:cs="Calibri"/>
          <w:sz w:val="20"/>
          <w:szCs w:val="18"/>
          <w:vertAlign w:val="subscript"/>
        </w:rPr>
        <w:t>’’</w:t>
      </w:r>
      <w:r w:rsidRPr="001C513B">
        <w:rPr>
          <w:rFonts w:ascii="Calibri" w:eastAsia="等线" w:hAnsi="Calibri" w:cs="Times New Roman"/>
          <w:sz w:val="20"/>
          <w:szCs w:val="18"/>
        </w:rPr>
        <w:t xml:space="preserve"> </w:t>
      </w:r>
      <w:r w:rsidRPr="001C513B">
        <w:rPr>
          <w:rFonts w:ascii="Calibri" w:eastAsia="等线" w:hAnsi="Calibri" w:cs="Calibri"/>
          <w:sz w:val="20"/>
          <w:szCs w:val="18"/>
        </w:rPr>
        <w:t xml:space="preserve">twinning plane </w:t>
      </w:r>
      <w:r w:rsidR="003563E8">
        <w:rPr>
          <w:rFonts w:ascii="Calibri" w:eastAsia="等线" w:hAnsi="Calibri" w:cs="Calibri"/>
          <w:sz w:val="20"/>
          <w:szCs w:val="18"/>
        </w:rPr>
        <w:t>i</w:t>
      </w:r>
      <w:r w:rsidRPr="001C513B">
        <w:rPr>
          <w:rFonts w:ascii="Calibri" w:eastAsia="等线" w:hAnsi="Calibri" w:cs="Calibri"/>
          <w:sz w:val="20"/>
          <w:szCs w:val="18"/>
        </w:rPr>
        <w:t>s highlighted</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c</w:t>
      </w:r>
      <w:r w:rsidRPr="001C513B">
        <w:rPr>
          <w:rFonts w:ascii="Calibri" w:eastAsia="等线" w:hAnsi="Calibri" w:cs="Calibri"/>
          <w:sz w:val="20"/>
          <w:szCs w:val="18"/>
        </w:rPr>
        <w:t xml:space="preserve">) </w:t>
      </w:r>
      <w:r>
        <w:rPr>
          <w:rFonts w:ascii="Calibri" w:eastAsia="等线" w:hAnsi="Calibri" w:cs="Calibri"/>
          <w:sz w:val="20"/>
          <w:szCs w:val="18"/>
        </w:rPr>
        <w:t>a d</w:t>
      </w:r>
      <w:r w:rsidRPr="001C513B">
        <w:rPr>
          <w:rFonts w:ascii="Calibri" w:eastAsia="等线" w:hAnsi="Calibri" w:cs="Calibri"/>
          <w:sz w:val="20"/>
          <w:szCs w:val="18"/>
        </w:rPr>
        <w:t xml:space="preserve">ark field image of </w:t>
      </w:r>
      <w:r w:rsidR="003563E8">
        <w:rPr>
          <w:rFonts w:ascii="Calibri" w:eastAsia="等线" w:hAnsi="Calibri" w:cs="Calibri"/>
          <w:sz w:val="20"/>
          <w:szCs w:val="18"/>
        </w:rPr>
        <w:t xml:space="preserve">a </w:t>
      </w:r>
      <w:r w:rsidRPr="001C513B">
        <w:rPr>
          <w:rFonts w:ascii="Calibri" w:eastAsia="等线" w:hAnsi="Calibri" w:cs="Calibri"/>
          <w:sz w:val="20"/>
          <w:szCs w:val="18"/>
        </w:rPr>
        <w:t>α’’ matrix grain</w:t>
      </w:r>
      <w:r>
        <w:rPr>
          <w:rFonts w:ascii="Calibri" w:eastAsia="等线" w:hAnsi="Calibri" w:cs="Calibri"/>
          <w:sz w:val="20"/>
          <w:szCs w:val="18"/>
        </w:rPr>
        <w:t>; and</w:t>
      </w:r>
      <w:r w:rsidRPr="001C513B">
        <w:rPr>
          <w:rFonts w:ascii="Calibri" w:eastAsia="等线" w:hAnsi="Calibri" w:cs="Calibri"/>
          <w:sz w:val="20"/>
          <w:szCs w:val="18"/>
        </w:rPr>
        <w:t xml:space="preserve"> </w:t>
      </w:r>
      <w:r w:rsidRPr="00D45623">
        <w:rPr>
          <w:rFonts w:ascii="Calibri" w:eastAsia="等线" w:hAnsi="Calibri" w:cs="Calibri"/>
          <w:b/>
          <w:sz w:val="20"/>
          <w:szCs w:val="18"/>
        </w:rPr>
        <w:t>(d)</w:t>
      </w:r>
      <w:r w:rsidRPr="001C513B">
        <w:rPr>
          <w:rFonts w:ascii="Calibri" w:eastAsia="等线" w:hAnsi="Calibri" w:cs="Calibri"/>
          <w:sz w:val="20"/>
          <w:szCs w:val="18"/>
        </w:rPr>
        <w:t xml:space="preserve"> </w:t>
      </w:r>
      <w:r>
        <w:rPr>
          <w:rFonts w:ascii="Calibri" w:eastAsia="等线" w:hAnsi="Calibri" w:cs="Calibri"/>
          <w:sz w:val="20"/>
          <w:szCs w:val="18"/>
        </w:rPr>
        <w:t>a d</w:t>
      </w:r>
      <w:r w:rsidRPr="001C513B">
        <w:rPr>
          <w:rFonts w:ascii="Calibri" w:eastAsia="等线" w:hAnsi="Calibri" w:cs="Calibri"/>
          <w:sz w:val="20"/>
          <w:szCs w:val="18"/>
        </w:rPr>
        <w:t xml:space="preserve">ark field image of </w:t>
      </w:r>
      <w:r>
        <w:rPr>
          <w:rFonts w:ascii="Calibri" w:eastAsia="等线" w:hAnsi="Calibri" w:cs="Calibri"/>
          <w:sz w:val="20"/>
          <w:szCs w:val="18"/>
        </w:rPr>
        <w:t xml:space="preserve">the </w:t>
      </w:r>
      <w:r w:rsidRPr="001C513B">
        <w:rPr>
          <w:rFonts w:ascii="Calibri" w:eastAsia="等线" w:hAnsi="Calibri" w:cs="Calibri"/>
          <w:sz w:val="20"/>
          <w:szCs w:val="18"/>
        </w:rPr>
        <w:t>α’’ twin</w:t>
      </w:r>
      <w:r>
        <w:rPr>
          <w:rFonts w:ascii="Calibri" w:eastAsia="等线" w:hAnsi="Calibri" w:cs="Calibri"/>
          <w:sz w:val="20"/>
          <w:szCs w:val="18"/>
        </w:rPr>
        <w:t>n</w:t>
      </w:r>
      <w:r w:rsidRPr="001C513B">
        <w:rPr>
          <w:rFonts w:ascii="Calibri" w:eastAsia="等线" w:hAnsi="Calibri" w:cs="Calibri"/>
          <w:sz w:val="20"/>
          <w:szCs w:val="18"/>
        </w:rPr>
        <w:t xml:space="preserve">ed grain observed within </w:t>
      </w:r>
      <w:r>
        <w:rPr>
          <w:rFonts w:ascii="Calibri" w:eastAsia="等线" w:hAnsi="Calibri" w:cs="Calibri"/>
          <w:sz w:val="20"/>
          <w:szCs w:val="18"/>
        </w:rPr>
        <w:t xml:space="preserve">a </w:t>
      </w:r>
      <w:r w:rsidRPr="001C513B">
        <w:rPr>
          <w:rFonts w:ascii="Calibri" w:eastAsia="等线" w:hAnsi="Calibri" w:cs="Calibri"/>
          <w:sz w:val="20"/>
          <w:szCs w:val="18"/>
        </w:rPr>
        <w:t>primary martensite grain.</w:t>
      </w:r>
      <w:bookmarkEnd w:id="258"/>
      <w:bookmarkEnd w:id="259"/>
    </w:p>
    <w:p w14:paraId="76C22CDD" w14:textId="72C51174" w:rsidR="00B145BE" w:rsidRPr="00364290" w:rsidRDefault="00B145BE" w:rsidP="00B145BE">
      <w:pPr>
        <w:shd w:val="clear" w:color="auto" w:fill="FFFFFF"/>
        <w:spacing w:after="60" w:line="360" w:lineRule="auto"/>
        <w:jc w:val="both"/>
        <w:rPr>
          <w:rFonts w:ascii="Calibri" w:eastAsia="等线" w:hAnsi="Calibri" w:cs="Calibri"/>
        </w:rPr>
      </w:pPr>
      <w:r>
        <w:rPr>
          <w:rFonts w:ascii="Calibri" w:eastAsia="等线" w:hAnsi="Calibri" w:cs="Calibri"/>
          <w:szCs w:val="18"/>
        </w:rPr>
        <w:t>In addition to the observation of</w:t>
      </w:r>
      <w:r w:rsidRPr="001C513B">
        <w:rPr>
          <w:rFonts w:ascii="Calibri" w:eastAsia="等线" w:hAnsi="Calibri" w:cs="Calibri"/>
          <w:szCs w:val="18"/>
        </w:rPr>
        <w:t xml:space="preserve"> type I SA twinning, {011}</w:t>
      </w:r>
      <w:r w:rsidRPr="001C513B">
        <w:rPr>
          <w:rFonts w:ascii="Calibri" w:eastAsia="等线" w:hAnsi="Calibri" w:cs="Calibri"/>
          <w:vertAlign w:val="subscript"/>
        </w:rPr>
        <w:t>α’’</w:t>
      </w:r>
      <w:r w:rsidRPr="001C513B">
        <w:rPr>
          <w:rFonts w:ascii="Calibri" w:eastAsia="等线" w:hAnsi="Calibri" w:cs="Calibri"/>
        </w:rPr>
        <w:t xml:space="preserve"> compound SA twinning was also </w:t>
      </w:r>
      <w:r>
        <w:rPr>
          <w:rFonts w:ascii="Calibri" w:eastAsia="等线" w:hAnsi="Calibri" w:cs="Calibri"/>
        </w:rPr>
        <w:t>found</w:t>
      </w:r>
      <w:r w:rsidRPr="001C513B">
        <w:rPr>
          <w:rFonts w:ascii="Calibri" w:eastAsia="等线" w:hAnsi="Calibri" w:cs="Calibri"/>
        </w:rPr>
        <w:t xml:space="preserve"> in TiZrHfTa</w:t>
      </w:r>
      <w:r w:rsidRPr="001C513B">
        <w:rPr>
          <w:rFonts w:ascii="Calibri" w:eastAsia="等线" w:hAnsi="Calibri" w:cs="Calibri"/>
          <w:vertAlign w:val="subscript"/>
        </w:rPr>
        <w:t>0.6</w:t>
      </w:r>
      <w:r w:rsidRPr="001C513B">
        <w:rPr>
          <w:rFonts w:ascii="Calibri" w:eastAsia="等线" w:hAnsi="Calibri" w:cs="Calibri"/>
        </w:rPr>
        <w:t xml:space="preserve">. The twinning plane </w:t>
      </w:r>
      <w:r>
        <w:rPr>
          <w:rFonts w:ascii="Calibri" w:eastAsia="等线" w:hAnsi="Calibri" w:cs="Calibri"/>
        </w:rPr>
        <w:t>was</w:t>
      </w:r>
      <w:r w:rsidRPr="001C513B">
        <w:rPr>
          <w:rFonts w:ascii="Calibri" w:eastAsia="等线" w:hAnsi="Calibri" w:cs="Calibri"/>
        </w:rPr>
        <w:t xml:space="preserve"> identified as (01-1)</w:t>
      </w:r>
      <w:r w:rsidRPr="001C513B">
        <w:rPr>
          <w:rFonts w:ascii="Calibri" w:eastAsia="等线" w:hAnsi="Calibri" w:cs="Calibri"/>
          <w:vertAlign w:val="subscript"/>
        </w:rPr>
        <w:t>α’’</w:t>
      </w:r>
      <w:r w:rsidRPr="001C513B">
        <w:rPr>
          <w:rFonts w:ascii="Calibri" w:eastAsia="等线" w:hAnsi="Calibri" w:cs="Calibri"/>
        </w:rPr>
        <w:t xml:space="preserve"> </w:t>
      </w:r>
      <w:r>
        <w:rPr>
          <w:rFonts w:ascii="Calibri" w:eastAsia="等线" w:hAnsi="Calibri" w:cs="Calibri"/>
        </w:rPr>
        <w:t>and</w:t>
      </w:r>
      <w:r w:rsidRPr="001C513B">
        <w:rPr>
          <w:rFonts w:ascii="Calibri" w:eastAsia="等线" w:hAnsi="Calibri" w:cs="Calibri"/>
        </w:rPr>
        <w:t xml:space="preserve"> highlighted in </w:t>
      </w:r>
      <w:r w:rsidRPr="001C513B">
        <w:rPr>
          <w:rFonts w:ascii="Calibri" w:eastAsia="等线" w:hAnsi="Calibri" w:cs="Times New Roman"/>
        </w:rPr>
        <w:t>Fig. 5-11(b)</w:t>
      </w:r>
      <w:r w:rsidRPr="001C513B">
        <w:rPr>
          <w:rFonts w:ascii="Calibri" w:eastAsia="等线" w:hAnsi="Calibri" w:cs="Calibri"/>
        </w:rPr>
        <w:t>.</w:t>
      </w:r>
      <w:r>
        <w:rPr>
          <w:rFonts w:ascii="Calibri" w:eastAsia="等线" w:hAnsi="Calibri" w:cs="Calibri"/>
        </w:rPr>
        <w:t xml:space="preserve"> </w:t>
      </w:r>
      <w:r>
        <w:rPr>
          <w:rFonts w:ascii="Calibri" w:eastAsia="等线" w:hAnsi="Calibri" w:cs="Calibri"/>
          <w:lang w:bidi="hi-IN"/>
        </w:rPr>
        <w:t>According to the previous discussion</w:t>
      </w:r>
      <w:r w:rsidR="003563E8">
        <w:rPr>
          <w:rFonts w:ascii="Calibri" w:eastAsia="等线" w:hAnsi="Calibri" w:cs="Calibri"/>
          <w:lang w:bidi="hi-IN"/>
        </w:rPr>
        <w:t>,</w:t>
      </w:r>
      <w:r>
        <w:rPr>
          <w:rFonts w:ascii="Calibri" w:eastAsia="等线" w:hAnsi="Calibri" w:cs="Calibri"/>
          <w:lang w:bidi="hi-IN"/>
        </w:rPr>
        <w:t xml:space="preserve"> which indicate</w:t>
      </w:r>
      <w:r w:rsidR="003563E8">
        <w:rPr>
          <w:rFonts w:ascii="Calibri" w:eastAsia="等线" w:hAnsi="Calibri" w:cs="Calibri"/>
          <w:lang w:bidi="hi-IN"/>
        </w:rPr>
        <w:t>d</w:t>
      </w:r>
      <w:r>
        <w:rPr>
          <w:rFonts w:ascii="Calibri" w:eastAsia="等线" w:hAnsi="Calibri" w:cs="Calibri"/>
          <w:lang w:bidi="hi-IN"/>
        </w:rPr>
        <w:t xml:space="preserve"> the selection of SA twinning is composition dependent, the type I {111}</w:t>
      </w:r>
      <w:r w:rsidRPr="001C513B">
        <w:rPr>
          <w:rFonts w:ascii="Calibri" w:eastAsia="等线" w:hAnsi="Calibri" w:cs="Calibri"/>
          <w:vertAlign w:val="subscript"/>
        </w:rPr>
        <w:t>α’’</w:t>
      </w:r>
      <w:r>
        <w:rPr>
          <w:rFonts w:ascii="Calibri" w:eastAsia="等线" w:hAnsi="Calibri" w:cs="Calibri"/>
          <w:lang w:bidi="hi-IN"/>
        </w:rPr>
        <w:t xml:space="preserve"> and </w:t>
      </w:r>
      <w:r w:rsidRPr="001C513B">
        <w:rPr>
          <w:rFonts w:ascii="Calibri" w:eastAsia="等线" w:hAnsi="Calibri" w:cs="Calibri"/>
          <w:szCs w:val="18"/>
        </w:rPr>
        <w:t>{011}</w:t>
      </w:r>
      <w:r w:rsidRPr="001C513B">
        <w:rPr>
          <w:rFonts w:ascii="Calibri" w:eastAsia="等线" w:hAnsi="Calibri" w:cs="Calibri"/>
          <w:vertAlign w:val="subscript"/>
        </w:rPr>
        <w:t>α’’</w:t>
      </w:r>
      <w:r w:rsidRPr="001C513B">
        <w:rPr>
          <w:rFonts w:ascii="Calibri" w:eastAsia="等线" w:hAnsi="Calibri" w:cs="Calibri"/>
        </w:rPr>
        <w:t xml:space="preserve"> compound </w:t>
      </w:r>
      <w:r>
        <w:rPr>
          <w:rFonts w:ascii="Calibri" w:eastAsia="等线" w:hAnsi="Calibri" w:cs="Calibri"/>
        </w:rPr>
        <w:t xml:space="preserve">twinning can’t together serve as SA twinning for current alloys. Regarding α’’ phase </w:t>
      </w:r>
      <w:r w:rsidR="003563E8">
        <w:rPr>
          <w:rFonts w:ascii="Calibri" w:eastAsia="等线" w:hAnsi="Calibri" w:cs="Calibri"/>
        </w:rPr>
        <w:t xml:space="preserve">as </w:t>
      </w:r>
      <w:r>
        <w:rPr>
          <w:rFonts w:ascii="Calibri" w:eastAsia="等线" w:hAnsi="Calibri" w:cs="Calibri"/>
        </w:rPr>
        <w:t>a mesophase between β to α phase transformation, sharing similar lattice arrangements with the HCP structure, the</w:t>
      </w:r>
      <w:r w:rsidRPr="001C513B">
        <w:rPr>
          <w:rFonts w:ascii="Calibri" w:eastAsia="等线" w:hAnsi="Calibri" w:cs="Calibri"/>
          <w:szCs w:val="18"/>
        </w:rPr>
        <w:t xml:space="preserve"> {011}</w:t>
      </w:r>
      <w:r w:rsidRPr="001C513B">
        <w:rPr>
          <w:rFonts w:ascii="Calibri" w:eastAsia="等线" w:hAnsi="Calibri" w:cs="Calibri"/>
          <w:vertAlign w:val="subscript"/>
        </w:rPr>
        <w:t>α’’</w:t>
      </w:r>
      <w:r w:rsidRPr="001C513B">
        <w:rPr>
          <w:rFonts w:ascii="Calibri" w:eastAsia="等线" w:hAnsi="Calibri" w:cs="Calibri"/>
        </w:rPr>
        <w:t xml:space="preserve"> compound</w:t>
      </w:r>
      <w:r>
        <w:rPr>
          <w:rFonts w:ascii="Calibri" w:eastAsia="等线" w:hAnsi="Calibri" w:cs="Calibri"/>
        </w:rPr>
        <w:t xml:space="preserve"> twinning may</w:t>
      </w:r>
      <w:r w:rsidR="003563E8">
        <w:rPr>
          <w:rFonts w:ascii="Calibri" w:eastAsia="等线" w:hAnsi="Calibri" w:cs="Calibri"/>
        </w:rPr>
        <w:t xml:space="preserve"> be</w:t>
      </w:r>
      <w:r>
        <w:rPr>
          <w:rFonts w:ascii="Calibri" w:eastAsia="等线" w:hAnsi="Calibri" w:cs="Calibri"/>
        </w:rPr>
        <w:t xml:space="preserve"> sharing </w:t>
      </w:r>
      <w:r w:rsidR="003563E8">
        <w:rPr>
          <w:rFonts w:ascii="Calibri" w:eastAsia="等线" w:hAnsi="Calibri" w:cs="Calibri"/>
        </w:rPr>
        <w:t xml:space="preserve">the </w:t>
      </w:r>
      <w:r>
        <w:rPr>
          <w:rFonts w:ascii="Calibri" w:eastAsia="等线" w:hAnsi="Calibri" w:cs="Calibri"/>
        </w:rPr>
        <w:t xml:space="preserve">same origin with the lattice corresponded </w:t>
      </w:r>
      <w:r w:rsidRPr="001C513B">
        <w:rPr>
          <w:rFonts w:ascii="Calibri" w:eastAsia="等线" w:hAnsi="Calibri" w:cs="Calibri"/>
        </w:rPr>
        <w:t>{10-12}</w:t>
      </w:r>
      <w:r w:rsidRPr="001C513B">
        <w:rPr>
          <w:rFonts w:ascii="Calibri" w:eastAsia="等线" w:hAnsi="Calibri" w:cs="Calibri"/>
          <w:vertAlign w:val="subscript"/>
        </w:rPr>
        <w:t>α</w:t>
      </w:r>
      <w:r w:rsidRPr="001C513B">
        <w:rPr>
          <w:rFonts w:ascii="Calibri" w:eastAsia="等线" w:hAnsi="Calibri" w:cs="Calibri"/>
        </w:rPr>
        <w:t xml:space="preserve"> </w:t>
      </w:r>
      <w:r>
        <w:rPr>
          <w:rFonts w:ascii="Calibri" w:eastAsia="等线" w:hAnsi="Calibri" w:cs="Calibri"/>
        </w:rPr>
        <w:t>HCP</w:t>
      </w:r>
      <w:r w:rsidRPr="001C513B">
        <w:rPr>
          <w:rFonts w:ascii="Calibri" w:eastAsia="等线" w:hAnsi="Calibri" w:cs="Calibri"/>
        </w:rPr>
        <w:t xml:space="preserve"> mechanical twin</w:t>
      </w:r>
      <w:r>
        <w:rPr>
          <w:rFonts w:ascii="Calibri" w:eastAsia="等线" w:hAnsi="Calibri" w:cs="Calibri"/>
        </w:rPr>
        <w:t>ning</w:t>
      </w:r>
      <w:r w:rsidRPr="001C513B">
        <w:rPr>
          <w:rFonts w:ascii="Calibri" w:eastAsia="等线" w:hAnsi="Calibri" w:cs="Calibri"/>
        </w:rPr>
        <w:fldChar w:fldCharType="begin" w:fldLock="1"/>
      </w:r>
      <w:r>
        <w:rPr>
          <w:rFonts w:ascii="Calibri" w:eastAsia="等线" w:hAnsi="Calibri" w:cs="Calibri"/>
        </w:rPr>
        <w:instrText>ADDIN CSL_CITATION {"citationItems":[{"id":"ITEM-1","itemData":{"DOI":"10.1080/14786430601003874","ISBN":"1478-6435","ISSN":"14786435","abstract":"11q","author":[{"dropping-particle":"","family":"Inamura","given":"T.","non-dropping-particle":"","parse-names":false,"suffix":""},{"dropping-particle":"","family":"Kim","given":"J. I.","non-dropping-particle":"","parse-names":false,"suffix":""},{"dropping-particle":"","family":"Kim","given":"H. Y.","non-dropping-particle":"","parse-names":false,"suffix":""},{"dropping-particle":"","family":"Hosoda","given":"H.","non-dropping-particle":"","parse-names":false,"suffix":""},{"dropping-particle":"","family":"Wakashima","given":"K.","non-dropping-particle":"","parse-names":false,"suffix":""},{"dropping-particle":"",</w:instrText>
      </w:r>
      <w:r>
        <w:rPr>
          <w:rFonts w:ascii="Calibri" w:eastAsia="等线" w:hAnsi="Calibri" w:cs="Calibri" w:hint="eastAsia"/>
        </w:rPr>
        <w:instrText xml:space="preserve">"family":"Miyazaki","given":"S.","non-dropping-particle":"","parse-names":false,"suffix":""}],"container-title":"Philosophical Magazine","id":"ITEM-1","issued":{"date-parts":[["2007"]]},"title":"Composition dependent crystallography of </w:instrText>
      </w:r>
      <w:r>
        <w:rPr>
          <w:rFonts w:ascii="Calibri" w:eastAsia="等线" w:hAnsi="Calibri" w:cs="Calibri" w:hint="eastAsia"/>
        </w:rPr>
        <w:instrText>α″</w:instrText>
      </w:r>
      <w:r>
        <w:rPr>
          <w:rFonts w:ascii="Calibri" w:eastAsia="等线" w:hAnsi="Calibri" w:cs="Calibri" w:hint="eastAsia"/>
        </w:rPr>
        <w:instrText>-martensite in Ti</w:instrText>
      </w:r>
      <w:r>
        <w:rPr>
          <w:rFonts w:ascii="Calibri" w:eastAsia="等线" w:hAnsi="Calibri" w:cs="Calibri"/>
        </w:rPr>
        <w:instrText>-Nb-based β-titanium alloy","type":"article-journal"},"uris":["http://www.mendeley.com/documents/?uuid=4ea84c35-d3ea-4315-8bc5-461397befc0b"]}],"mendeley":{"formattedCitation":"[38]","plainTextFormattedCitation":"[38]","previouslyFormattedCitation":"[38]"},"properties":{"noteIndex":0},"schema":"https://github.com/citation-style-language/schema/raw/master/csl-citation.json"}</w:instrText>
      </w:r>
      <w:r w:rsidRPr="001C513B">
        <w:rPr>
          <w:rFonts w:ascii="Calibri" w:eastAsia="等线" w:hAnsi="Calibri" w:cs="Calibri"/>
        </w:rPr>
        <w:fldChar w:fldCharType="separate"/>
      </w:r>
      <w:r w:rsidRPr="001C513B">
        <w:rPr>
          <w:rFonts w:ascii="Calibri" w:eastAsia="等线" w:hAnsi="Calibri" w:cs="Calibri"/>
          <w:noProof/>
        </w:rPr>
        <w:t>[38]</w:t>
      </w:r>
      <w:r w:rsidRPr="001C513B">
        <w:rPr>
          <w:rFonts w:ascii="Calibri" w:eastAsia="等线" w:hAnsi="Calibri" w:cs="Calibri"/>
        </w:rPr>
        <w:fldChar w:fldCharType="end"/>
      </w:r>
      <w:r>
        <w:rPr>
          <w:rFonts w:ascii="Calibri" w:eastAsia="等线" w:hAnsi="Calibri" w:cs="Calibri"/>
        </w:rPr>
        <w:t xml:space="preserve">. When deformed to 5% strain, the </w:t>
      </w:r>
      <w:r w:rsidRPr="001C513B">
        <w:rPr>
          <w:rFonts w:ascii="Calibri" w:eastAsia="等线" w:hAnsi="Calibri" w:cs="Calibri"/>
        </w:rPr>
        <w:t>TiZrHfTa</w:t>
      </w:r>
      <w:r w:rsidRPr="001C513B">
        <w:rPr>
          <w:rFonts w:ascii="Calibri" w:eastAsia="等线" w:hAnsi="Calibri" w:cs="Calibri"/>
          <w:vertAlign w:val="subscript"/>
        </w:rPr>
        <w:t>0.5</w:t>
      </w:r>
      <w:r w:rsidRPr="001C513B">
        <w:rPr>
          <w:rFonts w:ascii="Calibri" w:eastAsia="等线" w:hAnsi="Calibri" w:cs="Calibri"/>
        </w:rPr>
        <w:t xml:space="preserve"> </w:t>
      </w:r>
      <w:r>
        <w:rPr>
          <w:rFonts w:ascii="Calibri" w:eastAsia="等线" w:hAnsi="Calibri" w:cs="Calibri"/>
        </w:rPr>
        <w:t>e</w:t>
      </w:r>
      <w:r w:rsidRPr="001C513B">
        <w:rPr>
          <w:rFonts w:ascii="Calibri" w:eastAsia="等线" w:hAnsi="Calibri" w:cs="Calibri"/>
        </w:rPr>
        <w:t>xhibit</w:t>
      </w:r>
      <w:r>
        <w:rPr>
          <w:rFonts w:ascii="Calibri" w:eastAsia="等线" w:hAnsi="Calibri" w:cs="Calibri"/>
        </w:rPr>
        <w:t>ed the</w:t>
      </w:r>
      <w:r w:rsidRPr="001C513B">
        <w:rPr>
          <w:rFonts w:ascii="Calibri" w:eastAsia="等线" w:hAnsi="Calibri" w:cs="Calibri"/>
        </w:rPr>
        <w:t xml:space="preserve"> highest </w:t>
      </w:r>
      <w:r w:rsidR="00FC7323">
        <w:rPr>
          <w:rFonts w:ascii="Calibri" w:eastAsia="等线" w:hAnsi="Calibri" w:cs="Calibri"/>
        </w:rPr>
        <w:t>work</w:t>
      </w:r>
      <w:r w:rsidRPr="001C513B">
        <w:rPr>
          <w:rFonts w:ascii="Calibri" w:eastAsia="等线" w:hAnsi="Calibri" w:cs="Calibri"/>
        </w:rPr>
        <w:t xml:space="preserve"> hardening performance</w:t>
      </w:r>
      <w:r>
        <w:rPr>
          <w:rFonts w:ascii="Calibri" w:eastAsia="等线" w:hAnsi="Calibri" w:cs="Calibri"/>
        </w:rPr>
        <w:t xml:space="preserve"> and it is evident that this material contained</w:t>
      </w:r>
      <w:r w:rsidRPr="001C513B">
        <w:rPr>
          <w:rFonts w:ascii="Calibri" w:eastAsia="等线" w:hAnsi="Calibri" w:cs="Calibri"/>
        </w:rPr>
        <w:t xml:space="preserve"> more complex deformation products </w:t>
      </w:r>
      <w:r>
        <w:rPr>
          <w:rFonts w:ascii="Calibri" w:eastAsia="等线" w:hAnsi="Calibri" w:cs="Calibri"/>
        </w:rPr>
        <w:t>when compared with other compositions investigated in this work.</w:t>
      </w:r>
      <w:r w:rsidRPr="001C513B">
        <w:rPr>
          <w:rFonts w:ascii="Calibri" w:eastAsia="等线" w:hAnsi="Calibri" w:cs="Calibri"/>
        </w:rPr>
        <w:t xml:space="preserve"> </w:t>
      </w:r>
      <w:r w:rsidR="003563E8">
        <w:rPr>
          <w:rFonts w:ascii="Calibri" w:eastAsia="等线" w:hAnsi="Calibri" w:cs="Calibri"/>
        </w:rPr>
        <w:t>A</w:t>
      </w:r>
      <w:r w:rsidRPr="001C513B">
        <w:rPr>
          <w:rFonts w:ascii="Calibri" w:eastAsia="等线" w:hAnsi="Calibri" w:cs="Calibri"/>
        </w:rPr>
        <w:t xml:space="preserve">ll three martensitic SA twinning modes </w:t>
      </w:r>
      <w:r>
        <w:rPr>
          <w:rFonts w:ascii="Calibri" w:eastAsia="等线" w:hAnsi="Calibri" w:cs="Calibri"/>
        </w:rPr>
        <w:t>were</w:t>
      </w:r>
      <w:r w:rsidRPr="001C513B">
        <w:rPr>
          <w:rFonts w:ascii="Calibri" w:eastAsia="等线" w:hAnsi="Calibri" w:cs="Calibri"/>
        </w:rPr>
        <w:t xml:space="preserve"> indexed by EBSD </w:t>
      </w:r>
      <w:r>
        <w:rPr>
          <w:rFonts w:ascii="Calibri" w:eastAsia="等线" w:hAnsi="Calibri" w:cs="Calibri"/>
        </w:rPr>
        <w:t>as shown in</w:t>
      </w:r>
      <w:r w:rsidRPr="001C513B">
        <w:rPr>
          <w:rFonts w:ascii="Calibri" w:eastAsia="等线" w:hAnsi="Calibri" w:cs="Calibri"/>
        </w:rPr>
        <w:t xml:space="preserve"> </w:t>
      </w:r>
      <w:r w:rsidRPr="001C513B">
        <w:rPr>
          <w:rFonts w:ascii="Calibri" w:eastAsia="等线" w:hAnsi="Calibri" w:cs="Times New Roman"/>
        </w:rPr>
        <w:t>Fig. 5-3(d)</w:t>
      </w:r>
      <w:r>
        <w:rPr>
          <w:rFonts w:ascii="Calibri" w:eastAsia="等线" w:hAnsi="Calibri" w:cs="Calibri"/>
        </w:rPr>
        <w:t>.</w:t>
      </w:r>
      <w:r w:rsidRPr="001C513B">
        <w:rPr>
          <w:rFonts w:ascii="Calibri" w:eastAsia="等线" w:hAnsi="Calibri" w:cs="Calibri"/>
        </w:rPr>
        <w:t xml:space="preserve"> </w:t>
      </w:r>
      <w:r>
        <w:rPr>
          <w:rFonts w:ascii="Calibri" w:eastAsia="等线" w:hAnsi="Calibri" w:cs="Calibri"/>
        </w:rPr>
        <w:t>T</w:t>
      </w:r>
      <w:r w:rsidRPr="001C513B">
        <w:rPr>
          <w:rFonts w:ascii="Calibri" w:eastAsia="等线" w:hAnsi="Calibri" w:cs="Calibri"/>
        </w:rPr>
        <w:t>he entanglement of martensite variants in TiZrHfTa</w:t>
      </w:r>
      <w:r w:rsidRPr="001C513B">
        <w:rPr>
          <w:rFonts w:ascii="Calibri" w:eastAsia="等线" w:hAnsi="Calibri" w:cs="Calibri"/>
          <w:vertAlign w:val="subscript"/>
        </w:rPr>
        <w:t xml:space="preserve">0.5 </w:t>
      </w:r>
      <w:r w:rsidRPr="001C513B">
        <w:rPr>
          <w:rFonts w:ascii="Calibri" w:eastAsia="等线" w:hAnsi="Calibri" w:cs="Calibri"/>
        </w:rPr>
        <w:t xml:space="preserve">may indicate the activation of an unknown deformation mechanism </w:t>
      </w:r>
      <w:r>
        <w:rPr>
          <w:rFonts w:ascii="Calibri" w:eastAsia="等线" w:hAnsi="Calibri" w:cs="Calibri"/>
        </w:rPr>
        <w:t xml:space="preserve">apart from </w:t>
      </w:r>
      <w:r w:rsidRPr="001C513B">
        <w:rPr>
          <w:rFonts w:ascii="Calibri" w:eastAsia="等线" w:hAnsi="Calibri" w:cs="Calibri"/>
        </w:rPr>
        <w:t xml:space="preserve">TRIP and TWIP. TEM </w:t>
      </w:r>
      <w:r>
        <w:rPr>
          <w:rFonts w:ascii="Calibri" w:eastAsia="等线" w:hAnsi="Calibri" w:cs="Calibri"/>
        </w:rPr>
        <w:t>findings relating to</w:t>
      </w:r>
      <w:r w:rsidRPr="001C513B">
        <w:rPr>
          <w:rFonts w:ascii="Calibri" w:eastAsia="等线" w:hAnsi="Calibri" w:cs="Calibri"/>
        </w:rPr>
        <w:t xml:space="preserve"> a new type II [2-11]</w:t>
      </w:r>
      <w:r w:rsidRPr="001C513B">
        <w:rPr>
          <w:rFonts w:ascii="Calibri" w:eastAsia="等线" w:hAnsi="Calibri" w:cs="Calibri"/>
          <w:vertAlign w:val="subscript"/>
        </w:rPr>
        <w:t>α’’</w:t>
      </w:r>
      <w:r w:rsidRPr="001C513B">
        <w:rPr>
          <w:rFonts w:ascii="Calibri" w:eastAsia="等线" w:hAnsi="Calibri" w:cs="Calibri"/>
        </w:rPr>
        <w:t xml:space="preserve"> SA twinning may provide </w:t>
      </w:r>
      <w:r>
        <w:rPr>
          <w:rFonts w:ascii="Calibri" w:eastAsia="等线" w:hAnsi="Calibri" w:cs="Calibri"/>
        </w:rPr>
        <w:t>evidence of these postulations</w:t>
      </w:r>
      <w:r w:rsidRPr="001C513B">
        <w:rPr>
          <w:rFonts w:ascii="Calibri" w:eastAsia="等线" w:hAnsi="Calibri" w:cs="Calibri"/>
        </w:rPr>
        <w:t xml:space="preserve">. In </w:t>
      </w:r>
      <w:r w:rsidRPr="001C513B">
        <w:rPr>
          <w:rFonts w:ascii="Calibri" w:eastAsia="等线" w:hAnsi="Calibri" w:cs="Times New Roman"/>
        </w:rPr>
        <w:t>Fig. 5-12(a)</w:t>
      </w:r>
      <w:r w:rsidRPr="001C513B">
        <w:rPr>
          <w:rFonts w:ascii="Calibri" w:eastAsia="等线" w:hAnsi="Calibri" w:cs="Calibri"/>
        </w:rPr>
        <w:t xml:space="preserve"> the bright field image</w:t>
      </w:r>
      <w:r>
        <w:rPr>
          <w:rFonts w:ascii="Calibri" w:eastAsia="等线" w:hAnsi="Calibri" w:cs="Calibri"/>
        </w:rPr>
        <w:t xml:space="preserve"> reveals that</w:t>
      </w:r>
      <w:r w:rsidRPr="001C513B">
        <w:rPr>
          <w:rFonts w:ascii="Calibri" w:eastAsia="等线" w:hAnsi="Calibri" w:cs="Calibri"/>
        </w:rPr>
        <w:t xml:space="preserve"> the whole grain is indexed </w:t>
      </w:r>
      <w:r w:rsidRPr="001C513B">
        <w:rPr>
          <w:rFonts w:ascii="Calibri" w:eastAsia="等线" w:hAnsi="Calibri" w:cs="Calibri"/>
        </w:rPr>
        <w:lastRenderedPageBreak/>
        <w:t>as martensite</w:t>
      </w:r>
      <w:r>
        <w:rPr>
          <w:rFonts w:ascii="Calibri" w:eastAsia="等线" w:hAnsi="Calibri" w:cs="Calibri"/>
        </w:rPr>
        <w:t>,</w:t>
      </w:r>
      <w:r w:rsidR="003563E8">
        <w:rPr>
          <w:rFonts w:ascii="Calibri" w:eastAsia="等线" w:hAnsi="Calibri" w:cs="Calibri"/>
        </w:rPr>
        <w:t xml:space="preserve"> </w:t>
      </w:r>
      <w:r w:rsidRPr="001C513B">
        <w:rPr>
          <w:rFonts w:ascii="Calibri" w:eastAsia="等线" w:hAnsi="Calibri" w:cs="Calibri"/>
        </w:rPr>
        <w:t>which correspond</w:t>
      </w:r>
      <w:r>
        <w:rPr>
          <w:rFonts w:ascii="Calibri" w:eastAsia="等线" w:hAnsi="Calibri" w:cs="Calibri"/>
        </w:rPr>
        <w:t>ed</w:t>
      </w:r>
      <w:r w:rsidRPr="001C513B">
        <w:rPr>
          <w:rFonts w:ascii="Calibri" w:eastAsia="等线" w:hAnsi="Calibri" w:cs="Calibri"/>
        </w:rPr>
        <w:t xml:space="preserve"> to the high content of α’’ phase shown in as-cast condition XRD and fully indexed 5% deformed martensite structure of TiZrHfTa</w:t>
      </w:r>
      <w:r w:rsidRPr="001C513B">
        <w:rPr>
          <w:rFonts w:ascii="Calibri" w:eastAsia="等线" w:hAnsi="Calibri" w:cs="Calibri"/>
          <w:vertAlign w:val="subscript"/>
        </w:rPr>
        <w:t xml:space="preserve">0.5 </w:t>
      </w:r>
      <w:r w:rsidRPr="001C513B">
        <w:rPr>
          <w:rFonts w:ascii="Calibri" w:eastAsia="等线" w:hAnsi="Calibri" w:cs="Calibri"/>
        </w:rPr>
        <w:t xml:space="preserve">in </w:t>
      </w:r>
      <w:r w:rsidRPr="001C513B">
        <w:rPr>
          <w:rFonts w:ascii="Calibri" w:eastAsia="等线" w:hAnsi="Calibri" w:cs="Times New Roman"/>
        </w:rPr>
        <w:t>Fig. 5-1</w:t>
      </w:r>
      <w:r>
        <w:rPr>
          <w:rFonts w:ascii="Calibri" w:eastAsia="等线" w:hAnsi="Calibri" w:cs="Times New Roman"/>
        </w:rPr>
        <w:t xml:space="preserve"> to Fig. 5-</w:t>
      </w:r>
      <w:r w:rsidRPr="001C513B">
        <w:rPr>
          <w:rFonts w:ascii="Calibri" w:eastAsia="等线" w:hAnsi="Calibri" w:cs="Times New Roman"/>
        </w:rPr>
        <w:t>3</w:t>
      </w:r>
      <w:r w:rsidRPr="001C513B">
        <w:rPr>
          <w:rFonts w:ascii="Calibri" w:eastAsia="等线" w:hAnsi="Calibri" w:cs="Calibri"/>
        </w:rPr>
        <w:t>. SADP of the twinning was acquired along</w:t>
      </w:r>
      <w:r>
        <w:rPr>
          <w:rFonts w:ascii="Calibri" w:eastAsia="等线" w:hAnsi="Calibri" w:cs="Calibri"/>
        </w:rPr>
        <w:t xml:space="preserve"> the</w:t>
      </w:r>
      <w:r w:rsidRPr="001C513B">
        <w:rPr>
          <w:rFonts w:ascii="Calibri" w:eastAsia="等线" w:hAnsi="Calibri" w:cs="Calibri"/>
        </w:rPr>
        <w:t xml:space="preserve"> [1-12]</w:t>
      </w:r>
      <w:r w:rsidRPr="001C513B">
        <w:rPr>
          <w:rFonts w:ascii="Calibri" w:eastAsia="等线" w:hAnsi="Calibri" w:cs="Calibri"/>
          <w:vertAlign w:val="subscript"/>
        </w:rPr>
        <w:t>α’’</w:t>
      </w:r>
      <w:r w:rsidRPr="001C513B">
        <w:rPr>
          <w:rFonts w:ascii="Calibri" w:eastAsia="等线" w:hAnsi="Calibri" w:cs="Calibri"/>
        </w:rPr>
        <w:t xml:space="preserve"> zone axis. Generally, for type II twinning modes</w:t>
      </w:r>
      <w:r>
        <w:rPr>
          <w:rFonts w:ascii="Calibri" w:eastAsia="等线" w:hAnsi="Calibri" w:cs="Calibri"/>
        </w:rPr>
        <w:t>,</w:t>
      </w:r>
      <w:r w:rsidRPr="001C513B">
        <w:rPr>
          <w:rFonts w:ascii="Calibri" w:eastAsia="等线" w:hAnsi="Calibri" w:cs="Calibri"/>
        </w:rPr>
        <w:t xml:space="preserve"> the </w:t>
      </w:r>
      <w:r w:rsidR="003563E8">
        <w:rPr>
          <w:rFonts w:ascii="Calibri" w:eastAsia="等线" w:hAnsi="Calibri" w:cs="Calibri"/>
        </w:rPr>
        <w:t>M</w:t>
      </w:r>
      <w:r w:rsidR="003563E8" w:rsidRPr="001C513B">
        <w:rPr>
          <w:rFonts w:ascii="Calibri" w:eastAsia="等线" w:hAnsi="Calibri" w:cs="Calibri"/>
        </w:rPr>
        <w:t xml:space="preserve">iller </w:t>
      </w:r>
      <w:r w:rsidRPr="001C513B">
        <w:rPr>
          <w:rFonts w:ascii="Calibri" w:eastAsia="等线" w:hAnsi="Calibri" w:cs="Calibri"/>
        </w:rPr>
        <w:t xml:space="preserve">indices of the twinning plane </w:t>
      </w:r>
      <w:r>
        <w:rPr>
          <w:rFonts w:ascii="Calibri" w:eastAsia="等线" w:hAnsi="Calibri" w:cs="Calibri"/>
        </w:rPr>
        <w:t>do not</w:t>
      </w:r>
      <w:r w:rsidRPr="001C513B">
        <w:rPr>
          <w:rFonts w:ascii="Calibri" w:eastAsia="等线" w:hAnsi="Calibri" w:cs="Calibri"/>
        </w:rPr>
        <w:t xml:space="preserve"> remain as </w:t>
      </w:r>
      <w:r>
        <w:rPr>
          <w:rFonts w:ascii="Calibri" w:eastAsia="等线" w:hAnsi="Calibri" w:cs="Calibri"/>
        </w:rPr>
        <w:t xml:space="preserve">an </w:t>
      </w:r>
      <w:r w:rsidRPr="001C513B">
        <w:rPr>
          <w:rFonts w:ascii="Calibri" w:eastAsia="等线" w:hAnsi="Calibri" w:cs="Calibri"/>
        </w:rPr>
        <w:t>integer which prevent the further deformation of type II twin</w:t>
      </w:r>
      <w:r w:rsidR="003563E8">
        <w:rPr>
          <w:rFonts w:ascii="Calibri" w:eastAsia="等线" w:hAnsi="Calibri" w:cs="Calibri"/>
        </w:rPr>
        <w:t>s</w:t>
      </w:r>
      <w:r w:rsidRPr="001C513B">
        <w:rPr>
          <w:rFonts w:ascii="Calibri" w:eastAsia="等线" w:hAnsi="Calibri" w:cs="Calibri"/>
        </w:rPr>
        <w:t>. However, the twinning plane of this type II twinning was highlighted and indexed as {351}</w:t>
      </w:r>
      <w:r w:rsidRPr="001C513B">
        <w:rPr>
          <w:rFonts w:ascii="Calibri" w:eastAsia="等线" w:hAnsi="Calibri" w:cs="Calibri"/>
          <w:vertAlign w:val="subscript"/>
        </w:rPr>
        <w:t>α’’</w:t>
      </w:r>
      <w:r w:rsidRPr="001C513B">
        <w:rPr>
          <w:rFonts w:ascii="Calibri" w:eastAsia="等线" w:hAnsi="Calibri" w:cs="Calibri"/>
        </w:rPr>
        <w:t xml:space="preserve"> plane </w:t>
      </w:r>
      <w:r>
        <w:rPr>
          <w:rFonts w:ascii="Calibri" w:eastAsia="等线" w:hAnsi="Calibri" w:cs="Calibri"/>
        </w:rPr>
        <w:t>(</w:t>
      </w:r>
      <w:r w:rsidRPr="001C513B">
        <w:rPr>
          <w:rFonts w:ascii="Calibri" w:eastAsia="等线" w:hAnsi="Calibri" w:cs="Times New Roman"/>
        </w:rPr>
        <w:t>Fig. 5-12(b)</w:t>
      </w:r>
      <w:r>
        <w:rPr>
          <w:rFonts w:ascii="Calibri" w:eastAsia="等线" w:hAnsi="Calibri" w:cs="Times New Roman"/>
        </w:rPr>
        <w:t>)</w:t>
      </w:r>
      <w:r w:rsidRPr="001C513B">
        <w:rPr>
          <w:rFonts w:ascii="Calibri" w:eastAsia="等线" w:hAnsi="Calibri" w:cs="Calibri"/>
        </w:rPr>
        <w:t xml:space="preserve">. </w:t>
      </w:r>
      <w:r>
        <w:rPr>
          <w:rFonts w:ascii="Calibri" w:eastAsia="等线" w:hAnsi="Calibri" w:cs="Calibri"/>
        </w:rPr>
        <w:t>For the</w:t>
      </w:r>
      <w:r w:rsidRPr="001C513B">
        <w:rPr>
          <w:rFonts w:ascii="Calibri" w:eastAsia="等线" w:hAnsi="Calibri" w:cs="Calibri"/>
        </w:rPr>
        <w:t xml:space="preserve"> IFFT HRTEM image shown in Fig. 5-12(e), </w:t>
      </w:r>
      <w:r>
        <w:rPr>
          <w:rFonts w:ascii="Calibri" w:eastAsia="等线" w:hAnsi="Calibri" w:cs="Calibri"/>
        </w:rPr>
        <w:t xml:space="preserve">the lattice </w:t>
      </w:r>
      <w:r w:rsidRPr="001C513B">
        <w:rPr>
          <w:rFonts w:ascii="Calibri" w:eastAsia="等线" w:hAnsi="Calibri" w:cs="Calibri"/>
        </w:rPr>
        <w:t>distort</w:t>
      </w:r>
      <w:r>
        <w:rPr>
          <w:rFonts w:ascii="Calibri" w:eastAsia="等线" w:hAnsi="Calibri" w:cs="Calibri"/>
        </w:rPr>
        <w:t>ion</w:t>
      </w:r>
      <w:r w:rsidRPr="001C513B">
        <w:rPr>
          <w:rFonts w:ascii="Calibri" w:eastAsia="等线" w:hAnsi="Calibri" w:cs="Calibri"/>
        </w:rPr>
        <w:t xml:space="preserve"> and shifted twinning plane </w:t>
      </w:r>
      <w:r w:rsidR="003563E8">
        <w:rPr>
          <w:rFonts w:ascii="Calibri" w:eastAsia="等线" w:hAnsi="Calibri" w:cs="Calibri"/>
        </w:rPr>
        <w:t>were</w:t>
      </w:r>
      <w:r w:rsidR="003563E8" w:rsidRPr="001C513B">
        <w:rPr>
          <w:rFonts w:ascii="Calibri" w:eastAsia="等线" w:hAnsi="Calibri" w:cs="Calibri"/>
        </w:rPr>
        <w:t xml:space="preserve"> </w:t>
      </w:r>
      <w:r w:rsidRPr="001C513B">
        <w:rPr>
          <w:rFonts w:ascii="Calibri" w:eastAsia="等线" w:hAnsi="Calibri" w:cs="Calibri"/>
        </w:rPr>
        <w:t xml:space="preserve">observed. </w:t>
      </w:r>
      <w:r>
        <w:rPr>
          <w:rFonts w:ascii="Calibri" w:eastAsia="等线" w:hAnsi="Calibri" w:cs="Calibri"/>
        </w:rPr>
        <w:t>However</w:t>
      </w:r>
      <w:r w:rsidRPr="001C513B">
        <w:rPr>
          <w:rFonts w:ascii="Calibri" w:eastAsia="等线" w:hAnsi="Calibri" w:cs="Calibri"/>
        </w:rPr>
        <w:t xml:space="preserve">, </w:t>
      </w:r>
      <w:r>
        <w:rPr>
          <w:rFonts w:ascii="Calibri" w:eastAsia="等线" w:hAnsi="Calibri" w:cs="Calibri"/>
        </w:rPr>
        <w:t>the resolution of</w:t>
      </w:r>
      <w:r w:rsidRPr="001C513B">
        <w:rPr>
          <w:rFonts w:ascii="Calibri" w:eastAsia="等线" w:hAnsi="Calibri" w:cs="Calibri"/>
        </w:rPr>
        <w:t xml:space="preserve"> HRTEM</w:t>
      </w:r>
      <w:r>
        <w:rPr>
          <w:rFonts w:ascii="Calibri" w:eastAsia="等线" w:hAnsi="Calibri" w:cs="Calibri"/>
        </w:rPr>
        <w:t xml:space="preserve"> are presently not adequate to aid in determining</w:t>
      </w:r>
      <w:r w:rsidRPr="001C513B">
        <w:rPr>
          <w:rFonts w:ascii="Calibri" w:eastAsia="等线" w:hAnsi="Calibri" w:cs="Calibri"/>
        </w:rPr>
        <w:t xml:space="preserve"> the precise value of the</w:t>
      </w:r>
      <w:r>
        <w:rPr>
          <w:rFonts w:ascii="Calibri" w:eastAsia="等线" w:hAnsi="Calibri" w:cs="Calibri"/>
        </w:rPr>
        <w:t xml:space="preserve"> magnitude of the</w:t>
      </w:r>
      <w:r w:rsidRPr="001C513B">
        <w:rPr>
          <w:rFonts w:ascii="Calibri" w:eastAsia="等线" w:hAnsi="Calibri" w:cs="Calibri"/>
        </w:rPr>
        <w:t xml:space="preserve"> burgers vector. The gradually shifted twinning grain boundary contributed to dense dislocations</w:t>
      </w:r>
      <w:r>
        <w:rPr>
          <w:rFonts w:ascii="Calibri" w:eastAsia="等线" w:hAnsi="Calibri" w:cs="Calibri"/>
        </w:rPr>
        <w:t>, which were</w:t>
      </w:r>
      <w:r w:rsidRPr="001C513B">
        <w:rPr>
          <w:rFonts w:ascii="Calibri" w:eastAsia="等线" w:hAnsi="Calibri" w:cs="Calibri"/>
        </w:rPr>
        <w:t xml:space="preserve"> accumulated next to the twinning grain boundary</w:t>
      </w:r>
      <w:r>
        <w:rPr>
          <w:rFonts w:ascii="Calibri" w:eastAsia="等线" w:hAnsi="Calibri" w:cs="Calibri"/>
        </w:rPr>
        <w:t>.</w:t>
      </w:r>
      <w:r w:rsidRPr="001C513B">
        <w:rPr>
          <w:rFonts w:ascii="Calibri" w:eastAsia="等线" w:hAnsi="Calibri" w:cs="Calibri"/>
        </w:rPr>
        <w:t xml:space="preserve"> </w:t>
      </w:r>
      <w:r>
        <w:rPr>
          <w:rFonts w:ascii="Calibri" w:eastAsia="等线" w:hAnsi="Calibri" w:cs="Calibri"/>
        </w:rPr>
        <w:t>T</w:t>
      </w:r>
      <w:r w:rsidRPr="001C513B">
        <w:rPr>
          <w:rFonts w:ascii="Calibri" w:eastAsia="等线" w:hAnsi="Calibri" w:cs="Calibri"/>
        </w:rPr>
        <w:t>he dislocation</w:t>
      </w:r>
      <w:r>
        <w:rPr>
          <w:rFonts w:ascii="Calibri" w:eastAsia="等线" w:hAnsi="Calibri" w:cs="Calibri"/>
        </w:rPr>
        <w:t>s</w:t>
      </w:r>
      <w:r w:rsidRPr="001C513B">
        <w:rPr>
          <w:rFonts w:ascii="Calibri" w:eastAsia="等线" w:hAnsi="Calibri" w:cs="Calibri"/>
        </w:rPr>
        <w:t xml:space="preserve"> </w:t>
      </w:r>
      <w:r>
        <w:rPr>
          <w:rFonts w:ascii="Calibri" w:eastAsia="等线" w:hAnsi="Calibri" w:cs="Calibri"/>
        </w:rPr>
        <w:t xml:space="preserve">were </w:t>
      </w:r>
      <w:r w:rsidRPr="001C513B">
        <w:rPr>
          <w:rFonts w:ascii="Calibri" w:eastAsia="等线" w:hAnsi="Calibri" w:cs="Calibri"/>
        </w:rPr>
        <w:t xml:space="preserve">mainly activated by </w:t>
      </w:r>
      <w:r>
        <w:rPr>
          <w:rFonts w:ascii="Calibri" w:eastAsia="等线" w:hAnsi="Calibri" w:cs="Calibri"/>
        </w:rPr>
        <w:t xml:space="preserve">the </w:t>
      </w:r>
      <w:r w:rsidRPr="001C513B">
        <w:rPr>
          <w:rFonts w:ascii="Calibri" w:eastAsia="等线" w:hAnsi="Calibri" w:cs="Calibri"/>
        </w:rPr>
        <w:t>burgers vector</w:t>
      </w:r>
      <w:r w:rsidR="003563E8">
        <w:rPr>
          <w:rFonts w:ascii="Calibri" w:eastAsia="等线" w:hAnsi="Calibri" w:cs="Calibri"/>
        </w:rPr>
        <w:t>,</w:t>
      </w:r>
      <w:r w:rsidRPr="001C513B">
        <w:rPr>
          <w:rFonts w:ascii="Calibri" w:eastAsia="等线" w:hAnsi="Calibri" w:cs="Calibri"/>
        </w:rPr>
        <w:t xml:space="preserve"> which </w:t>
      </w:r>
      <w:r>
        <w:rPr>
          <w:rFonts w:ascii="Calibri" w:eastAsia="等线" w:hAnsi="Calibri" w:cs="Calibri"/>
        </w:rPr>
        <w:t>were observed to be</w:t>
      </w:r>
      <w:r w:rsidRPr="001C513B">
        <w:rPr>
          <w:rFonts w:ascii="Calibri" w:eastAsia="等线" w:hAnsi="Calibri" w:cs="Calibri"/>
        </w:rPr>
        <w:t xml:space="preserve"> vertical to (-111)</w:t>
      </w:r>
      <w:r w:rsidRPr="001C513B">
        <w:rPr>
          <w:rFonts w:ascii="Calibri" w:eastAsia="等线" w:hAnsi="Calibri" w:cs="Calibri"/>
          <w:vertAlign w:val="subscript"/>
        </w:rPr>
        <w:t>α’’</w:t>
      </w:r>
      <w:r w:rsidRPr="001C513B">
        <w:rPr>
          <w:rFonts w:ascii="Calibri" w:eastAsia="等线" w:hAnsi="Calibri" w:cs="Calibri"/>
        </w:rPr>
        <w:t>, (021)</w:t>
      </w:r>
      <w:r w:rsidRPr="001C513B">
        <w:rPr>
          <w:rFonts w:ascii="Calibri" w:eastAsia="等线" w:hAnsi="Calibri" w:cs="Calibri"/>
          <w:vertAlign w:val="subscript"/>
        </w:rPr>
        <w:t>α’’</w:t>
      </w:r>
      <w:r w:rsidRPr="001C513B">
        <w:rPr>
          <w:rFonts w:ascii="Calibri" w:eastAsia="等线" w:hAnsi="Calibri" w:cs="Calibri"/>
        </w:rPr>
        <w:t>, (110)</w:t>
      </w:r>
      <w:r w:rsidRPr="001C513B">
        <w:rPr>
          <w:rFonts w:ascii="Calibri" w:eastAsia="等线" w:hAnsi="Calibri" w:cs="Calibri"/>
          <w:vertAlign w:val="subscript"/>
        </w:rPr>
        <w:t>α’’</w:t>
      </w:r>
      <w:r w:rsidRPr="001C513B">
        <w:rPr>
          <w:rFonts w:ascii="Calibri" w:eastAsia="等线" w:hAnsi="Calibri" w:cs="Calibri"/>
        </w:rPr>
        <w:t xml:space="preserve"> and (351)</w:t>
      </w:r>
      <w:r w:rsidRPr="001C513B">
        <w:rPr>
          <w:rFonts w:ascii="Calibri" w:eastAsia="等线" w:hAnsi="Calibri" w:cs="Calibri"/>
          <w:vertAlign w:val="subscript"/>
        </w:rPr>
        <w:t>α’’</w:t>
      </w:r>
      <w:r w:rsidRPr="001C513B">
        <w:rPr>
          <w:rFonts w:ascii="Calibri" w:eastAsia="等线" w:hAnsi="Calibri" w:cs="Calibri"/>
        </w:rPr>
        <w:t xml:space="preserve"> planes. </w:t>
      </w:r>
      <w:r>
        <w:rPr>
          <w:rFonts w:ascii="Calibri" w:eastAsia="等线" w:hAnsi="Calibri" w:cs="Calibri"/>
        </w:rPr>
        <w:t>In addition to</w:t>
      </w:r>
      <w:r w:rsidRPr="001C513B">
        <w:rPr>
          <w:rFonts w:ascii="Calibri" w:eastAsia="等线" w:hAnsi="Calibri" w:cs="Calibri"/>
        </w:rPr>
        <w:t xml:space="preserve"> dislocations, stacking fault like structure</w:t>
      </w:r>
      <w:r w:rsidR="003563E8">
        <w:rPr>
          <w:rFonts w:ascii="Calibri" w:eastAsia="等线" w:hAnsi="Calibri" w:cs="Calibri"/>
        </w:rPr>
        <w:t>s</w:t>
      </w:r>
      <w:r w:rsidRPr="001C513B">
        <w:rPr>
          <w:rFonts w:ascii="Calibri" w:eastAsia="等线" w:hAnsi="Calibri" w:cs="Calibri"/>
        </w:rPr>
        <w:t xml:space="preserve"> </w:t>
      </w:r>
      <w:r>
        <w:rPr>
          <w:rFonts w:ascii="Calibri" w:eastAsia="等线" w:hAnsi="Calibri" w:cs="Calibri"/>
        </w:rPr>
        <w:t>are</w:t>
      </w:r>
      <w:r w:rsidRPr="001C513B">
        <w:rPr>
          <w:rFonts w:ascii="Calibri" w:eastAsia="等线" w:hAnsi="Calibri" w:cs="Calibri"/>
        </w:rPr>
        <w:t xml:space="preserve"> also </w:t>
      </w:r>
      <w:r w:rsidR="003563E8">
        <w:rPr>
          <w:rFonts w:ascii="Calibri" w:eastAsia="等线" w:hAnsi="Calibri" w:cs="Calibri"/>
        </w:rPr>
        <w:t>seen</w:t>
      </w:r>
      <w:r w:rsidR="003563E8" w:rsidRPr="001C513B">
        <w:rPr>
          <w:rFonts w:ascii="Calibri" w:eastAsia="等线" w:hAnsi="Calibri" w:cs="Calibri"/>
        </w:rPr>
        <w:t xml:space="preserve"> </w:t>
      </w:r>
      <w:r w:rsidRPr="001C513B">
        <w:rPr>
          <w:rFonts w:ascii="Calibri" w:eastAsia="等线" w:hAnsi="Calibri" w:cs="Calibri"/>
        </w:rPr>
        <w:t xml:space="preserve">in Fig. 5-12(e) and circled with </w:t>
      </w:r>
      <w:r>
        <w:rPr>
          <w:rFonts w:ascii="Calibri" w:eastAsia="等线" w:hAnsi="Calibri" w:cs="Calibri"/>
        </w:rPr>
        <w:t xml:space="preserve">a </w:t>
      </w:r>
      <w:r w:rsidRPr="001C513B">
        <w:rPr>
          <w:rFonts w:ascii="Calibri" w:eastAsia="等线" w:hAnsi="Calibri" w:cs="Calibri"/>
        </w:rPr>
        <w:t>yellow line</w:t>
      </w:r>
      <w:r>
        <w:rPr>
          <w:rFonts w:ascii="Calibri" w:eastAsia="等线" w:hAnsi="Calibri" w:cs="Calibri"/>
        </w:rPr>
        <w:t>. The</w:t>
      </w:r>
      <w:r w:rsidRPr="001C513B">
        <w:rPr>
          <w:rFonts w:ascii="Calibri" w:eastAsia="等线" w:hAnsi="Calibri" w:cs="Calibri"/>
        </w:rPr>
        <w:t xml:space="preserve"> extrinsic stacking fault is enabled by the insertion of </w:t>
      </w:r>
      <w:r>
        <w:rPr>
          <w:rFonts w:ascii="Calibri" w:eastAsia="等线" w:hAnsi="Calibri" w:cs="Calibri"/>
        </w:rPr>
        <w:t xml:space="preserve">the </w:t>
      </w:r>
      <w:r w:rsidRPr="001C513B">
        <w:rPr>
          <w:rFonts w:ascii="Calibri" w:eastAsia="等线" w:hAnsi="Calibri" w:cs="Calibri"/>
        </w:rPr>
        <w:t>additional (-111)</w:t>
      </w:r>
      <w:r w:rsidRPr="001C513B">
        <w:rPr>
          <w:rFonts w:ascii="Calibri" w:eastAsia="等线" w:hAnsi="Calibri" w:cs="Calibri"/>
          <w:vertAlign w:val="subscript"/>
        </w:rPr>
        <w:t>α’’</w:t>
      </w:r>
      <w:r w:rsidRPr="001C513B">
        <w:rPr>
          <w:rFonts w:ascii="Calibri" w:eastAsia="等线" w:hAnsi="Calibri" w:cs="Calibri"/>
        </w:rPr>
        <w:t xml:space="preserve"> lattice plane.   </w:t>
      </w:r>
    </w:p>
    <w:p w14:paraId="124004B0" w14:textId="77777777" w:rsidR="00B145BE" w:rsidRPr="001C513B" w:rsidRDefault="00B145BE" w:rsidP="00AB2332">
      <w:pPr>
        <w:keepNext/>
        <w:suppressAutoHyphens/>
        <w:spacing w:after="0" w:line="360" w:lineRule="auto"/>
        <w:rPr>
          <w:rFonts w:ascii="Calibri" w:eastAsia="等线" w:hAnsi="Calibri" w:cs="Calibri"/>
        </w:rPr>
      </w:pPr>
      <w:r w:rsidRPr="001C513B">
        <w:rPr>
          <w:rFonts w:ascii="Calibri" w:eastAsia="等线" w:hAnsi="Calibri" w:cs="Calibri"/>
          <w:b/>
          <w:noProof/>
          <w:sz w:val="44"/>
          <w:szCs w:val="24"/>
          <w:vertAlign w:val="subscript"/>
          <w:lang w:val="en-US" w:eastAsia="en-US"/>
        </w:rPr>
        <w:drawing>
          <wp:inline distT="0" distB="0" distL="0" distR="0" wp14:anchorId="4C5700FA" wp14:editId="40CD547B">
            <wp:extent cx="5897038" cy="2658140"/>
            <wp:effectExtent l="0" t="0" r="8890" b="8890"/>
            <wp:docPr id="69" name="图片 16">
              <a:extLst xmlns:a="http://schemas.openxmlformats.org/drawingml/2006/main">
                <a:ext uri="{FF2B5EF4-FFF2-40B4-BE49-F238E27FC236}">
                  <a16:creationId xmlns:a16="http://schemas.microsoft.com/office/drawing/2014/main" id="{74B81E61-90E3-42C4-8DE0-B1450F746F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a:extLst>
                        <a:ext uri="{FF2B5EF4-FFF2-40B4-BE49-F238E27FC236}">
                          <a16:creationId xmlns:a16="http://schemas.microsoft.com/office/drawing/2014/main" id="{74B81E61-90E3-42C4-8DE0-B1450F746F48}"/>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16440" cy="2666886"/>
                    </a:xfrm>
                    <a:prstGeom prst="rect">
                      <a:avLst/>
                    </a:prstGeom>
                  </pic:spPr>
                </pic:pic>
              </a:graphicData>
            </a:graphic>
          </wp:inline>
        </w:drawing>
      </w:r>
    </w:p>
    <w:p w14:paraId="3D0084B7" w14:textId="51312407" w:rsidR="00B145BE" w:rsidRPr="001C513B" w:rsidRDefault="00B145BE" w:rsidP="00B145BE">
      <w:pPr>
        <w:shd w:val="clear" w:color="auto" w:fill="FFFFFF"/>
        <w:spacing w:after="60" w:line="360" w:lineRule="auto"/>
        <w:jc w:val="both"/>
        <w:rPr>
          <w:rFonts w:ascii="Calibri" w:eastAsia="等线" w:hAnsi="Calibri" w:cs="Calibri"/>
          <w:sz w:val="20"/>
          <w:szCs w:val="18"/>
        </w:rPr>
      </w:pPr>
      <w:bookmarkStart w:id="260" w:name="_Toc7364604"/>
      <w:bookmarkStart w:id="261" w:name="_Toc39312718"/>
      <w:r w:rsidRPr="001C513B">
        <w:rPr>
          <w:rFonts w:ascii="Calibri" w:eastAsia="等线" w:hAnsi="Calibri" w:cs="Calibri"/>
          <w:b/>
          <w:sz w:val="20"/>
          <w:szCs w:val="18"/>
        </w:rPr>
        <w:t>Figure 5-</w:t>
      </w:r>
      <w:r w:rsidRPr="001C513B">
        <w:rPr>
          <w:rFonts w:ascii="Calibri" w:eastAsia="等线" w:hAnsi="Calibri" w:cs="Calibri"/>
          <w:b/>
          <w:sz w:val="20"/>
        </w:rPr>
        <w:fldChar w:fldCharType="begin"/>
      </w:r>
      <w:r w:rsidRPr="001C513B">
        <w:rPr>
          <w:rFonts w:ascii="Calibri" w:eastAsia="等线" w:hAnsi="Calibri" w:cs="Calibri"/>
          <w:b/>
          <w:sz w:val="20"/>
        </w:rPr>
        <w:instrText xml:space="preserve"> SEQ Figure \* ARABIC </w:instrText>
      </w:r>
      <w:r w:rsidRPr="001C513B">
        <w:rPr>
          <w:rFonts w:ascii="Calibri" w:eastAsia="等线" w:hAnsi="Calibri" w:cs="Calibri"/>
          <w:b/>
          <w:sz w:val="20"/>
        </w:rPr>
        <w:fldChar w:fldCharType="separate"/>
      </w:r>
      <w:r>
        <w:rPr>
          <w:rFonts w:ascii="Calibri" w:eastAsia="等线" w:hAnsi="Calibri" w:cs="Calibri"/>
          <w:b/>
          <w:noProof/>
          <w:sz w:val="20"/>
        </w:rPr>
        <w:t>12</w:t>
      </w:r>
      <w:r w:rsidRPr="001C513B">
        <w:rPr>
          <w:rFonts w:ascii="Calibri" w:eastAsia="等线" w:hAnsi="Calibri" w:cs="Calibri"/>
          <w:b/>
          <w:sz w:val="20"/>
        </w:rPr>
        <w:fldChar w:fldCharType="end"/>
      </w:r>
      <w:r w:rsidRPr="001C513B">
        <w:rPr>
          <w:rFonts w:ascii="Calibri" w:eastAsia="等线" w:hAnsi="Calibri" w:cs="Calibri"/>
          <w:b/>
          <w:sz w:val="20"/>
          <w:szCs w:val="18"/>
        </w:rPr>
        <w:t xml:space="preserve"> TEM image</w:t>
      </w:r>
      <w:r>
        <w:rPr>
          <w:rFonts w:ascii="Calibri" w:eastAsia="等线" w:hAnsi="Calibri" w:cs="Calibri"/>
          <w:b/>
          <w:sz w:val="20"/>
          <w:szCs w:val="18"/>
        </w:rPr>
        <w:t>s</w:t>
      </w:r>
      <w:r w:rsidRPr="001C513B">
        <w:rPr>
          <w:rFonts w:ascii="Calibri" w:eastAsia="等线" w:hAnsi="Calibri" w:cs="Calibri"/>
          <w:b/>
          <w:sz w:val="20"/>
          <w:szCs w:val="18"/>
        </w:rPr>
        <w:t xml:space="preserve"> of [-211]</w:t>
      </w:r>
      <w:r w:rsidRPr="001C513B">
        <w:rPr>
          <w:rFonts w:ascii="Calibri" w:eastAsia="等线" w:hAnsi="Calibri" w:cs="Calibri"/>
          <w:b/>
          <w:sz w:val="20"/>
          <w:szCs w:val="18"/>
          <w:vertAlign w:val="subscript"/>
        </w:rPr>
        <w:t>α’’</w:t>
      </w:r>
      <w:r w:rsidRPr="001C513B">
        <w:rPr>
          <w:rFonts w:ascii="Calibri" w:eastAsia="等线" w:hAnsi="Calibri" w:cs="Calibri"/>
          <w:b/>
          <w:sz w:val="20"/>
          <w:szCs w:val="18"/>
        </w:rPr>
        <w:t xml:space="preserve"> compound SA twinning feature in 5% deformed TiZrHfTa</w:t>
      </w:r>
      <w:r w:rsidRPr="001C513B">
        <w:rPr>
          <w:rFonts w:ascii="Calibri" w:eastAsia="等线" w:hAnsi="Calibri" w:cs="Calibri"/>
          <w:b/>
          <w:sz w:val="20"/>
          <w:szCs w:val="18"/>
          <w:vertAlign w:val="subscript"/>
        </w:rPr>
        <w:t>0.5</w:t>
      </w:r>
      <w:r w:rsidRPr="001C513B">
        <w:rPr>
          <w:rFonts w:ascii="Calibri" w:eastAsia="等线" w:hAnsi="Calibri" w:cs="Calibri"/>
          <w:b/>
          <w:sz w:val="20"/>
          <w:szCs w:val="18"/>
        </w:rPr>
        <w:t>.</w:t>
      </w:r>
      <w:r w:rsidRPr="001C513B">
        <w:rPr>
          <w:rFonts w:ascii="Calibri" w:eastAsia="等线" w:hAnsi="Calibri" w:cs="Calibri"/>
          <w:b/>
          <w:sz w:val="20"/>
          <w:szCs w:val="18"/>
          <w:vertAlign w:val="subscript"/>
        </w:rPr>
        <w:t xml:space="preserve"> </w:t>
      </w:r>
      <w:r w:rsidRPr="001C513B">
        <w:rPr>
          <w:rFonts w:ascii="Calibri" w:eastAsia="等线" w:hAnsi="Calibri" w:cs="Calibri"/>
          <w:sz w:val="20"/>
          <w:szCs w:val="18"/>
        </w:rPr>
        <w:t>(</w:t>
      </w:r>
      <w:r w:rsidRPr="001C513B">
        <w:rPr>
          <w:rFonts w:ascii="Calibri" w:eastAsia="等线" w:hAnsi="Calibri" w:cs="Calibri"/>
          <w:b/>
          <w:sz w:val="20"/>
          <w:szCs w:val="18"/>
        </w:rPr>
        <w:t>a</w:t>
      </w:r>
      <w:r w:rsidRPr="001C513B">
        <w:rPr>
          <w:rFonts w:ascii="Calibri" w:eastAsia="等线" w:hAnsi="Calibri" w:cs="Calibri"/>
          <w:sz w:val="20"/>
          <w:szCs w:val="18"/>
        </w:rPr>
        <w:t xml:space="preserve">) </w:t>
      </w:r>
      <w:r>
        <w:rPr>
          <w:rFonts w:ascii="Calibri" w:eastAsia="等线" w:hAnsi="Calibri" w:cs="Calibri"/>
          <w:sz w:val="20"/>
          <w:szCs w:val="18"/>
        </w:rPr>
        <w:t>a b</w:t>
      </w:r>
      <w:r w:rsidRPr="001C513B">
        <w:rPr>
          <w:rFonts w:ascii="Calibri" w:eastAsia="等线" w:hAnsi="Calibri" w:cs="Calibri"/>
          <w:sz w:val="20"/>
          <w:szCs w:val="18"/>
        </w:rPr>
        <w:t xml:space="preserve">right field image of </w:t>
      </w:r>
      <w:r>
        <w:rPr>
          <w:rFonts w:ascii="Calibri" w:eastAsia="等线" w:hAnsi="Calibri" w:cs="Calibri"/>
          <w:sz w:val="20"/>
          <w:szCs w:val="18"/>
        </w:rPr>
        <w:t>the</w:t>
      </w:r>
      <w:r w:rsidRPr="001C513B">
        <w:rPr>
          <w:rFonts w:ascii="Calibri" w:eastAsia="等线" w:hAnsi="Calibri" w:cs="Calibri"/>
          <w:sz w:val="20"/>
          <w:szCs w:val="18"/>
        </w:rPr>
        <w:t xml:space="preserve"> feature</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b</w:t>
      </w:r>
      <w:r w:rsidRPr="001C513B">
        <w:rPr>
          <w:rFonts w:ascii="Calibri" w:eastAsia="等线" w:hAnsi="Calibri" w:cs="Calibri"/>
          <w:sz w:val="20"/>
          <w:szCs w:val="18"/>
        </w:rPr>
        <w:t xml:space="preserve">) </w:t>
      </w:r>
      <w:r>
        <w:rPr>
          <w:rFonts w:ascii="Calibri" w:eastAsia="等线" w:hAnsi="Calibri" w:cs="Calibri"/>
          <w:sz w:val="20"/>
          <w:szCs w:val="18"/>
        </w:rPr>
        <w:t>a SADP</w:t>
      </w:r>
      <w:r w:rsidRPr="001C513B">
        <w:rPr>
          <w:rFonts w:ascii="Calibri" w:eastAsia="等线" w:hAnsi="Calibri" w:cs="Calibri"/>
          <w:sz w:val="20"/>
          <w:szCs w:val="18"/>
        </w:rPr>
        <w:t xml:space="preserve"> derived </w:t>
      </w:r>
      <w:r w:rsidR="003563E8">
        <w:rPr>
          <w:rFonts w:ascii="Calibri" w:eastAsia="等线" w:hAnsi="Calibri" w:cs="Calibri"/>
          <w:sz w:val="20"/>
          <w:szCs w:val="18"/>
        </w:rPr>
        <w:t>for</w:t>
      </w:r>
      <w:r w:rsidR="003563E8" w:rsidRPr="001C513B">
        <w:rPr>
          <w:rFonts w:ascii="Calibri" w:eastAsia="等线" w:hAnsi="Calibri" w:cs="Calibri"/>
          <w:sz w:val="20"/>
          <w:szCs w:val="18"/>
        </w:rPr>
        <w:t xml:space="preserve"> </w:t>
      </w:r>
      <w:r>
        <w:rPr>
          <w:rFonts w:ascii="Calibri" w:eastAsia="等线" w:hAnsi="Calibri" w:cs="Calibri"/>
          <w:sz w:val="20"/>
          <w:szCs w:val="18"/>
        </w:rPr>
        <w:t xml:space="preserve">a </w:t>
      </w:r>
      <w:r w:rsidRPr="001C513B">
        <w:rPr>
          <w:rFonts w:ascii="Calibri" w:eastAsia="等线" w:hAnsi="Calibri" w:cs="Calibri"/>
          <w:sz w:val="20"/>
          <w:szCs w:val="18"/>
        </w:rPr>
        <w:t>twin</w:t>
      </w:r>
      <w:r>
        <w:rPr>
          <w:rFonts w:ascii="Calibri" w:eastAsia="等线" w:hAnsi="Calibri" w:cs="Calibri"/>
          <w:sz w:val="20"/>
          <w:szCs w:val="18"/>
        </w:rPr>
        <w:t>n</w:t>
      </w:r>
      <w:r w:rsidRPr="001C513B">
        <w:rPr>
          <w:rFonts w:ascii="Calibri" w:eastAsia="等线" w:hAnsi="Calibri" w:cs="Calibri"/>
          <w:sz w:val="20"/>
          <w:szCs w:val="18"/>
        </w:rPr>
        <w:t>ed feature</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Times New Roman"/>
          <w:sz w:val="20"/>
          <w:szCs w:val="18"/>
        </w:rPr>
        <w:t>α</w:t>
      </w:r>
      <w:r w:rsidRPr="001C513B">
        <w:rPr>
          <w:rFonts w:ascii="Calibri" w:eastAsia="等线" w:hAnsi="Calibri" w:cs="Calibri"/>
          <w:sz w:val="20"/>
          <w:szCs w:val="18"/>
        </w:rPr>
        <w:t>’’ and twin</w:t>
      </w:r>
      <w:r>
        <w:rPr>
          <w:rFonts w:ascii="Calibri" w:eastAsia="等线" w:hAnsi="Calibri" w:cs="Calibri"/>
          <w:sz w:val="20"/>
          <w:szCs w:val="18"/>
        </w:rPr>
        <w:t>n</w:t>
      </w:r>
      <w:r w:rsidRPr="001C513B">
        <w:rPr>
          <w:rFonts w:ascii="Calibri" w:eastAsia="等线" w:hAnsi="Calibri" w:cs="Calibri"/>
          <w:sz w:val="20"/>
          <w:szCs w:val="18"/>
        </w:rPr>
        <w:t xml:space="preserve">ed </w:t>
      </w:r>
      <w:r w:rsidRPr="001C513B">
        <w:rPr>
          <w:rFonts w:ascii="Calibri" w:eastAsia="等线" w:hAnsi="Calibri" w:cs="Times New Roman"/>
          <w:sz w:val="20"/>
          <w:szCs w:val="18"/>
        </w:rPr>
        <w:t>α</w:t>
      </w:r>
      <w:r w:rsidRPr="001C513B">
        <w:rPr>
          <w:rFonts w:ascii="Calibri" w:eastAsia="等线" w:hAnsi="Calibri" w:cs="Calibri"/>
          <w:sz w:val="20"/>
          <w:szCs w:val="18"/>
        </w:rPr>
        <w:t xml:space="preserve">’’ diffraction patterns </w:t>
      </w:r>
      <w:r w:rsidR="003563E8">
        <w:rPr>
          <w:rFonts w:ascii="Calibri" w:eastAsia="等线" w:hAnsi="Calibri" w:cs="Calibri"/>
          <w:sz w:val="20"/>
          <w:szCs w:val="18"/>
        </w:rPr>
        <w:t>are</w:t>
      </w:r>
      <w:r w:rsidR="003563E8" w:rsidRPr="001C513B">
        <w:rPr>
          <w:rFonts w:ascii="Calibri" w:eastAsia="等线" w:hAnsi="Calibri" w:cs="Calibri"/>
          <w:sz w:val="20"/>
          <w:szCs w:val="18"/>
        </w:rPr>
        <w:t xml:space="preserve"> </w:t>
      </w:r>
      <w:r w:rsidRPr="001C513B">
        <w:rPr>
          <w:rFonts w:ascii="Calibri" w:eastAsia="等线" w:hAnsi="Calibri" w:cs="Calibri"/>
          <w:sz w:val="20"/>
          <w:szCs w:val="18"/>
        </w:rPr>
        <w:t>marked with blue and red</w:t>
      </w:r>
      <w:r>
        <w:rPr>
          <w:rFonts w:ascii="Calibri" w:eastAsia="等线" w:hAnsi="Calibri" w:cs="Calibri"/>
          <w:sz w:val="20"/>
          <w:szCs w:val="18"/>
        </w:rPr>
        <w:t>,</w:t>
      </w:r>
      <w:r w:rsidRPr="001C513B">
        <w:rPr>
          <w:rFonts w:ascii="Calibri" w:eastAsia="等线" w:hAnsi="Calibri" w:cs="Calibri"/>
          <w:sz w:val="20"/>
          <w:szCs w:val="18"/>
        </w:rPr>
        <w:t xml:space="preserve"> respectively. </w:t>
      </w:r>
      <w:r w:rsidR="003563E8">
        <w:rPr>
          <w:rFonts w:ascii="Calibri" w:eastAsia="等线" w:hAnsi="Calibri" w:cs="Calibri"/>
          <w:sz w:val="20"/>
          <w:szCs w:val="18"/>
        </w:rPr>
        <w:t xml:space="preserve">The </w:t>
      </w:r>
      <w:r w:rsidRPr="001C513B">
        <w:rPr>
          <w:rFonts w:ascii="Calibri" w:eastAsia="等线" w:hAnsi="Calibri" w:cs="Calibri"/>
          <w:sz w:val="20"/>
          <w:szCs w:val="18"/>
        </w:rPr>
        <w:t>{351}</w:t>
      </w:r>
      <w:r w:rsidRPr="001C513B">
        <w:rPr>
          <w:rFonts w:ascii="Calibri" w:eastAsia="等线" w:hAnsi="Calibri" w:cs="Times New Roman"/>
          <w:sz w:val="20"/>
          <w:szCs w:val="18"/>
          <w:vertAlign w:val="subscript"/>
        </w:rPr>
        <w:t>α</w:t>
      </w:r>
      <w:r w:rsidRPr="001C513B">
        <w:rPr>
          <w:rFonts w:ascii="Calibri" w:eastAsia="等线" w:hAnsi="Calibri" w:cs="Calibri"/>
          <w:sz w:val="20"/>
          <w:szCs w:val="18"/>
          <w:vertAlign w:val="subscript"/>
        </w:rPr>
        <w:t>’’</w:t>
      </w:r>
      <w:r w:rsidRPr="001C513B">
        <w:rPr>
          <w:rFonts w:ascii="Calibri" w:eastAsia="等线" w:hAnsi="Calibri" w:cs="Times New Roman"/>
          <w:sz w:val="20"/>
          <w:szCs w:val="18"/>
        </w:rPr>
        <w:t xml:space="preserve"> </w:t>
      </w:r>
      <w:r w:rsidRPr="001C513B">
        <w:rPr>
          <w:rFonts w:ascii="Calibri" w:eastAsia="等线" w:hAnsi="Calibri" w:cs="Calibri"/>
          <w:sz w:val="20"/>
          <w:szCs w:val="18"/>
        </w:rPr>
        <w:t xml:space="preserve">twinning plane </w:t>
      </w:r>
      <w:r w:rsidR="003563E8">
        <w:rPr>
          <w:rFonts w:ascii="Calibri" w:eastAsia="等线" w:hAnsi="Calibri" w:cs="Calibri"/>
          <w:sz w:val="20"/>
          <w:szCs w:val="18"/>
        </w:rPr>
        <w:t>is</w:t>
      </w:r>
      <w:r w:rsidR="003563E8" w:rsidRPr="001C513B">
        <w:rPr>
          <w:rFonts w:ascii="Calibri" w:eastAsia="等线" w:hAnsi="Calibri" w:cs="Calibri"/>
          <w:sz w:val="20"/>
          <w:szCs w:val="18"/>
        </w:rPr>
        <w:t xml:space="preserve"> </w:t>
      </w:r>
      <w:r w:rsidRPr="001C513B">
        <w:rPr>
          <w:rFonts w:ascii="Calibri" w:eastAsia="等线" w:hAnsi="Calibri" w:cs="Calibri"/>
          <w:sz w:val="20"/>
          <w:szCs w:val="18"/>
        </w:rPr>
        <w:t xml:space="preserve">highlighted with </w:t>
      </w:r>
      <w:r>
        <w:rPr>
          <w:rFonts w:ascii="Calibri" w:eastAsia="等线" w:hAnsi="Calibri" w:cs="Calibri"/>
          <w:sz w:val="20"/>
          <w:szCs w:val="18"/>
        </w:rPr>
        <w:t xml:space="preserve">a </w:t>
      </w:r>
      <w:r w:rsidRPr="001C513B">
        <w:rPr>
          <w:rFonts w:ascii="Calibri" w:eastAsia="等线" w:hAnsi="Calibri" w:cs="Calibri"/>
          <w:sz w:val="20"/>
          <w:szCs w:val="18"/>
        </w:rPr>
        <w:t>red circle</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c</w:t>
      </w:r>
      <w:r w:rsidRPr="001C513B">
        <w:rPr>
          <w:rFonts w:ascii="Calibri" w:eastAsia="等线" w:hAnsi="Calibri" w:cs="Calibri"/>
          <w:sz w:val="20"/>
          <w:szCs w:val="18"/>
        </w:rPr>
        <w:t xml:space="preserve">) </w:t>
      </w:r>
      <w:r>
        <w:rPr>
          <w:rFonts w:ascii="Calibri" w:eastAsia="等线" w:hAnsi="Calibri" w:cs="Calibri"/>
          <w:sz w:val="20"/>
          <w:szCs w:val="18"/>
        </w:rPr>
        <w:t>a d</w:t>
      </w:r>
      <w:r w:rsidRPr="001C513B">
        <w:rPr>
          <w:rFonts w:ascii="Calibri" w:eastAsia="等线" w:hAnsi="Calibri" w:cs="Calibri"/>
          <w:sz w:val="20"/>
          <w:szCs w:val="18"/>
        </w:rPr>
        <w:t xml:space="preserve">ark field image of </w:t>
      </w:r>
      <w:r w:rsidR="003563E8">
        <w:rPr>
          <w:rFonts w:ascii="Calibri" w:eastAsia="等线" w:hAnsi="Calibri" w:cs="Calibri"/>
          <w:sz w:val="20"/>
          <w:szCs w:val="18"/>
        </w:rPr>
        <w:t xml:space="preserve">a </w:t>
      </w:r>
      <w:r w:rsidRPr="001C513B">
        <w:rPr>
          <w:rFonts w:ascii="Calibri" w:eastAsia="等线" w:hAnsi="Calibri" w:cs="Calibri"/>
          <w:sz w:val="20"/>
          <w:szCs w:val="18"/>
        </w:rPr>
        <w:t>α’’ matrix grain</w:t>
      </w:r>
      <w:r>
        <w:rPr>
          <w:rFonts w:ascii="Calibri" w:eastAsia="等线" w:hAnsi="Calibri" w:cs="Calibri"/>
          <w:sz w:val="20"/>
          <w:szCs w:val="18"/>
        </w:rPr>
        <w:t>;</w:t>
      </w:r>
      <w:r w:rsidRPr="001C513B">
        <w:rPr>
          <w:rFonts w:ascii="Calibri" w:eastAsia="等线" w:hAnsi="Calibri" w:cs="Calibri"/>
          <w:sz w:val="20"/>
          <w:szCs w:val="18"/>
        </w:rPr>
        <w:t xml:space="preserve"> (</w:t>
      </w:r>
      <w:r w:rsidRPr="001C513B">
        <w:rPr>
          <w:rFonts w:ascii="Calibri" w:eastAsia="等线" w:hAnsi="Calibri" w:cs="Calibri"/>
          <w:b/>
          <w:sz w:val="20"/>
          <w:szCs w:val="18"/>
        </w:rPr>
        <w:t>d</w:t>
      </w:r>
      <w:r w:rsidRPr="001C513B">
        <w:rPr>
          <w:rFonts w:ascii="Calibri" w:eastAsia="等线" w:hAnsi="Calibri" w:cs="Calibri"/>
          <w:sz w:val="20"/>
          <w:szCs w:val="18"/>
        </w:rPr>
        <w:t xml:space="preserve">) </w:t>
      </w:r>
      <w:r>
        <w:rPr>
          <w:rFonts w:ascii="Calibri" w:eastAsia="等线" w:hAnsi="Calibri" w:cs="Calibri"/>
          <w:sz w:val="20"/>
          <w:szCs w:val="18"/>
        </w:rPr>
        <w:t>a d</w:t>
      </w:r>
      <w:r w:rsidRPr="001C513B">
        <w:rPr>
          <w:rFonts w:ascii="Calibri" w:eastAsia="等线" w:hAnsi="Calibri" w:cs="Calibri"/>
          <w:sz w:val="20"/>
          <w:szCs w:val="18"/>
        </w:rPr>
        <w:t>ark field image of α’’ twin</w:t>
      </w:r>
      <w:r>
        <w:rPr>
          <w:rFonts w:ascii="Calibri" w:eastAsia="等线" w:hAnsi="Calibri" w:cs="Calibri"/>
          <w:sz w:val="20"/>
          <w:szCs w:val="18"/>
        </w:rPr>
        <w:t>n</w:t>
      </w:r>
      <w:r w:rsidRPr="001C513B">
        <w:rPr>
          <w:rFonts w:ascii="Calibri" w:eastAsia="等线" w:hAnsi="Calibri" w:cs="Calibri"/>
          <w:sz w:val="20"/>
          <w:szCs w:val="18"/>
        </w:rPr>
        <w:t>ed grain</w:t>
      </w:r>
      <w:r>
        <w:rPr>
          <w:rFonts w:ascii="Calibri" w:eastAsia="等线" w:hAnsi="Calibri" w:cs="Calibri"/>
          <w:sz w:val="20"/>
          <w:szCs w:val="18"/>
        </w:rPr>
        <w:t>; and</w:t>
      </w:r>
      <w:r w:rsidRPr="001C513B">
        <w:rPr>
          <w:rFonts w:ascii="Calibri" w:eastAsia="等线" w:hAnsi="Calibri" w:cs="Calibri"/>
          <w:sz w:val="20"/>
          <w:szCs w:val="18"/>
        </w:rPr>
        <w:t xml:space="preserve"> (</w:t>
      </w:r>
      <w:r w:rsidRPr="001C513B">
        <w:rPr>
          <w:rFonts w:ascii="Calibri" w:eastAsia="等线" w:hAnsi="Calibri" w:cs="Calibri"/>
          <w:b/>
          <w:sz w:val="20"/>
          <w:szCs w:val="18"/>
        </w:rPr>
        <w:t>e</w:t>
      </w:r>
      <w:r w:rsidRPr="001C513B">
        <w:rPr>
          <w:rFonts w:ascii="Calibri" w:eastAsia="等线" w:hAnsi="Calibri" w:cs="Calibri"/>
          <w:sz w:val="20"/>
          <w:szCs w:val="18"/>
        </w:rPr>
        <w:t xml:space="preserve">) </w:t>
      </w:r>
      <w:r w:rsidR="000A5412">
        <w:rPr>
          <w:rFonts w:ascii="Calibri" w:eastAsia="等线" w:hAnsi="Calibri" w:cs="Calibri"/>
          <w:sz w:val="20"/>
          <w:szCs w:val="18"/>
        </w:rPr>
        <w:t>an</w:t>
      </w:r>
      <w:r>
        <w:rPr>
          <w:rFonts w:ascii="Calibri" w:eastAsia="等线" w:hAnsi="Calibri" w:cs="Calibri"/>
          <w:sz w:val="20"/>
          <w:szCs w:val="18"/>
        </w:rPr>
        <w:t xml:space="preserve"> </w:t>
      </w:r>
      <w:r w:rsidRPr="001C513B">
        <w:rPr>
          <w:rFonts w:ascii="Calibri" w:eastAsia="等线" w:hAnsi="Calibri" w:cs="Calibri"/>
          <w:sz w:val="20"/>
          <w:szCs w:val="18"/>
        </w:rPr>
        <w:t>IFFT HRTEM conducted on the twi</w:t>
      </w:r>
      <w:r>
        <w:rPr>
          <w:rFonts w:ascii="Calibri" w:eastAsia="等线" w:hAnsi="Calibri" w:cs="Calibri"/>
          <w:sz w:val="20"/>
          <w:szCs w:val="18"/>
        </w:rPr>
        <w:t>n</w:t>
      </w:r>
      <w:r w:rsidRPr="001C513B">
        <w:rPr>
          <w:rFonts w:ascii="Calibri" w:eastAsia="等线" w:hAnsi="Calibri" w:cs="Calibri"/>
          <w:sz w:val="20"/>
          <w:szCs w:val="18"/>
        </w:rPr>
        <w:t>ned feature</w:t>
      </w:r>
      <w:r>
        <w:rPr>
          <w:rFonts w:ascii="Calibri" w:eastAsia="等线" w:hAnsi="Calibri" w:cs="Calibri"/>
          <w:sz w:val="20"/>
          <w:szCs w:val="18"/>
        </w:rPr>
        <w:t>.</w:t>
      </w:r>
      <w:r w:rsidRPr="001C513B">
        <w:rPr>
          <w:rFonts w:ascii="Calibri" w:eastAsia="等线" w:hAnsi="Calibri" w:cs="Calibri"/>
          <w:sz w:val="20"/>
          <w:szCs w:val="18"/>
        </w:rPr>
        <w:t xml:space="preserve"> </w:t>
      </w:r>
      <w:r>
        <w:rPr>
          <w:rFonts w:ascii="Calibri" w:eastAsia="等线" w:hAnsi="Calibri" w:cs="Calibri"/>
          <w:sz w:val="20"/>
          <w:szCs w:val="18"/>
        </w:rPr>
        <w:t>I</w:t>
      </w:r>
      <w:r w:rsidRPr="001C513B">
        <w:rPr>
          <w:rFonts w:ascii="Calibri" w:eastAsia="等线" w:hAnsi="Calibri" w:cs="Calibri"/>
          <w:sz w:val="20"/>
          <w:szCs w:val="18"/>
        </w:rPr>
        <w:t xml:space="preserve">nset </w:t>
      </w:r>
      <w:r>
        <w:rPr>
          <w:rFonts w:ascii="Calibri" w:eastAsia="等线" w:hAnsi="Calibri" w:cs="Calibri"/>
          <w:sz w:val="20"/>
          <w:szCs w:val="18"/>
        </w:rPr>
        <w:t>shows the</w:t>
      </w:r>
      <w:r w:rsidRPr="001C513B">
        <w:rPr>
          <w:rFonts w:ascii="Calibri" w:eastAsia="等线" w:hAnsi="Calibri" w:cs="Calibri"/>
          <w:sz w:val="20"/>
          <w:szCs w:val="18"/>
        </w:rPr>
        <w:t xml:space="preserve"> FFT of the twin structure. Twinning boundary shift and </w:t>
      </w:r>
      <w:r>
        <w:rPr>
          <w:rFonts w:ascii="Calibri" w:eastAsia="等线" w:hAnsi="Calibri" w:cs="Calibri"/>
          <w:sz w:val="20"/>
          <w:szCs w:val="18"/>
        </w:rPr>
        <w:t xml:space="preserve">a </w:t>
      </w:r>
      <w:r w:rsidRPr="001C513B">
        <w:rPr>
          <w:rFonts w:ascii="Calibri" w:eastAsia="等线" w:hAnsi="Calibri" w:cs="Calibri"/>
          <w:sz w:val="20"/>
          <w:szCs w:val="18"/>
        </w:rPr>
        <w:t>high density of dislocations were found next to the twinning boundary.</w:t>
      </w:r>
      <w:bookmarkEnd w:id="260"/>
      <w:bookmarkEnd w:id="261"/>
      <w:r w:rsidRPr="001C513B">
        <w:rPr>
          <w:rFonts w:ascii="Calibri" w:eastAsia="等线" w:hAnsi="Calibri" w:cs="Calibri"/>
          <w:sz w:val="24"/>
          <w:szCs w:val="18"/>
        </w:rPr>
        <w:t xml:space="preserve"> </w:t>
      </w:r>
    </w:p>
    <w:p w14:paraId="57F043D6" w14:textId="3810B6C0" w:rsidR="00B145BE" w:rsidRPr="001C513B" w:rsidRDefault="00B145BE" w:rsidP="00B145BE">
      <w:pPr>
        <w:shd w:val="clear" w:color="auto" w:fill="FFFFFF"/>
        <w:spacing w:after="60" w:line="360" w:lineRule="auto"/>
        <w:jc w:val="both"/>
        <w:rPr>
          <w:rFonts w:ascii="Calibri" w:eastAsia="等线" w:hAnsi="Calibri" w:cs="Calibri"/>
          <w:b/>
          <w:sz w:val="44"/>
          <w:szCs w:val="24"/>
          <w:lang w:bidi="hi-IN"/>
        </w:rPr>
      </w:pPr>
      <w:r>
        <w:rPr>
          <w:rFonts w:ascii="Calibri" w:eastAsia="等线" w:hAnsi="Calibri" w:cs="Calibri"/>
          <w:szCs w:val="18"/>
        </w:rPr>
        <w:t xml:space="preserve">With reducing the Ta content even further to </w:t>
      </w:r>
      <w:r w:rsidRPr="001C513B">
        <w:rPr>
          <w:rFonts w:ascii="Calibri" w:eastAsia="等线" w:hAnsi="Calibri" w:cs="Calibri"/>
          <w:szCs w:val="18"/>
        </w:rPr>
        <w:t>TiZrHfTa</w:t>
      </w:r>
      <w:r w:rsidRPr="001C513B">
        <w:rPr>
          <w:rFonts w:ascii="Calibri" w:eastAsia="等线" w:hAnsi="Calibri" w:cs="Calibri"/>
          <w:szCs w:val="18"/>
          <w:vertAlign w:val="subscript"/>
        </w:rPr>
        <w:t>0.5</w:t>
      </w:r>
      <w:r>
        <w:rPr>
          <w:rFonts w:ascii="Calibri" w:eastAsia="等线" w:hAnsi="Calibri" w:cs="Calibri"/>
          <w:szCs w:val="18"/>
        </w:rPr>
        <w:t xml:space="preserve">, </w:t>
      </w:r>
      <w:r w:rsidRPr="001C513B">
        <w:rPr>
          <w:rFonts w:ascii="Calibri" w:eastAsia="等线" w:hAnsi="Calibri" w:cs="Calibri"/>
          <w:szCs w:val="18"/>
        </w:rPr>
        <w:t>the self-accommodation morphology</w:t>
      </w:r>
      <w:r>
        <w:rPr>
          <w:rFonts w:ascii="Calibri" w:eastAsia="等线" w:hAnsi="Calibri" w:cs="Calibri"/>
          <w:szCs w:val="18"/>
        </w:rPr>
        <w:t xml:space="preserve"> observed </w:t>
      </w:r>
      <w:r w:rsidRPr="001C513B">
        <w:rPr>
          <w:rFonts w:ascii="Calibri" w:eastAsia="等线" w:hAnsi="Calibri" w:cs="Calibri"/>
          <w:szCs w:val="18"/>
        </w:rPr>
        <w:t>in TiZrHfTa</w:t>
      </w:r>
      <w:r>
        <w:rPr>
          <w:rFonts w:ascii="Calibri" w:eastAsia="等线" w:hAnsi="Calibri" w:cs="Calibri"/>
          <w:szCs w:val="18"/>
          <w:vertAlign w:val="subscript"/>
        </w:rPr>
        <w:t>0.6</w:t>
      </w:r>
      <w:r w:rsidRPr="001C513B">
        <w:rPr>
          <w:rFonts w:ascii="Calibri" w:eastAsia="等线" w:hAnsi="Calibri" w:cs="Calibri"/>
          <w:szCs w:val="18"/>
          <w:vertAlign w:val="subscript"/>
        </w:rPr>
        <w:t xml:space="preserve"> </w:t>
      </w:r>
      <w:r>
        <w:rPr>
          <w:rFonts w:ascii="Calibri" w:eastAsia="等线" w:hAnsi="Calibri" w:cs="Calibri"/>
          <w:szCs w:val="18"/>
        </w:rPr>
        <w:t>was found to continue to</w:t>
      </w:r>
      <w:r w:rsidRPr="001C513B">
        <w:rPr>
          <w:rFonts w:ascii="Calibri" w:eastAsia="等线" w:hAnsi="Calibri" w:cs="Calibri"/>
          <w:szCs w:val="18"/>
        </w:rPr>
        <w:t xml:space="preserve"> evolve</w:t>
      </w:r>
      <w:r>
        <w:rPr>
          <w:rFonts w:ascii="Calibri" w:eastAsia="等线" w:hAnsi="Calibri" w:cs="Calibri"/>
          <w:szCs w:val="18"/>
        </w:rPr>
        <w:t xml:space="preserve"> (Fig. 5-13)</w:t>
      </w:r>
      <w:r w:rsidRPr="001C513B">
        <w:rPr>
          <w:rFonts w:ascii="Calibri" w:eastAsia="等线" w:hAnsi="Calibri" w:cs="Calibri"/>
          <w:szCs w:val="18"/>
        </w:rPr>
        <w:t xml:space="preserve">. </w:t>
      </w:r>
      <w:r>
        <w:rPr>
          <w:rFonts w:ascii="Calibri" w:eastAsia="等线" w:hAnsi="Calibri" w:cs="Calibri"/>
          <w:szCs w:val="18"/>
        </w:rPr>
        <w:t>For this composition,</w:t>
      </w:r>
      <w:r w:rsidRPr="001C513B">
        <w:rPr>
          <w:rFonts w:ascii="Calibri" w:eastAsia="等线" w:hAnsi="Calibri" w:cs="Calibri"/>
          <w:szCs w:val="18"/>
        </w:rPr>
        <w:t xml:space="preserve"> the previous</w:t>
      </w:r>
      <w:r>
        <w:rPr>
          <w:rFonts w:ascii="Calibri" w:eastAsia="等线" w:hAnsi="Calibri" w:cs="Calibri"/>
          <w:szCs w:val="18"/>
        </w:rPr>
        <w:t>ly</w:t>
      </w:r>
      <w:r w:rsidRPr="001C513B">
        <w:rPr>
          <w:rFonts w:ascii="Calibri" w:eastAsia="等线" w:hAnsi="Calibri" w:cs="Calibri"/>
          <w:szCs w:val="18"/>
        </w:rPr>
        <w:t xml:space="preserve"> observed </w:t>
      </w:r>
      <w:r w:rsidRPr="001C513B">
        <w:rPr>
          <w:rFonts w:ascii="Calibri" w:eastAsia="等线" w:hAnsi="Calibri" w:cs="Calibri"/>
          <w:szCs w:val="18"/>
        </w:rPr>
        <w:lastRenderedPageBreak/>
        <w:t>triangle twin</w:t>
      </w:r>
      <w:r>
        <w:rPr>
          <w:rFonts w:ascii="Calibri" w:eastAsia="等线" w:hAnsi="Calibri" w:cs="Calibri"/>
          <w:szCs w:val="18"/>
        </w:rPr>
        <w:t>n</w:t>
      </w:r>
      <w:r w:rsidRPr="001C513B">
        <w:rPr>
          <w:rFonts w:ascii="Calibri" w:eastAsia="等线" w:hAnsi="Calibri" w:cs="Calibri"/>
          <w:szCs w:val="18"/>
        </w:rPr>
        <w:t>ed type I twinning martensitic structure can primarily</w:t>
      </w:r>
      <w:r>
        <w:rPr>
          <w:rFonts w:ascii="Calibri" w:eastAsia="等线" w:hAnsi="Calibri" w:cs="Calibri"/>
          <w:szCs w:val="18"/>
        </w:rPr>
        <w:t xml:space="preserve"> be</w:t>
      </w:r>
      <w:r w:rsidRPr="001C513B">
        <w:rPr>
          <w:rFonts w:ascii="Calibri" w:eastAsia="等线" w:hAnsi="Calibri" w:cs="Calibri"/>
          <w:szCs w:val="18"/>
        </w:rPr>
        <w:t xml:space="preserve"> identified as </w:t>
      </w:r>
      <w:r w:rsidR="003563E8">
        <w:rPr>
          <w:rFonts w:ascii="Calibri" w:eastAsia="等线" w:hAnsi="Calibri" w:cs="Calibri"/>
          <w:szCs w:val="18"/>
        </w:rPr>
        <w:t xml:space="preserve">the </w:t>
      </w:r>
      <w:r w:rsidRPr="001C513B">
        <w:rPr>
          <w:rFonts w:ascii="Calibri" w:eastAsia="等线" w:hAnsi="Calibri" w:cs="Calibri"/>
          <w:szCs w:val="18"/>
        </w:rPr>
        <w:t>same</w:t>
      </w:r>
      <w:r>
        <w:rPr>
          <w:rFonts w:ascii="Calibri" w:eastAsia="等线" w:hAnsi="Calibri" w:cs="Calibri"/>
          <w:szCs w:val="18"/>
        </w:rPr>
        <w:t xml:space="preserve"> type of</w:t>
      </w:r>
      <w:r w:rsidRPr="001C513B">
        <w:rPr>
          <w:rFonts w:ascii="Calibri" w:eastAsia="等线" w:hAnsi="Calibri" w:cs="Calibri"/>
          <w:szCs w:val="18"/>
        </w:rPr>
        <w:t xml:space="preserve"> feature</w:t>
      </w:r>
      <w:r w:rsidRPr="00642D8B">
        <w:rPr>
          <w:rFonts w:ascii="Calibri" w:eastAsia="等线" w:hAnsi="Calibri" w:cs="Calibri"/>
          <w:szCs w:val="18"/>
        </w:rPr>
        <w:t xml:space="preserve"> </w:t>
      </w:r>
      <w:r>
        <w:rPr>
          <w:rFonts w:ascii="Calibri" w:eastAsia="等线" w:hAnsi="Calibri" w:cs="Calibri"/>
          <w:szCs w:val="18"/>
        </w:rPr>
        <w:t xml:space="preserve">through </w:t>
      </w:r>
      <w:r w:rsidRPr="001C513B">
        <w:rPr>
          <w:rFonts w:ascii="Calibri" w:eastAsia="等线" w:hAnsi="Calibri" w:cs="Calibri"/>
          <w:szCs w:val="18"/>
        </w:rPr>
        <w:t xml:space="preserve">the SADP shown in </w:t>
      </w:r>
      <w:r w:rsidRPr="001C513B">
        <w:rPr>
          <w:rFonts w:ascii="Calibri" w:eastAsia="等线" w:hAnsi="Calibri" w:cs="Calibri"/>
        </w:rPr>
        <w:t>Fig. 5-13(b)</w:t>
      </w:r>
      <w:r w:rsidRPr="001C513B">
        <w:rPr>
          <w:rFonts w:ascii="Calibri" w:eastAsia="等线" w:hAnsi="Calibri" w:cs="Calibri"/>
          <w:szCs w:val="18"/>
        </w:rPr>
        <w:t xml:space="preserve">. However, </w:t>
      </w:r>
      <w:r>
        <w:rPr>
          <w:rFonts w:ascii="Calibri" w:eastAsia="等线" w:hAnsi="Calibri" w:cs="Calibri"/>
          <w:szCs w:val="18"/>
        </w:rPr>
        <w:t xml:space="preserve">on top of the </w:t>
      </w:r>
      <w:r w:rsidRPr="001C513B">
        <w:rPr>
          <w:rFonts w:ascii="Calibri" w:eastAsia="等线" w:hAnsi="Calibri" w:cs="Calibri"/>
          <w:szCs w:val="18"/>
        </w:rPr>
        <w:t>diffraction pattern</w:t>
      </w:r>
      <w:r>
        <w:rPr>
          <w:rFonts w:ascii="Calibri" w:eastAsia="等线" w:hAnsi="Calibri" w:cs="Calibri"/>
          <w:szCs w:val="18"/>
        </w:rPr>
        <w:t>s</w:t>
      </w:r>
      <w:r w:rsidRPr="001C513B">
        <w:rPr>
          <w:rFonts w:ascii="Calibri" w:eastAsia="等线" w:hAnsi="Calibri" w:cs="Calibri"/>
          <w:szCs w:val="18"/>
        </w:rPr>
        <w:t xml:space="preserve"> of the three martensite variants </w:t>
      </w:r>
      <w:r>
        <w:rPr>
          <w:rFonts w:ascii="Calibri" w:eastAsia="等线" w:hAnsi="Calibri" w:cs="Calibri"/>
          <w:szCs w:val="18"/>
        </w:rPr>
        <w:t>that are</w:t>
      </w:r>
      <w:r w:rsidRPr="001C513B">
        <w:rPr>
          <w:rFonts w:ascii="Calibri" w:eastAsia="等线" w:hAnsi="Calibri" w:cs="Calibri"/>
          <w:szCs w:val="18"/>
        </w:rPr>
        <w:t xml:space="preserve"> annotated as M1, M2 and M3, </w:t>
      </w:r>
      <w:r>
        <w:rPr>
          <w:rFonts w:ascii="Calibri" w:eastAsia="等线" w:hAnsi="Calibri" w:cs="Calibri"/>
          <w:szCs w:val="18"/>
        </w:rPr>
        <w:t>another set of</w:t>
      </w:r>
      <w:r w:rsidRPr="001C513B">
        <w:rPr>
          <w:rFonts w:ascii="Calibri" w:eastAsia="等线" w:hAnsi="Calibri" w:cs="Calibri"/>
          <w:szCs w:val="18"/>
        </w:rPr>
        <w:t xml:space="preserve"> martensite diffraction pattern was captured</w:t>
      </w:r>
      <w:r>
        <w:rPr>
          <w:rFonts w:ascii="Calibri" w:eastAsia="等线" w:hAnsi="Calibri" w:cs="Calibri"/>
          <w:szCs w:val="18"/>
        </w:rPr>
        <w:t xml:space="preserve"> and denoted as M4</w:t>
      </w:r>
      <w:r w:rsidRPr="001C513B">
        <w:rPr>
          <w:rFonts w:ascii="Calibri" w:eastAsia="等线" w:hAnsi="Calibri" w:cs="Calibri"/>
          <w:szCs w:val="18"/>
        </w:rPr>
        <w:t>. Coincid</w:t>
      </w:r>
      <w:r>
        <w:rPr>
          <w:rFonts w:ascii="Calibri" w:eastAsia="等线" w:hAnsi="Calibri" w:cs="Calibri"/>
          <w:szCs w:val="18"/>
        </w:rPr>
        <w:t>ing</w:t>
      </w:r>
      <w:r w:rsidRPr="001C513B">
        <w:rPr>
          <w:rFonts w:ascii="Calibri" w:eastAsia="等线" w:hAnsi="Calibri" w:cs="Calibri"/>
          <w:szCs w:val="18"/>
        </w:rPr>
        <w:t xml:space="preserve"> with the diffraction spots of M1, M2 and M3 which </w:t>
      </w:r>
      <w:r>
        <w:rPr>
          <w:rFonts w:ascii="Calibri" w:eastAsia="等线" w:hAnsi="Calibri" w:cs="Calibri"/>
          <w:szCs w:val="18"/>
        </w:rPr>
        <w:t xml:space="preserve">were </w:t>
      </w:r>
      <w:r w:rsidR="003563E8">
        <w:rPr>
          <w:rFonts w:ascii="Calibri" w:eastAsia="等线" w:hAnsi="Calibri" w:cs="Calibri"/>
          <w:szCs w:val="18"/>
        </w:rPr>
        <w:t>obtained</w:t>
      </w:r>
      <w:r w:rsidR="003563E8" w:rsidRPr="001C513B">
        <w:rPr>
          <w:rFonts w:ascii="Calibri" w:eastAsia="等线" w:hAnsi="Calibri" w:cs="Calibri"/>
          <w:szCs w:val="18"/>
        </w:rPr>
        <w:t xml:space="preserve"> </w:t>
      </w:r>
      <w:r w:rsidRPr="001C513B">
        <w:rPr>
          <w:rFonts w:ascii="Calibri" w:eastAsia="等线" w:hAnsi="Calibri" w:cs="Calibri"/>
          <w:szCs w:val="18"/>
        </w:rPr>
        <w:t xml:space="preserve">along </w:t>
      </w:r>
      <w:r>
        <w:rPr>
          <w:rFonts w:ascii="Calibri" w:eastAsia="等线" w:hAnsi="Calibri" w:cs="Calibri"/>
          <w:szCs w:val="18"/>
        </w:rPr>
        <w:t xml:space="preserve">the </w:t>
      </w:r>
      <w:r w:rsidRPr="001C513B">
        <w:rPr>
          <w:rFonts w:ascii="Calibri" w:eastAsia="等线" w:hAnsi="Calibri" w:cs="Calibri"/>
          <w:szCs w:val="18"/>
        </w:rPr>
        <w:t>[110]</w:t>
      </w:r>
      <w:r w:rsidRPr="001C513B">
        <w:rPr>
          <w:rFonts w:ascii="Times New Roman" w:eastAsia="等线" w:hAnsi="Times New Roman" w:cs="Times New Roman"/>
          <w:szCs w:val="18"/>
          <w:vertAlign w:val="subscript"/>
        </w:rPr>
        <w:t>α</w:t>
      </w:r>
      <w:r w:rsidRPr="001C513B">
        <w:rPr>
          <w:rFonts w:ascii="Calibri" w:eastAsia="等线" w:hAnsi="Calibri" w:cs="Calibri"/>
          <w:szCs w:val="18"/>
          <w:vertAlign w:val="subscript"/>
        </w:rPr>
        <w:t>’’</w:t>
      </w:r>
      <w:r w:rsidRPr="001C513B">
        <w:rPr>
          <w:rFonts w:ascii="Calibri" w:eastAsia="等线" w:hAnsi="Calibri" w:cs="Calibri"/>
          <w:lang w:bidi="hi-IN"/>
        </w:rPr>
        <w:t xml:space="preserve"> zone axis, the orientation relationship of M4 </w:t>
      </w:r>
      <w:r>
        <w:rPr>
          <w:rFonts w:ascii="Calibri" w:eastAsia="等线" w:hAnsi="Calibri" w:cs="Calibri"/>
          <w:lang w:bidi="hi-IN"/>
        </w:rPr>
        <w:t>with</w:t>
      </w:r>
      <w:r w:rsidRPr="001C513B">
        <w:rPr>
          <w:rFonts w:ascii="Calibri" w:eastAsia="等线" w:hAnsi="Calibri" w:cs="Calibri"/>
          <w:lang w:bidi="hi-IN"/>
        </w:rPr>
        <w:t xml:space="preserve"> M1, M2 and M3 was identified as [110]</w:t>
      </w:r>
      <w:r w:rsidRPr="001C513B">
        <w:rPr>
          <w:rFonts w:ascii="Times New Roman" w:eastAsia="等线" w:hAnsi="Times New Roman" w:cs="Times New Roman"/>
          <w:szCs w:val="18"/>
          <w:vertAlign w:val="subscript"/>
        </w:rPr>
        <w:t>α</w:t>
      </w:r>
      <w:r w:rsidRPr="001C513B">
        <w:rPr>
          <w:rFonts w:ascii="Calibri" w:eastAsia="等线" w:hAnsi="Calibri" w:cs="Calibri"/>
          <w:szCs w:val="18"/>
          <w:vertAlign w:val="subscript"/>
        </w:rPr>
        <w:t>’’</w:t>
      </w:r>
      <w:r w:rsidRPr="001C513B">
        <w:rPr>
          <w:rFonts w:ascii="Calibri" w:eastAsia="等线" w:hAnsi="Calibri" w:cs="Calibri"/>
          <w:vertAlign w:val="subscript"/>
          <w:lang w:bidi="hi-IN"/>
        </w:rPr>
        <w:t>M1,M2,M3</w:t>
      </w:r>
      <w:r w:rsidRPr="001C513B">
        <w:rPr>
          <w:rFonts w:ascii="Calibri" w:eastAsia="等线" w:hAnsi="Calibri" w:cs="Calibri"/>
          <w:lang w:bidi="hi-IN"/>
        </w:rPr>
        <w:t>//[1-1-2]</w:t>
      </w:r>
      <w:r w:rsidRPr="001C513B">
        <w:rPr>
          <w:rFonts w:ascii="Times New Roman" w:eastAsia="等线" w:hAnsi="Times New Roman" w:cs="Times New Roman"/>
          <w:szCs w:val="18"/>
          <w:vertAlign w:val="subscript"/>
        </w:rPr>
        <w:t>α</w:t>
      </w:r>
      <w:r w:rsidRPr="001C513B">
        <w:rPr>
          <w:rFonts w:ascii="Calibri" w:eastAsia="等线" w:hAnsi="Calibri" w:cs="Calibri"/>
          <w:szCs w:val="18"/>
          <w:vertAlign w:val="subscript"/>
        </w:rPr>
        <w:t>’’</w:t>
      </w:r>
      <w:r w:rsidRPr="001C513B">
        <w:rPr>
          <w:rFonts w:ascii="Calibri" w:eastAsia="等线" w:hAnsi="Calibri" w:cs="Calibri"/>
          <w:vertAlign w:val="subscript"/>
          <w:lang w:bidi="hi-IN"/>
        </w:rPr>
        <w:t>M4</w:t>
      </w:r>
      <w:r w:rsidRPr="001C513B">
        <w:rPr>
          <w:rFonts w:ascii="Calibri" w:eastAsia="等线" w:hAnsi="Calibri" w:cs="Calibri"/>
          <w:szCs w:val="18"/>
        </w:rPr>
        <w:t xml:space="preserve">. </w:t>
      </w:r>
      <w:r>
        <w:rPr>
          <w:rFonts w:ascii="Calibri" w:eastAsia="等线" w:hAnsi="Calibri" w:cs="Calibri"/>
          <w:szCs w:val="18"/>
        </w:rPr>
        <w:t>Referring to Fig. 5-13 (c-f), b</w:t>
      </w:r>
      <w:r w:rsidRPr="001C513B">
        <w:rPr>
          <w:rFonts w:ascii="Calibri" w:eastAsia="等线" w:hAnsi="Calibri" w:cs="Calibri"/>
          <w:szCs w:val="18"/>
        </w:rPr>
        <w:t xml:space="preserve">y comparing dark field image of M1, M2, M3 and M4, </w:t>
      </w:r>
      <w:r>
        <w:rPr>
          <w:rFonts w:ascii="Calibri" w:eastAsia="等线" w:hAnsi="Calibri" w:cs="Calibri"/>
          <w:szCs w:val="18"/>
        </w:rPr>
        <w:t xml:space="preserve">respectively, the </w:t>
      </w:r>
      <w:r w:rsidRPr="001C513B">
        <w:rPr>
          <w:rFonts w:ascii="Calibri" w:eastAsia="等线" w:hAnsi="Calibri" w:cs="Calibri"/>
          <w:szCs w:val="18"/>
        </w:rPr>
        <w:t xml:space="preserve">M4 grain is sharing </w:t>
      </w:r>
      <w:r>
        <w:rPr>
          <w:rFonts w:ascii="Calibri" w:eastAsia="等线" w:hAnsi="Calibri" w:cs="Calibri"/>
          <w:szCs w:val="18"/>
        </w:rPr>
        <w:t xml:space="preserve">a </w:t>
      </w:r>
      <w:r w:rsidRPr="001C513B">
        <w:rPr>
          <w:rFonts w:ascii="Calibri" w:eastAsia="等线" w:hAnsi="Calibri" w:cs="Calibri"/>
          <w:szCs w:val="18"/>
        </w:rPr>
        <w:t xml:space="preserve">grain boundary with </w:t>
      </w:r>
      <w:r>
        <w:rPr>
          <w:rFonts w:ascii="Calibri" w:eastAsia="等线" w:hAnsi="Calibri" w:cs="Calibri"/>
          <w:szCs w:val="18"/>
        </w:rPr>
        <w:t>the</w:t>
      </w:r>
      <w:r w:rsidRPr="001C513B">
        <w:rPr>
          <w:rFonts w:ascii="Calibri" w:eastAsia="等线" w:hAnsi="Calibri" w:cs="Calibri"/>
          <w:szCs w:val="18"/>
        </w:rPr>
        <w:t xml:space="preserve"> three other martensite variants</w:t>
      </w:r>
      <w:r>
        <w:rPr>
          <w:rFonts w:ascii="Calibri" w:eastAsia="等线" w:hAnsi="Calibri" w:cs="Calibri"/>
          <w:szCs w:val="18"/>
        </w:rPr>
        <w:t>. This indicated</w:t>
      </w:r>
      <w:r w:rsidRPr="001C513B">
        <w:rPr>
          <w:rFonts w:ascii="Calibri" w:eastAsia="等线" w:hAnsi="Calibri" w:cs="Calibri"/>
          <w:szCs w:val="18"/>
        </w:rPr>
        <w:t xml:space="preserve"> there may </w:t>
      </w:r>
      <w:r>
        <w:rPr>
          <w:rFonts w:ascii="Calibri" w:eastAsia="等线" w:hAnsi="Calibri" w:cs="Calibri"/>
          <w:szCs w:val="18"/>
        </w:rPr>
        <w:t>be</w:t>
      </w:r>
      <w:r w:rsidRPr="001C513B">
        <w:rPr>
          <w:rFonts w:ascii="Calibri" w:eastAsia="等线" w:hAnsi="Calibri" w:cs="Calibri"/>
          <w:szCs w:val="18"/>
        </w:rPr>
        <w:t xml:space="preserve"> </w:t>
      </w:r>
      <w:r>
        <w:rPr>
          <w:rFonts w:ascii="Calibri" w:eastAsia="等线" w:hAnsi="Calibri" w:cs="Calibri"/>
          <w:szCs w:val="18"/>
        </w:rPr>
        <w:t xml:space="preserve">a </w:t>
      </w:r>
      <w:r w:rsidRPr="001C513B">
        <w:rPr>
          <w:rFonts w:ascii="Calibri" w:eastAsia="等线" w:hAnsi="Calibri" w:cs="Calibri"/>
          <w:szCs w:val="18"/>
        </w:rPr>
        <w:t xml:space="preserve">new type </w:t>
      </w:r>
      <w:r>
        <w:rPr>
          <w:rFonts w:ascii="Calibri" w:eastAsia="等线" w:hAnsi="Calibri" w:cs="Calibri"/>
          <w:szCs w:val="18"/>
        </w:rPr>
        <w:t xml:space="preserve">of </w:t>
      </w:r>
      <w:r w:rsidRPr="001C513B">
        <w:rPr>
          <w:rFonts w:ascii="Calibri" w:eastAsia="等线" w:hAnsi="Calibri" w:cs="Calibri"/>
          <w:szCs w:val="18"/>
        </w:rPr>
        <w:t>twinning mode</w:t>
      </w:r>
      <w:r>
        <w:rPr>
          <w:rFonts w:ascii="Calibri" w:eastAsia="等线" w:hAnsi="Calibri" w:cs="Calibri"/>
          <w:szCs w:val="18"/>
        </w:rPr>
        <w:t xml:space="preserve"> which has</w:t>
      </w:r>
      <w:r w:rsidRPr="001C513B">
        <w:rPr>
          <w:rFonts w:ascii="Calibri" w:eastAsia="等线" w:hAnsi="Calibri" w:cs="Calibri"/>
          <w:szCs w:val="18"/>
        </w:rPr>
        <w:t xml:space="preserve"> enable</w:t>
      </w:r>
      <w:r>
        <w:rPr>
          <w:rFonts w:ascii="Calibri" w:eastAsia="等线" w:hAnsi="Calibri" w:cs="Calibri"/>
          <w:szCs w:val="18"/>
        </w:rPr>
        <w:t>d</w:t>
      </w:r>
      <w:r w:rsidRPr="001C513B">
        <w:rPr>
          <w:rFonts w:ascii="Calibri" w:eastAsia="等线" w:hAnsi="Calibri" w:cs="Calibri"/>
          <w:szCs w:val="18"/>
        </w:rPr>
        <w:t xml:space="preserve"> the </w:t>
      </w:r>
      <w:r>
        <w:rPr>
          <w:rFonts w:ascii="Calibri" w:eastAsia="等线" w:hAnsi="Calibri" w:cs="Calibri"/>
          <w:szCs w:val="18"/>
        </w:rPr>
        <w:t>formation</w:t>
      </w:r>
      <w:r w:rsidRPr="001C513B">
        <w:rPr>
          <w:rFonts w:ascii="Calibri" w:eastAsia="等线" w:hAnsi="Calibri" w:cs="Calibri"/>
          <w:szCs w:val="18"/>
        </w:rPr>
        <w:t xml:space="preserve"> of this special four martensite variants feature. </w:t>
      </w:r>
    </w:p>
    <w:p w14:paraId="37673D0A" w14:textId="77777777" w:rsidR="00B145BE" w:rsidRPr="001C513B" w:rsidRDefault="00B145BE" w:rsidP="00AB2332">
      <w:pPr>
        <w:keepNext/>
        <w:suppressAutoHyphens/>
        <w:spacing w:after="0" w:line="360" w:lineRule="auto"/>
        <w:rPr>
          <w:rFonts w:ascii="Calibri" w:eastAsia="等线" w:hAnsi="Calibri" w:cs="Calibri"/>
        </w:rPr>
      </w:pPr>
      <w:r w:rsidRPr="001C513B">
        <w:rPr>
          <w:rFonts w:ascii="Calibri" w:eastAsia="等线" w:hAnsi="Calibri" w:cs="Calibri"/>
          <w:b/>
          <w:noProof/>
          <w:sz w:val="44"/>
          <w:szCs w:val="24"/>
          <w:vertAlign w:val="subscript"/>
          <w:lang w:val="en-US" w:eastAsia="en-US"/>
        </w:rPr>
        <w:drawing>
          <wp:inline distT="0" distB="0" distL="0" distR="0" wp14:anchorId="202ECE79" wp14:editId="3EB3BEFD">
            <wp:extent cx="5956788" cy="3051544"/>
            <wp:effectExtent l="0" t="0" r="6350" b="0"/>
            <wp:docPr id="70" name="图片 3">
              <a:extLst xmlns:a="http://schemas.openxmlformats.org/drawingml/2006/main">
                <a:ext uri="{FF2B5EF4-FFF2-40B4-BE49-F238E27FC236}">
                  <a16:creationId xmlns:a16="http://schemas.microsoft.com/office/drawing/2014/main" id="{34FED643-24F1-41F8-9696-0ABF480D7C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34FED643-24F1-41F8-9696-0ABF480D7C43}"/>
                        </a:ext>
                      </a:extLst>
                    </pic:cNvPr>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995928" cy="3071594"/>
                    </a:xfrm>
                    <a:prstGeom prst="rect">
                      <a:avLst/>
                    </a:prstGeom>
                  </pic:spPr>
                </pic:pic>
              </a:graphicData>
            </a:graphic>
          </wp:inline>
        </w:drawing>
      </w:r>
    </w:p>
    <w:p w14:paraId="0E9D6960" w14:textId="4D982D2C" w:rsidR="00B145BE" w:rsidRPr="001C513B" w:rsidRDefault="00B145BE" w:rsidP="00B145BE">
      <w:pPr>
        <w:shd w:val="clear" w:color="auto" w:fill="FFFFFF"/>
        <w:spacing w:after="60" w:line="360" w:lineRule="auto"/>
        <w:jc w:val="both"/>
        <w:rPr>
          <w:rFonts w:ascii="Calibri" w:eastAsia="等线" w:hAnsi="Calibri" w:cs="Calibri"/>
          <w:b/>
          <w:sz w:val="20"/>
          <w:szCs w:val="20"/>
          <w:vertAlign w:val="subscript"/>
          <w:lang w:bidi="hi-IN"/>
        </w:rPr>
      </w:pPr>
      <w:bookmarkStart w:id="262" w:name="_Toc7364605"/>
      <w:bookmarkStart w:id="263" w:name="_Toc39312719"/>
      <w:r w:rsidRPr="001C513B">
        <w:rPr>
          <w:rFonts w:ascii="Calibri" w:eastAsia="等线" w:hAnsi="Calibri" w:cs="Calibri"/>
          <w:b/>
          <w:sz w:val="20"/>
          <w:szCs w:val="20"/>
        </w:rPr>
        <w:t>Figure 5-</w:t>
      </w:r>
      <w:r w:rsidRPr="001C513B">
        <w:rPr>
          <w:rFonts w:ascii="Calibri" w:eastAsia="等线" w:hAnsi="Calibri" w:cs="Calibri"/>
          <w:b/>
          <w:sz w:val="20"/>
        </w:rPr>
        <w:fldChar w:fldCharType="begin"/>
      </w:r>
      <w:r w:rsidRPr="001C513B">
        <w:rPr>
          <w:rFonts w:ascii="Calibri" w:eastAsia="等线" w:hAnsi="Calibri" w:cs="Calibri"/>
          <w:b/>
          <w:sz w:val="20"/>
        </w:rPr>
        <w:instrText xml:space="preserve"> SEQ Figure \* ARABIC </w:instrText>
      </w:r>
      <w:r w:rsidRPr="001C513B">
        <w:rPr>
          <w:rFonts w:ascii="Calibri" w:eastAsia="等线" w:hAnsi="Calibri" w:cs="Calibri"/>
          <w:b/>
          <w:sz w:val="20"/>
        </w:rPr>
        <w:fldChar w:fldCharType="separate"/>
      </w:r>
      <w:r>
        <w:rPr>
          <w:rFonts w:ascii="Calibri" w:eastAsia="等线" w:hAnsi="Calibri" w:cs="Calibri"/>
          <w:b/>
          <w:noProof/>
          <w:sz w:val="20"/>
        </w:rPr>
        <w:t>13</w:t>
      </w:r>
      <w:r w:rsidRPr="001C513B">
        <w:rPr>
          <w:rFonts w:ascii="Calibri" w:eastAsia="等线" w:hAnsi="Calibri" w:cs="Calibri"/>
          <w:b/>
          <w:sz w:val="20"/>
        </w:rPr>
        <w:fldChar w:fldCharType="end"/>
      </w:r>
      <w:r w:rsidRPr="001C513B">
        <w:rPr>
          <w:rFonts w:ascii="Calibri" w:eastAsia="等线" w:hAnsi="Calibri" w:cs="Calibri"/>
          <w:b/>
          <w:sz w:val="20"/>
          <w:szCs w:val="20"/>
        </w:rPr>
        <w:t xml:space="preserve"> TEM image</w:t>
      </w:r>
      <w:r>
        <w:rPr>
          <w:rFonts w:ascii="Calibri" w:eastAsia="等线" w:hAnsi="Calibri" w:cs="Calibri"/>
          <w:b/>
          <w:sz w:val="20"/>
          <w:szCs w:val="20"/>
        </w:rPr>
        <w:t>s</w:t>
      </w:r>
      <w:r w:rsidRPr="001C513B">
        <w:rPr>
          <w:rFonts w:ascii="Calibri" w:eastAsia="等线" w:hAnsi="Calibri" w:cs="Calibri"/>
          <w:b/>
          <w:sz w:val="20"/>
          <w:szCs w:val="20"/>
        </w:rPr>
        <w:t xml:space="preserve"> of SA twinning feature in 5% deformed TiZrHfTa</w:t>
      </w:r>
      <w:r w:rsidRPr="001C513B">
        <w:rPr>
          <w:rFonts w:ascii="Calibri" w:eastAsia="等线" w:hAnsi="Calibri" w:cs="Calibri"/>
          <w:b/>
          <w:sz w:val="20"/>
          <w:szCs w:val="20"/>
          <w:vertAlign w:val="subscript"/>
        </w:rPr>
        <w:t>0.5</w:t>
      </w:r>
      <w:r w:rsidRPr="001C513B">
        <w:rPr>
          <w:rFonts w:ascii="Calibri" w:eastAsia="等线" w:hAnsi="Calibri" w:cs="Calibri"/>
          <w:b/>
          <w:sz w:val="20"/>
          <w:szCs w:val="20"/>
        </w:rPr>
        <w:t xml:space="preserve">. </w:t>
      </w:r>
      <w:r w:rsidRPr="001C513B">
        <w:rPr>
          <w:rFonts w:ascii="Calibri" w:eastAsia="等线" w:hAnsi="Calibri" w:cs="Calibri"/>
          <w:sz w:val="20"/>
          <w:szCs w:val="20"/>
        </w:rPr>
        <w:t>(</w:t>
      </w:r>
      <w:r w:rsidRPr="001C513B">
        <w:rPr>
          <w:rFonts w:ascii="Calibri" w:eastAsia="等线" w:hAnsi="Calibri" w:cs="Calibri"/>
          <w:b/>
          <w:sz w:val="20"/>
          <w:szCs w:val="20"/>
        </w:rPr>
        <w:t>a</w:t>
      </w:r>
      <w:r w:rsidRPr="001C513B">
        <w:rPr>
          <w:rFonts w:ascii="Calibri" w:eastAsia="等线" w:hAnsi="Calibri" w:cs="Calibri"/>
          <w:sz w:val="20"/>
          <w:szCs w:val="20"/>
        </w:rPr>
        <w:t xml:space="preserve">) </w:t>
      </w:r>
      <w:r>
        <w:rPr>
          <w:rFonts w:ascii="Calibri" w:eastAsia="等线" w:hAnsi="Calibri" w:cs="Calibri"/>
          <w:sz w:val="20"/>
          <w:szCs w:val="20"/>
        </w:rPr>
        <w:t>a b</w:t>
      </w:r>
      <w:r w:rsidRPr="001C513B">
        <w:rPr>
          <w:rFonts w:ascii="Calibri" w:eastAsia="等线" w:hAnsi="Calibri" w:cs="Calibri"/>
          <w:sz w:val="20"/>
          <w:szCs w:val="20"/>
        </w:rPr>
        <w:t xml:space="preserve">right field image of </w:t>
      </w:r>
      <w:r>
        <w:rPr>
          <w:rFonts w:ascii="Calibri" w:eastAsia="等线" w:hAnsi="Calibri" w:cs="Calibri"/>
          <w:sz w:val="20"/>
          <w:szCs w:val="20"/>
        </w:rPr>
        <w:t xml:space="preserve">the </w:t>
      </w:r>
      <w:r w:rsidRPr="001C513B">
        <w:rPr>
          <w:rFonts w:ascii="Calibri" w:eastAsia="等线" w:hAnsi="Calibri" w:cs="Calibri"/>
          <w:sz w:val="20"/>
          <w:szCs w:val="20"/>
        </w:rPr>
        <w:t>feature</w:t>
      </w:r>
      <w:r>
        <w:rPr>
          <w:rFonts w:ascii="Calibri" w:eastAsia="等线" w:hAnsi="Calibri" w:cs="Calibri"/>
          <w:sz w:val="20"/>
          <w:szCs w:val="20"/>
        </w:rPr>
        <w:t>;</w:t>
      </w:r>
      <w:r w:rsidRPr="001C513B">
        <w:rPr>
          <w:rFonts w:ascii="Calibri" w:eastAsia="等线" w:hAnsi="Calibri" w:cs="Calibri"/>
          <w:sz w:val="20"/>
          <w:szCs w:val="20"/>
        </w:rPr>
        <w:t xml:space="preserve"> (</w:t>
      </w:r>
      <w:r w:rsidRPr="001C513B">
        <w:rPr>
          <w:rFonts w:ascii="Calibri" w:eastAsia="等线" w:hAnsi="Calibri" w:cs="Calibri"/>
          <w:b/>
          <w:sz w:val="20"/>
          <w:szCs w:val="20"/>
        </w:rPr>
        <w:t>b</w:t>
      </w:r>
      <w:r w:rsidRPr="001C513B">
        <w:rPr>
          <w:rFonts w:ascii="Calibri" w:eastAsia="等线" w:hAnsi="Calibri" w:cs="Calibri"/>
          <w:sz w:val="20"/>
          <w:szCs w:val="20"/>
        </w:rPr>
        <w:t xml:space="preserve">) </w:t>
      </w:r>
      <w:r>
        <w:rPr>
          <w:rFonts w:ascii="Calibri" w:eastAsia="等线" w:hAnsi="Calibri" w:cs="Calibri"/>
          <w:sz w:val="20"/>
          <w:szCs w:val="20"/>
        </w:rPr>
        <w:t>a SADP</w:t>
      </w:r>
      <w:r w:rsidRPr="001C513B">
        <w:rPr>
          <w:rFonts w:ascii="Calibri" w:eastAsia="等线" w:hAnsi="Calibri" w:cs="Calibri"/>
          <w:sz w:val="20"/>
          <w:szCs w:val="20"/>
        </w:rPr>
        <w:t xml:space="preserve"> derived </w:t>
      </w:r>
      <w:r w:rsidR="003563E8">
        <w:rPr>
          <w:rFonts w:ascii="Calibri" w:eastAsia="等线" w:hAnsi="Calibri" w:cs="Calibri"/>
          <w:sz w:val="20"/>
          <w:szCs w:val="20"/>
        </w:rPr>
        <w:t>from</w:t>
      </w:r>
      <w:r w:rsidR="003563E8" w:rsidRPr="001C513B">
        <w:rPr>
          <w:rFonts w:ascii="Calibri" w:eastAsia="等线" w:hAnsi="Calibri" w:cs="Calibri"/>
          <w:sz w:val="20"/>
          <w:szCs w:val="20"/>
        </w:rPr>
        <w:t xml:space="preserve"> </w:t>
      </w:r>
      <w:r w:rsidRPr="001C513B">
        <w:rPr>
          <w:rFonts w:ascii="Calibri" w:eastAsia="等线" w:hAnsi="Calibri" w:cs="Calibri"/>
          <w:sz w:val="20"/>
          <w:szCs w:val="20"/>
        </w:rPr>
        <w:t>the twinning entanglement feature</w:t>
      </w:r>
      <w:r>
        <w:rPr>
          <w:rFonts w:ascii="Calibri" w:eastAsia="等线" w:hAnsi="Calibri" w:cs="Calibri"/>
          <w:sz w:val="20"/>
          <w:szCs w:val="20"/>
        </w:rPr>
        <w:t>.</w:t>
      </w:r>
      <w:r w:rsidRPr="001C513B">
        <w:rPr>
          <w:rFonts w:ascii="Calibri" w:eastAsia="等线" w:hAnsi="Calibri" w:cs="Calibri"/>
          <w:sz w:val="20"/>
          <w:szCs w:val="20"/>
        </w:rPr>
        <w:t xml:space="preserve"> </w:t>
      </w:r>
      <w:r>
        <w:rPr>
          <w:rFonts w:ascii="Calibri" w:eastAsia="等线" w:hAnsi="Calibri" w:cs="Calibri"/>
          <w:sz w:val="20"/>
          <w:szCs w:val="20"/>
        </w:rPr>
        <w:t>F</w:t>
      </w:r>
      <w:r w:rsidRPr="001C513B">
        <w:rPr>
          <w:rFonts w:ascii="Calibri" w:eastAsia="等线" w:hAnsi="Calibri" w:cs="Calibri"/>
          <w:sz w:val="20"/>
          <w:szCs w:val="20"/>
        </w:rPr>
        <w:t xml:space="preserve">our martensite variants </w:t>
      </w:r>
      <w:r w:rsidR="003563E8">
        <w:rPr>
          <w:rFonts w:ascii="Calibri" w:eastAsia="等线" w:hAnsi="Calibri" w:cs="Calibri"/>
          <w:sz w:val="20"/>
          <w:szCs w:val="20"/>
        </w:rPr>
        <w:t>are</w:t>
      </w:r>
      <w:r w:rsidR="003563E8" w:rsidRPr="001C513B">
        <w:rPr>
          <w:rFonts w:ascii="Calibri" w:eastAsia="等线" w:hAnsi="Calibri" w:cs="Calibri"/>
          <w:sz w:val="20"/>
          <w:szCs w:val="20"/>
        </w:rPr>
        <w:t xml:space="preserve"> </w:t>
      </w:r>
      <w:r w:rsidRPr="001C513B">
        <w:rPr>
          <w:rFonts w:ascii="Calibri" w:eastAsia="等线" w:hAnsi="Calibri" w:cs="Calibri"/>
          <w:sz w:val="20"/>
          <w:szCs w:val="20"/>
        </w:rPr>
        <w:t>marked with green</w:t>
      </w:r>
      <w:r>
        <w:rPr>
          <w:rFonts w:ascii="Calibri" w:eastAsia="等线" w:hAnsi="Calibri" w:cs="Calibri"/>
          <w:sz w:val="20"/>
          <w:szCs w:val="20"/>
        </w:rPr>
        <w:t>,</w:t>
      </w:r>
      <w:r w:rsidRPr="001C513B">
        <w:rPr>
          <w:rFonts w:ascii="Calibri" w:eastAsia="等线" w:hAnsi="Calibri" w:cs="Calibri"/>
          <w:sz w:val="20"/>
          <w:szCs w:val="20"/>
        </w:rPr>
        <w:t xml:space="preserve"> yellow</w:t>
      </w:r>
      <w:r>
        <w:rPr>
          <w:rFonts w:ascii="Calibri" w:eastAsia="等线" w:hAnsi="Calibri" w:cs="Calibri"/>
          <w:sz w:val="20"/>
          <w:szCs w:val="20"/>
        </w:rPr>
        <w:t>,</w:t>
      </w:r>
      <w:r w:rsidRPr="001C513B">
        <w:rPr>
          <w:rFonts w:ascii="Calibri" w:eastAsia="等线" w:hAnsi="Calibri" w:cs="Calibri"/>
          <w:sz w:val="20"/>
          <w:szCs w:val="20"/>
        </w:rPr>
        <w:t xml:space="preserve"> red and blue</w:t>
      </w:r>
      <w:r>
        <w:rPr>
          <w:rFonts w:ascii="Calibri" w:eastAsia="等线" w:hAnsi="Calibri" w:cs="Calibri"/>
          <w:sz w:val="20"/>
          <w:szCs w:val="20"/>
        </w:rPr>
        <w:t>,</w:t>
      </w:r>
      <w:r w:rsidRPr="001C513B">
        <w:rPr>
          <w:rFonts w:ascii="Calibri" w:eastAsia="等线" w:hAnsi="Calibri" w:cs="Calibri"/>
          <w:sz w:val="20"/>
          <w:szCs w:val="20"/>
        </w:rPr>
        <w:t xml:space="preserve"> respectively</w:t>
      </w:r>
      <w:r>
        <w:rPr>
          <w:rFonts w:ascii="Calibri" w:eastAsia="等线" w:hAnsi="Calibri" w:cs="Calibri"/>
          <w:sz w:val="20"/>
          <w:szCs w:val="20"/>
        </w:rPr>
        <w:t>;</w:t>
      </w:r>
      <w:r w:rsidRPr="001C513B">
        <w:rPr>
          <w:rFonts w:ascii="Calibri" w:eastAsia="等线" w:hAnsi="Calibri" w:cs="Calibri"/>
          <w:sz w:val="20"/>
          <w:szCs w:val="20"/>
        </w:rPr>
        <w:t xml:space="preserve"> (</w:t>
      </w:r>
      <w:r w:rsidRPr="001C513B">
        <w:rPr>
          <w:rFonts w:ascii="Calibri" w:eastAsia="等线" w:hAnsi="Calibri" w:cs="Calibri"/>
          <w:b/>
          <w:sz w:val="20"/>
          <w:szCs w:val="20"/>
        </w:rPr>
        <w:t>c</w:t>
      </w:r>
      <w:r>
        <w:rPr>
          <w:rFonts w:ascii="Calibri" w:eastAsia="等线" w:hAnsi="Calibri" w:cs="Calibri"/>
          <w:b/>
          <w:sz w:val="20"/>
          <w:szCs w:val="20"/>
        </w:rPr>
        <w:t>-e</w:t>
      </w:r>
      <w:r w:rsidRPr="001C513B">
        <w:rPr>
          <w:rFonts w:ascii="Calibri" w:eastAsia="等线" w:hAnsi="Calibri" w:cs="Calibri"/>
          <w:sz w:val="20"/>
          <w:szCs w:val="20"/>
        </w:rPr>
        <w:t xml:space="preserve">) </w:t>
      </w:r>
      <w:r>
        <w:rPr>
          <w:rFonts w:ascii="Calibri" w:eastAsia="等线" w:hAnsi="Calibri" w:cs="Calibri"/>
          <w:sz w:val="20"/>
          <w:szCs w:val="20"/>
        </w:rPr>
        <w:t>show d</w:t>
      </w:r>
      <w:r w:rsidRPr="001C513B">
        <w:rPr>
          <w:rFonts w:ascii="Calibri" w:eastAsia="等线" w:hAnsi="Calibri" w:cs="Calibri"/>
          <w:sz w:val="20"/>
          <w:szCs w:val="20"/>
        </w:rPr>
        <w:t>ark field image</w:t>
      </w:r>
      <w:r>
        <w:rPr>
          <w:rFonts w:ascii="Calibri" w:eastAsia="等线" w:hAnsi="Calibri" w:cs="Calibri"/>
          <w:sz w:val="20"/>
          <w:szCs w:val="20"/>
        </w:rPr>
        <w:t>s</w:t>
      </w:r>
      <w:r w:rsidRPr="001C513B">
        <w:rPr>
          <w:rFonts w:ascii="Calibri" w:eastAsia="等线" w:hAnsi="Calibri" w:cs="Calibri"/>
          <w:sz w:val="20"/>
          <w:szCs w:val="20"/>
        </w:rPr>
        <w:t xml:space="preserve"> of {111}</w:t>
      </w:r>
      <w:r w:rsidRPr="001C513B">
        <w:rPr>
          <w:rFonts w:ascii="Calibri" w:eastAsia="等线" w:hAnsi="Calibri" w:cs="Calibri"/>
          <w:sz w:val="20"/>
          <w:szCs w:val="20"/>
          <w:vertAlign w:val="subscript"/>
        </w:rPr>
        <w:t>α’’</w:t>
      </w:r>
      <w:r w:rsidRPr="001C513B">
        <w:rPr>
          <w:rFonts w:ascii="Calibri" w:eastAsia="等线" w:hAnsi="Calibri" w:cs="Calibri"/>
          <w:sz w:val="20"/>
          <w:szCs w:val="20"/>
        </w:rPr>
        <w:t xml:space="preserve"> related </w:t>
      </w:r>
      <w:r>
        <w:rPr>
          <w:rFonts w:ascii="Calibri" w:eastAsia="等线" w:hAnsi="Calibri" w:cs="Calibri"/>
          <w:sz w:val="20"/>
          <w:szCs w:val="20"/>
        </w:rPr>
        <w:t xml:space="preserve">to </w:t>
      </w:r>
      <w:r w:rsidRPr="001C513B">
        <w:rPr>
          <w:rFonts w:ascii="Calibri" w:eastAsia="等线" w:hAnsi="Calibri" w:cs="Calibri"/>
          <w:sz w:val="20"/>
          <w:szCs w:val="20"/>
        </w:rPr>
        <w:t>martensite variant</w:t>
      </w:r>
      <w:r>
        <w:rPr>
          <w:rFonts w:ascii="Calibri" w:eastAsia="等线" w:hAnsi="Calibri" w:cs="Calibri"/>
          <w:sz w:val="20"/>
          <w:szCs w:val="20"/>
        </w:rPr>
        <w:t>s M1-M3,; and</w:t>
      </w:r>
      <w:r w:rsidRPr="001C513B">
        <w:rPr>
          <w:rFonts w:ascii="Calibri" w:eastAsia="等线" w:hAnsi="Calibri" w:cs="Calibri"/>
          <w:sz w:val="20"/>
          <w:szCs w:val="20"/>
        </w:rPr>
        <w:t xml:space="preserve"> (</w:t>
      </w:r>
      <w:r w:rsidRPr="001C513B">
        <w:rPr>
          <w:rFonts w:ascii="Calibri" w:eastAsia="等线" w:hAnsi="Calibri" w:cs="Calibri"/>
          <w:b/>
          <w:sz w:val="20"/>
          <w:szCs w:val="20"/>
        </w:rPr>
        <w:t>f</w:t>
      </w:r>
      <w:r w:rsidRPr="001C513B">
        <w:rPr>
          <w:rFonts w:ascii="Calibri" w:eastAsia="等线" w:hAnsi="Calibri" w:cs="Calibri"/>
          <w:sz w:val="20"/>
          <w:szCs w:val="20"/>
        </w:rPr>
        <w:t xml:space="preserve">) </w:t>
      </w:r>
      <w:r>
        <w:rPr>
          <w:rFonts w:ascii="Calibri" w:eastAsia="等线" w:hAnsi="Calibri" w:cs="Calibri"/>
          <w:sz w:val="20"/>
          <w:szCs w:val="20"/>
        </w:rPr>
        <w:t>a d</w:t>
      </w:r>
      <w:r w:rsidRPr="001C513B">
        <w:rPr>
          <w:rFonts w:ascii="Calibri" w:eastAsia="等线" w:hAnsi="Calibri" w:cs="Calibri"/>
          <w:sz w:val="20"/>
          <w:szCs w:val="20"/>
        </w:rPr>
        <w:t>ark field image of {111}</w:t>
      </w:r>
      <w:r w:rsidRPr="001C513B">
        <w:rPr>
          <w:rFonts w:ascii="Calibri" w:eastAsia="等线" w:hAnsi="Calibri" w:cs="Calibri"/>
          <w:sz w:val="20"/>
          <w:szCs w:val="20"/>
          <w:vertAlign w:val="subscript"/>
        </w:rPr>
        <w:t>α’’</w:t>
      </w:r>
      <w:r w:rsidRPr="001C513B">
        <w:rPr>
          <w:rFonts w:ascii="Calibri" w:eastAsia="等线" w:hAnsi="Calibri" w:cs="Calibri"/>
          <w:sz w:val="20"/>
          <w:szCs w:val="20"/>
        </w:rPr>
        <w:t xml:space="preserve"> related </w:t>
      </w:r>
      <w:r w:rsidR="003563E8">
        <w:rPr>
          <w:rFonts w:ascii="Calibri" w:eastAsia="等线" w:hAnsi="Calibri" w:cs="Calibri"/>
          <w:sz w:val="20"/>
          <w:szCs w:val="20"/>
        </w:rPr>
        <w:t xml:space="preserve">to </w:t>
      </w:r>
      <w:r w:rsidRPr="001C513B">
        <w:rPr>
          <w:rFonts w:ascii="Calibri" w:eastAsia="等线" w:hAnsi="Calibri" w:cs="Calibri"/>
          <w:sz w:val="20"/>
          <w:szCs w:val="20"/>
        </w:rPr>
        <w:t xml:space="preserve">martensite variant </w:t>
      </w:r>
      <w:r>
        <w:rPr>
          <w:rFonts w:ascii="Calibri" w:eastAsia="等线" w:hAnsi="Calibri" w:cs="Calibri"/>
          <w:sz w:val="20"/>
          <w:szCs w:val="20"/>
        </w:rPr>
        <w:t>M4,</w:t>
      </w:r>
      <w:r w:rsidRPr="001C513B">
        <w:rPr>
          <w:rFonts w:ascii="Calibri" w:eastAsia="等线" w:hAnsi="Calibri" w:cs="Calibri"/>
          <w:sz w:val="20"/>
          <w:szCs w:val="20"/>
        </w:rPr>
        <w:t xml:space="preserve"> which is not relate</w:t>
      </w:r>
      <w:r>
        <w:rPr>
          <w:rFonts w:ascii="Calibri" w:eastAsia="等线" w:hAnsi="Calibri" w:cs="Calibri"/>
          <w:sz w:val="20"/>
          <w:szCs w:val="20"/>
        </w:rPr>
        <w:t>d</w:t>
      </w:r>
      <w:r w:rsidRPr="001C513B">
        <w:rPr>
          <w:rFonts w:ascii="Calibri" w:eastAsia="等线" w:hAnsi="Calibri" w:cs="Calibri"/>
          <w:sz w:val="20"/>
          <w:szCs w:val="20"/>
        </w:rPr>
        <w:t xml:space="preserve"> </w:t>
      </w:r>
      <w:r>
        <w:rPr>
          <w:rFonts w:ascii="Calibri" w:eastAsia="等线" w:hAnsi="Calibri" w:cs="Calibri"/>
          <w:sz w:val="20"/>
          <w:szCs w:val="20"/>
        </w:rPr>
        <w:t>to</w:t>
      </w:r>
      <w:r w:rsidRPr="001C513B">
        <w:rPr>
          <w:rFonts w:ascii="Calibri" w:eastAsia="等线" w:hAnsi="Calibri" w:cs="Calibri"/>
          <w:sz w:val="20"/>
          <w:szCs w:val="20"/>
        </w:rPr>
        <w:t xml:space="preserve"> {111}</w:t>
      </w:r>
      <w:r w:rsidRPr="001C513B">
        <w:rPr>
          <w:rFonts w:ascii="Calibri" w:eastAsia="等线" w:hAnsi="Calibri" w:cs="Calibri"/>
          <w:sz w:val="20"/>
          <w:szCs w:val="20"/>
          <w:vertAlign w:val="subscript"/>
        </w:rPr>
        <w:t>α’’</w:t>
      </w:r>
      <w:r w:rsidRPr="001C513B">
        <w:rPr>
          <w:rFonts w:ascii="Calibri" w:eastAsia="等线" w:hAnsi="Calibri" w:cs="Calibri"/>
          <w:sz w:val="20"/>
          <w:szCs w:val="20"/>
        </w:rPr>
        <w:t xml:space="preserve"> type I twin</w:t>
      </w:r>
      <w:r w:rsidR="003563E8">
        <w:rPr>
          <w:rFonts w:ascii="Calibri" w:eastAsia="等线" w:hAnsi="Calibri" w:cs="Calibri"/>
          <w:sz w:val="20"/>
          <w:szCs w:val="20"/>
        </w:rPr>
        <w:t>ning</w:t>
      </w:r>
      <w:r w:rsidRPr="001C513B">
        <w:rPr>
          <w:rFonts w:ascii="Calibri" w:eastAsia="等线" w:hAnsi="Calibri" w:cs="Calibri"/>
          <w:sz w:val="20"/>
          <w:szCs w:val="20"/>
        </w:rPr>
        <w:t xml:space="preserve"> with </w:t>
      </w:r>
      <w:r w:rsidR="003563E8">
        <w:rPr>
          <w:rFonts w:ascii="Calibri" w:eastAsia="等线" w:hAnsi="Calibri" w:cs="Calibri"/>
          <w:sz w:val="20"/>
          <w:szCs w:val="20"/>
        </w:rPr>
        <w:t xml:space="preserve">the </w:t>
      </w:r>
      <w:r w:rsidRPr="001C513B">
        <w:rPr>
          <w:rFonts w:ascii="Calibri" w:eastAsia="等线" w:hAnsi="Calibri" w:cs="Calibri"/>
          <w:sz w:val="20"/>
          <w:szCs w:val="20"/>
        </w:rPr>
        <w:t>other variants.</w:t>
      </w:r>
      <w:bookmarkEnd w:id="262"/>
      <w:bookmarkEnd w:id="263"/>
      <w:r w:rsidRPr="001C513B">
        <w:rPr>
          <w:rFonts w:ascii="Calibri" w:eastAsia="等线" w:hAnsi="Calibri" w:cs="Calibri"/>
          <w:sz w:val="20"/>
          <w:szCs w:val="20"/>
        </w:rPr>
        <w:t xml:space="preserve">  </w:t>
      </w:r>
    </w:p>
    <w:p w14:paraId="47E038F4" w14:textId="55479696" w:rsidR="00B145BE" w:rsidRPr="001C513B" w:rsidRDefault="00B145BE" w:rsidP="00B145BE">
      <w:pPr>
        <w:suppressAutoHyphens/>
        <w:spacing w:after="60" w:line="360" w:lineRule="auto"/>
        <w:jc w:val="both"/>
        <w:rPr>
          <w:rFonts w:ascii="Calibri" w:eastAsia="等线" w:hAnsi="Calibri" w:cs="Calibri"/>
          <w:lang w:bidi="hi-IN"/>
        </w:rPr>
      </w:pPr>
      <w:r w:rsidRPr="001C513B">
        <w:rPr>
          <w:rFonts w:ascii="Calibri" w:eastAsia="等线" w:hAnsi="Calibri" w:cs="Calibri"/>
          <w:lang w:bidi="hi-IN"/>
        </w:rPr>
        <w:t xml:space="preserve">The four martensite variants SA feature was also captured along </w:t>
      </w:r>
      <w:r w:rsidR="003563E8">
        <w:rPr>
          <w:rFonts w:ascii="Calibri" w:eastAsia="等线" w:hAnsi="Calibri" w:cs="Calibri"/>
          <w:lang w:bidi="hi-IN"/>
        </w:rPr>
        <w:t xml:space="preserve">a </w:t>
      </w:r>
      <w:r w:rsidRPr="001C513B">
        <w:rPr>
          <w:rFonts w:ascii="Calibri" w:eastAsia="等线" w:hAnsi="Calibri" w:cs="Calibri"/>
          <w:lang w:bidi="hi-IN"/>
        </w:rPr>
        <w:t xml:space="preserve">different zone axis. In </w:t>
      </w:r>
      <w:r w:rsidRPr="001C513B">
        <w:rPr>
          <w:rFonts w:ascii="Calibri" w:eastAsia="等线" w:hAnsi="Calibri" w:cs="Calibri"/>
        </w:rPr>
        <w:t xml:space="preserve">Fig. 5-14 </w:t>
      </w:r>
      <w:r w:rsidRPr="001C513B">
        <w:rPr>
          <w:rFonts w:ascii="Calibri" w:eastAsia="等线" w:hAnsi="Calibri" w:cs="Calibri"/>
          <w:lang w:bidi="hi-IN"/>
        </w:rPr>
        <w:t>an abnormal cooperation of type I {111}</w:t>
      </w:r>
      <w:r w:rsidRPr="001C513B">
        <w:rPr>
          <w:rFonts w:ascii="Times New Roman" w:eastAsia="等线" w:hAnsi="Times New Roman" w:cs="Times New Roman"/>
          <w:szCs w:val="18"/>
          <w:vertAlign w:val="subscript"/>
        </w:rPr>
        <w:t>α</w:t>
      </w:r>
      <w:r w:rsidRPr="001C513B">
        <w:rPr>
          <w:rFonts w:ascii="Calibri" w:eastAsia="等线" w:hAnsi="Calibri" w:cs="Calibri"/>
          <w:szCs w:val="18"/>
          <w:vertAlign w:val="subscript"/>
        </w:rPr>
        <w:t>’’</w:t>
      </w:r>
      <w:r w:rsidRPr="001C513B">
        <w:rPr>
          <w:rFonts w:ascii="Calibri" w:eastAsia="等线" w:hAnsi="Calibri" w:cs="Calibri"/>
          <w:szCs w:val="18"/>
        </w:rPr>
        <w:t xml:space="preserve"> twin</w:t>
      </w:r>
      <w:r w:rsidR="003563E8">
        <w:rPr>
          <w:rFonts w:ascii="Calibri" w:eastAsia="等线" w:hAnsi="Calibri" w:cs="Calibri"/>
          <w:szCs w:val="18"/>
        </w:rPr>
        <w:t>ning</w:t>
      </w:r>
      <w:r w:rsidRPr="001C513B">
        <w:rPr>
          <w:rFonts w:ascii="Calibri" w:eastAsia="等线" w:hAnsi="Calibri" w:cs="Calibri"/>
          <w:szCs w:val="18"/>
        </w:rPr>
        <w:t xml:space="preserve"> and</w:t>
      </w:r>
      <w:r w:rsidRPr="001C513B">
        <w:rPr>
          <w:rFonts w:ascii="Calibri" w:eastAsia="等线" w:hAnsi="Calibri" w:cs="Calibri"/>
          <w:lang w:bidi="hi-IN"/>
        </w:rPr>
        <w:t xml:space="preserve"> {011}</w:t>
      </w:r>
      <w:r w:rsidRPr="001C513B">
        <w:rPr>
          <w:rFonts w:ascii="Times New Roman" w:eastAsia="等线" w:hAnsi="Times New Roman" w:cs="Times New Roman"/>
          <w:szCs w:val="18"/>
          <w:vertAlign w:val="subscript"/>
        </w:rPr>
        <w:t>α</w:t>
      </w:r>
      <w:r w:rsidRPr="001C513B">
        <w:rPr>
          <w:rFonts w:ascii="Calibri" w:eastAsia="等线" w:hAnsi="Calibri" w:cs="Calibri"/>
          <w:szCs w:val="18"/>
          <w:vertAlign w:val="subscript"/>
        </w:rPr>
        <w:t>’’</w:t>
      </w:r>
      <w:r w:rsidRPr="001C513B">
        <w:rPr>
          <w:rFonts w:ascii="Calibri" w:eastAsia="等线" w:hAnsi="Calibri" w:cs="Calibri"/>
          <w:szCs w:val="18"/>
        </w:rPr>
        <w:t xml:space="preserve"> compound twin</w:t>
      </w:r>
      <w:r w:rsidR="003563E8">
        <w:rPr>
          <w:rFonts w:ascii="Calibri" w:eastAsia="等线" w:hAnsi="Calibri" w:cs="Calibri"/>
          <w:szCs w:val="18"/>
        </w:rPr>
        <w:t>ning</w:t>
      </w:r>
      <w:r w:rsidRPr="001C513B">
        <w:rPr>
          <w:rFonts w:ascii="Calibri" w:eastAsia="等线" w:hAnsi="Calibri" w:cs="Calibri"/>
          <w:szCs w:val="18"/>
        </w:rPr>
        <w:t xml:space="preserve"> was captured. </w:t>
      </w:r>
      <w:r>
        <w:rPr>
          <w:rFonts w:ascii="Calibri" w:eastAsia="等线" w:hAnsi="Calibri" w:cs="Calibri"/>
          <w:szCs w:val="18"/>
        </w:rPr>
        <w:t>Although</w:t>
      </w:r>
      <w:r w:rsidRPr="001C513B">
        <w:rPr>
          <w:rFonts w:ascii="Calibri" w:eastAsia="等线" w:hAnsi="Calibri" w:cs="Calibri"/>
          <w:szCs w:val="18"/>
        </w:rPr>
        <w:t xml:space="preserve"> the whole feature is seemingly generated within one martensite matrix, the SA martensite twin</w:t>
      </w:r>
      <w:r>
        <w:rPr>
          <w:rFonts w:ascii="Calibri" w:eastAsia="等线" w:hAnsi="Calibri" w:cs="Calibri"/>
          <w:szCs w:val="18"/>
        </w:rPr>
        <w:t>n</w:t>
      </w:r>
      <w:r w:rsidRPr="001C513B">
        <w:rPr>
          <w:rFonts w:ascii="Calibri" w:eastAsia="等线" w:hAnsi="Calibri" w:cs="Calibri"/>
          <w:szCs w:val="18"/>
        </w:rPr>
        <w:t xml:space="preserve">ed variants </w:t>
      </w:r>
      <w:r w:rsidR="003563E8">
        <w:rPr>
          <w:rFonts w:ascii="Calibri" w:eastAsia="等线" w:hAnsi="Calibri" w:cs="Calibri"/>
          <w:szCs w:val="18"/>
        </w:rPr>
        <w:t>are</w:t>
      </w:r>
      <w:r w:rsidRPr="001C513B">
        <w:rPr>
          <w:rFonts w:ascii="Calibri" w:eastAsia="等线" w:hAnsi="Calibri" w:cs="Calibri"/>
          <w:szCs w:val="18"/>
        </w:rPr>
        <w:t xml:space="preserve"> link</w:t>
      </w:r>
      <w:r w:rsidR="003563E8">
        <w:rPr>
          <w:rFonts w:ascii="Calibri" w:eastAsia="等线" w:hAnsi="Calibri" w:cs="Calibri"/>
          <w:szCs w:val="18"/>
        </w:rPr>
        <w:t>ed</w:t>
      </w:r>
      <w:r w:rsidRPr="001C513B">
        <w:rPr>
          <w:rFonts w:ascii="Calibri" w:eastAsia="等线" w:hAnsi="Calibri" w:cs="Calibri"/>
          <w:szCs w:val="18"/>
        </w:rPr>
        <w:t xml:space="preserve"> by two different SA twin modes. According to the twin relationship, the four martensite variants were divided into two groups, type I {111}</w:t>
      </w:r>
      <w:r w:rsidRPr="001C513B">
        <w:rPr>
          <w:rFonts w:ascii="Times New Roman" w:eastAsia="等线" w:hAnsi="Times New Roman" w:cs="Times New Roman"/>
          <w:szCs w:val="18"/>
          <w:vertAlign w:val="subscript"/>
        </w:rPr>
        <w:t>α</w:t>
      </w:r>
      <w:r w:rsidRPr="001C513B">
        <w:rPr>
          <w:rFonts w:ascii="Calibri" w:eastAsia="等线" w:hAnsi="Calibri" w:cs="Calibri"/>
          <w:szCs w:val="18"/>
          <w:vertAlign w:val="subscript"/>
        </w:rPr>
        <w:t>’’</w:t>
      </w:r>
      <w:r w:rsidRPr="001C513B">
        <w:rPr>
          <w:rFonts w:ascii="Calibri" w:eastAsia="等线" w:hAnsi="Calibri" w:cs="Calibri"/>
          <w:szCs w:val="18"/>
        </w:rPr>
        <w:t xml:space="preserve"> twin</w:t>
      </w:r>
      <w:r w:rsidR="003563E8">
        <w:rPr>
          <w:rFonts w:ascii="Calibri" w:eastAsia="等线" w:hAnsi="Calibri" w:cs="Calibri"/>
          <w:szCs w:val="18"/>
        </w:rPr>
        <w:t>ning</w:t>
      </w:r>
      <w:r w:rsidRPr="001C513B">
        <w:rPr>
          <w:rFonts w:ascii="Calibri" w:eastAsia="等线" w:hAnsi="Calibri" w:cs="Calibri"/>
          <w:szCs w:val="18"/>
        </w:rPr>
        <w:t xml:space="preserve"> related martensite variants group A</w:t>
      </w:r>
      <w:r>
        <w:rPr>
          <w:rFonts w:ascii="Calibri" w:eastAsia="等线" w:hAnsi="Calibri" w:cs="Calibri"/>
          <w:szCs w:val="18"/>
        </w:rPr>
        <w:t>;</w:t>
      </w:r>
      <w:r w:rsidRPr="001C513B">
        <w:rPr>
          <w:rFonts w:ascii="Calibri" w:eastAsia="等线" w:hAnsi="Calibri" w:cs="Calibri"/>
          <w:szCs w:val="18"/>
        </w:rPr>
        <w:t xml:space="preserve"> and {011}</w:t>
      </w:r>
      <w:r w:rsidRPr="001C513B">
        <w:rPr>
          <w:rFonts w:ascii="Times New Roman" w:eastAsia="等线" w:hAnsi="Times New Roman" w:cs="Times New Roman"/>
          <w:szCs w:val="18"/>
          <w:vertAlign w:val="subscript"/>
        </w:rPr>
        <w:t>α</w:t>
      </w:r>
      <w:r w:rsidRPr="001C513B">
        <w:rPr>
          <w:rFonts w:ascii="Calibri" w:eastAsia="等线" w:hAnsi="Calibri" w:cs="Calibri"/>
          <w:szCs w:val="18"/>
          <w:vertAlign w:val="subscript"/>
        </w:rPr>
        <w:t>’’</w:t>
      </w:r>
      <w:r w:rsidRPr="001C513B">
        <w:rPr>
          <w:rFonts w:ascii="Calibri" w:eastAsia="等线" w:hAnsi="Calibri" w:cs="Calibri"/>
          <w:szCs w:val="18"/>
        </w:rPr>
        <w:t xml:space="preserve"> twin</w:t>
      </w:r>
      <w:r w:rsidR="003563E8">
        <w:rPr>
          <w:rFonts w:ascii="Calibri" w:eastAsia="等线" w:hAnsi="Calibri" w:cs="Calibri"/>
          <w:szCs w:val="18"/>
        </w:rPr>
        <w:t>ning</w:t>
      </w:r>
      <w:r w:rsidRPr="001C513B">
        <w:rPr>
          <w:rFonts w:ascii="Calibri" w:eastAsia="等线" w:hAnsi="Calibri" w:cs="Calibri"/>
          <w:szCs w:val="18"/>
        </w:rPr>
        <w:t xml:space="preserve"> related martensite variants group B. </w:t>
      </w:r>
      <w:r>
        <w:rPr>
          <w:rFonts w:ascii="Calibri" w:eastAsia="等线" w:hAnsi="Calibri" w:cs="Calibri"/>
          <w:szCs w:val="18"/>
        </w:rPr>
        <w:t>It should be noted that</w:t>
      </w:r>
      <w:r w:rsidRPr="001C513B">
        <w:rPr>
          <w:rFonts w:ascii="Calibri" w:eastAsia="等线" w:hAnsi="Calibri" w:cs="Calibri"/>
          <w:szCs w:val="18"/>
        </w:rPr>
        <w:t xml:space="preserve"> the boundary of A and B </w:t>
      </w:r>
      <w:r w:rsidRPr="001C513B">
        <w:rPr>
          <w:rFonts w:ascii="Calibri" w:eastAsia="等线" w:hAnsi="Calibri" w:cs="Calibri"/>
          <w:szCs w:val="18"/>
        </w:rPr>
        <w:lastRenderedPageBreak/>
        <w:t>group variants also shar</w:t>
      </w:r>
      <w:r>
        <w:rPr>
          <w:rFonts w:ascii="Calibri" w:eastAsia="等线" w:hAnsi="Calibri" w:cs="Calibri"/>
          <w:szCs w:val="18"/>
        </w:rPr>
        <w:t>ed</w:t>
      </w:r>
      <w:r w:rsidRPr="001C513B">
        <w:rPr>
          <w:rFonts w:ascii="Calibri" w:eastAsia="等线" w:hAnsi="Calibri" w:cs="Calibri"/>
          <w:szCs w:val="18"/>
        </w:rPr>
        <w:t xml:space="preserve"> the same boundary as observed in </w:t>
      </w:r>
      <w:r w:rsidRPr="001C513B">
        <w:rPr>
          <w:rFonts w:ascii="Calibri" w:eastAsia="等线" w:hAnsi="Calibri" w:cs="Calibri"/>
        </w:rPr>
        <w:t>Fig. 5-13</w:t>
      </w:r>
      <w:r w:rsidRPr="001C513B">
        <w:rPr>
          <w:rFonts w:ascii="Calibri" w:eastAsia="等线" w:hAnsi="Calibri" w:cs="Calibri"/>
          <w:szCs w:val="18"/>
        </w:rPr>
        <w:t xml:space="preserve">. </w:t>
      </w:r>
      <w:r>
        <w:rPr>
          <w:rFonts w:ascii="Calibri" w:eastAsia="等线" w:hAnsi="Calibri" w:cs="Calibri"/>
          <w:szCs w:val="18"/>
        </w:rPr>
        <w:t>However, t</w:t>
      </w:r>
      <w:r w:rsidRPr="001C513B">
        <w:rPr>
          <w:rFonts w:ascii="Calibri" w:eastAsia="等线" w:hAnsi="Calibri" w:cs="Calibri"/>
          <w:szCs w:val="18"/>
        </w:rPr>
        <w:t xml:space="preserve">he </w:t>
      </w:r>
      <w:r>
        <w:rPr>
          <w:rFonts w:ascii="Calibri" w:eastAsia="等线" w:hAnsi="Calibri" w:cs="Calibri"/>
          <w:szCs w:val="18"/>
        </w:rPr>
        <w:t>underlying mechanism promoting the observations remains unclear</w:t>
      </w:r>
      <w:r w:rsidRPr="001C513B">
        <w:rPr>
          <w:rFonts w:ascii="Calibri" w:eastAsia="等线" w:hAnsi="Calibri" w:cs="Calibri"/>
          <w:szCs w:val="18"/>
        </w:rPr>
        <w:t xml:space="preserve">. To </w:t>
      </w:r>
      <w:r>
        <w:rPr>
          <w:rFonts w:ascii="Calibri" w:eastAsia="等线" w:hAnsi="Calibri" w:cs="Calibri"/>
          <w:szCs w:val="18"/>
        </w:rPr>
        <w:t>aid in the</w:t>
      </w:r>
      <w:r w:rsidRPr="001C513B">
        <w:rPr>
          <w:rFonts w:ascii="Calibri" w:eastAsia="等线" w:hAnsi="Calibri" w:cs="Calibri"/>
          <w:szCs w:val="18"/>
        </w:rPr>
        <w:t xml:space="preserve"> understand</w:t>
      </w:r>
      <w:r>
        <w:rPr>
          <w:rFonts w:ascii="Calibri" w:eastAsia="等线" w:hAnsi="Calibri" w:cs="Calibri"/>
          <w:szCs w:val="18"/>
        </w:rPr>
        <w:t>ing of</w:t>
      </w:r>
      <w:r w:rsidRPr="001C513B">
        <w:rPr>
          <w:rFonts w:ascii="Calibri" w:eastAsia="等线" w:hAnsi="Calibri" w:cs="Calibri"/>
          <w:szCs w:val="18"/>
        </w:rPr>
        <w:t xml:space="preserve"> the orientation relationship between group A and group B variants, the stereo projection figures of </w:t>
      </w:r>
      <w:r w:rsidR="003563E8">
        <w:rPr>
          <w:rFonts w:ascii="Calibri" w:eastAsia="等线" w:hAnsi="Calibri" w:cs="Calibri"/>
          <w:szCs w:val="18"/>
        </w:rPr>
        <w:t xml:space="preserve">the </w:t>
      </w:r>
      <w:r w:rsidRPr="001C513B">
        <w:rPr>
          <w:rFonts w:ascii="Calibri" w:eastAsia="等线" w:hAnsi="Calibri" w:cs="Calibri"/>
          <w:szCs w:val="18"/>
        </w:rPr>
        <w:t xml:space="preserve">lattice </w:t>
      </w:r>
      <w:r w:rsidR="003563E8" w:rsidRPr="001C513B">
        <w:rPr>
          <w:rFonts w:ascii="Calibri" w:eastAsia="等线" w:hAnsi="Calibri" w:cs="Calibri"/>
          <w:szCs w:val="18"/>
        </w:rPr>
        <w:t>correspond</w:t>
      </w:r>
      <w:r w:rsidR="003563E8">
        <w:rPr>
          <w:rFonts w:ascii="Calibri" w:eastAsia="等线" w:hAnsi="Calibri" w:cs="Calibri"/>
          <w:szCs w:val="18"/>
        </w:rPr>
        <w:t xml:space="preserve">ance </w:t>
      </w:r>
      <w:r>
        <w:rPr>
          <w:rFonts w:ascii="Calibri" w:eastAsia="等线" w:hAnsi="Calibri" w:cs="Calibri"/>
          <w:szCs w:val="18"/>
        </w:rPr>
        <w:t>to</w:t>
      </w:r>
      <w:r w:rsidRPr="001C513B">
        <w:rPr>
          <w:rFonts w:ascii="Calibri" w:eastAsia="等线" w:hAnsi="Calibri" w:cs="Calibri"/>
          <w:szCs w:val="18"/>
        </w:rPr>
        <w:t xml:space="preserve"> </w:t>
      </w:r>
      <w:r w:rsidR="003563E8">
        <w:rPr>
          <w:rFonts w:ascii="Calibri" w:eastAsia="等线" w:hAnsi="Calibri" w:cs="Calibri"/>
          <w:szCs w:val="18"/>
        </w:rPr>
        <w:t xml:space="preserve">the </w:t>
      </w:r>
      <w:r w:rsidRPr="001C513B">
        <w:rPr>
          <w:rFonts w:ascii="Calibri" w:eastAsia="等线" w:hAnsi="Calibri" w:cs="Calibri"/>
          <w:szCs w:val="18"/>
        </w:rPr>
        <w:t xml:space="preserve">β matrix for group A and group B martensite variants were plotted in </w:t>
      </w:r>
      <w:r w:rsidRPr="001C513B">
        <w:rPr>
          <w:rFonts w:ascii="Calibri" w:eastAsia="等线" w:hAnsi="Calibri" w:cs="Calibri"/>
        </w:rPr>
        <w:t>Fig. 5-14(f)</w:t>
      </w:r>
      <w:r w:rsidRPr="001C513B">
        <w:rPr>
          <w:rFonts w:ascii="Calibri" w:eastAsia="等线" w:hAnsi="Calibri" w:cs="Calibri"/>
          <w:szCs w:val="18"/>
        </w:rPr>
        <w:t>. Surprisingly, group A and group B lattice correspond</w:t>
      </w:r>
      <w:r w:rsidR="003563E8">
        <w:rPr>
          <w:rFonts w:ascii="Calibri" w:eastAsia="等线" w:hAnsi="Calibri" w:cs="Calibri"/>
          <w:szCs w:val="18"/>
        </w:rPr>
        <w:t>ance</w:t>
      </w:r>
      <w:r>
        <w:rPr>
          <w:rFonts w:ascii="Calibri" w:eastAsia="等线" w:hAnsi="Calibri" w:cs="Calibri"/>
          <w:szCs w:val="18"/>
        </w:rPr>
        <w:t xml:space="preserve"> to</w:t>
      </w:r>
      <w:r w:rsidRPr="001C513B">
        <w:rPr>
          <w:rFonts w:ascii="Calibri" w:eastAsia="等线" w:hAnsi="Calibri" w:cs="Calibri"/>
          <w:szCs w:val="18"/>
        </w:rPr>
        <w:t xml:space="preserve"> </w:t>
      </w:r>
      <w:r w:rsidR="003563E8">
        <w:rPr>
          <w:rFonts w:ascii="Calibri" w:eastAsia="等线" w:hAnsi="Calibri" w:cs="Calibri"/>
          <w:szCs w:val="18"/>
        </w:rPr>
        <w:t xml:space="preserve">the </w:t>
      </w:r>
      <w:r w:rsidRPr="001C513B">
        <w:rPr>
          <w:rFonts w:ascii="Calibri" w:eastAsia="等线" w:hAnsi="Calibri" w:cs="Calibri"/>
          <w:szCs w:val="18"/>
        </w:rPr>
        <w:t>β matrix are related by {332}[11-3]</w:t>
      </w:r>
      <w:r w:rsidRPr="001C513B">
        <w:rPr>
          <w:rFonts w:ascii="Calibri" w:eastAsia="等线" w:hAnsi="Calibri" w:cs="Calibri"/>
          <w:szCs w:val="18"/>
          <w:vertAlign w:val="subscript"/>
        </w:rPr>
        <w:t>β</w:t>
      </w:r>
      <w:r w:rsidRPr="001C513B">
        <w:rPr>
          <w:rFonts w:ascii="Calibri" w:eastAsia="等线" w:hAnsi="Calibri" w:cs="Calibri"/>
          <w:szCs w:val="18"/>
        </w:rPr>
        <w:t xml:space="preserve"> mechanical twin</w:t>
      </w:r>
      <w:r w:rsidR="003563E8">
        <w:rPr>
          <w:rFonts w:ascii="Calibri" w:eastAsia="等线" w:hAnsi="Calibri" w:cs="Calibri"/>
          <w:szCs w:val="18"/>
        </w:rPr>
        <w:t>ning</w:t>
      </w:r>
      <w:r w:rsidRPr="001C513B">
        <w:rPr>
          <w:rFonts w:ascii="Calibri" w:eastAsia="等线" w:hAnsi="Calibri" w:cs="Calibri"/>
          <w:szCs w:val="18"/>
        </w:rPr>
        <w:t xml:space="preserve">. Thus, a plausible </w:t>
      </w:r>
      <w:r>
        <w:rPr>
          <w:rFonts w:ascii="Calibri" w:eastAsia="等线" w:hAnsi="Calibri" w:cs="Calibri"/>
          <w:szCs w:val="18"/>
        </w:rPr>
        <w:t>explanation is that</w:t>
      </w:r>
      <w:r w:rsidRPr="001C513B">
        <w:rPr>
          <w:rFonts w:ascii="Calibri" w:eastAsia="等线" w:hAnsi="Calibri" w:cs="Calibri"/>
          <w:szCs w:val="18"/>
        </w:rPr>
        <w:t xml:space="preserve"> there </w:t>
      </w:r>
      <w:r w:rsidR="004A2B25" w:rsidRPr="001C513B">
        <w:rPr>
          <w:rFonts w:ascii="Calibri" w:eastAsia="等线" w:hAnsi="Calibri" w:cs="Calibri"/>
          <w:szCs w:val="18"/>
        </w:rPr>
        <w:t>exists</w:t>
      </w:r>
      <w:r w:rsidRPr="001C513B">
        <w:rPr>
          <w:rFonts w:ascii="Calibri" w:eastAsia="等线" w:hAnsi="Calibri" w:cs="Calibri"/>
          <w:szCs w:val="18"/>
        </w:rPr>
        <w:t xml:space="preserve"> an </w:t>
      </w:r>
      <w:r w:rsidR="000A5412" w:rsidRPr="001C513B">
        <w:rPr>
          <w:rFonts w:ascii="Calibri" w:eastAsia="等线" w:hAnsi="Calibri" w:cs="Calibri"/>
          <w:szCs w:val="18"/>
        </w:rPr>
        <w:t>unknown twinning mode</w:t>
      </w:r>
      <w:r>
        <w:rPr>
          <w:rFonts w:ascii="Calibri" w:eastAsia="等线" w:hAnsi="Calibri" w:cs="Calibri"/>
          <w:szCs w:val="18"/>
        </w:rPr>
        <w:t>,</w:t>
      </w:r>
      <w:r w:rsidRPr="001C513B">
        <w:rPr>
          <w:rFonts w:ascii="Calibri" w:eastAsia="等线" w:hAnsi="Calibri" w:cs="Calibri"/>
          <w:szCs w:val="18"/>
        </w:rPr>
        <w:t xml:space="preserve"> or deformation mechanism</w:t>
      </w:r>
      <w:r>
        <w:rPr>
          <w:rFonts w:ascii="Calibri" w:eastAsia="等线" w:hAnsi="Calibri" w:cs="Calibri"/>
          <w:szCs w:val="18"/>
        </w:rPr>
        <w:t>,</w:t>
      </w:r>
      <w:r w:rsidRPr="001C513B">
        <w:rPr>
          <w:rFonts w:ascii="Calibri" w:eastAsia="等线" w:hAnsi="Calibri" w:cs="Calibri"/>
          <w:szCs w:val="18"/>
        </w:rPr>
        <w:t xml:space="preserve"> which enable</w:t>
      </w:r>
      <w:r>
        <w:rPr>
          <w:rFonts w:ascii="Calibri" w:eastAsia="等线" w:hAnsi="Calibri" w:cs="Calibri"/>
          <w:szCs w:val="18"/>
        </w:rPr>
        <w:t>s</w:t>
      </w:r>
      <w:r w:rsidRPr="001C513B">
        <w:rPr>
          <w:rFonts w:ascii="Calibri" w:eastAsia="等线" w:hAnsi="Calibri" w:cs="Calibri"/>
          <w:szCs w:val="18"/>
        </w:rPr>
        <w:t xml:space="preserve"> the martensite SA variants to arrange themselves into a special orientation relationship</w:t>
      </w:r>
      <w:r>
        <w:rPr>
          <w:rFonts w:ascii="Calibri" w:eastAsia="等线" w:hAnsi="Calibri" w:cs="Calibri"/>
          <w:szCs w:val="18"/>
        </w:rPr>
        <w:t>, which</w:t>
      </w:r>
      <w:r w:rsidRPr="001C513B">
        <w:rPr>
          <w:rFonts w:ascii="Calibri" w:eastAsia="等线" w:hAnsi="Calibri" w:cs="Calibri"/>
          <w:szCs w:val="18"/>
        </w:rPr>
        <w:t xml:space="preserve"> corresponds to the {332}[11-3]</w:t>
      </w:r>
      <w:r w:rsidRPr="001C513B">
        <w:rPr>
          <w:rFonts w:ascii="Calibri" w:eastAsia="等线" w:hAnsi="Calibri" w:cs="Calibri"/>
          <w:szCs w:val="18"/>
          <w:vertAlign w:val="subscript"/>
        </w:rPr>
        <w:t>β</w:t>
      </w:r>
      <w:r w:rsidRPr="001C513B">
        <w:rPr>
          <w:rFonts w:ascii="Calibri" w:eastAsia="等线" w:hAnsi="Calibri" w:cs="Calibri"/>
          <w:szCs w:val="18"/>
        </w:rPr>
        <w:t xml:space="preserve"> mechanical twin modes in </w:t>
      </w:r>
      <w:r>
        <w:rPr>
          <w:rFonts w:ascii="Calibri" w:eastAsia="等线" w:hAnsi="Calibri" w:cs="Calibri"/>
          <w:szCs w:val="18"/>
        </w:rPr>
        <w:t xml:space="preserve">the </w:t>
      </w:r>
      <w:r w:rsidRPr="001C513B">
        <w:rPr>
          <w:rFonts w:ascii="Calibri" w:eastAsia="等线" w:hAnsi="Calibri" w:cs="Calibri"/>
          <w:szCs w:val="18"/>
        </w:rPr>
        <w:t xml:space="preserve">β phase. </w:t>
      </w:r>
    </w:p>
    <w:p w14:paraId="7FF5C181" w14:textId="77777777" w:rsidR="00B145BE" w:rsidRPr="001C513B" w:rsidRDefault="00B145BE" w:rsidP="00AB2332">
      <w:pPr>
        <w:keepNext/>
        <w:suppressAutoHyphens/>
        <w:spacing w:after="0" w:line="360" w:lineRule="auto"/>
        <w:rPr>
          <w:rFonts w:ascii="Calibri" w:eastAsia="等线" w:hAnsi="Calibri" w:cs="Calibri"/>
        </w:rPr>
      </w:pPr>
      <w:r w:rsidRPr="001C513B">
        <w:rPr>
          <w:rFonts w:ascii="Calibri" w:eastAsia="等线" w:hAnsi="Calibri" w:cs="Calibri"/>
          <w:b/>
          <w:noProof/>
          <w:sz w:val="44"/>
          <w:szCs w:val="24"/>
          <w:vertAlign w:val="subscript"/>
          <w:lang w:val="en-US" w:eastAsia="en-US"/>
        </w:rPr>
        <w:drawing>
          <wp:inline distT="0" distB="0" distL="0" distR="0" wp14:anchorId="10B2D13F" wp14:editId="37120F7D">
            <wp:extent cx="5993877" cy="3997842"/>
            <wp:effectExtent l="0" t="0" r="6985" b="3175"/>
            <wp:docPr id="71" name="图片 43">
              <a:extLst xmlns:a="http://schemas.openxmlformats.org/drawingml/2006/main">
                <a:ext uri="{FF2B5EF4-FFF2-40B4-BE49-F238E27FC236}">
                  <a16:creationId xmlns:a16="http://schemas.microsoft.com/office/drawing/2014/main" id="{D1B278CA-8B45-4E6C-9FC4-A9D070312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a:extLst>
                        <a:ext uri="{FF2B5EF4-FFF2-40B4-BE49-F238E27FC236}">
                          <a16:creationId xmlns:a16="http://schemas.microsoft.com/office/drawing/2014/main" id="{D1B278CA-8B45-4E6C-9FC4-A9D070312419}"/>
                        </a:ext>
                      </a:extLst>
                    </pic:cNvPr>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6036398" cy="4026203"/>
                    </a:xfrm>
                    <a:prstGeom prst="rect">
                      <a:avLst/>
                    </a:prstGeom>
                  </pic:spPr>
                </pic:pic>
              </a:graphicData>
            </a:graphic>
          </wp:inline>
        </w:drawing>
      </w:r>
    </w:p>
    <w:p w14:paraId="120D5C0A" w14:textId="279C7E9A" w:rsidR="00B145BE" w:rsidRPr="001C513B" w:rsidRDefault="00B145BE" w:rsidP="00AB2332">
      <w:pPr>
        <w:shd w:val="clear" w:color="auto" w:fill="FFFFFF"/>
        <w:spacing w:after="0" w:line="360" w:lineRule="auto"/>
        <w:jc w:val="both"/>
        <w:rPr>
          <w:rFonts w:ascii="Calibri" w:eastAsia="等线" w:hAnsi="Calibri" w:cs="Calibri"/>
          <w:b/>
          <w:sz w:val="48"/>
          <w:szCs w:val="24"/>
          <w:vertAlign w:val="subscript"/>
          <w:lang w:bidi="hi-IN"/>
        </w:rPr>
      </w:pPr>
      <w:bookmarkStart w:id="264" w:name="_Toc7364606"/>
      <w:bookmarkStart w:id="265" w:name="_Toc39312720"/>
      <w:r w:rsidRPr="001C513B">
        <w:rPr>
          <w:rFonts w:ascii="Calibri" w:eastAsia="等线" w:hAnsi="Calibri" w:cs="Calibri"/>
          <w:b/>
          <w:sz w:val="20"/>
          <w:szCs w:val="18"/>
        </w:rPr>
        <w:t>Figure 5-</w:t>
      </w:r>
      <w:r w:rsidRPr="001C513B">
        <w:rPr>
          <w:rFonts w:ascii="Calibri" w:eastAsia="等线" w:hAnsi="Calibri" w:cs="Calibri"/>
          <w:b/>
          <w:sz w:val="20"/>
        </w:rPr>
        <w:fldChar w:fldCharType="begin"/>
      </w:r>
      <w:r w:rsidRPr="001C513B">
        <w:rPr>
          <w:rFonts w:ascii="Calibri" w:eastAsia="等线" w:hAnsi="Calibri" w:cs="Calibri"/>
          <w:b/>
          <w:sz w:val="20"/>
        </w:rPr>
        <w:instrText xml:space="preserve"> SEQ Figure \* ARABIC </w:instrText>
      </w:r>
      <w:r w:rsidRPr="001C513B">
        <w:rPr>
          <w:rFonts w:ascii="Calibri" w:eastAsia="等线" w:hAnsi="Calibri" w:cs="Calibri"/>
          <w:b/>
          <w:sz w:val="20"/>
        </w:rPr>
        <w:fldChar w:fldCharType="separate"/>
      </w:r>
      <w:r>
        <w:rPr>
          <w:rFonts w:ascii="Calibri" w:eastAsia="等线" w:hAnsi="Calibri" w:cs="Calibri"/>
          <w:b/>
          <w:noProof/>
          <w:sz w:val="20"/>
        </w:rPr>
        <w:t>14</w:t>
      </w:r>
      <w:r w:rsidRPr="001C513B">
        <w:rPr>
          <w:rFonts w:ascii="Calibri" w:eastAsia="等线" w:hAnsi="Calibri" w:cs="Calibri"/>
          <w:b/>
          <w:sz w:val="20"/>
        </w:rPr>
        <w:fldChar w:fldCharType="end"/>
      </w:r>
      <w:r w:rsidRPr="001C513B">
        <w:rPr>
          <w:rFonts w:ascii="Calibri" w:eastAsia="等线" w:hAnsi="Calibri" w:cs="Calibri"/>
          <w:b/>
          <w:sz w:val="20"/>
          <w:szCs w:val="18"/>
        </w:rPr>
        <w:t xml:space="preserve"> TEM image</w:t>
      </w:r>
      <w:r>
        <w:rPr>
          <w:rFonts w:ascii="Calibri" w:eastAsia="等线" w:hAnsi="Calibri" w:cs="Calibri"/>
          <w:b/>
          <w:sz w:val="20"/>
          <w:szCs w:val="18"/>
        </w:rPr>
        <w:t>s</w:t>
      </w:r>
      <w:r w:rsidRPr="001C513B">
        <w:rPr>
          <w:rFonts w:ascii="Calibri" w:eastAsia="等线" w:hAnsi="Calibri" w:cs="Calibri"/>
          <w:b/>
          <w:sz w:val="20"/>
          <w:szCs w:val="18"/>
        </w:rPr>
        <w:t xml:space="preserve"> of {011}</w:t>
      </w:r>
      <w:r w:rsidRPr="001C513B">
        <w:rPr>
          <w:rFonts w:ascii="Calibri" w:eastAsia="等线" w:hAnsi="Calibri" w:cs="Calibri"/>
          <w:b/>
          <w:sz w:val="20"/>
          <w:szCs w:val="18"/>
          <w:vertAlign w:val="subscript"/>
        </w:rPr>
        <w:t>α’’</w:t>
      </w:r>
      <w:r w:rsidRPr="001C513B">
        <w:rPr>
          <w:rFonts w:ascii="Calibri" w:eastAsia="等线" w:hAnsi="Calibri" w:cs="Calibri"/>
          <w:b/>
          <w:sz w:val="20"/>
          <w:szCs w:val="18"/>
        </w:rPr>
        <w:t xml:space="preserve"> and {111}</w:t>
      </w:r>
      <w:r w:rsidRPr="001C513B">
        <w:rPr>
          <w:rFonts w:ascii="Calibri" w:eastAsia="等线" w:hAnsi="Calibri" w:cs="Calibri"/>
          <w:b/>
          <w:sz w:val="20"/>
          <w:szCs w:val="18"/>
          <w:vertAlign w:val="subscript"/>
        </w:rPr>
        <w:t>α’’</w:t>
      </w:r>
      <w:r w:rsidRPr="001C513B">
        <w:rPr>
          <w:rFonts w:ascii="Calibri" w:eastAsia="等线" w:hAnsi="Calibri" w:cs="Calibri"/>
          <w:b/>
          <w:sz w:val="20"/>
          <w:szCs w:val="18"/>
        </w:rPr>
        <w:t xml:space="preserve"> SA twinning cooperation feature of </w:t>
      </w:r>
      <w:r w:rsidR="00D0739C">
        <w:rPr>
          <w:rFonts w:ascii="Calibri" w:eastAsia="等线" w:hAnsi="Calibri" w:cs="Calibri"/>
          <w:b/>
          <w:sz w:val="20"/>
          <w:szCs w:val="18"/>
        </w:rPr>
        <w:t>20</w:t>
      </w:r>
      <w:r w:rsidRPr="001C513B">
        <w:rPr>
          <w:rFonts w:ascii="Calibri" w:eastAsia="等线" w:hAnsi="Calibri" w:cs="Calibri"/>
          <w:b/>
          <w:sz w:val="20"/>
          <w:szCs w:val="18"/>
        </w:rPr>
        <w:t>% deformed TiZrHfTa</w:t>
      </w:r>
      <w:r w:rsidRPr="001C513B">
        <w:rPr>
          <w:rFonts w:ascii="Calibri" w:eastAsia="等线" w:hAnsi="Calibri" w:cs="Calibri"/>
          <w:b/>
          <w:sz w:val="20"/>
          <w:szCs w:val="18"/>
          <w:vertAlign w:val="subscript"/>
        </w:rPr>
        <w:t>0.5</w:t>
      </w:r>
      <w:r w:rsidRPr="001C513B">
        <w:rPr>
          <w:rFonts w:ascii="Calibri" w:eastAsia="等线" w:hAnsi="Calibri" w:cs="Calibri"/>
          <w:b/>
          <w:sz w:val="20"/>
          <w:szCs w:val="18"/>
        </w:rPr>
        <w:t>.</w:t>
      </w:r>
      <w:r w:rsidRPr="001C513B">
        <w:rPr>
          <w:rFonts w:ascii="Calibri" w:eastAsia="等线" w:hAnsi="Calibri" w:cs="Calibri"/>
          <w:b/>
          <w:sz w:val="20"/>
          <w:szCs w:val="18"/>
          <w:vertAlign w:val="subscript"/>
        </w:rPr>
        <w:t xml:space="preserve"> </w:t>
      </w:r>
      <w:r w:rsidRPr="001C513B">
        <w:rPr>
          <w:rFonts w:ascii="Calibri" w:eastAsia="等线" w:hAnsi="Calibri" w:cs="Calibri"/>
          <w:sz w:val="20"/>
          <w:szCs w:val="18"/>
        </w:rPr>
        <w:t>(</w:t>
      </w:r>
      <w:r w:rsidRPr="001C513B">
        <w:rPr>
          <w:rFonts w:ascii="Calibri" w:eastAsia="等线" w:hAnsi="Calibri" w:cs="Calibri"/>
          <w:b/>
          <w:sz w:val="20"/>
          <w:szCs w:val="18"/>
        </w:rPr>
        <w:t>a</w:t>
      </w:r>
      <w:r w:rsidRPr="001C513B">
        <w:rPr>
          <w:rFonts w:ascii="Calibri" w:eastAsia="等线" w:hAnsi="Calibri" w:cs="Calibri"/>
          <w:sz w:val="20"/>
          <w:szCs w:val="18"/>
        </w:rPr>
        <w:t xml:space="preserve">) </w:t>
      </w:r>
      <w:r>
        <w:rPr>
          <w:rFonts w:ascii="Calibri" w:eastAsia="等线" w:hAnsi="Calibri" w:cs="Calibri"/>
          <w:sz w:val="20"/>
          <w:szCs w:val="18"/>
        </w:rPr>
        <w:t>a d</w:t>
      </w:r>
      <w:r w:rsidRPr="001C513B">
        <w:rPr>
          <w:rFonts w:ascii="Calibri" w:eastAsia="等线" w:hAnsi="Calibri" w:cs="Calibri"/>
          <w:sz w:val="20"/>
          <w:szCs w:val="18"/>
        </w:rPr>
        <w:t>ark field image of {011}</w:t>
      </w:r>
      <w:r w:rsidRPr="001C513B">
        <w:rPr>
          <w:rFonts w:ascii="Calibri" w:eastAsia="等线" w:hAnsi="Calibri" w:cs="Calibri"/>
          <w:sz w:val="20"/>
          <w:szCs w:val="18"/>
          <w:vertAlign w:val="subscript"/>
        </w:rPr>
        <w:t>α’’</w:t>
      </w:r>
      <w:r w:rsidRPr="001C513B">
        <w:rPr>
          <w:rFonts w:ascii="Calibri" w:eastAsia="等线" w:hAnsi="Calibri" w:cs="Calibri"/>
          <w:sz w:val="20"/>
          <w:szCs w:val="18"/>
        </w:rPr>
        <w:t xml:space="preserve"> related </w:t>
      </w:r>
      <w:r>
        <w:rPr>
          <w:rFonts w:ascii="Calibri" w:eastAsia="等线" w:hAnsi="Calibri" w:cs="Calibri"/>
          <w:sz w:val="20"/>
          <w:szCs w:val="18"/>
        </w:rPr>
        <w:t xml:space="preserve">to </w:t>
      </w:r>
      <w:r w:rsidRPr="001C513B">
        <w:rPr>
          <w:rFonts w:ascii="Calibri" w:eastAsia="等线" w:hAnsi="Calibri" w:cs="Calibri"/>
          <w:sz w:val="20"/>
          <w:szCs w:val="18"/>
        </w:rPr>
        <w:t>martensite variant one</w:t>
      </w:r>
      <w:r>
        <w:rPr>
          <w:rFonts w:ascii="Calibri" w:eastAsia="等线" w:hAnsi="Calibri" w:cs="Calibri"/>
          <w:sz w:val="20"/>
          <w:szCs w:val="18"/>
        </w:rPr>
        <w:t xml:space="preserve"> (M1);</w:t>
      </w:r>
      <w:r w:rsidRPr="001C513B">
        <w:rPr>
          <w:rFonts w:ascii="Calibri" w:eastAsia="等线" w:hAnsi="Calibri" w:cs="Calibri"/>
          <w:sz w:val="20"/>
          <w:szCs w:val="18"/>
        </w:rPr>
        <w:t xml:space="preserve"> (</w:t>
      </w:r>
      <w:r w:rsidRPr="001C513B">
        <w:rPr>
          <w:rFonts w:ascii="Calibri" w:eastAsia="等线" w:hAnsi="Calibri" w:cs="Calibri"/>
          <w:b/>
          <w:sz w:val="20"/>
          <w:szCs w:val="18"/>
        </w:rPr>
        <w:t>b</w:t>
      </w:r>
      <w:r w:rsidRPr="001C513B">
        <w:rPr>
          <w:rFonts w:ascii="Calibri" w:eastAsia="等线" w:hAnsi="Calibri" w:cs="Calibri"/>
          <w:sz w:val="20"/>
          <w:szCs w:val="18"/>
        </w:rPr>
        <w:t xml:space="preserve">) </w:t>
      </w:r>
      <w:r>
        <w:rPr>
          <w:rFonts w:ascii="Calibri" w:eastAsia="等线" w:hAnsi="Calibri" w:cs="Calibri"/>
          <w:sz w:val="20"/>
          <w:szCs w:val="18"/>
        </w:rPr>
        <w:t>a d</w:t>
      </w:r>
      <w:r w:rsidRPr="001C513B">
        <w:rPr>
          <w:rFonts w:ascii="Calibri" w:eastAsia="等线" w:hAnsi="Calibri" w:cs="Calibri"/>
          <w:sz w:val="20"/>
          <w:szCs w:val="18"/>
        </w:rPr>
        <w:t>ark field image of {011}</w:t>
      </w:r>
      <w:r w:rsidRPr="001C513B">
        <w:rPr>
          <w:rFonts w:ascii="Calibri" w:eastAsia="等线" w:hAnsi="Calibri" w:cs="Calibri"/>
          <w:sz w:val="20"/>
          <w:szCs w:val="18"/>
          <w:vertAlign w:val="subscript"/>
        </w:rPr>
        <w:t>α’’</w:t>
      </w:r>
      <w:r w:rsidRPr="001C513B">
        <w:rPr>
          <w:rFonts w:ascii="Calibri" w:eastAsia="等线" w:hAnsi="Calibri" w:cs="Calibri"/>
          <w:sz w:val="20"/>
          <w:szCs w:val="18"/>
        </w:rPr>
        <w:t xml:space="preserve"> related </w:t>
      </w:r>
      <w:r>
        <w:rPr>
          <w:rFonts w:ascii="Calibri" w:eastAsia="等线" w:hAnsi="Calibri" w:cs="Calibri"/>
          <w:sz w:val="20"/>
          <w:szCs w:val="18"/>
        </w:rPr>
        <w:t xml:space="preserve">to </w:t>
      </w:r>
      <w:r w:rsidRPr="001C513B">
        <w:rPr>
          <w:rFonts w:ascii="Calibri" w:eastAsia="等线" w:hAnsi="Calibri" w:cs="Calibri"/>
          <w:sz w:val="20"/>
          <w:szCs w:val="18"/>
        </w:rPr>
        <w:t>martensite variant two</w:t>
      </w:r>
      <w:r>
        <w:rPr>
          <w:rFonts w:ascii="Calibri" w:eastAsia="等线" w:hAnsi="Calibri" w:cs="Calibri"/>
          <w:sz w:val="20"/>
          <w:szCs w:val="18"/>
        </w:rPr>
        <w:t xml:space="preserve"> (M2);</w:t>
      </w:r>
      <w:r w:rsidRPr="001C513B">
        <w:rPr>
          <w:rFonts w:ascii="Calibri" w:eastAsia="等线" w:hAnsi="Calibri" w:cs="Calibri"/>
          <w:sz w:val="20"/>
          <w:szCs w:val="18"/>
        </w:rPr>
        <w:t xml:space="preserve"> (</w:t>
      </w:r>
      <w:r w:rsidRPr="001C513B">
        <w:rPr>
          <w:rFonts w:ascii="Calibri" w:eastAsia="等线" w:hAnsi="Calibri" w:cs="Calibri"/>
          <w:b/>
          <w:sz w:val="20"/>
          <w:szCs w:val="18"/>
        </w:rPr>
        <w:t>c</w:t>
      </w:r>
      <w:r w:rsidRPr="001C513B">
        <w:rPr>
          <w:rFonts w:ascii="Calibri" w:eastAsia="等线" w:hAnsi="Calibri" w:cs="Calibri"/>
          <w:sz w:val="20"/>
          <w:szCs w:val="18"/>
        </w:rPr>
        <w:t xml:space="preserve">) </w:t>
      </w:r>
      <w:r>
        <w:rPr>
          <w:rFonts w:ascii="Calibri" w:eastAsia="等线" w:hAnsi="Calibri" w:cs="Calibri"/>
          <w:sz w:val="20"/>
          <w:szCs w:val="18"/>
        </w:rPr>
        <w:t xml:space="preserve">a </w:t>
      </w:r>
      <w:r w:rsidRPr="001C513B">
        <w:rPr>
          <w:rFonts w:ascii="Calibri" w:eastAsia="等线" w:hAnsi="Calibri" w:cs="Calibri"/>
          <w:sz w:val="20"/>
          <w:szCs w:val="18"/>
        </w:rPr>
        <w:t xml:space="preserve">SADP derived </w:t>
      </w:r>
      <w:r w:rsidR="003563E8">
        <w:rPr>
          <w:rFonts w:ascii="Calibri" w:eastAsia="等线" w:hAnsi="Calibri" w:cs="Calibri"/>
          <w:sz w:val="20"/>
          <w:szCs w:val="18"/>
        </w:rPr>
        <w:t>from</w:t>
      </w:r>
      <w:r w:rsidR="003563E8" w:rsidRPr="001C513B">
        <w:rPr>
          <w:rFonts w:ascii="Calibri" w:eastAsia="等线" w:hAnsi="Calibri" w:cs="Calibri"/>
          <w:sz w:val="20"/>
          <w:szCs w:val="18"/>
        </w:rPr>
        <w:t xml:space="preserve"> </w:t>
      </w:r>
      <w:r w:rsidRPr="001C513B">
        <w:rPr>
          <w:rFonts w:ascii="Calibri" w:eastAsia="等线" w:hAnsi="Calibri" w:cs="Calibri"/>
          <w:sz w:val="20"/>
          <w:szCs w:val="18"/>
        </w:rPr>
        <w:t>the twinning entanglement feature</w:t>
      </w:r>
      <w:r>
        <w:rPr>
          <w:rFonts w:ascii="Calibri" w:eastAsia="等线" w:hAnsi="Calibri" w:cs="Calibri"/>
          <w:sz w:val="20"/>
          <w:szCs w:val="18"/>
        </w:rPr>
        <w:t>.</w:t>
      </w:r>
      <w:r w:rsidRPr="001C513B">
        <w:rPr>
          <w:rFonts w:ascii="Calibri" w:eastAsia="等线" w:hAnsi="Calibri" w:cs="Calibri"/>
          <w:sz w:val="20"/>
          <w:szCs w:val="18"/>
        </w:rPr>
        <w:t xml:space="preserve"> </w:t>
      </w:r>
      <w:r>
        <w:rPr>
          <w:rFonts w:ascii="Calibri" w:eastAsia="等线" w:hAnsi="Calibri" w:cs="Calibri"/>
          <w:sz w:val="20"/>
          <w:szCs w:val="18"/>
        </w:rPr>
        <w:t>F</w:t>
      </w:r>
      <w:r w:rsidRPr="001C513B">
        <w:rPr>
          <w:rFonts w:ascii="Calibri" w:eastAsia="等线" w:hAnsi="Calibri" w:cs="Calibri"/>
          <w:sz w:val="20"/>
          <w:szCs w:val="18"/>
        </w:rPr>
        <w:t>our martensite variants</w:t>
      </w:r>
      <w:r>
        <w:rPr>
          <w:rFonts w:ascii="Calibri" w:eastAsia="等线" w:hAnsi="Calibri" w:cs="Calibri"/>
          <w:sz w:val="20"/>
          <w:szCs w:val="18"/>
        </w:rPr>
        <w:t xml:space="preserve"> (M1-M4)</w:t>
      </w:r>
      <w:r w:rsidRPr="001C513B">
        <w:rPr>
          <w:rFonts w:ascii="Calibri" w:eastAsia="等线" w:hAnsi="Calibri" w:cs="Calibri"/>
          <w:sz w:val="20"/>
          <w:szCs w:val="18"/>
        </w:rPr>
        <w:t xml:space="preserve"> </w:t>
      </w:r>
      <w:r w:rsidR="003563E8">
        <w:rPr>
          <w:rFonts w:ascii="Calibri" w:eastAsia="等线" w:hAnsi="Calibri" w:cs="Calibri"/>
          <w:sz w:val="20"/>
          <w:szCs w:val="18"/>
        </w:rPr>
        <w:t>are</w:t>
      </w:r>
      <w:r w:rsidR="003563E8" w:rsidRPr="001C513B">
        <w:rPr>
          <w:rFonts w:ascii="Calibri" w:eastAsia="等线" w:hAnsi="Calibri" w:cs="Calibri"/>
          <w:sz w:val="20"/>
          <w:szCs w:val="18"/>
        </w:rPr>
        <w:t xml:space="preserve"> </w:t>
      </w:r>
      <w:r w:rsidRPr="001C513B">
        <w:rPr>
          <w:rFonts w:ascii="Calibri" w:eastAsia="等线" w:hAnsi="Calibri" w:cs="Calibri"/>
          <w:sz w:val="20"/>
          <w:szCs w:val="18"/>
        </w:rPr>
        <w:t>marked with cyan, red, green and yellow</w:t>
      </w:r>
      <w:r>
        <w:rPr>
          <w:rFonts w:ascii="Calibri" w:eastAsia="等线" w:hAnsi="Calibri" w:cs="Calibri"/>
          <w:sz w:val="20"/>
          <w:szCs w:val="18"/>
        </w:rPr>
        <w:t>,</w:t>
      </w:r>
      <w:r w:rsidRPr="001C513B">
        <w:rPr>
          <w:rFonts w:ascii="Calibri" w:eastAsia="等线" w:hAnsi="Calibri" w:cs="Calibri"/>
          <w:sz w:val="20"/>
          <w:szCs w:val="18"/>
        </w:rPr>
        <w:t xml:space="preserve"> respectively. (</w:t>
      </w:r>
      <w:r>
        <w:rPr>
          <w:rFonts w:ascii="Calibri" w:eastAsia="等线" w:hAnsi="Calibri" w:cs="Calibri"/>
          <w:b/>
          <w:sz w:val="20"/>
          <w:szCs w:val="18"/>
        </w:rPr>
        <w:t>d</w:t>
      </w:r>
      <w:r w:rsidRPr="001C513B">
        <w:rPr>
          <w:rFonts w:ascii="Calibri" w:eastAsia="等线" w:hAnsi="Calibri" w:cs="Calibri"/>
          <w:sz w:val="20"/>
          <w:szCs w:val="18"/>
        </w:rPr>
        <w:t xml:space="preserve">) </w:t>
      </w:r>
      <w:r>
        <w:rPr>
          <w:rFonts w:ascii="Calibri" w:eastAsia="等线" w:hAnsi="Calibri" w:cs="Calibri"/>
          <w:sz w:val="20"/>
          <w:szCs w:val="18"/>
        </w:rPr>
        <w:t>a d</w:t>
      </w:r>
      <w:r w:rsidRPr="001C513B">
        <w:rPr>
          <w:rFonts w:ascii="Calibri" w:eastAsia="等线" w:hAnsi="Calibri" w:cs="Calibri"/>
          <w:sz w:val="20"/>
          <w:szCs w:val="18"/>
        </w:rPr>
        <w:t>ark field image of {111}</w:t>
      </w:r>
      <w:r w:rsidRPr="001C513B">
        <w:rPr>
          <w:rFonts w:ascii="Calibri" w:eastAsia="等线" w:hAnsi="Calibri" w:cs="Calibri"/>
          <w:sz w:val="20"/>
          <w:szCs w:val="18"/>
          <w:vertAlign w:val="subscript"/>
        </w:rPr>
        <w:t>α’’</w:t>
      </w:r>
      <w:r w:rsidRPr="001C513B">
        <w:rPr>
          <w:rFonts w:ascii="Calibri" w:eastAsia="等线" w:hAnsi="Calibri" w:cs="Calibri"/>
          <w:sz w:val="20"/>
          <w:szCs w:val="18"/>
        </w:rPr>
        <w:t xml:space="preserve"> related </w:t>
      </w:r>
      <w:r>
        <w:rPr>
          <w:rFonts w:ascii="Calibri" w:eastAsia="等线" w:hAnsi="Calibri" w:cs="Calibri"/>
          <w:sz w:val="20"/>
          <w:szCs w:val="18"/>
        </w:rPr>
        <w:t xml:space="preserve">to </w:t>
      </w:r>
      <w:r w:rsidRPr="001C513B">
        <w:rPr>
          <w:rFonts w:ascii="Calibri" w:eastAsia="等线" w:hAnsi="Calibri" w:cs="Calibri"/>
          <w:sz w:val="20"/>
          <w:szCs w:val="18"/>
        </w:rPr>
        <w:t>martensite variant three</w:t>
      </w:r>
      <w:r>
        <w:rPr>
          <w:rFonts w:ascii="Calibri" w:eastAsia="等线" w:hAnsi="Calibri" w:cs="Calibri"/>
          <w:sz w:val="20"/>
          <w:szCs w:val="18"/>
        </w:rPr>
        <w:t xml:space="preserve"> (M3);</w:t>
      </w:r>
      <w:r w:rsidRPr="001C513B">
        <w:rPr>
          <w:rFonts w:ascii="Calibri" w:eastAsia="等线" w:hAnsi="Calibri" w:cs="Calibri"/>
          <w:sz w:val="20"/>
          <w:szCs w:val="18"/>
        </w:rPr>
        <w:t xml:space="preserve"> (</w:t>
      </w:r>
      <w:r w:rsidRPr="001C513B">
        <w:rPr>
          <w:rFonts w:ascii="Calibri" w:eastAsia="等线" w:hAnsi="Calibri" w:cs="Calibri"/>
          <w:b/>
          <w:sz w:val="20"/>
          <w:szCs w:val="18"/>
        </w:rPr>
        <w:t>e</w:t>
      </w:r>
      <w:r w:rsidRPr="001C513B">
        <w:rPr>
          <w:rFonts w:ascii="Calibri" w:eastAsia="等线" w:hAnsi="Calibri" w:cs="Calibri"/>
          <w:sz w:val="20"/>
          <w:szCs w:val="18"/>
        </w:rPr>
        <w:t xml:space="preserve">) </w:t>
      </w:r>
      <w:r>
        <w:rPr>
          <w:rFonts w:ascii="Calibri" w:eastAsia="等线" w:hAnsi="Calibri" w:cs="Calibri"/>
          <w:sz w:val="20"/>
          <w:szCs w:val="18"/>
        </w:rPr>
        <w:t>a d</w:t>
      </w:r>
      <w:r w:rsidRPr="001C513B">
        <w:rPr>
          <w:rFonts w:ascii="Calibri" w:eastAsia="等线" w:hAnsi="Calibri" w:cs="Calibri"/>
          <w:sz w:val="20"/>
          <w:szCs w:val="18"/>
        </w:rPr>
        <w:t>ark field image of {111}</w:t>
      </w:r>
      <w:r w:rsidRPr="001C513B">
        <w:rPr>
          <w:rFonts w:ascii="Calibri" w:eastAsia="等线" w:hAnsi="Calibri" w:cs="Calibri"/>
          <w:sz w:val="20"/>
          <w:szCs w:val="18"/>
          <w:vertAlign w:val="subscript"/>
        </w:rPr>
        <w:t>α’’</w:t>
      </w:r>
      <w:r w:rsidRPr="001C513B">
        <w:rPr>
          <w:rFonts w:ascii="Calibri" w:eastAsia="等线" w:hAnsi="Calibri" w:cs="Calibri"/>
          <w:sz w:val="20"/>
          <w:szCs w:val="18"/>
        </w:rPr>
        <w:t xml:space="preserve"> related </w:t>
      </w:r>
      <w:r>
        <w:rPr>
          <w:rFonts w:ascii="Calibri" w:eastAsia="等线" w:hAnsi="Calibri" w:cs="Calibri"/>
          <w:sz w:val="20"/>
          <w:szCs w:val="18"/>
        </w:rPr>
        <w:t xml:space="preserve">to </w:t>
      </w:r>
      <w:r w:rsidRPr="001C513B">
        <w:rPr>
          <w:rFonts w:ascii="Calibri" w:eastAsia="等线" w:hAnsi="Calibri" w:cs="Calibri"/>
          <w:sz w:val="20"/>
          <w:szCs w:val="18"/>
        </w:rPr>
        <w:t>martensite variant four</w:t>
      </w:r>
      <w:r>
        <w:rPr>
          <w:rFonts w:ascii="Calibri" w:eastAsia="等线" w:hAnsi="Calibri" w:cs="Calibri"/>
          <w:sz w:val="20"/>
          <w:szCs w:val="18"/>
        </w:rPr>
        <w:t xml:space="preserve"> (M4); and</w:t>
      </w:r>
      <w:r w:rsidRPr="001C513B">
        <w:rPr>
          <w:rFonts w:ascii="Calibri" w:eastAsia="等线" w:hAnsi="Calibri" w:cs="Calibri"/>
          <w:sz w:val="20"/>
          <w:szCs w:val="18"/>
        </w:rPr>
        <w:t xml:space="preserve"> (</w:t>
      </w:r>
      <w:r w:rsidRPr="001C513B">
        <w:rPr>
          <w:rFonts w:ascii="Calibri" w:eastAsia="等线" w:hAnsi="Calibri" w:cs="Calibri"/>
          <w:b/>
          <w:sz w:val="20"/>
          <w:szCs w:val="18"/>
        </w:rPr>
        <w:t>f</w:t>
      </w:r>
      <w:r w:rsidRPr="001C513B">
        <w:rPr>
          <w:rFonts w:ascii="Calibri" w:eastAsia="等线" w:hAnsi="Calibri" w:cs="Calibri"/>
          <w:sz w:val="20"/>
          <w:szCs w:val="18"/>
        </w:rPr>
        <w:t xml:space="preserve">) </w:t>
      </w:r>
      <w:r>
        <w:rPr>
          <w:rFonts w:ascii="Calibri" w:eastAsia="等线" w:hAnsi="Calibri" w:cs="Calibri"/>
          <w:sz w:val="20"/>
          <w:szCs w:val="18"/>
        </w:rPr>
        <w:t>a s</w:t>
      </w:r>
      <w:r w:rsidRPr="001C513B">
        <w:rPr>
          <w:rFonts w:ascii="Calibri" w:eastAsia="等线" w:hAnsi="Calibri" w:cs="Calibri"/>
          <w:sz w:val="20"/>
          <w:szCs w:val="18"/>
        </w:rPr>
        <w:t>tereo projection figure of the lattice correspond</w:t>
      </w:r>
      <w:r w:rsidR="003563E8">
        <w:rPr>
          <w:rFonts w:ascii="Calibri" w:eastAsia="等线" w:hAnsi="Calibri" w:cs="Calibri"/>
          <w:sz w:val="20"/>
          <w:szCs w:val="18"/>
        </w:rPr>
        <w:t>ance</w:t>
      </w:r>
      <w:r>
        <w:rPr>
          <w:rFonts w:ascii="Calibri" w:eastAsia="等线" w:hAnsi="Calibri" w:cs="Calibri"/>
          <w:sz w:val="20"/>
          <w:szCs w:val="18"/>
        </w:rPr>
        <w:t xml:space="preserve"> </w:t>
      </w:r>
      <w:r w:rsidR="003563E8">
        <w:rPr>
          <w:rFonts w:ascii="Calibri" w:eastAsia="等线" w:hAnsi="Calibri" w:cs="Calibri"/>
          <w:sz w:val="20"/>
          <w:szCs w:val="18"/>
        </w:rPr>
        <w:t xml:space="preserve">of </w:t>
      </w:r>
      <w:r>
        <w:rPr>
          <w:rFonts w:ascii="Calibri" w:eastAsia="等线" w:hAnsi="Calibri" w:cs="Calibri"/>
          <w:sz w:val="20"/>
          <w:szCs w:val="18"/>
        </w:rPr>
        <w:t>the</w:t>
      </w:r>
      <w:r w:rsidRPr="001C513B">
        <w:rPr>
          <w:rFonts w:ascii="Calibri" w:eastAsia="等线" w:hAnsi="Calibri" w:cs="Calibri"/>
          <w:sz w:val="20"/>
          <w:szCs w:val="18"/>
        </w:rPr>
        <w:t xml:space="preserve"> untransformed β phase for M1</w:t>
      </w:r>
      <w:r>
        <w:rPr>
          <w:rFonts w:ascii="Calibri" w:eastAsia="等线" w:hAnsi="Calibri" w:cs="Calibri"/>
          <w:sz w:val="20"/>
          <w:szCs w:val="18"/>
        </w:rPr>
        <w:t xml:space="preserve"> to </w:t>
      </w:r>
      <w:r w:rsidRPr="001C513B">
        <w:rPr>
          <w:rFonts w:ascii="Calibri" w:eastAsia="等线" w:hAnsi="Calibri" w:cs="Calibri"/>
          <w:sz w:val="20"/>
          <w:szCs w:val="18"/>
        </w:rPr>
        <w:t>M4. The orientation relationship was identified as {2-3-3}</w:t>
      </w:r>
      <w:r w:rsidRPr="001C513B">
        <w:rPr>
          <w:rFonts w:ascii="Calibri" w:eastAsia="等线" w:hAnsi="Calibri" w:cs="Calibri"/>
          <w:sz w:val="20"/>
          <w:szCs w:val="18"/>
          <w:vertAlign w:val="subscript"/>
        </w:rPr>
        <w:t>β1</w:t>
      </w:r>
      <w:r w:rsidRPr="001C513B">
        <w:rPr>
          <w:rFonts w:ascii="Calibri" w:eastAsia="等线" w:hAnsi="Calibri" w:cs="Calibri"/>
          <w:sz w:val="20"/>
          <w:szCs w:val="18"/>
        </w:rPr>
        <w:t>//{-233}</w:t>
      </w:r>
      <w:r w:rsidRPr="001C513B">
        <w:rPr>
          <w:rFonts w:ascii="Calibri" w:eastAsia="等线" w:hAnsi="Calibri" w:cs="Calibri"/>
          <w:sz w:val="20"/>
          <w:szCs w:val="18"/>
          <w:vertAlign w:val="subscript"/>
        </w:rPr>
        <w:t>β2</w:t>
      </w:r>
      <w:r w:rsidRPr="001C513B">
        <w:rPr>
          <w:rFonts w:ascii="Calibri" w:eastAsia="等线" w:hAnsi="Calibri" w:cs="Calibri"/>
          <w:sz w:val="20"/>
          <w:szCs w:val="18"/>
        </w:rPr>
        <w:t>, [311]</w:t>
      </w:r>
      <w:r w:rsidRPr="001C513B">
        <w:rPr>
          <w:rFonts w:ascii="Calibri" w:eastAsia="等线" w:hAnsi="Calibri" w:cs="Calibri"/>
          <w:sz w:val="20"/>
          <w:szCs w:val="18"/>
          <w:vertAlign w:val="subscript"/>
        </w:rPr>
        <w:t>β1</w:t>
      </w:r>
      <w:r w:rsidRPr="001C513B">
        <w:rPr>
          <w:rFonts w:ascii="Calibri" w:eastAsia="等线" w:hAnsi="Calibri" w:cs="Calibri"/>
          <w:sz w:val="20"/>
          <w:szCs w:val="18"/>
        </w:rPr>
        <w:t>//[311]</w:t>
      </w:r>
      <w:r w:rsidRPr="001C513B">
        <w:rPr>
          <w:rFonts w:ascii="Calibri" w:eastAsia="等线" w:hAnsi="Calibri" w:cs="Calibri"/>
          <w:sz w:val="20"/>
          <w:szCs w:val="18"/>
          <w:vertAlign w:val="subscript"/>
        </w:rPr>
        <w:t>β2</w:t>
      </w:r>
      <w:r w:rsidRPr="001C513B">
        <w:rPr>
          <w:rFonts w:ascii="Calibri" w:eastAsia="等线" w:hAnsi="Calibri" w:cs="Calibri"/>
          <w:sz w:val="20"/>
          <w:szCs w:val="18"/>
        </w:rPr>
        <w:t xml:space="preserve"> and [111]</w:t>
      </w:r>
      <w:r w:rsidRPr="001C513B">
        <w:rPr>
          <w:rFonts w:ascii="Calibri" w:eastAsia="等线" w:hAnsi="Calibri" w:cs="Calibri"/>
          <w:sz w:val="20"/>
          <w:szCs w:val="18"/>
          <w:vertAlign w:val="subscript"/>
        </w:rPr>
        <w:t>β1</w:t>
      </w:r>
      <w:r w:rsidRPr="001C513B">
        <w:rPr>
          <w:rFonts w:ascii="Calibri" w:eastAsia="等线" w:hAnsi="Calibri" w:cs="Calibri"/>
          <w:sz w:val="20"/>
          <w:szCs w:val="18"/>
        </w:rPr>
        <w:t>//[100]</w:t>
      </w:r>
      <w:r w:rsidRPr="001C513B">
        <w:rPr>
          <w:rFonts w:ascii="Calibri" w:eastAsia="等线" w:hAnsi="Calibri" w:cs="Calibri"/>
          <w:sz w:val="20"/>
          <w:szCs w:val="18"/>
          <w:vertAlign w:val="subscript"/>
        </w:rPr>
        <w:t>β2</w:t>
      </w:r>
      <w:r w:rsidRPr="001C513B">
        <w:rPr>
          <w:rFonts w:ascii="Calibri" w:eastAsia="等线" w:hAnsi="Calibri" w:cs="Calibri"/>
          <w:sz w:val="20"/>
          <w:szCs w:val="18"/>
        </w:rPr>
        <w:t>.</w:t>
      </w:r>
      <w:bookmarkEnd w:id="264"/>
      <w:bookmarkEnd w:id="265"/>
      <w:r w:rsidRPr="001C513B">
        <w:rPr>
          <w:rFonts w:ascii="Calibri" w:eastAsia="等线" w:hAnsi="Calibri" w:cs="Calibri"/>
          <w:sz w:val="20"/>
          <w:szCs w:val="18"/>
        </w:rPr>
        <w:t xml:space="preserve">    </w:t>
      </w:r>
    </w:p>
    <w:p w14:paraId="2590ADF2" w14:textId="77777777" w:rsidR="00B145BE" w:rsidRPr="00F2589F" w:rsidRDefault="00B145BE" w:rsidP="00B145BE">
      <w:pPr>
        <w:pStyle w:val="2"/>
        <w:spacing w:before="0" w:after="120" w:line="360" w:lineRule="auto"/>
        <w:rPr>
          <w:rFonts w:asciiTheme="minorHAnsi" w:hAnsiTheme="minorHAnsi"/>
          <w:b/>
          <w:color w:val="000000" w:themeColor="text1"/>
          <w:sz w:val="32"/>
          <w:szCs w:val="32"/>
          <w:vertAlign w:val="subscript"/>
          <w:lang w:bidi="hi-IN"/>
        </w:rPr>
      </w:pPr>
      <w:bookmarkStart w:id="266" w:name="_Toc22052542"/>
      <w:r w:rsidRPr="00F2589F">
        <w:rPr>
          <w:rFonts w:asciiTheme="minorHAnsi" w:hAnsiTheme="minorHAnsi"/>
          <w:b/>
          <w:color w:val="000000" w:themeColor="text1"/>
          <w:sz w:val="32"/>
          <w:szCs w:val="32"/>
          <w:lang w:bidi="hi-IN"/>
        </w:rPr>
        <w:lastRenderedPageBreak/>
        <w:t>5.4 Discussion</w:t>
      </w:r>
      <w:bookmarkEnd w:id="266"/>
    </w:p>
    <w:p w14:paraId="3A6DED3D" w14:textId="6F324AE6" w:rsidR="00B145BE" w:rsidRDefault="00B145BE" w:rsidP="00B145BE">
      <w:pPr>
        <w:spacing w:after="120" w:line="360" w:lineRule="auto"/>
        <w:ind w:right="219"/>
        <w:jc w:val="both"/>
        <w:rPr>
          <w:rFonts w:ascii="Calibri" w:eastAsia="等线" w:hAnsi="Calibri" w:cs="Times New Roman"/>
        </w:rPr>
      </w:pPr>
      <w:r>
        <w:rPr>
          <w:rFonts w:ascii="Calibri" w:eastAsia="等线" w:hAnsi="Calibri" w:cs="Times New Roman"/>
        </w:rPr>
        <w:t>In this work, by</w:t>
      </w:r>
      <w:r w:rsidRPr="001C513B">
        <w:rPr>
          <w:rFonts w:ascii="Calibri" w:eastAsia="等线" w:hAnsi="Calibri" w:cs="Times New Roman"/>
        </w:rPr>
        <w:t xml:space="preserve"> tuning</w:t>
      </w:r>
      <w:r>
        <w:rPr>
          <w:rFonts w:ascii="Calibri" w:eastAsia="等线" w:hAnsi="Calibri" w:cs="Times New Roman"/>
        </w:rPr>
        <w:t xml:space="preserve"> the</w:t>
      </w:r>
      <w:r w:rsidRPr="001C513B">
        <w:rPr>
          <w:rFonts w:ascii="Calibri" w:eastAsia="等线" w:hAnsi="Calibri" w:cs="Times New Roman"/>
        </w:rPr>
        <w:t xml:space="preserve"> </w:t>
      </w:r>
      <w:r w:rsidRPr="001C513B">
        <w:rPr>
          <w:rFonts w:ascii="Calibri" w:eastAsia="等线" w:hAnsi="Calibri" w:cs="Calibri"/>
          <w:szCs w:val="18"/>
        </w:rPr>
        <w:t>β phase</w:t>
      </w:r>
      <w:r w:rsidRPr="001C513B" w:rsidDel="00BA2ADB">
        <w:rPr>
          <w:rFonts w:ascii="Calibri" w:eastAsia="等线" w:hAnsi="Calibri" w:cs="Times New Roman"/>
        </w:rPr>
        <w:t xml:space="preserve"> </w:t>
      </w:r>
      <w:r w:rsidRPr="001C513B">
        <w:rPr>
          <w:rFonts w:ascii="Calibri" w:eastAsia="等线" w:hAnsi="Calibri" w:cs="Times New Roman"/>
        </w:rPr>
        <w:t>stabili</w:t>
      </w:r>
      <w:r>
        <w:rPr>
          <w:rFonts w:ascii="Calibri" w:eastAsia="等线" w:hAnsi="Calibri" w:cs="Times New Roman"/>
        </w:rPr>
        <w:t>sing</w:t>
      </w:r>
      <w:r w:rsidRPr="001C513B">
        <w:rPr>
          <w:rFonts w:ascii="Calibri" w:eastAsia="等线" w:hAnsi="Calibri" w:cs="Times New Roman"/>
        </w:rPr>
        <w:t xml:space="preserve"> element </w:t>
      </w:r>
      <w:r>
        <w:rPr>
          <w:rFonts w:ascii="Calibri" w:eastAsia="等线" w:hAnsi="Calibri" w:cs="Times New Roman"/>
        </w:rPr>
        <w:t xml:space="preserve">Ta, </w:t>
      </w:r>
      <w:r w:rsidRPr="001C513B">
        <w:rPr>
          <w:rFonts w:ascii="Calibri" w:eastAsia="等线" w:hAnsi="Calibri" w:cs="Times New Roman"/>
        </w:rPr>
        <w:t>the stability of</w:t>
      </w:r>
      <w:r>
        <w:rPr>
          <w:rFonts w:ascii="Calibri" w:eastAsia="等线" w:hAnsi="Calibri" w:cs="Times New Roman"/>
        </w:rPr>
        <w:t xml:space="preserve"> the six different compositions of</w:t>
      </w:r>
      <w:r w:rsidRPr="001C513B">
        <w:rPr>
          <w:rFonts w:ascii="Calibri" w:eastAsia="等线" w:hAnsi="Calibri" w:cs="Times New Roman"/>
        </w:rPr>
        <w:t xml:space="preserve"> TiZrHfTa</w:t>
      </w:r>
      <w:r w:rsidRPr="001C513B">
        <w:rPr>
          <w:rFonts w:ascii="Calibri" w:eastAsia="等线" w:hAnsi="Calibri" w:cs="Times New Roman"/>
          <w:vertAlign w:val="subscript"/>
        </w:rPr>
        <w:t>x(x=0.5-1)</w:t>
      </w:r>
      <w:r w:rsidRPr="001C513B">
        <w:rPr>
          <w:rFonts w:ascii="Calibri" w:eastAsia="等线" w:hAnsi="Calibri" w:cs="Times New Roman"/>
        </w:rPr>
        <w:t xml:space="preserve"> </w:t>
      </w:r>
      <w:r w:rsidRPr="001C513B">
        <w:rPr>
          <w:rFonts w:ascii="Calibri" w:eastAsia="等线" w:hAnsi="Calibri" w:cs="Calibri"/>
          <w:szCs w:val="18"/>
        </w:rPr>
        <w:t>β phase</w:t>
      </w:r>
      <w:r>
        <w:rPr>
          <w:rFonts w:ascii="Calibri" w:eastAsia="等线" w:hAnsi="Calibri" w:cs="Calibri"/>
          <w:szCs w:val="18"/>
        </w:rPr>
        <w:t>s</w:t>
      </w:r>
      <w:r w:rsidRPr="001C513B" w:rsidDel="00BA2ADB">
        <w:rPr>
          <w:rFonts w:ascii="Calibri" w:eastAsia="等线" w:hAnsi="Calibri" w:cs="Times New Roman"/>
        </w:rPr>
        <w:t xml:space="preserve"> </w:t>
      </w:r>
      <w:r>
        <w:rPr>
          <w:rFonts w:ascii="Calibri" w:eastAsia="等线" w:hAnsi="Calibri" w:cs="Times New Roman"/>
        </w:rPr>
        <w:t>were</w:t>
      </w:r>
      <w:r w:rsidRPr="001C513B">
        <w:rPr>
          <w:rFonts w:ascii="Calibri" w:eastAsia="等线" w:hAnsi="Calibri" w:cs="Times New Roman"/>
        </w:rPr>
        <w:t xml:space="preserve"> successfully </w:t>
      </w:r>
      <w:r>
        <w:rPr>
          <w:rFonts w:ascii="Calibri" w:eastAsia="等线" w:hAnsi="Calibri" w:cs="Times New Roman"/>
        </w:rPr>
        <w:t>tailored</w:t>
      </w:r>
      <w:r w:rsidRPr="001C513B">
        <w:rPr>
          <w:rFonts w:ascii="Calibri" w:eastAsia="等线" w:hAnsi="Calibri" w:cs="Times New Roman"/>
        </w:rPr>
        <w:t xml:space="preserve">. </w:t>
      </w:r>
      <w:r>
        <w:rPr>
          <w:rFonts w:ascii="Calibri" w:eastAsia="等线" w:hAnsi="Calibri" w:cs="Times New Roman"/>
        </w:rPr>
        <w:t>This has resulted in the introduction</w:t>
      </w:r>
      <w:r w:rsidRPr="001C513B">
        <w:rPr>
          <w:rFonts w:ascii="Calibri" w:eastAsia="等线" w:hAnsi="Calibri" w:cs="Times New Roman"/>
        </w:rPr>
        <w:t xml:space="preserve"> of </w:t>
      </w:r>
      <w:r>
        <w:rPr>
          <w:rFonts w:ascii="Calibri" w:eastAsia="等线" w:hAnsi="Calibri" w:cs="Times New Roman"/>
        </w:rPr>
        <w:t xml:space="preserve">both </w:t>
      </w:r>
      <w:r w:rsidRPr="001C513B">
        <w:rPr>
          <w:rFonts w:ascii="Calibri" w:eastAsia="等线" w:hAnsi="Calibri" w:cs="Times New Roman"/>
        </w:rPr>
        <w:t xml:space="preserve">TRIP and TWIP </w:t>
      </w:r>
      <w:r>
        <w:rPr>
          <w:rFonts w:ascii="Calibri" w:eastAsia="等线" w:hAnsi="Calibri" w:cs="Times New Roman"/>
        </w:rPr>
        <w:t xml:space="preserve">effects, </w:t>
      </w:r>
      <w:r w:rsidRPr="001C513B">
        <w:rPr>
          <w:rFonts w:ascii="Calibri" w:eastAsia="等线" w:hAnsi="Calibri" w:cs="Times New Roman"/>
        </w:rPr>
        <w:t xml:space="preserve">which further promote the </w:t>
      </w:r>
      <w:r w:rsidR="00FC7323">
        <w:rPr>
          <w:rFonts w:ascii="Calibri" w:eastAsia="等线" w:hAnsi="Calibri" w:cs="Times New Roman"/>
        </w:rPr>
        <w:t>work</w:t>
      </w:r>
      <w:r w:rsidRPr="001C513B">
        <w:rPr>
          <w:rFonts w:ascii="Calibri" w:eastAsia="等线" w:hAnsi="Calibri" w:cs="Times New Roman"/>
        </w:rPr>
        <w:t xml:space="preserve"> hardening </w:t>
      </w:r>
      <w:r>
        <w:rPr>
          <w:rFonts w:ascii="Calibri" w:eastAsia="等线" w:hAnsi="Calibri" w:cs="Times New Roman"/>
        </w:rPr>
        <w:t>ability</w:t>
      </w:r>
      <w:r w:rsidRPr="001C513B">
        <w:rPr>
          <w:rFonts w:ascii="Calibri" w:eastAsia="等线" w:hAnsi="Calibri" w:cs="Times New Roman"/>
        </w:rPr>
        <w:t xml:space="preserve"> of TiZrHfTa</w:t>
      </w:r>
      <w:r w:rsidRPr="001C513B">
        <w:rPr>
          <w:rFonts w:ascii="Calibri" w:eastAsia="等线" w:hAnsi="Calibri" w:cs="Times New Roman"/>
          <w:vertAlign w:val="subscript"/>
        </w:rPr>
        <w:t>x</w:t>
      </w:r>
      <w:r w:rsidRPr="001C513B">
        <w:rPr>
          <w:rFonts w:ascii="Calibri" w:eastAsia="等线" w:hAnsi="Calibri" w:cs="Times New Roman"/>
        </w:rPr>
        <w:t xml:space="preserve">. The mechanical performance evolution </w:t>
      </w:r>
      <w:r>
        <w:rPr>
          <w:rFonts w:ascii="Calibri" w:eastAsia="等线" w:hAnsi="Calibri" w:cs="Times New Roman"/>
        </w:rPr>
        <w:t>has shown a</w:t>
      </w:r>
      <w:r w:rsidRPr="001C513B">
        <w:rPr>
          <w:rFonts w:ascii="Calibri" w:eastAsia="等线" w:hAnsi="Calibri" w:cs="Times New Roman"/>
        </w:rPr>
        <w:t xml:space="preserve"> dependence </w:t>
      </w:r>
      <w:r>
        <w:rPr>
          <w:rFonts w:ascii="Calibri" w:eastAsia="等线" w:hAnsi="Calibri" w:cs="Times New Roman"/>
        </w:rPr>
        <w:t>on</w:t>
      </w:r>
      <w:r w:rsidRPr="001C513B">
        <w:rPr>
          <w:rFonts w:ascii="Calibri" w:eastAsia="等线" w:hAnsi="Calibri" w:cs="Times New Roman"/>
        </w:rPr>
        <w:t xml:space="preserve"> Ta content, </w:t>
      </w:r>
      <w:r>
        <w:rPr>
          <w:rFonts w:ascii="Calibri" w:eastAsia="等线" w:hAnsi="Calibri" w:cs="Times New Roman"/>
        </w:rPr>
        <w:t>particularly with regard to</w:t>
      </w:r>
      <w:r w:rsidRPr="001C513B">
        <w:rPr>
          <w:rFonts w:ascii="Calibri" w:eastAsia="等线" w:hAnsi="Calibri" w:cs="Times New Roman"/>
        </w:rPr>
        <w:t xml:space="preserve"> the yield strength and </w:t>
      </w:r>
      <w:r w:rsidR="00FC7323">
        <w:rPr>
          <w:rFonts w:ascii="Calibri" w:eastAsia="等线" w:hAnsi="Calibri" w:cs="Times New Roman"/>
        </w:rPr>
        <w:t>work</w:t>
      </w:r>
      <w:r w:rsidRPr="001C513B">
        <w:rPr>
          <w:rFonts w:ascii="Calibri" w:eastAsia="等线" w:hAnsi="Calibri" w:cs="Times New Roman"/>
        </w:rPr>
        <w:t xml:space="preserve"> hardening capacity</w:t>
      </w:r>
      <w:r>
        <w:rPr>
          <w:rFonts w:ascii="Calibri" w:eastAsia="等线" w:hAnsi="Calibri" w:cs="Times New Roman"/>
        </w:rPr>
        <w:t xml:space="preserve"> during compressive loading</w:t>
      </w:r>
      <w:r w:rsidRPr="001C513B">
        <w:rPr>
          <w:rFonts w:ascii="Calibri" w:eastAsia="等线" w:hAnsi="Calibri" w:cs="Times New Roman"/>
        </w:rPr>
        <w:t xml:space="preserve">. On </w:t>
      </w:r>
      <w:r>
        <w:rPr>
          <w:rFonts w:ascii="Calibri" w:eastAsia="等线" w:hAnsi="Calibri" w:cs="Times New Roman"/>
        </w:rPr>
        <w:t xml:space="preserve">the </w:t>
      </w:r>
      <w:r w:rsidRPr="001C513B">
        <w:rPr>
          <w:rFonts w:ascii="Calibri" w:eastAsia="等线" w:hAnsi="Calibri" w:cs="Times New Roman"/>
        </w:rPr>
        <w:t>one hand</w:t>
      </w:r>
      <w:r>
        <w:rPr>
          <w:rFonts w:ascii="Calibri" w:eastAsia="等线" w:hAnsi="Calibri" w:cs="Times New Roman"/>
        </w:rPr>
        <w:t>,</w:t>
      </w:r>
      <w:r w:rsidRPr="001C513B">
        <w:rPr>
          <w:rFonts w:ascii="Calibri" w:eastAsia="等线" w:hAnsi="Calibri" w:cs="Times New Roman"/>
        </w:rPr>
        <w:t xml:space="preserve"> decreasing </w:t>
      </w:r>
      <w:r>
        <w:rPr>
          <w:rFonts w:ascii="Calibri" w:eastAsia="等线" w:hAnsi="Calibri" w:cs="Times New Roman"/>
        </w:rPr>
        <w:t xml:space="preserve">the </w:t>
      </w:r>
      <w:r w:rsidRPr="001C513B">
        <w:rPr>
          <w:rFonts w:ascii="Calibri" w:eastAsia="等线" w:hAnsi="Calibri" w:cs="Times New Roman"/>
        </w:rPr>
        <w:t>Ta content promote</w:t>
      </w:r>
      <w:r>
        <w:rPr>
          <w:rFonts w:ascii="Calibri" w:eastAsia="等线" w:hAnsi="Calibri" w:cs="Times New Roman"/>
        </w:rPr>
        <w:t>d</w:t>
      </w:r>
      <w:r w:rsidRPr="001C513B">
        <w:rPr>
          <w:rFonts w:ascii="Calibri" w:eastAsia="等线" w:hAnsi="Calibri" w:cs="Times New Roman"/>
        </w:rPr>
        <w:t xml:space="preserve"> the </w:t>
      </w:r>
      <w:r>
        <w:rPr>
          <w:rFonts w:ascii="Calibri" w:eastAsia="等线" w:hAnsi="Calibri" w:cs="Times New Roman"/>
        </w:rPr>
        <w:t>formation</w:t>
      </w:r>
      <w:r w:rsidRPr="001C513B">
        <w:rPr>
          <w:rFonts w:ascii="Calibri" w:eastAsia="等线" w:hAnsi="Calibri" w:cs="Times New Roman"/>
        </w:rPr>
        <w:t xml:space="preserve"> of </w:t>
      </w:r>
      <w:r>
        <w:rPr>
          <w:rFonts w:ascii="Calibri" w:eastAsia="等线" w:hAnsi="Calibri" w:cs="Times New Roman"/>
        </w:rPr>
        <w:t xml:space="preserve">the </w:t>
      </w:r>
      <w:r w:rsidRPr="001C513B">
        <w:rPr>
          <w:rFonts w:ascii="Calibri" w:eastAsia="等线" w:hAnsi="Calibri" w:cs="Times New Roman"/>
        </w:rPr>
        <w:t>stress</w:t>
      </w:r>
      <w:r>
        <w:rPr>
          <w:rFonts w:ascii="Calibri" w:eastAsia="等线" w:hAnsi="Calibri" w:cs="Times New Roman"/>
        </w:rPr>
        <w:t>-</w:t>
      </w:r>
      <w:r w:rsidRPr="001C513B">
        <w:rPr>
          <w:rFonts w:ascii="Calibri" w:eastAsia="等线" w:hAnsi="Calibri" w:cs="Times New Roman"/>
        </w:rPr>
        <w:t xml:space="preserve">induced martensite phase and </w:t>
      </w:r>
      <w:r>
        <w:rPr>
          <w:rFonts w:ascii="Calibri" w:eastAsia="等线" w:hAnsi="Calibri" w:cs="Times New Roman"/>
        </w:rPr>
        <w:t xml:space="preserve">subsequently </w:t>
      </w:r>
      <w:r w:rsidRPr="001C513B">
        <w:rPr>
          <w:rFonts w:ascii="Calibri" w:eastAsia="等线" w:hAnsi="Calibri" w:cs="Times New Roman"/>
        </w:rPr>
        <w:t>lower</w:t>
      </w:r>
      <w:r>
        <w:rPr>
          <w:rFonts w:ascii="Calibri" w:eastAsia="等线" w:hAnsi="Calibri" w:cs="Times New Roman"/>
        </w:rPr>
        <w:t>ed the</w:t>
      </w:r>
      <w:r w:rsidRPr="001C513B">
        <w:rPr>
          <w:rFonts w:ascii="Calibri" w:eastAsia="等线" w:hAnsi="Calibri" w:cs="Times New Roman"/>
        </w:rPr>
        <w:t xml:space="preserve"> yield strength</w:t>
      </w:r>
      <w:r>
        <w:rPr>
          <w:rFonts w:ascii="Calibri" w:eastAsia="等线" w:hAnsi="Calibri" w:cs="Times New Roman"/>
        </w:rPr>
        <w:t>;</w:t>
      </w:r>
      <w:r w:rsidRPr="001C513B">
        <w:rPr>
          <w:rFonts w:ascii="Calibri" w:eastAsia="等线" w:hAnsi="Calibri" w:cs="Times New Roman"/>
        </w:rPr>
        <w:t xml:space="preserve"> on the other hand the reduction of β phase stability </w:t>
      </w:r>
      <w:r>
        <w:rPr>
          <w:rFonts w:ascii="Calibri" w:eastAsia="等线" w:hAnsi="Calibri" w:cs="Times New Roman"/>
        </w:rPr>
        <w:t>resulted in the</w:t>
      </w:r>
      <w:r w:rsidRPr="001C513B">
        <w:rPr>
          <w:rFonts w:ascii="Calibri" w:eastAsia="等线" w:hAnsi="Calibri" w:cs="Times New Roman"/>
        </w:rPr>
        <w:t xml:space="preserve"> </w:t>
      </w:r>
      <w:r>
        <w:rPr>
          <w:rFonts w:ascii="Calibri" w:eastAsia="等线" w:hAnsi="Calibri" w:cs="Times New Roman"/>
        </w:rPr>
        <w:t>both</w:t>
      </w:r>
      <w:r w:rsidRPr="001C513B">
        <w:rPr>
          <w:rFonts w:ascii="Calibri" w:eastAsia="等线" w:hAnsi="Calibri" w:cs="Times New Roman"/>
        </w:rPr>
        <w:t xml:space="preserve"> TWIP and TRIP </w:t>
      </w:r>
      <w:r w:rsidR="00D42B05">
        <w:rPr>
          <w:rFonts w:ascii="Calibri" w:eastAsia="等线" w:hAnsi="Calibri" w:cs="Times New Roman"/>
        </w:rPr>
        <w:t>taking</w:t>
      </w:r>
      <w:r w:rsidRPr="001C513B">
        <w:rPr>
          <w:rFonts w:ascii="Calibri" w:eastAsia="等线" w:hAnsi="Calibri" w:cs="Times New Roman"/>
        </w:rPr>
        <w:t xml:space="preserve"> effect</w:t>
      </w:r>
      <w:r>
        <w:rPr>
          <w:rFonts w:ascii="Calibri" w:eastAsia="等线" w:hAnsi="Calibri" w:cs="Times New Roman"/>
        </w:rPr>
        <w:t xml:space="preserve">, which in turn gradually increased the </w:t>
      </w:r>
      <w:r w:rsidR="00FC7323">
        <w:rPr>
          <w:rFonts w:ascii="Calibri" w:eastAsia="等线" w:hAnsi="Calibri" w:cs="Times New Roman"/>
        </w:rPr>
        <w:t>work</w:t>
      </w:r>
      <w:r>
        <w:rPr>
          <w:rFonts w:ascii="Calibri" w:eastAsia="等线" w:hAnsi="Calibri" w:cs="Times New Roman"/>
        </w:rPr>
        <w:t xml:space="preserve"> hardening capacity of the materials.</w:t>
      </w:r>
      <w:r w:rsidRPr="001C513B">
        <w:rPr>
          <w:rFonts w:ascii="Calibri" w:eastAsia="等线" w:hAnsi="Calibri" w:cs="Times New Roman"/>
        </w:rPr>
        <w:t xml:space="preserve"> The activation of TWIP was first observed </w:t>
      </w:r>
      <w:r w:rsidR="00D42B05">
        <w:rPr>
          <w:rFonts w:ascii="Calibri" w:eastAsia="等线" w:hAnsi="Calibri" w:cs="Times New Roman"/>
        </w:rPr>
        <w:t xml:space="preserve">to </w:t>
      </w:r>
      <w:r w:rsidRPr="001C513B">
        <w:rPr>
          <w:rFonts w:ascii="Calibri" w:eastAsia="等线" w:hAnsi="Calibri" w:cs="Times New Roman"/>
        </w:rPr>
        <w:t>take effect in TiZrHfTa</w:t>
      </w:r>
      <w:r w:rsidRPr="001C513B">
        <w:rPr>
          <w:rFonts w:ascii="Calibri" w:eastAsia="等线" w:hAnsi="Calibri" w:cs="Times New Roman"/>
          <w:vertAlign w:val="subscript"/>
        </w:rPr>
        <w:t>0.8</w:t>
      </w:r>
      <w:r w:rsidRPr="001C513B">
        <w:rPr>
          <w:rFonts w:ascii="Calibri" w:eastAsia="等线" w:hAnsi="Calibri" w:cs="Times New Roman"/>
        </w:rPr>
        <w:t xml:space="preserve">, </w:t>
      </w:r>
      <w:r>
        <w:rPr>
          <w:rFonts w:ascii="Calibri" w:eastAsia="等线" w:hAnsi="Calibri" w:cs="Times New Roman"/>
        </w:rPr>
        <w:t>reflecting in the</w:t>
      </w:r>
      <w:r w:rsidRPr="001C513B">
        <w:rPr>
          <w:rFonts w:ascii="Calibri" w:eastAsia="等线" w:hAnsi="Calibri" w:cs="Times New Roman"/>
        </w:rPr>
        <w:t xml:space="preserve"> increased </w:t>
      </w:r>
      <w:r w:rsidR="00FC7323">
        <w:rPr>
          <w:rFonts w:ascii="Calibri" w:eastAsia="等线" w:hAnsi="Calibri" w:cs="Times New Roman"/>
        </w:rPr>
        <w:t>work</w:t>
      </w:r>
      <w:r w:rsidRPr="001C513B">
        <w:rPr>
          <w:rFonts w:ascii="Calibri" w:eastAsia="等线" w:hAnsi="Calibri" w:cs="Times New Roman"/>
        </w:rPr>
        <w:t xml:space="preserve"> hardening rate </w:t>
      </w:r>
      <w:r>
        <w:rPr>
          <w:rFonts w:ascii="Calibri" w:eastAsia="等线" w:hAnsi="Calibri" w:cs="Times New Roman"/>
        </w:rPr>
        <w:t>when compared to the</w:t>
      </w:r>
      <w:r w:rsidRPr="001C513B">
        <w:rPr>
          <w:rFonts w:ascii="Calibri" w:eastAsia="等线" w:hAnsi="Calibri" w:cs="Times New Roman"/>
        </w:rPr>
        <w:t xml:space="preserve"> equal-molar TiZrHfTa composition. Multiple β mechanical twinning</w:t>
      </w:r>
      <w:r>
        <w:rPr>
          <w:rFonts w:ascii="Calibri" w:eastAsia="等线" w:hAnsi="Calibri" w:cs="Times New Roman"/>
        </w:rPr>
        <w:t xml:space="preserve"> </w:t>
      </w:r>
      <w:r w:rsidR="00D42B05">
        <w:rPr>
          <w:rFonts w:ascii="Calibri" w:eastAsia="等线" w:hAnsi="Calibri" w:cs="Times New Roman"/>
        </w:rPr>
        <w:t xml:space="preserve">was </w:t>
      </w:r>
      <w:r>
        <w:rPr>
          <w:rFonts w:ascii="Calibri" w:eastAsia="等线" w:hAnsi="Calibri" w:cs="Times New Roman"/>
        </w:rPr>
        <w:t>identified with both EBSD and TEM (Figs. 5-2 to 5-6),</w:t>
      </w:r>
      <w:r w:rsidRPr="001C513B">
        <w:rPr>
          <w:rFonts w:ascii="Calibri" w:eastAsia="等线" w:hAnsi="Calibri" w:cs="Times New Roman"/>
        </w:rPr>
        <w:t xml:space="preserve"> including {332}[11-3]</w:t>
      </w:r>
      <w:r w:rsidRPr="001C513B">
        <w:rPr>
          <w:rFonts w:ascii="Calibri" w:eastAsia="等线" w:hAnsi="Calibri" w:cs="Times New Roman"/>
          <w:vertAlign w:val="subscript"/>
        </w:rPr>
        <w:t>β</w:t>
      </w:r>
      <w:r w:rsidRPr="001C513B">
        <w:rPr>
          <w:rFonts w:ascii="Calibri" w:eastAsia="等线" w:hAnsi="Calibri" w:cs="Times New Roman"/>
        </w:rPr>
        <w:t xml:space="preserve"> and {112}[11-1]</w:t>
      </w:r>
      <w:r w:rsidRPr="001C513B">
        <w:rPr>
          <w:rFonts w:ascii="Calibri" w:eastAsia="等线" w:hAnsi="Calibri" w:cs="Times New Roman"/>
          <w:vertAlign w:val="subscript"/>
        </w:rPr>
        <w:t>β</w:t>
      </w:r>
      <w:r w:rsidRPr="001C513B">
        <w:rPr>
          <w:rFonts w:ascii="Calibri" w:eastAsia="等线" w:hAnsi="Calibri" w:cs="Times New Roman"/>
        </w:rPr>
        <w:t xml:space="preserve"> twinning modes. Stress</w:t>
      </w:r>
      <w:r>
        <w:rPr>
          <w:rFonts w:ascii="Calibri" w:eastAsia="等线" w:hAnsi="Calibri" w:cs="Times New Roman"/>
        </w:rPr>
        <w:t>-</w:t>
      </w:r>
      <w:r w:rsidRPr="001C513B">
        <w:rPr>
          <w:rFonts w:ascii="Calibri" w:eastAsia="等线" w:hAnsi="Calibri" w:cs="Times New Roman"/>
        </w:rPr>
        <w:t xml:space="preserve">induced martensite </w:t>
      </w:r>
      <w:r>
        <w:rPr>
          <w:rFonts w:ascii="Calibri" w:eastAsia="等线" w:hAnsi="Calibri" w:cs="Times New Roman"/>
        </w:rPr>
        <w:t xml:space="preserve">formation was also captured </w:t>
      </w:r>
      <w:r w:rsidRPr="001C513B">
        <w:rPr>
          <w:rFonts w:ascii="Calibri" w:eastAsia="等线" w:hAnsi="Calibri" w:cs="Times New Roman"/>
        </w:rPr>
        <w:t>within</w:t>
      </w:r>
      <w:r>
        <w:rPr>
          <w:rFonts w:ascii="Calibri" w:eastAsia="等线" w:hAnsi="Calibri" w:cs="Times New Roman"/>
        </w:rPr>
        <w:t xml:space="preserve"> the</w:t>
      </w:r>
      <w:r w:rsidRPr="001C513B">
        <w:rPr>
          <w:rFonts w:ascii="Calibri" w:eastAsia="等线" w:hAnsi="Calibri" w:cs="Times New Roman"/>
        </w:rPr>
        <w:t xml:space="preserve"> </w:t>
      </w:r>
      <w:bookmarkStart w:id="267" w:name="OLE_LINK41"/>
      <w:r w:rsidRPr="001C513B">
        <w:rPr>
          <w:rFonts w:ascii="Calibri" w:eastAsia="等线" w:hAnsi="Calibri" w:cs="Times New Roman"/>
        </w:rPr>
        <w:t>β</w:t>
      </w:r>
      <w:bookmarkEnd w:id="267"/>
      <w:r w:rsidRPr="001C513B">
        <w:rPr>
          <w:rFonts w:ascii="Calibri" w:eastAsia="等线" w:hAnsi="Calibri" w:cs="Times New Roman"/>
        </w:rPr>
        <w:t xml:space="preserve"> mechanical twinning boundary</w:t>
      </w:r>
      <w:r>
        <w:rPr>
          <w:rFonts w:ascii="Calibri" w:eastAsia="等线" w:hAnsi="Calibri" w:cs="Times New Roman"/>
        </w:rPr>
        <w:t xml:space="preserve">. This </w:t>
      </w:r>
      <w:r w:rsidRPr="001C513B">
        <w:rPr>
          <w:rFonts w:ascii="Calibri" w:eastAsia="等线" w:hAnsi="Calibri" w:cs="Times New Roman"/>
        </w:rPr>
        <w:t>indicat</w:t>
      </w:r>
      <w:r>
        <w:rPr>
          <w:rFonts w:ascii="Calibri" w:eastAsia="等线" w:hAnsi="Calibri" w:cs="Times New Roman"/>
        </w:rPr>
        <w:t>ed that</w:t>
      </w:r>
      <w:r w:rsidRPr="001C513B">
        <w:rPr>
          <w:rFonts w:ascii="Calibri" w:eastAsia="等线" w:hAnsi="Calibri" w:cs="Times New Roman"/>
        </w:rPr>
        <w:t xml:space="preserve"> </w:t>
      </w:r>
      <w:r w:rsidR="00D42B05">
        <w:rPr>
          <w:rFonts w:ascii="Calibri" w:eastAsia="等线" w:hAnsi="Calibri" w:cs="Times New Roman"/>
        </w:rPr>
        <w:t xml:space="preserve">the </w:t>
      </w:r>
      <w:r w:rsidRPr="001C513B">
        <w:rPr>
          <w:rFonts w:ascii="Calibri" w:eastAsia="等线" w:hAnsi="Calibri" w:cs="Times New Roman"/>
        </w:rPr>
        <w:t xml:space="preserve">TRIP </w:t>
      </w:r>
      <w:r>
        <w:rPr>
          <w:rFonts w:ascii="Calibri" w:eastAsia="等线" w:hAnsi="Calibri" w:cs="Times New Roman"/>
        </w:rPr>
        <w:t xml:space="preserve">effect </w:t>
      </w:r>
      <w:r w:rsidR="00D42B05">
        <w:rPr>
          <w:rFonts w:ascii="Calibri" w:eastAsia="等线" w:hAnsi="Calibri" w:cs="Times New Roman"/>
        </w:rPr>
        <w:t xml:space="preserve">initiated </w:t>
      </w:r>
      <w:r w:rsidRPr="001C513B">
        <w:rPr>
          <w:rFonts w:ascii="Calibri" w:eastAsia="等线" w:hAnsi="Calibri" w:cs="Times New Roman"/>
        </w:rPr>
        <w:t>and cooperate</w:t>
      </w:r>
      <w:r>
        <w:rPr>
          <w:rFonts w:ascii="Calibri" w:eastAsia="等线" w:hAnsi="Calibri" w:cs="Times New Roman"/>
        </w:rPr>
        <w:t>d</w:t>
      </w:r>
      <w:r w:rsidRPr="001C513B">
        <w:rPr>
          <w:rFonts w:ascii="Calibri" w:eastAsia="等线" w:hAnsi="Calibri" w:cs="Times New Roman"/>
        </w:rPr>
        <w:t xml:space="preserve"> with TWIP</w:t>
      </w:r>
      <w:r>
        <w:rPr>
          <w:rFonts w:ascii="Calibri" w:eastAsia="等线" w:hAnsi="Calibri" w:cs="Times New Roman"/>
        </w:rPr>
        <w:t xml:space="preserve"> simultaneously, hence further increasing</w:t>
      </w:r>
      <w:r w:rsidRPr="001C513B">
        <w:rPr>
          <w:rFonts w:ascii="Calibri" w:eastAsia="等线" w:hAnsi="Calibri" w:cs="Times New Roman"/>
        </w:rPr>
        <w:t xml:space="preserve"> work hardening </w:t>
      </w:r>
      <w:r>
        <w:rPr>
          <w:rFonts w:ascii="Calibri" w:eastAsia="等线" w:hAnsi="Calibri" w:cs="Times New Roman"/>
        </w:rPr>
        <w:t>ability</w:t>
      </w:r>
      <w:r w:rsidRPr="001C513B">
        <w:rPr>
          <w:rFonts w:ascii="Calibri" w:eastAsia="等线" w:hAnsi="Calibri" w:cs="Times New Roman"/>
        </w:rPr>
        <w:t xml:space="preserve">. However, the origin of </w:t>
      </w:r>
      <w:r>
        <w:rPr>
          <w:rFonts w:ascii="Calibri" w:eastAsia="等线" w:hAnsi="Calibri" w:cs="Times New Roman"/>
        </w:rPr>
        <w:t xml:space="preserve">the </w:t>
      </w:r>
      <w:r w:rsidRPr="001C513B">
        <w:rPr>
          <w:rFonts w:ascii="Calibri" w:eastAsia="等线" w:hAnsi="Calibri" w:cs="Times New Roman"/>
        </w:rPr>
        <w:t xml:space="preserve">partially indexed </w:t>
      </w:r>
      <w:bookmarkStart w:id="268" w:name="OLE_LINK42"/>
      <w:bookmarkStart w:id="269" w:name="OLE_LINK43"/>
      <w:r w:rsidRPr="001C513B">
        <w:rPr>
          <w:rFonts w:ascii="Calibri" w:eastAsia="等线" w:hAnsi="Calibri" w:cs="Times New Roman"/>
        </w:rPr>
        <w:t>{332}[11-3]</w:t>
      </w:r>
      <w:r w:rsidRPr="001C513B">
        <w:rPr>
          <w:rFonts w:ascii="Calibri" w:eastAsia="等线" w:hAnsi="Calibri" w:cs="Times New Roman"/>
          <w:vertAlign w:val="subscript"/>
        </w:rPr>
        <w:t>β</w:t>
      </w:r>
      <w:r w:rsidRPr="001C513B">
        <w:rPr>
          <w:rFonts w:ascii="Calibri" w:eastAsia="等线" w:hAnsi="Calibri" w:cs="Times New Roman"/>
        </w:rPr>
        <w:t xml:space="preserve"> twin </w:t>
      </w:r>
      <w:bookmarkEnd w:id="268"/>
      <w:bookmarkEnd w:id="269"/>
      <w:r w:rsidRPr="001C513B">
        <w:rPr>
          <w:rFonts w:ascii="Calibri" w:eastAsia="等线" w:hAnsi="Calibri" w:cs="Times New Roman"/>
        </w:rPr>
        <w:t>band in Fig. 5-2 remain</w:t>
      </w:r>
      <w:r>
        <w:rPr>
          <w:rFonts w:ascii="Calibri" w:eastAsia="等线" w:hAnsi="Calibri" w:cs="Times New Roman"/>
        </w:rPr>
        <w:t>ed</w:t>
      </w:r>
      <w:r w:rsidRPr="001C513B">
        <w:rPr>
          <w:rFonts w:ascii="Calibri" w:eastAsia="等线" w:hAnsi="Calibri" w:cs="Times New Roman"/>
        </w:rPr>
        <w:t xml:space="preserve"> unclear. </w:t>
      </w:r>
      <w:r>
        <w:rPr>
          <w:rFonts w:ascii="Calibri" w:eastAsia="等线" w:hAnsi="Calibri" w:cs="Times New Roman"/>
        </w:rPr>
        <w:t xml:space="preserve">When considering </w:t>
      </w:r>
      <w:r w:rsidRPr="001C513B">
        <w:rPr>
          <w:rFonts w:ascii="Calibri" w:eastAsia="等线" w:hAnsi="Calibri" w:cs="Times New Roman"/>
        </w:rPr>
        <w:t>previous research</w:t>
      </w:r>
      <w:r>
        <w:rPr>
          <w:rFonts w:ascii="Calibri" w:eastAsia="等线" w:hAnsi="Calibri" w:cs="Times New Roman"/>
        </w:rPr>
        <w:t xml:space="preserve"> </w:t>
      </w:r>
      <w:r w:rsidRPr="001C513B">
        <w:rPr>
          <w:rFonts w:ascii="Calibri" w:eastAsia="等线" w:hAnsi="Calibri" w:cs="Times New Roman"/>
        </w:rPr>
        <w:fldChar w:fldCharType="begin" w:fldLock="1"/>
      </w:r>
      <w:r>
        <w:rPr>
          <w:rFonts w:ascii="Calibri" w:eastAsia="等线" w:hAnsi="Calibri" w:cs="Times New Roman"/>
        </w:rPr>
        <w:instrText>ADDIN CSL_CITATION {"citationItems":[{"id":"ITEM-1","itemData":{"DOI":"10.1007/BF02825707","ISBN":"0360-2133","ISSN":"0360-2133","abstract":"The effect of plastic deformation mode on tensile properties of quenched commercial/3-phase titanium alloys has been investigated at approximately constant grain size and oxygen content. In addition, stability of/3-phase has been estimated from w-reflections or diffuse streaking in electron diffraction patterns in a manner similar to the previous works on binary/3-phase titanium alloys. Dominant mode of plastic deformation is {332} (113) twinning in the alloys with large instability of/3-phase, such as Ti-11.5Mo-6Zr-4.5Sn and Ti-15Mo-5Zr, and is crystallographic slip in the alloys with small instability of/3-phase, such as Ti-15Mo-5Zr-3A1, Ti-3A1-8V-6Cr-4Mo-4Zr, Ti-15V-3Cr-3A1-3Sn, Ti-8Mo-8V-2Fe-3A1, and Ti-13V-11Cr-3A1, Twinning leads to low yield strength and large elongation, while slip results in high yield strength and small elongation in agreement with binary and ternary/3-phase titanium alloys.","author":[{"dropping-particle":"","family":"Hanada","given":"S.","non-dropping-particle":"","parse-names":false,"suffix":""},{"dropping-particle":"","family":"Izumi","given":"O.","non-dropping-particle":"","parse-names":false,"suffix":""}],"container-title":"Metallurgical Transactions A","id":"ITEM-1","issued":{"date-parts":[["1987"]]},"title":"Correlation of tensile properties, deformation modes, and phase stability in commercial β-phase titanium alloys","type":"article-journal"},"uris":["http://www.mendeley.com/documents/?uuid=a20cf19b-b0bd-49dd-a582-da820f834e68"]},{"id":"ITEM-2","itemData":{"DOI":"10.1016/j.actamat.2013.10.048","ISBN":"13596454 (ISSN)","ISSN":"13596454","abstract":"In this paper, the origin of {332}</w:instrText>
      </w:r>
      <w:r>
        <w:rPr>
          <w:rFonts w:ascii="Calibri" w:eastAsia="等线" w:hAnsi="Calibri" w:cs="Times New Roman" w:hint="eastAsia"/>
        </w:rPr>
        <w:instrText>〈</w:instrText>
      </w:r>
      <w:r>
        <w:rPr>
          <w:rFonts w:ascii="Calibri" w:eastAsia="等线" w:hAnsi="Calibri" w:cs="Times New Roman"/>
        </w:rPr>
        <w:instrText>113̄</w:instrText>
      </w:r>
      <w:r>
        <w:rPr>
          <w:rFonts w:ascii="Calibri" w:eastAsia="等线" w:hAnsi="Calibri" w:cs="Times New Roman" w:hint="eastAsia"/>
        </w:rPr>
        <w:instrText>〉</w:instrText>
      </w:r>
      <w:r>
        <w:rPr>
          <w:rFonts w:ascii="Calibri" w:eastAsia="等线" w:hAnsi="Calibri" w:cs="Times New Roman"/>
        </w:rPr>
        <w:instrText xml:space="preserve"> twinning, which is a unique twinning mode in metastable β-Ti alloys, was investigated. The possible twinning modes in metastable β-Ti alloys are derived by considering lattice instability in addition to the theory of the crystallography of deformation twinning. In order to consider lattice instability in the body-centered-cubic (bcc) structure, a modulated structure was proposed. We then clarify how the modulated structure facilitates {332}</w:instrText>
      </w:r>
      <w:r>
        <w:rPr>
          <w:rFonts w:ascii="Calibri" w:eastAsia="等线" w:hAnsi="Calibri" w:cs="Times New Roman" w:hint="eastAsia"/>
        </w:rPr>
        <w:instrText>〈</w:instrText>
      </w:r>
      <w:r>
        <w:rPr>
          <w:rFonts w:ascii="Calibri" w:eastAsia="等线" w:hAnsi="Calibri" w:cs="Times New Roman"/>
        </w:rPr>
        <w:instrText>113̄</w:instrText>
      </w:r>
      <w:r>
        <w:rPr>
          <w:rFonts w:ascii="Calibri" w:eastAsia="等线" w:hAnsi="Calibri" w:cs="Times New Roman" w:hint="eastAsia"/>
        </w:rPr>
        <w:instrText>〉</w:instrText>
      </w:r>
      <w:r>
        <w:rPr>
          <w:rFonts w:ascii="Calibri" w:eastAsia="等线" w:hAnsi="Calibri" w:cs="Times New Roman"/>
        </w:rPr>
        <w:instrText xml:space="preserve"> twinning preferentially compared to other possible twinning modes by evaluating the magnitude of twinning shear and the complexity of shuffle. It was found that the lattice instability makes {112}</w:instrText>
      </w:r>
      <w:r>
        <w:rPr>
          <w:rFonts w:ascii="Calibri" w:eastAsia="等线" w:hAnsi="Calibri" w:cs="Times New Roman" w:hint="eastAsia"/>
        </w:rPr>
        <w:instrText>〈</w:instrText>
      </w:r>
      <w:r>
        <w:rPr>
          <w:rFonts w:ascii="Calibri" w:eastAsia="等线" w:hAnsi="Calibri" w:cs="Times New Roman"/>
        </w:rPr>
        <w:instrText>1̄1̄1</w:instrText>
      </w:r>
      <w:r>
        <w:rPr>
          <w:rFonts w:ascii="Calibri" w:eastAsia="等线" w:hAnsi="Calibri" w:cs="Times New Roman" w:hint="eastAsia"/>
        </w:rPr>
        <w:instrText>〉</w:instrText>
      </w:r>
      <w:r>
        <w:rPr>
          <w:rFonts w:ascii="Calibri" w:eastAsia="等线" w:hAnsi="Calibri" w:cs="Times New Roman"/>
        </w:rPr>
        <w:instrText xml:space="preserve"> twinning, which is a major twinning mode observed in alloys with stable bcc structure, unlikely to occur because the lattice modulation causes additional shuffling to form the {112}</w:instrText>
      </w:r>
      <w:r>
        <w:rPr>
          <w:rFonts w:ascii="Calibri" w:eastAsia="等线" w:hAnsi="Calibri" w:cs="Times New Roman" w:hint="eastAsia"/>
        </w:rPr>
        <w:instrText>〈</w:instrText>
      </w:r>
      <w:r>
        <w:rPr>
          <w:rFonts w:ascii="Calibri" w:eastAsia="等线" w:hAnsi="Calibri" w:cs="Times New Roman"/>
        </w:rPr>
        <w:instrText>1̄1̄1</w:instrText>
      </w:r>
      <w:r>
        <w:rPr>
          <w:rFonts w:ascii="Calibri" w:eastAsia="等线" w:hAnsi="Calibri" w:cs="Times New Roman" w:hint="eastAsia"/>
        </w:rPr>
        <w:instrText>〉</w:instrText>
      </w:r>
      <w:r>
        <w:rPr>
          <w:rFonts w:ascii="Calibri" w:eastAsia="等线" w:hAnsi="Calibri" w:cs="Times New Roman"/>
        </w:rPr>
        <w:instrText xml:space="preserve"> twin. It was also found that {332}</w:instrText>
      </w:r>
      <w:r>
        <w:rPr>
          <w:rFonts w:ascii="Calibri" w:eastAsia="等线" w:hAnsi="Calibri" w:cs="Times New Roman" w:hint="eastAsia"/>
        </w:rPr>
        <w:instrText>〈</w:instrText>
      </w:r>
      <w:r>
        <w:rPr>
          <w:rFonts w:ascii="Calibri" w:eastAsia="等线" w:hAnsi="Calibri" w:cs="Times New Roman"/>
        </w:rPr>
        <w:instrText>113̄</w:instrText>
      </w:r>
      <w:r>
        <w:rPr>
          <w:rFonts w:ascii="Calibri" w:eastAsia="等线" w:hAnsi="Calibri" w:cs="Times New Roman" w:hint="eastAsia"/>
        </w:rPr>
        <w:instrText>〉</w:instrText>
      </w:r>
      <w:r>
        <w:rPr>
          <w:rFonts w:ascii="Calibri" w:eastAsia="等线" w:hAnsi="Calibri" w:cs="Times New Roman"/>
        </w:rPr>
        <w:instrText xml:space="preserve"> twinning is the most possible twinning mode in the modulated structure in terms of the magnitude of twinning shear and the complexity of shuffle. The new formation model of the {332}</w:instrText>
      </w:r>
      <w:r>
        <w:rPr>
          <w:rFonts w:ascii="Calibri" w:eastAsia="等线" w:hAnsi="Calibri" w:cs="Times New Roman" w:hint="eastAsia"/>
        </w:rPr>
        <w:instrText>〈</w:instrText>
      </w:r>
      <w:r>
        <w:rPr>
          <w:rFonts w:ascii="Calibri" w:eastAsia="等线" w:hAnsi="Calibri" w:cs="Times New Roman"/>
        </w:rPr>
        <w:instrText>113̄</w:instrText>
      </w:r>
      <w:r>
        <w:rPr>
          <w:rFonts w:ascii="Calibri" w:eastAsia="等线" w:hAnsi="Calibri" w:cs="Times New Roman" w:hint="eastAsia"/>
        </w:rPr>
        <w:instrText>〉</w:instrText>
      </w:r>
      <w:r>
        <w:rPr>
          <w:rFonts w:ascii="Calibri" w:eastAsia="等线" w:hAnsi="Calibri" w:cs="Times New Roman"/>
        </w:rPr>
        <w:instrText xml:space="preserve"> twin presented in this study can explain how the lattice instability preferentially activates the {332}</w:instrText>
      </w:r>
      <w:r>
        <w:rPr>
          <w:rFonts w:ascii="Calibri" w:eastAsia="等线" w:hAnsi="Calibri" w:cs="Times New Roman" w:hint="eastAsia"/>
        </w:rPr>
        <w:instrText>〈</w:instrText>
      </w:r>
      <w:r>
        <w:rPr>
          <w:rFonts w:ascii="Calibri" w:eastAsia="等线" w:hAnsi="Calibri" w:cs="Times New Roman"/>
        </w:rPr>
        <w:instrText>113̄</w:instrText>
      </w:r>
      <w:r>
        <w:rPr>
          <w:rFonts w:ascii="Calibri" w:eastAsia="等线" w:hAnsi="Calibri" w:cs="Times New Roman" w:hint="eastAsia"/>
        </w:rPr>
        <w:instrText>〉</w:instrText>
      </w:r>
      <w:r>
        <w:rPr>
          <w:rFonts w:ascii="Calibri" w:eastAsia="等线" w:hAnsi="Calibri" w:cs="Times New Roman"/>
        </w:rPr>
        <w:instrText xml:space="preserve"> twinning in metastable β-Ti alloys. © 2013 Acta Materialia Inc. Published by Elsevier Ltd. All rights reserved.","author":[{"dropping-particle":"","family":"Tobe","given":"Hirobumi","non-dropping-particle":"","parse-names":false,"suffix":""},{"dropping-particle":"","family":"Kim","given":"Hee Young","non-dropping-particle":"","parse-names":false,"suffix":""},{"dropping-particle":"","family":"Inamura","given":"Tomonari","non-dropping-particle":"","parse-names":false,"suffix":""},{"dropping-particle":"","family":"Hosoda","given":"Hideki","non-dropping-particle":"","parse-names":false,"suffix":""},{"dropping-particle":"","family":"Miyazaki","given":"Shuichi","non-dropping-particle":"","parse-names":false,"suffix":""}],"container-title":"Acta Materialia","id":"ITEM-2","issued":{"date-parts":[["2014"]]},"title":"Origin of {3 3 2} twinning in metastable β-Ti alloys","type":"article"},"uris":["http://www.mendeley.com/documents/?uuid=071f1bf4-cdc8-45b3-8675-32071ee1f466"]},{"id":"ITEM-3","itemData":{"DOI":"10.1016/j.matchar.2015.06.038","ISBN":"10445803","ISSN":"10445803","abstract":"Tensile properties and deformation microstructures of a series of binary β Ti-16-22V alloys have been investigated. The results show that the plastic deformation mode changes from the plate-like stress-induced ω phase transformation with a special habit plane of {-5052}ω//{3-3-2}βto {332}&lt;113&gt; type deformation twinning with increasing the content of vanadium in the β Ti-16-22 wt.% V alloys. The plate-like stress-induced ω phase has a special orientation relationship with the β phase matrix, i.e., [110]β//[-12-10]ω, (3-3-2)β//(-5052)ωand (-55-4)β//(30-31)ω. The alloys plastically deformed by stress-induced ω phase transformation exhibit relatively higher yield strength than those deformed via {332}&lt;113&gt; type deformation twinning. It can be concluded that the stability of β phase plays a significant role in plastic deformation mode, i.e., stress-induced ω phase transformation or {332}&lt;113&gt; type deformation twinning, which governs the mechanical property of the β Ti-16-22 wt.% V alloys.","author":[{"dropping-particle":"","family":"Wang","given":"X. L.","non-dropping-particle":"","parse-names":false,"suffix":""},{"dropping-particle":"","family":"Li","given":"L.","non-dropping-particle":"","parse-names":false,"suffix":""},{"dropping-particle":"","family":"Mei","given":"W.","non-dropping-particle":"","parse-names":false,"suffix":""},{"dropping-particle":"","family":"Wang","given":"W. L.","non-dropping-particle":"","parse-names":false,"suffix":""},{"dropping-particle":"","family":"Sun","given":"J.","non-dropping-particle":"","parse-names":false,"suffix":""}],"container-title":"Materials Characterization","id":"ITEM-3","issued":{"date-parts":[["2015"]]},"title":"Dependence of stress-induced omega transition and mechanical twinning on phase stability in metastable β Ti-V alloys","type":"article-journal"},"uris":["http://www.mendeley.com/documents/?uuid=858cf2ec-f9a5-4cd4-ae33-920e61cdd518"]},{"id":"ITEM-4","itemData":{"DOI":"10.1016/j.actamat.2016.03.040","ISBN":"13596454","ISSN":"13596454","abstract":"{332} twinning, an unusual twinning mode in other body-centered cubic (bcc) metals and alloys, has been demonstrated to be a fundamental deformation mode in bcc metastable β titanium alloys. Recent studies suggest that this twinning mode plays an important role in enhancing the work hardening and thus improving the mechanical properties. Here, we studied the mechanism of this twinning mode in a metastable β Ti-36Nb-2Ta-3Zr (wt.%) alloy. Tensile tests were performed to induce the formation of {332} twins. By using electron backscatter diffraction, transmission electron microscopy and in situ scanning electron microscopy, the surface-to-bulk microstructures and the initiation and propagation of {332} twins were investigated. In addition to the previously reported high densities</w:instrText>
      </w:r>
      <w:r>
        <w:rPr>
          <w:rFonts w:ascii="Calibri" w:eastAsia="等线" w:hAnsi="Calibri" w:cs="Times New Roman" w:hint="eastAsia"/>
        </w:rPr>
        <w:instrText xml:space="preserve"> of straight dislocations within the twin, we have observed that an </w:instrText>
      </w:r>
      <w:r>
        <w:rPr>
          <w:rFonts w:ascii="Calibri" w:eastAsia="等线" w:hAnsi="Calibri" w:cs="Times New Roman" w:hint="eastAsia"/>
        </w:rPr>
        <w:instrText>α″</w:instrText>
      </w:r>
      <w:r>
        <w:rPr>
          <w:rFonts w:ascii="Calibri" w:eastAsia="等线" w:hAnsi="Calibri" w:cs="Times New Roman" w:hint="eastAsia"/>
        </w:rPr>
        <w:instrText xml:space="preserve"> martensite band is present near the surface adjacent to the twin. During annealing at 900</w:instrText>
      </w:r>
      <w:r>
        <w:rPr>
          <w:rFonts w:ascii="Calibri" w:eastAsia="等线" w:hAnsi="Calibri" w:cs="Times New Roman" w:hint="eastAsia"/>
        </w:rPr>
        <w:instrText>°</w:instrText>
      </w:r>
      <w:r>
        <w:rPr>
          <w:rFonts w:ascii="Calibri" w:eastAsia="等线" w:hAnsi="Calibri" w:cs="Times New Roman" w:hint="eastAsia"/>
        </w:rPr>
        <w:instrText xml:space="preserve">C, the </w:instrText>
      </w:r>
      <w:r>
        <w:rPr>
          <w:rFonts w:ascii="Calibri" w:eastAsia="等线" w:hAnsi="Calibri" w:cs="Times New Roman" w:hint="eastAsia"/>
        </w:rPr>
        <w:instrText>α″</w:instrText>
      </w:r>
      <w:r>
        <w:rPr>
          <w:rFonts w:ascii="Calibri" w:eastAsia="等线" w:hAnsi="Calibri" w:cs="Times New Roman" w:hint="eastAsia"/>
        </w:rPr>
        <w:instrText xml:space="preserve"> martensite band transforms into the adjacent twin rather than into the matrix, indicating that {332} twin nucleates within </w:instrText>
      </w:r>
      <w:r>
        <w:rPr>
          <w:rFonts w:ascii="Calibri" w:eastAsia="等线" w:hAnsi="Calibri" w:cs="Times New Roman" w:hint="eastAsia"/>
        </w:rPr>
        <w:instrText>α″</w:instrText>
      </w:r>
      <w:r>
        <w:rPr>
          <w:rFonts w:ascii="Calibri" w:eastAsia="等线" w:hAnsi="Calibri" w:cs="Times New Roman" w:hint="eastAsia"/>
        </w:rPr>
        <w:instrText xml:space="preserve"> martensite. Further evidence for this is the constitution of the twin in the initial stage of its formation, where the first portion formed consists of </w:instrText>
      </w:r>
      <w:r>
        <w:rPr>
          <w:rFonts w:ascii="Calibri" w:eastAsia="等线" w:hAnsi="Calibri" w:cs="Times New Roman" w:hint="eastAsia"/>
        </w:rPr>
        <w:instrText>α″</w:instrText>
      </w:r>
      <w:r>
        <w:rPr>
          <w:rFonts w:ascii="Calibri" w:eastAsia="等线" w:hAnsi="Calibri" w:cs="Times New Roman" w:hint="eastAsia"/>
        </w:rPr>
        <w:instrText xml:space="preserve"> martensite. During propagation, the twins propagating to the opposite directions can merge together when their lateral boundaries impinge on each other. Based on the experimental observations, an </w:instrText>
      </w:r>
      <w:r>
        <w:rPr>
          <w:rFonts w:ascii="Calibri" w:eastAsia="等线" w:hAnsi="Calibri" w:cs="Times New Roman" w:hint="eastAsia"/>
        </w:rPr>
        <w:instrText>α″</w:instrText>
      </w:r>
      <w:r>
        <w:rPr>
          <w:rFonts w:ascii="Calibri" w:eastAsia="等线" w:hAnsi="Calibri" w:cs="Times New Roman" w:hint="eastAsia"/>
        </w:rPr>
        <w:instrText>-assisted twinning mechanism is proposed and the origin of the dislocations within {332} twin is discussed accordin</w:instrText>
      </w:r>
      <w:r>
        <w:rPr>
          <w:rFonts w:ascii="Calibri" w:eastAsia="等线" w:hAnsi="Calibri" w:cs="Times New Roman"/>
        </w:rPr>
        <w:instrText>gly.","author":[{"dropping-particle":"","family":"Lai","given":"M. J.","non-dropping-particle":"","parse-names":false,"suffix":""},{"dropping-particle":"","family":"Tasan","given":"C. C.","non-dropping-particle":"","parse-names":false,"suffix":""},{"dropping-particle":"","family":"Raabe","given":"D.","non-dropping-particle":"","parse-names":false,"suffix":""}],"container-title":"Acta Materialia","id":"ITEM-4","issued":{"date-parts":[["2016"]]},"title":"On the mechanism of {332} twinning in metastable β titanium alloys","type":"article-journal"},"uris":["http://www.mendeley.com/documents/?uuid=6b9cdc24-7719-4876-bc9a-cd2475f9c32b"]}],"mendeley":{"formattedCitation":"[4,42,46,47]","plainTextFormattedCitation":"[4,42,46,47]","previouslyFormattedCitation":"[4,42,46,47]"},"properties":{"noteIndex":0},"schema":"https://github.com/citation-style-language/schema/raw/master/csl-citation.json"}</w:instrText>
      </w:r>
      <w:r w:rsidRPr="001C513B">
        <w:rPr>
          <w:rFonts w:ascii="Calibri" w:eastAsia="等线" w:hAnsi="Calibri" w:cs="Times New Roman"/>
        </w:rPr>
        <w:fldChar w:fldCharType="separate"/>
      </w:r>
      <w:r w:rsidRPr="001C513B">
        <w:rPr>
          <w:rFonts w:ascii="Calibri" w:eastAsia="等线" w:hAnsi="Calibri" w:cs="Times New Roman"/>
          <w:noProof/>
        </w:rPr>
        <w:t>[4,42,46,47]</w:t>
      </w:r>
      <w:r w:rsidRPr="001C513B">
        <w:rPr>
          <w:rFonts w:ascii="Calibri" w:eastAsia="等线" w:hAnsi="Calibri" w:cs="Times New Roman"/>
        </w:rPr>
        <w:fldChar w:fldCharType="end"/>
      </w:r>
      <w:r w:rsidRPr="001C513B">
        <w:rPr>
          <w:rFonts w:ascii="Calibri" w:eastAsia="等线" w:hAnsi="Calibri" w:cs="Times New Roman"/>
        </w:rPr>
        <w:t xml:space="preserve">, the origin of </w:t>
      </w:r>
      <w:r>
        <w:rPr>
          <w:rFonts w:ascii="Calibri" w:eastAsia="等线" w:hAnsi="Calibri" w:cs="Times New Roman"/>
        </w:rPr>
        <w:t xml:space="preserve">the </w:t>
      </w:r>
      <w:r w:rsidRPr="001C513B">
        <w:rPr>
          <w:rFonts w:ascii="Calibri" w:eastAsia="等线" w:hAnsi="Calibri" w:cs="Times New Roman"/>
        </w:rPr>
        <w:t>{332}[11-3]</w:t>
      </w:r>
      <w:r w:rsidRPr="001C513B">
        <w:rPr>
          <w:rFonts w:ascii="Calibri" w:eastAsia="等线" w:hAnsi="Calibri" w:cs="Times New Roman"/>
          <w:vertAlign w:val="subscript"/>
        </w:rPr>
        <w:t>β</w:t>
      </w:r>
      <w:r w:rsidRPr="001C513B">
        <w:rPr>
          <w:rFonts w:ascii="Calibri" w:eastAsia="等线" w:hAnsi="Calibri" w:cs="Times New Roman"/>
        </w:rPr>
        <w:t xml:space="preserve"> twin</w:t>
      </w:r>
      <w:r>
        <w:rPr>
          <w:rFonts w:ascii="Calibri" w:eastAsia="等线" w:hAnsi="Calibri" w:cs="Times New Roman"/>
        </w:rPr>
        <w:t>ing</w:t>
      </w:r>
      <w:r w:rsidRPr="001C513B">
        <w:rPr>
          <w:rFonts w:ascii="Calibri" w:eastAsia="等线" w:hAnsi="Calibri" w:cs="Times New Roman"/>
        </w:rPr>
        <w:t xml:space="preserve"> may have </w:t>
      </w:r>
      <w:r>
        <w:rPr>
          <w:rFonts w:ascii="Calibri" w:eastAsia="等线" w:hAnsi="Calibri" w:cs="Times New Roman"/>
        </w:rPr>
        <w:t xml:space="preserve">a </w:t>
      </w:r>
      <w:r w:rsidRPr="001C513B">
        <w:rPr>
          <w:rFonts w:ascii="Calibri" w:eastAsia="等线" w:hAnsi="Calibri" w:cs="Times New Roman"/>
        </w:rPr>
        <w:t>direct relationship with the stress</w:t>
      </w:r>
      <w:r>
        <w:rPr>
          <w:rFonts w:ascii="Calibri" w:eastAsia="等线" w:hAnsi="Calibri" w:cs="Times New Roman"/>
        </w:rPr>
        <w:t>-</w:t>
      </w:r>
      <w:r w:rsidRPr="001C513B">
        <w:rPr>
          <w:rFonts w:ascii="Calibri" w:eastAsia="等线" w:hAnsi="Calibri" w:cs="Times New Roman"/>
        </w:rPr>
        <w:t>induced martensite</w:t>
      </w:r>
      <w:r>
        <w:rPr>
          <w:rFonts w:ascii="Calibri" w:eastAsia="等线" w:hAnsi="Calibri" w:cs="Times New Roman"/>
        </w:rPr>
        <w:t xml:space="preserve"> formation</w:t>
      </w:r>
      <w:r w:rsidRPr="001C513B">
        <w:rPr>
          <w:rFonts w:ascii="Calibri" w:eastAsia="等线" w:hAnsi="Calibri" w:cs="Times New Roman"/>
        </w:rPr>
        <w:t xml:space="preserve">. </w:t>
      </w:r>
      <w:r>
        <w:rPr>
          <w:rFonts w:ascii="Calibri" w:eastAsia="等线" w:hAnsi="Calibri" w:cs="Times New Roman"/>
        </w:rPr>
        <w:t>This is in agreement with the</w:t>
      </w:r>
      <w:r w:rsidRPr="001C513B">
        <w:rPr>
          <w:rFonts w:ascii="Calibri" w:eastAsia="等线" w:hAnsi="Calibri" w:cs="Times New Roman"/>
        </w:rPr>
        <w:t xml:space="preserve"> TiZrHfTa</w:t>
      </w:r>
      <w:r w:rsidRPr="001C513B">
        <w:rPr>
          <w:rFonts w:ascii="Calibri" w:eastAsia="等线" w:hAnsi="Calibri" w:cs="Times New Roman"/>
          <w:vertAlign w:val="subscript"/>
        </w:rPr>
        <w:t xml:space="preserve">0.8 </w:t>
      </w:r>
      <w:r>
        <w:rPr>
          <w:rFonts w:ascii="Calibri" w:eastAsia="等线" w:hAnsi="Calibri" w:cs="Times New Roman"/>
        </w:rPr>
        <w:t xml:space="preserve">where stress induced martensite was observed within the primary </w:t>
      </w:r>
      <w:r>
        <w:rPr>
          <w:rFonts w:ascii="Calibri" w:eastAsia="等线" w:hAnsi="Calibri" w:cs="Calibri"/>
        </w:rPr>
        <w:t>β</w:t>
      </w:r>
      <w:r>
        <w:rPr>
          <w:rFonts w:ascii="Calibri" w:eastAsia="等线" w:hAnsi="Calibri" w:cs="Times New Roman"/>
        </w:rPr>
        <w:t xml:space="preserve"> twinned grain (Fig. 5-4 and 5-5)</w:t>
      </w:r>
      <w:r w:rsidRPr="001C513B">
        <w:rPr>
          <w:rFonts w:ascii="Calibri" w:eastAsia="等线" w:hAnsi="Calibri" w:cs="Times New Roman"/>
        </w:rPr>
        <w:t xml:space="preserve">. </w:t>
      </w:r>
    </w:p>
    <w:p w14:paraId="26330C36" w14:textId="69691D73" w:rsidR="00B145BE" w:rsidRPr="001C513B" w:rsidRDefault="00B145BE" w:rsidP="00B145BE">
      <w:pPr>
        <w:spacing w:after="120" w:line="360" w:lineRule="auto"/>
        <w:ind w:right="219"/>
        <w:jc w:val="both"/>
        <w:rPr>
          <w:rFonts w:ascii="Calibri" w:eastAsia="等线" w:hAnsi="Calibri" w:cs="Times New Roman"/>
        </w:rPr>
      </w:pPr>
      <w:r w:rsidRPr="001C513B">
        <w:rPr>
          <w:rFonts w:ascii="Calibri" w:eastAsia="等线" w:hAnsi="Calibri" w:cs="Times New Roman"/>
        </w:rPr>
        <w:t xml:space="preserve">According to the EBSD </w:t>
      </w:r>
      <w:r>
        <w:rPr>
          <w:rFonts w:ascii="Calibri" w:eastAsia="等线" w:hAnsi="Calibri" w:cs="Times New Roman"/>
        </w:rPr>
        <w:t>analyses presented,</w:t>
      </w:r>
      <w:r w:rsidRPr="001C513B">
        <w:rPr>
          <w:rFonts w:ascii="Calibri" w:eastAsia="等线" w:hAnsi="Calibri" w:cs="Times New Roman"/>
        </w:rPr>
        <w:t xml:space="preserve"> TRIP </w:t>
      </w:r>
      <w:r>
        <w:rPr>
          <w:rFonts w:ascii="Calibri" w:eastAsia="等线" w:hAnsi="Calibri" w:cs="Times New Roman"/>
        </w:rPr>
        <w:t>is concluded</w:t>
      </w:r>
      <w:r w:rsidRPr="001C513B">
        <w:rPr>
          <w:rFonts w:ascii="Calibri" w:eastAsia="等线" w:hAnsi="Calibri" w:cs="Times New Roman"/>
        </w:rPr>
        <w:t xml:space="preserve"> as</w:t>
      </w:r>
      <w:r w:rsidR="00D42B05">
        <w:rPr>
          <w:rFonts w:ascii="Calibri" w:eastAsia="等线" w:hAnsi="Calibri" w:cs="Times New Roman"/>
        </w:rPr>
        <w:t xml:space="preserve"> being</w:t>
      </w:r>
      <w:r w:rsidRPr="001C513B">
        <w:rPr>
          <w:rFonts w:ascii="Calibri" w:eastAsia="等线" w:hAnsi="Calibri" w:cs="Times New Roman"/>
        </w:rPr>
        <w:t xml:space="preserve"> </w:t>
      </w:r>
      <w:r>
        <w:rPr>
          <w:rFonts w:ascii="Calibri" w:eastAsia="等线" w:hAnsi="Calibri" w:cs="Times New Roman"/>
        </w:rPr>
        <w:t xml:space="preserve">the </w:t>
      </w:r>
      <w:r w:rsidRPr="001C513B">
        <w:rPr>
          <w:rFonts w:ascii="Calibri" w:eastAsia="等线" w:hAnsi="Calibri" w:cs="Times New Roman"/>
        </w:rPr>
        <w:t xml:space="preserve">main deformation mechanism </w:t>
      </w:r>
      <w:r w:rsidR="00D42B05">
        <w:rPr>
          <w:rFonts w:ascii="Calibri" w:eastAsia="等线" w:hAnsi="Calibri" w:cs="Times New Roman"/>
        </w:rPr>
        <w:t>which</w:t>
      </w:r>
      <w:r w:rsidRPr="001C513B">
        <w:rPr>
          <w:rFonts w:ascii="Calibri" w:eastAsia="等线" w:hAnsi="Calibri" w:cs="Times New Roman"/>
        </w:rPr>
        <w:t xml:space="preserve"> </w:t>
      </w:r>
      <w:r>
        <w:rPr>
          <w:rFonts w:ascii="Calibri" w:eastAsia="等线" w:hAnsi="Calibri" w:cs="Times New Roman"/>
        </w:rPr>
        <w:t xml:space="preserve">resulted in the </w:t>
      </w:r>
      <w:r w:rsidRPr="001C513B">
        <w:rPr>
          <w:rFonts w:ascii="Calibri" w:eastAsia="等线" w:hAnsi="Calibri" w:cs="Times New Roman"/>
        </w:rPr>
        <w:t xml:space="preserve">plateau observed after yield in </w:t>
      </w:r>
      <w:r w:rsidR="00D42B05">
        <w:rPr>
          <w:rFonts w:ascii="Calibri" w:eastAsia="等线" w:hAnsi="Calibri" w:cs="Times New Roman"/>
        </w:rPr>
        <w:t xml:space="preserve">the </w:t>
      </w:r>
      <w:r w:rsidR="00FC7323">
        <w:rPr>
          <w:rFonts w:ascii="Calibri" w:eastAsia="等线" w:hAnsi="Calibri" w:cs="Times New Roman"/>
        </w:rPr>
        <w:t>work</w:t>
      </w:r>
      <w:r w:rsidRPr="001C513B">
        <w:rPr>
          <w:rFonts w:ascii="Calibri" w:eastAsia="等线" w:hAnsi="Calibri" w:cs="Times New Roman"/>
        </w:rPr>
        <w:t xml:space="preserve"> hardening curve </w:t>
      </w:r>
      <w:r>
        <w:rPr>
          <w:rFonts w:ascii="Calibri" w:eastAsia="等线" w:hAnsi="Calibri" w:cs="Times New Roman"/>
        </w:rPr>
        <w:t>for</w:t>
      </w:r>
      <w:r w:rsidRPr="001C513B">
        <w:rPr>
          <w:rFonts w:ascii="Calibri" w:eastAsia="等线" w:hAnsi="Calibri" w:cs="Times New Roman"/>
        </w:rPr>
        <w:t xml:space="preserve"> TiZrHfTa</w:t>
      </w:r>
      <w:r w:rsidRPr="001C513B">
        <w:rPr>
          <w:rFonts w:ascii="Calibri" w:eastAsia="等线" w:hAnsi="Calibri" w:cs="Times New Roman"/>
          <w:vertAlign w:val="subscript"/>
        </w:rPr>
        <w:t>0.5-0.7</w:t>
      </w:r>
      <w:r w:rsidRPr="001C513B">
        <w:rPr>
          <w:rFonts w:ascii="Calibri" w:eastAsia="等线" w:hAnsi="Calibri" w:cs="Times New Roman"/>
        </w:rPr>
        <w:t xml:space="preserve">. </w:t>
      </w:r>
      <w:r>
        <w:rPr>
          <w:rFonts w:ascii="Calibri" w:eastAsia="等线" w:hAnsi="Calibri" w:cs="Times New Roman"/>
        </w:rPr>
        <w:t>With increasing deformation, t</w:t>
      </w:r>
      <w:r w:rsidRPr="001C513B">
        <w:rPr>
          <w:rFonts w:ascii="Calibri" w:eastAsia="等线" w:hAnsi="Calibri" w:cs="Times New Roman"/>
        </w:rPr>
        <w:t xml:space="preserve">o overcome the overall volume change caused by </w:t>
      </w:r>
      <w:r>
        <w:rPr>
          <w:rFonts w:ascii="Calibri" w:eastAsia="等线" w:hAnsi="Calibri" w:cs="Times New Roman"/>
        </w:rPr>
        <w:t xml:space="preserve">the </w:t>
      </w:r>
      <w:r w:rsidRPr="001C513B">
        <w:rPr>
          <w:rFonts w:ascii="Calibri" w:eastAsia="等线" w:hAnsi="Calibri" w:cs="Times New Roman"/>
        </w:rPr>
        <w:t>phase transformation</w:t>
      </w:r>
      <w:r>
        <w:rPr>
          <w:rFonts w:ascii="Calibri" w:eastAsia="等线" w:hAnsi="Calibri" w:cs="Times New Roman"/>
        </w:rPr>
        <w:t>s</w:t>
      </w:r>
      <w:r w:rsidRPr="001C513B">
        <w:rPr>
          <w:rFonts w:ascii="Calibri" w:eastAsia="等线" w:hAnsi="Calibri" w:cs="Times New Roman"/>
        </w:rPr>
        <w:t xml:space="preserve">, </w:t>
      </w:r>
      <w:r>
        <w:rPr>
          <w:rFonts w:ascii="Calibri" w:eastAsia="等线" w:hAnsi="Calibri" w:cs="Times New Roman"/>
        </w:rPr>
        <w:t>SA</w:t>
      </w:r>
      <w:r w:rsidRPr="001C513B">
        <w:rPr>
          <w:rFonts w:ascii="Calibri" w:eastAsia="等线" w:hAnsi="Calibri" w:cs="Times New Roman"/>
        </w:rPr>
        <w:t xml:space="preserve"> martensitic twinning was </w:t>
      </w:r>
      <w:r>
        <w:rPr>
          <w:rFonts w:ascii="Calibri" w:eastAsia="等线" w:hAnsi="Calibri" w:cs="Times New Roman"/>
        </w:rPr>
        <w:t xml:space="preserve">formed </w:t>
      </w:r>
      <w:r w:rsidRPr="001C513B">
        <w:rPr>
          <w:rFonts w:ascii="Calibri" w:eastAsia="等线" w:hAnsi="Calibri" w:cs="Times New Roman"/>
        </w:rPr>
        <w:fldChar w:fldCharType="begin" w:fldLock="1"/>
      </w:r>
      <w:r>
        <w:rPr>
          <w:rFonts w:ascii="Calibri" w:eastAsia="等线" w:hAnsi="Calibri" w:cs="Times New Roman"/>
        </w:rPr>
        <w:instrText>ADDIN CSL_CITATION {"citationItems":[{"id":"ITEM-1","itemData":{"DOI":"10.1007/BF00375026","ISSN":"00039527","abstract":"The shape-memory effect is a phenomenon wherein an apparently plastically deformed specimen recovers all strain when heated above a critical temperature. This is observed in some crystalline solids that undergo martensitic phase transformation. The martensitic transformation is a temperature-induced, diffusionless solid-to-solid phase transformation involving a change in crystalline symmetry. Shape-memory materials are able to transform from the high-temperature austenite to the low-temperature martensite phase without any apparent change in shape. This is known as self-accommodation. Necessary and sufficient conditions that the lattice parameters of a material must satisfy for the material to form a self-accommodating microstructure are derived. The main result states that if the austenite is cubic, the material is self-accommodating if and only if the transformation is volume preserving. On the other hand, if the symmetry of the austenite is not cubic, it is not possible to construct any microstructure that is self-accommodating unless the transformation strain or the Bain strain satisfies additional, rather strict, conditions. These results show good agreement with the available experimental data. The analysis here is significantly different from previous studies because it makes no a priori assumption on the microstructure.","author":[{"dropping-particle":"","family":"Bhattacharya","given":"Kaushik","non-dropping-particle":"","parse-names":false,"suffix":""}],"container-title":"Archive for Rational Mechanics and Analysis","id":"ITEM-1","issued":{"date-parts":[["1992"]]},"title":"Self-accommodation in martensite","type":"article-journal"},"uris":["http://www.mendeley.com/documents/?uuid=2bd4c428-bcb4-43f7-93f3-ce99fdbda6f1"]}],"mendeley":{"formattedCitation":"[39]","plainTextFormattedCitation":"[39]","previouslyFormattedCitation":"[39]"},"properties":{"noteIndex":0},"schema":"https://github.com/citation-style-language/schema/raw/master/csl-citation.json"}</w:instrText>
      </w:r>
      <w:r w:rsidRPr="001C513B">
        <w:rPr>
          <w:rFonts w:ascii="Calibri" w:eastAsia="等线" w:hAnsi="Calibri" w:cs="Times New Roman"/>
        </w:rPr>
        <w:fldChar w:fldCharType="separate"/>
      </w:r>
      <w:r w:rsidRPr="001C513B">
        <w:rPr>
          <w:rFonts w:ascii="Calibri" w:eastAsia="等线" w:hAnsi="Calibri" w:cs="Times New Roman"/>
          <w:noProof/>
        </w:rPr>
        <w:t>[39]</w:t>
      </w:r>
      <w:r w:rsidRPr="001C513B">
        <w:rPr>
          <w:rFonts w:ascii="Calibri" w:eastAsia="等线" w:hAnsi="Calibri" w:cs="Times New Roman"/>
        </w:rPr>
        <w:fldChar w:fldCharType="end"/>
      </w:r>
      <w:r w:rsidRPr="001C513B">
        <w:rPr>
          <w:rFonts w:ascii="Calibri" w:eastAsia="等线" w:hAnsi="Calibri" w:cs="Times New Roman"/>
        </w:rPr>
        <w:t xml:space="preserve">. </w:t>
      </w:r>
      <w:r>
        <w:rPr>
          <w:rFonts w:ascii="Calibri" w:eastAsia="等线" w:hAnsi="Calibri" w:cs="Times New Roman"/>
        </w:rPr>
        <w:t>Accordingly, martensite variants formed different SA structures, which s</w:t>
      </w:r>
      <w:r w:rsidRPr="001C513B">
        <w:rPr>
          <w:rFonts w:ascii="Calibri" w:eastAsia="等线" w:hAnsi="Calibri" w:cs="Times New Roman"/>
        </w:rPr>
        <w:t>erv</w:t>
      </w:r>
      <w:r>
        <w:rPr>
          <w:rFonts w:ascii="Calibri" w:eastAsia="等线" w:hAnsi="Calibri" w:cs="Times New Roman"/>
        </w:rPr>
        <w:t>ed to</w:t>
      </w:r>
      <w:r w:rsidRPr="001C513B">
        <w:rPr>
          <w:rFonts w:ascii="Calibri" w:eastAsia="等线" w:hAnsi="Calibri" w:cs="Times New Roman"/>
        </w:rPr>
        <w:t xml:space="preserve"> compensat</w:t>
      </w:r>
      <w:r>
        <w:rPr>
          <w:rFonts w:ascii="Calibri" w:eastAsia="等线" w:hAnsi="Calibri" w:cs="Times New Roman"/>
        </w:rPr>
        <w:t>e</w:t>
      </w:r>
      <w:r w:rsidRPr="001C513B">
        <w:rPr>
          <w:rFonts w:ascii="Calibri" w:eastAsia="等线" w:hAnsi="Calibri" w:cs="Times New Roman"/>
        </w:rPr>
        <w:t xml:space="preserve"> </w:t>
      </w:r>
      <w:r w:rsidR="00D42B05">
        <w:rPr>
          <w:rFonts w:ascii="Calibri" w:eastAsia="等线" w:hAnsi="Calibri" w:cs="Times New Roman"/>
        </w:rPr>
        <w:t>for</w:t>
      </w:r>
      <w:r w:rsidR="00D42B05" w:rsidRPr="001C513B">
        <w:rPr>
          <w:rFonts w:ascii="Calibri" w:eastAsia="等线" w:hAnsi="Calibri" w:cs="Times New Roman"/>
        </w:rPr>
        <w:t xml:space="preserve"> </w:t>
      </w:r>
      <w:r w:rsidRPr="001C513B">
        <w:rPr>
          <w:rFonts w:ascii="Calibri" w:eastAsia="等线" w:hAnsi="Calibri" w:cs="Times New Roman"/>
        </w:rPr>
        <w:t>TRIP</w:t>
      </w:r>
      <w:r>
        <w:rPr>
          <w:rFonts w:ascii="Calibri" w:eastAsia="等线" w:hAnsi="Calibri" w:cs="Times New Roman"/>
        </w:rPr>
        <w:t>-</w:t>
      </w:r>
      <w:r w:rsidRPr="001C513B">
        <w:rPr>
          <w:rFonts w:ascii="Calibri" w:eastAsia="等线" w:hAnsi="Calibri" w:cs="Times New Roman"/>
        </w:rPr>
        <w:t xml:space="preserve">induced stress and strain. </w:t>
      </w:r>
      <w:r>
        <w:rPr>
          <w:rFonts w:ascii="Calibri" w:eastAsia="等线" w:hAnsi="Calibri" w:cs="Times New Roman"/>
        </w:rPr>
        <w:t>A number of</w:t>
      </w:r>
      <w:r w:rsidRPr="001C513B">
        <w:rPr>
          <w:rFonts w:ascii="Calibri" w:eastAsia="等线" w:hAnsi="Calibri" w:cs="Times New Roman"/>
        </w:rPr>
        <w:t xml:space="preserve"> deformation products were discovered</w:t>
      </w:r>
      <w:r>
        <w:rPr>
          <w:rFonts w:ascii="Calibri" w:eastAsia="等线" w:hAnsi="Calibri" w:cs="Times New Roman"/>
        </w:rPr>
        <w:t xml:space="preserve"> with </w:t>
      </w:r>
      <w:r w:rsidRPr="001C513B">
        <w:rPr>
          <w:rFonts w:ascii="Calibri" w:eastAsia="等线" w:hAnsi="Calibri" w:cs="Times New Roman"/>
        </w:rPr>
        <w:t>respect to the SA morphology</w:t>
      </w:r>
      <w:r>
        <w:rPr>
          <w:rFonts w:ascii="Calibri" w:eastAsia="等线" w:hAnsi="Calibri" w:cs="Times New Roman"/>
        </w:rPr>
        <w:t xml:space="preserve"> in </w:t>
      </w:r>
      <w:r w:rsidRPr="001C513B">
        <w:rPr>
          <w:rFonts w:ascii="Calibri" w:eastAsia="等线" w:hAnsi="Calibri" w:cs="Times New Roman"/>
        </w:rPr>
        <w:t>TiZrHfTa</w:t>
      </w:r>
      <w:r w:rsidRPr="001C513B">
        <w:rPr>
          <w:rFonts w:ascii="Calibri" w:eastAsia="等线" w:hAnsi="Calibri" w:cs="Times New Roman"/>
          <w:vertAlign w:val="subscript"/>
        </w:rPr>
        <w:t>0.5-0.7</w:t>
      </w:r>
      <w:r w:rsidRPr="001C513B">
        <w:rPr>
          <w:rFonts w:ascii="Calibri" w:eastAsia="等线" w:hAnsi="Calibri" w:cs="Times New Roman"/>
        </w:rPr>
        <w:t>. APB</w:t>
      </w:r>
      <w:r>
        <w:rPr>
          <w:rFonts w:ascii="Calibri" w:eastAsia="等线" w:hAnsi="Calibri" w:cs="Times New Roman"/>
        </w:rPr>
        <w:t>-</w:t>
      </w:r>
      <w:r w:rsidRPr="001C513B">
        <w:rPr>
          <w:rFonts w:ascii="Calibri" w:eastAsia="等线" w:hAnsi="Calibri" w:cs="Times New Roman"/>
        </w:rPr>
        <w:t>like stacking fault</w:t>
      </w:r>
      <w:r>
        <w:rPr>
          <w:rFonts w:ascii="Calibri" w:eastAsia="等线" w:hAnsi="Calibri" w:cs="Times New Roman"/>
        </w:rPr>
        <w:t>s were found</w:t>
      </w:r>
      <w:r w:rsidRPr="001C513B">
        <w:rPr>
          <w:rFonts w:ascii="Calibri" w:eastAsia="等线" w:hAnsi="Calibri" w:cs="Times New Roman"/>
        </w:rPr>
        <w:t xml:space="preserve"> in</w:t>
      </w:r>
      <w:r>
        <w:rPr>
          <w:rFonts w:ascii="Calibri" w:eastAsia="等线" w:hAnsi="Calibri" w:cs="Times New Roman"/>
        </w:rPr>
        <w:t xml:space="preserve"> the</w:t>
      </w:r>
      <w:r w:rsidRPr="001C513B">
        <w:rPr>
          <w:rFonts w:ascii="Calibri" w:eastAsia="等线" w:hAnsi="Calibri" w:cs="Times New Roman"/>
        </w:rPr>
        <w:t xml:space="preserve"> martensite phase</w:t>
      </w:r>
      <w:r>
        <w:rPr>
          <w:rFonts w:ascii="Calibri" w:eastAsia="等线" w:hAnsi="Calibri" w:cs="Times New Roman"/>
        </w:rPr>
        <w:t xml:space="preserve">, as observed in Figs. 5-7 to 5-8 and these were a result of the occurrence of phase </w:t>
      </w:r>
      <w:r w:rsidRPr="001C513B">
        <w:rPr>
          <w:rFonts w:ascii="Calibri" w:eastAsia="等线" w:hAnsi="Calibri" w:cs="Times New Roman"/>
        </w:rPr>
        <w:t>transformation</w:t>
      </w:r>
      <w:r>
        <w:rPr>
          <w:rFonts w:ascii="Calibri" w:eastAsia="等线" w:hAnsi="Calibri" w:cs="Times New Roman"/>
        </w:rPr>
        <w:t xml:space="preserve">, as reported in reference </w:t>
      </w:r>
      <w:r w:rsidRPr="001C513B">
        <w:rPr>
          <w:rFonts w:ascii="Calibri" w:eastAsia="等线" w:hAnsi="Calibri" w:cs="Times New Roman"/>
        </w:rPr>
        <w:fldChar w:fldCharType="begin" w:fldLock="1"/>
      </w:r>
      <w:r>
        <w:rPr>
          <w:rFonts w:ascii="Calibri" w:eastAsia="等线" w:hAnsi="Calibri" w:cs="Times New Roman"/>
        </w:rPr>
        <w:instrText>ADDIN CSL_CITATION {"citationItems":[{"id":"ITEM-1","itemData":{"DOI":"10.1080/14786435.2010.489889","ISBN":"1478-6435","ISSN":"14786435","abstract":"The ordering and antiphase boundary (APB)-like fault found in the alpha''-martensite of beta-Ti shape memory alloys are studied. Long-range chemical ordering was not found, but APB-like faults were observed in every martensite plate studied by transmission electron microscopy. These faults have morphology similar to the APBs observed in ordered phases. The superlattice reflections observed in some previous works were a consequence of multiple diffractions. APB-like faults were not observed in the parent phase, leading to the conclusion that the faults were introduced by the martensite transformation. The fault took the form of a wavy tube running perpendicular to the habit plane. The fault was a 'transformation-induced APB' with an additional small displacement due to the pre-existing athermal omega phase. The displacement vector was determined to be [-3/50, -23/50, 1/2]. Geometrical aspects of the formation of APB-like faults are also discussed.","author":[{"dropping-particle":"","family":"Inamura","given":"Tomonari","non-dropping-particle":"","parse-names":false,"suffix":""},{"dropping-particle":"","family":"Hosoda","given":"Hideki","non-dropping-particle":"","parse-names":false,"suffix":""},{"dropping-particle":"","family":"Young Kim","given":"Hee","non-dropping-particle":"","parse-names":false,"suffix":""},{"dropping-particle":"","family":"Miyazaki","giv</w:instrText>
      </w:r>
      <w:r>
        <w:rPr>
          <w:rFonts w:ascii="Calibri" w:eastAsia="等线" w:hAnsi="Calibri" w:cs="Times New Roman" w:hint="eastAsia"/>
        </w:rPr>
        <w:instrText xml:space="preserve">en":"Shuichi","non-dropping-particle":"","parse-names":false,"suffix":""}],"container-title":"Philosophical Magazine","id":"ITEM-1","issued":{"date-parts":[["2010"]]},"title":"Antiphase boundary-like stacking fault in </w:instrText>
      </w:r>
      <w:r>
        <w:rPr>
          <w:rFonts w:ascii="Calibri" w:eastAsia="等线" w:hAnsi="Calibri" w:cs="Times New Roman" w:hint="eastAsia"/>
        </w:rPr>
        <w:instrText>α″</w:instrText>
      </w:r>
      <w:r>
        <w:rPr>
          <w:rFonts w:ascii="Calibri" w:eastAsia="等线" w:hAnsi="Calibri" w:cs="Times New Roman" w:hint="eastAsia"/>
        </w:rPr>
        <w:instrText>-martensite of disordered crystal s</w:instrText>
      </w:r>
      <w:r>
        <w:rPr>
          <w:rFonts w:ascii="Calibri" w:eastAsia="等线" w:hAnsi="Calibri" w:cs="Times New Roman"/>
        </w:rPr>
        <w:instrText>tructure in β-titanium shape memory alloy","type":"article-journal"},"uris":["http://www.mendeley.com/documents/?uuid=d373c238-151c-423d-96f9-6504ac70f1ff","http://www.mendeley.com/documents/?uuid=9c0b8923-b252-4d20-8016-eb789b499af0"]}],"mendeley":{"formattedCitation":"[44]","plainTextFormattedCitation":"[44]","previouslyFormattedCitation":"[44]"},"properties":{"noteIndex":0},"schema":"https://github.com/citation-style-language/schema/raw/master/csl-citation.json"}</w:instrText>
      </w:r>
      <w:r w:rsidRPr="001C513B">
        <w:rPr>
          <w:rFonts w:ascii="Calibri" w:eastAsia="等线" w:hAnsi="Calibri" w:cs="Times New Roman"/>
        </w:rPr>
        <w:fldChar w:fldCharType="separate"/>
      </w:r>
      <w:r w:rsidRPr="001C513B">
        <w:rPr>
          <w:rFonts w:ascii="Calibri" w:eastAsia="等线" w:hAnsi="Calibri" w:cs="Times New Roman"/>
          <w:noProof/>
        </w:rPr>
        <w:t>[44]</w:t>
      </w:r>
      <w:r w:rsidRPr="001C513B">
        <w:rPr>
          <w:rFonts w:ascii="Calibri" w:eastAsia="等线" w:hAnsi="Calibri" w:cs="Times New Roman"/>
        </w:rPr>
        <w:fldChar w:fldCharType="end"/>
      </w:r>
      <w:r>
        <w:rPr>
          <w:rFonts w:ascii="Calibri" w:eastAsia="等线" w:hAnsi="Calibri" w:cs="Times New Roman"/>
        </w:rPr>
        <w:t>.</w:t>
      </w:r>
      <w:r w:rsidRPr="001C513B">
        <w:rPr>
          <w:rFonts w:ascii="Calibri" w:eastAsia="等线" w:hAnsi="Calibri" w:cs="Times New Roman"/>
        </w:rPr>
        <w:t xml:space="preserve"> With further deformation, the APB</w:t>
      </w:r>
      <w:r>
        <w:rPr>
          <w:rFonts w:ascii="Calibri" w:eastAsia="等线" w:hAnsi="Calibri" w:cs="Times New Roman"/>
        </w:rPr>
        <w:t>-</w:t>
      </w:r>
      <w:r w:rsidRPr="001C513B">
        <w:rPr>
          <w:rFonts w:ascii="Calibri" w:eastAsia="等线" w:hAnsi="Calibri" w:cs="Times New Roman"/>
        </w:rPr>
        <w:t xml:space="preserve">like defects </w:t>
      </w:r>
      <w:r>
        <w:rPr>
          <w:rFonts w:ascii="Calibri" w:eastAsia="等线" w:hAnsi="Calibri" w:cs="Times New Roman"/>
        </w:rPr>
        <w:t>appear to</w:t>
      </w:r>
      <w:r w:rsidRPr="001C513B">
        <w:rPr>
          <w:rFonts w:ascii="Calibri" w:eastAsia="等线" w:hAnsi="Calibri" w:cs="Times New Roman"/>
        </w:rPr>
        <w:t xml:space="preserve"> work as nucleation</w:t>
      </w:r>
      <w:r w:rsidR="00D42B05">
        <w:rPr>
          <w:rFonts w:ascii="Calibri" w:eastAsia="等线" w:hAnsi="Calibri" w:cs="Times New Roman"/>
        </w:rPr>
        <w:t xml:space="preserve"> sites</w:t>
      </w:r>
      <w:r w:rsidRPr="001C513B">
        <w:rPr>
          <w:rFonts w:ascii="Calibri" w:eastAsia="等线" w:hAnsi="Calibri" w:cs="Times New Roman"/>
        </w:rPr>
        <w:t xml:space="preserve"> for secondary SA twin</w:t>
      </w:r>
      <w:r w:rsidR="00D42B05">
        <w:rPr>
          <w:rFonts w:ascii="Calibri" w:eastAsia="等线" w:hAnsi="Calibri" w:cs="Times New Roman"/>
        </w:rPr>
        <w:t>ning</w:t>
      </w:r>
      <w:r w:rsidRPr="001C513B">
        <w:rPr>
          <w:rFonts w:ascii="Calibri" w:eastAsia="等线" w:hAnsi="Calibri" w:cs="Times New Roman"/>
        </w:rPr>
        <w:t xml:space="preserve"> and result in </w:t>
      </w:r>
      <w:r w:rsidR="00D42B05">
        <w:rPr>
          <w:rFonts w:ascii="Calibri" w:eastAsia="等线" w:hAnsi="Calibri" w:cs="Times New Roman"/>
        </w:rPr>
        <w:t xml:space="preserve">a </w:t>
      </w:r>
      <w:r w:rsidRPr="001C513B">
        <w:rPr>
          <w:rFonts w:ascii="Calibri" w:eastAsia="等线" w:hAnsi="Calibri" w:cs="Times New Roman"/>
        </w:rPr>
        <w:t xml:space="preserve">complex SA morphology </w:t>
      </w:r>
      <w:r>
        <w:rPr>
          <w:rFonts w:ascii="Calibri" w:eastAsia="等线" w:hAnsi="Calibri" w:cs="Times New Roman"/>
        </w:rPr>
        <w:t>(</w:t>
      </w:r>
      <w:r w:rsidRPr="001C513B">
        <w:rPr>
          <w:rFonts w:ascii="Calibri" w:eastAsia="等线" w:hAnsi="Calibri" w:cs="Times New Roman"/>
        </w:rPr>
        <w:t>Fig</w:t>
      </w:r>
      <w:r>
        <w:rPr>
          <w:rFonts w:ascii="Calibri" w:eastAsia="等线" w:hAnsi="Calibri" w:cs="Times New Roman"/>
        </w:rPr>
        <w:t>s</w:t>
      </w:r>
      <w:r w:rsidRPr="001C513B">
        <w:rPr>
          <w:rFonts w:ascii="Calibri" w:eastAsia="等线" w:hAnsi="Calibri" w:cs="Times New Roman"/>
        </w:rPr>
        <w:t>. 5-9</w:t>
      </w:r>
      <w:r>
        <w:rPr>
          <w:rFonts w:ascii="Calibri" w:eastAsia="等线" w:hAnsi="Calibri" w:cs="Times New Roman"/>
        </w:rPr>
        <w:t xml:space="preserve"> to 5-</w:t>
      </w:r>
      <w:r w:rsidRPr="001C513B">
        <w:rPr>
          <w:rFonts w:ascii="Calibri" w:eastAsia="等线" w:hAnsi="Calibri" w:cs="Times New Roman"/>
        </w:rPr>
        <w:t>10</w:t>
      </w:r>
      <w:r>
        <w:rPr>
          <w:rFonts w:ascii="Calibri" w:eastAsia="等线" w:hAnsi="Calibri" w:cs="Times New Roman"/>
        </w:rPr>
        <w:t>)</w:t>
      </w:r>
      <w:r w:rsidRPr="001C513B">
        <w:rPr>
          <w:rFonts w:ascii="Calibri" w:eastAsia="等线" w:hAnsi="Calibri" w:cs="Times New Roman"/>
        </w:rPr>
        <w:t>. A</w:t>
      </w:r>
      <w:r>
        <w:rPr>
          <w:rFonts w:ascii="Calibri" w:eastAsia="等线" w:hAnsi="Calibri" w:cs="Times New Roman"/>
        </w:rPr>
        <w:t xml:space="preserve"> particularly</w:t>
      </w:r>
      <w:r w:rsidRPr="001C513B">
        <w:rPr>
          <w:rFonts w:ascii="Calibri" w:eastAsia="等线" w:hAnsi="Calibri" w:cs="Times New Roman"/>
        </w:rPr>
        <w:t xml:space="preserve"> interesting finding is shown in Fig. 5-9</w:t>
      </w:r>
      <w:r>
        <w:rPr>
          <w:rFonts w:ascii="Calibri" w:eastAsia="等线" w:hAnsi="Calibri" w:cs="Times New Roman"/>
        </w:rPr>
        <w:t>,</w:t>
      </w:r>
      <w:r w:rsidRPr="001C513B">
        <w:rPr>
          <w:rFonts w:ascii="Calibri" w:eastAsia="等线" w:hAnsi="Calibri" w:cs="Times New Roman"/>
        </w:rPr>
        <w:t xml:space="preserve"> where</w:t>
      </w:r>
      <w:r>
        <w:rPr>
          <w:rFonts w:ascii="Calibri" w:eastAsia="等线" w:hAnsi="Calibri" w:cs="Times New Roman"/>
        </w:rPr>
        <w:t>by</w:t>
      </w:r>
      <w:r w:rsidRPr="001C513B">
        <w:rPr>
          <w:rFonts w:ascii="Calibri" w:eastAsia="等线" w:hAnsi="Calibri" w:cs="Times New Roman"/>
        </w:rPr>
        <w:t xml:space="preserve"> {011}</w:t>
      </w:r>
      <w:bookmarkStart w:id="270" w:name="OLE_LINK47"/>
      <w:r w:rsidRPr="001C513B">
        <w:rPr>
          <w:rFonts w:ascii="Calibri" w:eastAsia="等线" w:hAnsi="Calibri" w:cs="Times New Roman"/>
          <w:vertAlign w:val="subscript"/>
        </w:rPr>
        <w:t>α’’</w:t>
      </w:r>
      <w:r w:rsidRPr="001C513B">
        <w:rPr>
          <w:rFonts w:ascii="Calibri" w:eastAsia="等线" w:hAnsi="Calibri" w:cs="Times New Roman"/>
        </w:rPr>
        <w:t xml:space="preserve"> </w:t>
      </w:r>
      <w:bookmarkEnd w:id="270"/>
      <w:r w:rsidRPr="001C513B">
        <w:rPr>
          <w:rFonts w:ascii="Calibri" w:eastAsia="等线" w:hAnsi="Calibri" w:cs="Times New Roman"/>
        </w:rPr>
        <w:t xml:space="preserve">compound SA twinning was </w:t>
      </w:r>
      <w:r>
        <w:rPr>
          <w:rFonts w:ascii="Calibri" w:eastAsia="等线" w:hAnsi="Calibri" w:cs="Times New Roman"/>
        </w:rPr>
        <w:t>observed. It was initially</w:t>
      </w:r>
      <w:r w:rsidRPr="001C513B">
        <w:rPr>
          <w:rFonts w:ascii="Calibri" w:eastAsia="等线" w:hAnsi="Calibri" w:cs="Times New Roman"/>
        </w:rPr>
        <w:t xml:space="preserve"> </w:t>
      </w:r>
      <w:r>
        <w:rPr>
          <w:rFonts w:ascii="Calibri" w:eastAsia="等线" w:hAnsi="Calibri" w:cs="Times New Roman"/>
        </w:rPr>
        <w:t>considered that the formation</w:t>
      </w:r>
      <w:r w:rsidRPr="001C513B">
        <w:rPr>
          <w:rFonts w:ascii="Calibri" w:eastAsia="等线" w:hAnsi="Calibri" w:cs="Times New Roman"/>
        </w:rPr>
        <w:t xml:space="preserve"> of this feature may contribute to the fast cooling rate in </w:t>
      </w:r>
      <w:r>
        <w:rPr>
          <w:rFonts w:ascii="Calibri" w:eastAsia="等线" w:hAnsi="Calibri" w:cs="Times New Roman"/>
        </w:rPr>
        <w:t xml:space="preserve">the </w:t>
      </w:r>
      <w:r w:rsidRPr="001C513B">
        <w:rPr>
          <w:rFonts w:ascii="Calibri" w:eastAsia="等线" w:hAnsi="Calibri" w:cs="Times New Roman"/>
        </w:rPr>
        <w:t>current as-cast sample</w:t>
      </w:r>
      <w:r>
        <w:rPr>
          <w:rFonts w:ascii="Calibri" w:eastAsia="等线" w:hAnsi="Calibri" w:cs="Times New Roman"/>
        </w:rPr>
        <w:t>,</w:t>
      </w:r>
      <w:r w:rsidRPr="001C513B">
        <w:rPr>
          <w:rFonts w:ascii="Calibri" w:eastAsia="等线" w:hAnsi="Calibri" w:cs="Times New Roman"/>
        </w:rPr>
        <w:t xml:space="preserve"> which</w:t>
      </w:r>
      <w:r>
        <w:rPr>
          <w:rFonts w:ascii="Calibri" w:eastAsia="等线" w:hAnsi="Calibri" w:cs="Times New Roman"/>
        </w:rPr>
        <w:t xml:space="preserve"> was reported as being </w:t>
      </w:r>
      <w:r>
        <w:rPr>
          <w:rFonts w:ascii="Calibri" w:eastAsia="等线" w:hAnsi="Calibri" w:cs="Times New Roman"/>
        </w:rPr>
        <w:lastRenderedPageBreak/>
        <w:t>commonplace</w:t>
      </w:r>
      <w:r w:rsidRPr="001C513B">
        <w:rPr>
          <w:rFonts w:ascii="Calibri" w:eastAsia="等线" w:hAnsi="Calibri" w:cs="Times New Roman"/>
        </w:rPr>
        <w:t xml:space="preserve"> in most </w:t>
      </w:r>
      <w:bookmarkStart w:id="271" w:name="OLE_LINK44"/>
      <w:r w:rsidRPr="001C513B">
        <w:rPr>
          <w:rFonts w:ascii="Calibri" w:eastAsia="等线" w:hAnsi="Calibri" w:cs="Times New Roman"/>
        </w:rPr>
        <w:t>metastable β-Ti alloy</w:t>
      </w:r>
      <w:bookmarkEnd w:id="271"/>
      <w:r w:rsidR="00D42B05">
        <w:rPr>
          <w:rFonts w:ascii="Calibri" w:eastAsia="等线" w:hAnsi="Calibri" w:cs="Times New Roman"/>
        </w:rPr>
        <w:t>s</w:t>
      </w:r>
      <w:r>
        <w:rPr>
          <w:rFonts w:ascii="Calibri" w:eastAsia="等线" w:hAnsi="Calibri" w:cs="Times New Roman"/>
        </w:rPr>
        <w:t xml:space="preserve"> </w:t>
      </w:r>
      <w:r w:rsidRPr="001C513B">
        <w:rPr>
          <w:rFonts w:ascii="Calibri" w:eastAsia="等线" w:hAnsi="Calibri" w:cs="Times New Roman"/>
        </w:rPr>
        <w:fldChar w:fldCharType="begin" w:fldLock="1"/>
      </w:r>
      <w:r>
        <w:rPr>
          <w:rFonts w:ascii="Calibri" w:eastAsia="等线" w:hAnsi="Calibri" w:cs="Times New Roman"/>
        </w:rPr>
        <w:instrText xml:space="preserve">ADDIN CSL_CITATION {"citationItems":[{"id":"ITEM-1","itemData":{"DOI":"10.1016/j.msea.2006.02.329","ISBN":"09215093","ISSN":"09215093","PMID":"24372748","abstract":"The constituent phases and associated deformed microstructure of the quenched Ti-xNb-(0.5-1.5) at.% Si alloy consisting of non-cytotoxicity elements, where x = 24-30 at.%, were investigated to provide pseudoelasticity for biomedical and sensor applications. Optical microscopy revealed that stress-induced martensitic transformation takes place </w:instrText>
      </w:r>
      <w:r>
        <w:rPr>
          <w:rFonts w:ascii="Calibri" w:eastAsia="等线" w:hAnsi="Calibri" w:cs="Times New Roman" w:hint="eastAsia"/>
        </w:rPr>
        <w:instrText xml:space="preserve">during the deformation in the present alloys. It is confirmed from the X-ray diffraction results of the deformed specimens that the crystal structure of the stress-induced martensite phase is the orthorhombic so-called </w:instrText>
      </w:r>
      <w:r>
        <w:rPr>
          <w:rFonts w:ascii="Calibri" w:eastAsia="等线" w:hAnsi="Calibri" w:cs="Times New Roman" w:hint="eastAsia"/>
        </w:rPr>
        <w:instrText>α″</w:instrText>
      </w:r>
      <w:r>
        <w:rPr>
          <w:rFonts w:ascii="Calibri" w:eastAsia="等线" w:hAnsi="Calibri" w:cs="Times New Roman" w:hint="eastAsia"/>
        </w:rPr>
        <w:instrText xml:space="preserve"> structure. Within the alloys havi</w:instrText>
      </w:r>
      <w:r>
        <w:rPr>
          <w:rFonts w:ascii="Calibri" w:eastAsia="等线" w:hAnsi="Calibri" w:cs="Times New Roman"/>
        </w:rPr>
        <w:instrText>ng β(bcc) phase studied Nb-poor region appeared to exhibit a dominant behavior for stress-induced martensitic transformation than Nb-rich region. This result suggests that metastable β phase is superior to stable β phase for the occurrence of stress-induced martensitic transformation in the present alloy system. © 2006 Elsevier B.V. All rights reserved.","author":[{"dropping-particle":"","family":"Kim","given":"Han Sol","non-dropping-particle":"","parse-names":false,"suffix":""},{"dropping-particle":"","family":"Lim","given":"Sung Hwan","non-dropping-particle":"","parse-names":false,"suffix":""},{"dropping-particle":"","family":"Yeo","given":"In Dong","non-dropping-particle":"","parse-names":false,"suffix":""},{"dropping-particle":"","family":"Kim","given":"Won Yong","non-dropping-particle":"","parse-names":false,"suffix":""}],"container-title":"Materials Science and Engineering A","id":"ITEM-1","issued":{"date-parts":[["2007"]]},"title":"Stress-induced martensitic transformation of metastable β-titanium alloy","type":"article-journal"},"uris":["http://www.mendeley.com/documents/?uuid=2f642130-7a91-4aeb-a499-6eb1e90501cc"]},{"id":"ITEM-2","itemData":{"DOI":"10.1080/14786430601003874","ISBN":"1478-6435","ISSN":"14786435","abstract":"11q","author":[{"dropping-particle":"","family":"Inamura","given":"T.","non-dropping-particle":"","parse-names":false,"suffix":""},{"dropping-particle":"","family":"Kim","given":"J. I.","non-dropping-particle":"","parse-names":false,"suffix":""},{"dropping-particle":"","family":"Kim","given":"H. Y.","non-dropping-particle":"","parse-names":false,"suffix":""},{"dropping-particle":"","family":"Hosoda","given":"H.","non-dropping-particle":"","parse-names":false,"suffix":""},{"dropping-particle":"","family":"Wakashima","given":"K.","non-dropping-particle":"","parse-names":false,"suffix":""},{"dropping-particle":"","family":"Miyazaki","given":"S.","non-dropping-particle":"","parse-names":false,"suffix":""}],"container-title":"Philosophical Magazine","id":"ITEM-2","issued":{"date-par</w:instrText>
      </w:r>
      <w:r>
        <w:rPr>
          <w:rFonts w:ascii="Calibri" w:eastAsia="等线" w:hAnsi="Calibri" w:cs="Times New Roman" w:hint="eastAsia"/>
        </w:rPr>
        <w:instrText xml:space="preserve">ts":[["2007"]]},"title":"Composition dependent crystallography of </w:instrText>
      </w:r>
      <w:r>
        <w:rPr>
          <w:rFonts w:ascii="Calibri" w:eastAsia="等线" w:hAnsi="Calibri" w:cs="Times New Roman" w:hint="eastAsia"/>
        </w:rPr>
        <w:instrText>α″</w:instrText>
      </w:r>
      <w:r>
        <w:rPr>
          <w:rFonts w:ascii="Calibri" w:eastAsia="等线" w:hAnsi="Calibri" w:cs="Times New Roman" w:hint="eastAsia"/>
        </w:rPr>
        <w:instrText xml:space="preserve">-martensite in Ti-Nb-based </w:instrText>
      </w:r>
      <w:r>
        <w:rPr>
          <w:rFonts w:ascii="Calibri" w:eastAsia="等线" w:hAnsi="Calibri" w:cs="Times New Roman" w:hint="eastAsia"/>
        </w:rPr>
        <w:instrText>β</w:instrText>
      </w:r>
      <w:r>
        <w:rPr>
          <w:rFonts w:ascii="Calibri" w:eastAsia="等线" w:hAnsi="Calibri" w:cs="Times New Roman" w:hint="eastAsia"/>
        </w:rPr>
        <w:instrText xml:space="preserve">-titanium alloy","type":"article-journal"},"uris":["http://www.mendeley.com/documents/?uuid=4ea84c35-d3ea-4315-8bc5-461397befc0b"]},{"id":"ITEM-3","itemData":{"DOI":"10.1016/j.actamat.2015.12.001","ISBN":"13596454","ISSN":"13596454","PMID":"10124575","abstract":"Deformation twinning of the Ti-25Ta-20Nb (mass%) shape memory alloy is characterized using EBSD and TEM. The selfaccommodating </w:instrText>
      </w:r>
      <w:r>
        <w:rPr>
          <w:rFonts w:ascii="Calibri" w:eastAsia="等线" w:hAnsi="Calibri" w:cs="Times New Roman" w:hint="eastAsia"/>
        </w:rPr>
        <w:instrText>α″</w:instrText>
      </w:r>
      <w:r>
        <w:rPr>
          <w:rFonts w:ascii="Calibri" w:eastAsia="等线" w:hAnsi="Calibri" w:cs="Times New Roman" w:hint="eastAsia"/>
        </w:rPr>
        <w:instrText xml:space="preserve"> microstructure is shown to be first deformed using {111}</w:instrText>
      </w:r>
      <w:r>
        <w:rPr>
          <w:rFonts w:ascii="Calibri" w:eastAsia="等线" w:hAnsi="Calibri" w:cs="Times New Roman" w:hint="eastAsia"/>
        </w:rPr>
        <w:instrText>α″</w:instrText>
      </w:r>
      <w:r>
        <w:rPr>
          <w:rFonts w:ascii="Calibri" w:eastAsia="等线" w:hAnsi="Calibri" w:cs="Times New Roman" w:hint="eastAsia"/>
        </w:rPr>
        <w:instrText xml:space="preserve"> type I and &lt;211&gt;</w:instrText>
      </w:r>
      <w:r>
        <w:rPr>
          <w:rFonts w:ascii="Calibri" w:eastAsia="等线" w:hAnsi="Calibri" w:cs="Times New Roman" w:hint="eastAsia"/>
        </w:rPr>
        <w:instrText>α″</w:instrText>
      </w:r>
      <w:r>
        <w:rPr>
          <w:rFonts w:ascii="Calibri" w:eastAsia="等线" w:hAnsi="Calibri" w:cs="Times New Roman" w:hint="eastAsia"/>
        </w:rPr>
        <w:instrText xml:space="preserve"> type II reorientation twinning. Plastic deformation occurs further by plastic twinning with a new {130}&lt;310&gt;</w:instrText>
      </w:r>
      <w:r>
        <w:rPr>
          <w:rFonts w:ascii="Calibri" w:eastAsia="等线" w:hAnsi="Calibri" w:cs="Times New Roman" w:hint="eastAsia"/>
        </w:rPr>
        <w:instrText>α″</w:instrText>
      </w:r>
      <w:r>
        <w:rPr>
          <w:rFonts w:ascii="Calibri" w:eastAsia="等线" w:hAnsi="Calibri" w:cs="Times New Roman" w:hint="eastAsia"/>
        </w:rPr>
        <w:instrText xml:space="preserve"> twinning system. Maximum lattice deformation calculation is a relevant parameter to predict the variant of martensite that is favored during the reorientation process. Conversely, Schmid factor analysis can be used to predict the selection of {130}&lt;310&gt;</w:instrText>
      </w:r>
      <w:r>
        <w:rPr>
          <w:rFonts w:ascii="Calibri" w:eastAsia="等线" w:hAnsi="Calibri" w:cs="Times New Roman" w:hint="eastAsia"/>
        </w:rPr>
        <w:instrText>α″</w:instrText>
      </w:r>
      <w:r>
        <w:rPr>
          <w:rFonts w:ascii="Calibri" w:eastAsia="等线" w:hAnsi="Calibri" w:cs="Times New Roman" w:hint="eastAsia"/>
        </w:rPr>
        <w:instrText xml:space="preserve"> twinning variants during deformation. Analogy between {130}&lt;310&gt;</w:instrText>
      </w:r>
      <w:r>
        <w:rPr>
          <w:rFonts w:ascii="Calibri" w:eastAsia="等线" w:hAnsi="Calibri" w:cs="Times New Roman" w:hint="eastAsia"/>
        </w:rPr>
        <w:instrText>α″</w:instrText>
      </w:r>
      <w:r>
        <w:rPr>
          <w:rFonts w:ascii="Calibri" w:eastAsia="等线" w:hAnsi="Calibri" w:cs="Times New Roman" w:hint="eastAsia"/>
        </w:rPr>
        <w:instrText xml:space="preserve"> and {332}&lt;113&gt;</w:instrText>
      </w:r>
      <w:r>
        <w:rPr>
          <w:rFonts w:ascii="Calibri" w:eastAsia="等线" w:hAnsi="Calibri" w:cs="Times New Roman" w:hint="eastAsia"/>
        </w:rPr>
        <w:instrText>β</w:instrText>
      </w:r>
      <w:r>
        <w:rPr>
          <w:rFonts w:ascii="Calibri" w:eastAsia="等线" w:hAnsi="Calibri" w:cs="Times New Roman" w:hint="eastAsia"/>
        </w:rPr>
        <w:instrText>twin</w:instrText>
      </w:r>
      <w:r>
        <w:rPr>
          <w:rFonts w:ascii="Calibri" w:eastAsia="等线" w:hAnsi="Calibri" w:cs="Times New Roman"/>
        </w:rPr>
        <w:instrText>ning systems is highlighted.","author":[{"dropping-particle":"","family":"Bertrand","given":"Emmanuel","non-dropping-particle":"","parse-names":false,"suffix":""},{"dropping-particle":"","family":"Castany","given":"Philippe","non-dropping-particle":"","parse-names":false,"suffix":""},{"dropping-particle":"","family":"Yang","given":"Yang","non-dropping-particle":"","parse-names":false,"suffix":""},{"dropping-particle":"","family":"Menou","given":"Edern","non-dropping-particle":"","parse-names":false,"suffix":""},{"dropping-particle":"","family":"Gloriant","given":"Thierry","non-dropping-particle":"","parse-names":false,"suffix":""}],"container-title":"Acta Materialia","id":"ITEM-3","issued":{"date-parts":[["2016"]]},"title":"Deformation twinning in the ful</w:instrText>
      </w:r>
      <w:r>
        <w:rPr>
          <w:rFonts w:ascii="Calibri" w:eastAsia="等线" w:hAnsi="Calibri" w:cs="Times New Roman" w:hint="eastAsia"/>
        </w:rPr>
        <w:instrText>l-</w:instrText>
      </w:r>
      <w:r>
        <w:rPr>
          <w:rFonts w:ascii="Calibri" w:eastAsia="等线" w:hAnsi="Calibri" w:cs="Times New Roman" w:hint="eastAsia"/>
        </w:rPr>
        <w:instrText>α″</w:instrText>
      </w:r>
      <w:r>
        <w:rPr>
          <w:rFonts w:ascii="Calibri" w:eastAsia="等线" w:hAnsi="Calibri" w:cs="Times New Roman" w:hint="eastAsia"/>
        </w:rPr>
        <w:instrText xml:space="preserve"> martensitic Ti-25Ta-20Nb shape memory alloy","type":"article-journal"},"uris":["http://www.mendeley.com/documents/?uuid=52547bef-0447-4f2d-a9c5-2bc8e04bf9a6"]}],"mendeley":{"formattedCitation":"[38,41,48]","plainTextFormattedCitation":"[38,41,48]","p</w:instrText>
      </w:r>
      <w:r>
        <w:rPr>
          <w:rFonts w:ascii="Calibri" w:eastAsia="等线" w:hAnsi="Calibri" w:cs="Times New Roman"/>
        </w:rPr>
        <w:instrText>reviouslyFormattedCitation":"[38,41,48]"},"properties":{"noteIndex":0},"schema":"https://github.com/citation-style-language/schema/raw/master/csl-citation.json"}</w:instrText>
      </w:r>
      <w:r w:rsidRPr="001C513B">
        <w:rPr>
          <w:rFonts w:ascii="Calibri" w:eastAsia="等线" w:hAnsi="Calibri" w:cs="Times New Roman"/>
        </w:rPr>
        <w:fldChar w:fldCharType="separate"/>
      </w:r>
      <w:r w:rsidRPr="001C513B">
        <w:rPr>
          <w:rFonts w:ascii="Calibri" w:eastAsia="等线" w:hAnsi="Calibri" w:cs="Times New Roman"/>
          <w:noProof/>
        </w:rPr>
        <w:t>[38,41,48]</w:t>
      </w:r>
      <w:r w:rsidRPr="001C513B">
        <w:rPr>
          <w:rFonts w:ascii="Calibri" w:eastAsia="等线" w:hAnsi="Calibri" w:cs="Times New Roman"/>
        </w:rPr>
        <w:fldChar w:fldCharType="end"/>
      </w:r>
      <w:r w:rsidRPr="001C513B">
        <w:rPr>
          <w:rFonts w:ascii="Calibri" w:eastAsia="等线" w:hAnsi="Calibri" w:cs="Times New Roman"/>
        </w:rPr>
        <w:t xml:space="preserve">. However, the </w:t>
      </w:r>
      <w:r>
        <w:rPr>
          <w:rFonts w:ascii="Calibri" w:eastAsia="等线" w:hAnsi="Calibri" w:cs="Times New Roman"/>
        </w:rPr>
        <w:t>underlying</w:t>
      </w:r>
      <w:r w:rsidRPr="001C513B">
        <w:rPr>
          <w:rFonts w:ascii="Calibri" w:eastAsia="等线" w:hAnsi="Calibri" w:cs="Times New Roman"/>
        </w:rPr>
        <w:t xml:space="preserve"> mechanism </w:t>
      </w:r>
      <w:r>
        <w:rPr>
          <w:rFonts w:ascii="Calibri" w:eastAsia="等线" w:hAnsi="Calibri" w:cs="Times New Roman"/>
        </w:rPr>
        <w:t>was much</w:t>
      </w:r>
      <w:r w:rsidRPr="001C513B">
        <w:rPr>
          <w:rFonts w:ascii="Calibri" w:eastAsia="等线" w:hAnsi="Calibri" w:cs="Times New Roman"/>
        </w:rPr>
        <w:t xml:space="preserve"> more complicated</w:t>
      </w:r>
      <w:r>
        <w:rPr>
          <w:rFonts w:ascii="Calibri" w:eastAsia="等线" w:hAnsi="Calibri" w:cs="Times New Roman"/>
        </w:rPr>
        <w:t xml:space="preserve"> as was shown in the work conducted on</w:t>
      </w:r>
      <w:r w:rsidRPr="001C513B">
        <w:rPr>
          <w:rFonts w:ascii="Calibri" w:eastAsia="等线" w:hAnsi="Calibri" w:cs="Times New Roman"/>
        </w:rPr>
        <w:t xml:space="preserve"> TiZrHfTa</w:t>
      </w:r>
      <w:r w:rsidRPr="001C513B">
        <w:rPr>
          <w:rFonts w:ascii="Calibri" w:eastAsia="等线" w:hAnsi="Calibri" w:cs="Times New Roman"/>
          <w:vertAlign w:val="subscript"/>
        </w:rPr>
        <w:t>0.5</w:t>
      </w:r>
      <w:r w:rsidRPr="001C513B">
        <w:rPr>
          <w:rFonts w:ascii="Calibri" w:eastAsia="等线" w:hAnsi="Calibri" w:cs="Times New Roman"/>
        </w:rPr>
        <w:t>. TiZrHfTa</w:t>
      </w:r>
      <w:r w:rsidRPr="001C513B">
        <w:rPr>
          <w:rFonts w:ascii="Calibri" w:eastAsia="等线" w:hAnsi="Calibri" w:cs="Times New Roman"/>
          <w:vertAlign w:val="subscript"/>
        </w:rPr>
        <w:t xml:space="preserve">0.5 </w:t>
      </w:r>
      <w:r>
        <w:rPr>
          <w:rFonts w:ascii="Calibri" w:eastAsia="等线" w:hAnsi="Calibri" w:cs="Times New Roman"/>
        </w:rPr>
        <w:t>was the composition with the</w:t>
      </w:r>
      <w:r w:rsidRPr="001C513B">
        <w:rPr>
          <w:rFonts w:ascii="Calibri" w:eastAsia="等线" w:hAnsi="Calibri" w:cs="Times New Roman"/>
        </w:rPr>
        <w:t xml:space="preserve"> lowest Ta content</w:t>
      </w:r>
      <w:r>
        <w:rPr>
          <w:rFonts w:ascii="Calibri" w:eastAsia="等线" w:hAnsi="Calibri" w:cs="Times New Roman"/>
        </w:rPr>
        <w:t>, which</w:t>
      </w:r>
      <w:r w:rsidRPr="001C513B">
        <w:rPr>
          <w:rFonts w:ascii="Calibri" w:eastAsia="等线" w:hAnsi="Calibri" w:cs="Times New Roman"/>
        </w:rPr>
        <w:t xml:space="preserve"> exhibit</w:t>
      </w:r>
      <w:r>
        <w:rPr>
          <w:rFonts w:ascii="Calibri" w:eastAsia="等线" w:hAnsi="Calibri" w:cs="Times New Roman"/>
        </w:rPr>
        <w:t>ed</w:t>
      </w:r>
      <w:r w:rsidRPr="001C513B">
        <w:rPr>
          <w:rFonts w:ascii="Calibri" w:eastAsia="等线" w:hAnsi="Calibri" w:cs="Times New Roman"/>
        </w:rPr>
        <w:t xml:space="preserve"> the highest </w:t>
      </w:r>
      <w:r w:rsidR="00FC7323">
        <w:rPr>
          <w:rFonts w:ascii="Calibri" w:eastAsia="等线" w:hAnsi="Calibri" w:cs="Times New Roman"/>
        </w:rPr>
        <w:t>work</w:t>
      </w:r>
      <w:r w:rsidRPr="001C513B">
        <w:rPr>
          <w:rFonts w:ascii="Calibri" w:eastAsia="等线" w:hAnsi="Calibri" w:cs="Times New Roman"/>
        </w:rPr>
        <w:t xml:space="preserve"> hardening in </w:t>
      </w:r>
      <w:r w:rsidR="00D42B05">
        <w:rPr>
          <w:rFonts w:ascii="Calibri" w:eastAsia="等线" w:hAnsi="Calibri" w:cs="Times New Roman"/>
        </w:rPr>
        <w:t xml:space="preserve">the </w:t>
      </w:r>
      <w:r w:rsidRPr="001C513B">
        <w:rPr>
          <w:rFonts w:ascii="Calibri" w:eastAsia="等线" w:hAnsi="Calibri" w:cs="Times New Roman"/>
        </w:rPr>
        <w:t xml:space="preserve">series </w:t>
      </w:r>
      <w:r w:rsidR="00D42B05">
        <w:rPr>
          <w:rFonts w:ascii="Calibri" w:eastAsia="等线" w:hAnsi="Calibri" w:cs="Times New Roman"/>
        </w:rPr>
        <w:t xml:space="preserve">of </w:t>
      </w:r>
      <w:r w:rsidRPr="001C513B">
        <w:rPr>
          <w:rFonts w:ascii="Calibri" w:eastAsia="等线" w:hAnsi="Calibri" w:cs="Times New Roman"/>
        </w:rPr>
        <w:t>metastable RHEAs</w:t>
      </w:r>
      <w:r>
        <w:rPr>
          <w:rFonts w:ascii="Calibri" w:eastAsia="等线" w:hAnsi="Calibri" w:cs="Times New Roman"/>
        </w:rPr>
        <w:t xml:space="preserve"> examined in this work</w:t>
      </w:r>
      <w:r w:rsidRPr="001C513B">
        <w:rPr>
          <w:rFonts w:ascii="Calibri" w:eastAsia="等线" w:hAnsi="Calibri" w:cs="Times New Roman"/>
        </w:rPr>
        <w:t xml:space="preserve">. The derived </w:t>
      </w:r>
      <w:r w:rsidR="00FC7323">
        <w:rPr>
          <w:rFonts w:ascii="Calibri" w:eastAsia="等线" w:hAnsi="Calibri" w:cs="Times New Roman"/>
        </w:rPr>
        <w:t>work</w:t>
      </w:r>
      <w:r w:rsidRPr="001C513B">
        <w:rPr>
          <w:rFonts w:ascii="Calibri" w:eastAsia="等线" w:hAnsi="Calibri" w:cs="Times New Roman"/>
        </w:rPr>
        <w:t xml:space="preserve"> hardening rate </w:t>
      </w:r>
      <w:r>
        <w:rPr>
          <w:rFonts w:ascii="Calibri" w:eastAsia="等线" w:hAnsi="Calibri" w:cs="Times New Roman"/>
        </w:rPr>
        <w:t>was greater than</w:t>
      </w:r>
      <w:r w:rsidRPr="001C513B">
        <w:rPr>
          <w:rFonts w:ascii="Calibri" w:eastAsia="等线" w:hAnsi="Calibri" w:cs="Times New Roman"/>
        </w:rPr>
        <w:t xml:space="preserve"> </w:t>
      </w:r>
      <w:r>
        <w:rPr>
          <w:rFonts w:ascii="Calibri" w:eastAsia="等线" w:hAnsi="Calibri" w:cs="Times New Roman"/>
        </w:rPr>
        <w:t xml:space="preserve">those observed for </w:t>
      </w:r>
      <w:r w:rsidRPr="001C513B">
        <w:rPr>
          <w:rFonts w:ascii="Calibri" w:eastAsia="等线" w:hAnsi="Calibri" w:cs="Times New Roman"/>
        </w:rPr>
        <w:t>most TRIP and TWIP</w:t>
      </w:r>
      <w:r>
        <w:rPr>
          <w:rFonts w:ascii="Calibri" w:eastAsia="等线" w:hAnsi="Calibri" w:cs="Times New Roman"/>
        </w:rPr>
        <w:t>-assisted</w:t>
      </w:r>
      <w:r w:rsidRPr="001C513B">
        <w:rPr>
          <w:rFonts w:ascii="Calibri" w:eastAsia="等线" w:hAnsi="Calibri" w:cs="Times New Roman"/>
        </w:rPr>
        <w:t xml:space="preserve"> metastable β-Ti alloy</w:t>
      </w:r>
      <w:r w:rsidR="00D42B05">
        <w:rPr>
          <w:rFonts w:ascii="Calibri" w:eastAsia="等线" w:hAnsi="Calibri" w:cs="Times New Roman"/>
        </w:rPr>
        <w:t>s</w:t>
      </w:r>
      <w:r w:rsidRPr="001C513B">
        <w:rPr>
          <w:rFonts w:ascii="Calibri" w:eastAsia="等线" w:hAnsi="Calibri" w:cs="Times New Roman"/>
        </w:rPr>
        <w:t xml:space="preserve"> </w:t>
      </w:r>
      <w:r w:rsidRPr="001C513B">
        <w:rPr>
          <w:rFonts w:ascii="Calibri" w:eastAsia="等线" w:hAnsi="Calibri" w:cs="Times New Roman"/>
        </w:rPr>
        <w:fldChar w:fldCharType="begin" w:fldLock="1"/>
      </w:r>
      <w:r>
        <w:rPr>
          <w:rFonts w:ascii="Calibri" w:eastAsia="等线" w:hAnsi="Calibri" w:cs="Times New Roman"/>
        </w:rPr>
        <w:instrText xml:space="preserve">ADDIN CSL_CITATION {"citationItems":[{"id":"ITEM-1","itemData":{"DOI":"10.1016/j.actamat.2013.07.019","ISBN":"13596454 (ISSN)","ISSN":"13596454","abstract":"As expected from the alloy design procedure, combined twinning-induced plasticity and transformation-induced plasticity effects are activated in a metastable β Ti-12 wt.% Mo alloy. In situ synchrotron X-ray diffraction, electron backscatter diffraction and transmission electron microscopy observations were carried out to investigate the deformation mechanisms and microstructure evolution sequence. In the early deformation stage, primary strain/stress-induced phase transformations (β </w:instrText>
      </w:r>
      <w:r>
        <w:rPr>
          <w:rFonts w:ascii="Calibri" w:eastAsia="等线" w:hAnsi="Calibri" w:cs="Times New Roman" w:hint="eastAsia"/>
        </w:rPr>
        <w:instrText>→</w:instrText>
      </w:r>
      <w:r>
        <w:rPr>
          <w:rFonts w:ascii="Calibri" w:eastAsia="等线" w:hAnsi="Calibri" w:cs="Times New Roman"/>
        </w:rPr>
        <w:instrText xml:space="preserve"> ω and β </w:instrText>
      </w:r>
      <w:r>
        <w:rPr>
          <w:rFonts w:ascii="Calibri" w:eastAsia="等线" w:hAnsi="Calibri" w:cs="Times New Roman" w:hint="eastAsia"/>
        </w:rPr>
        <w:instrText>→</w:instrText>
      </w:r>
      <w:r>
        <w:rPr>
          <w:rFonts w:ascii="Calibri" w:eastAsia="等线" w:hAnsi="Calibri" w:cs="Times New Roman"/>
        </w:rPr>
        <w:instrText xml:space="preserve"> α</w:instrText>
      </w:r>
      <w:r>
        <w:rPr>
          <w:rFonts w:ascii="Calibri" w:eastAsia="等线" w:hAnsi="Calibri" w:cs="Times New Roman" w:hint="eastAsia"/>
        </w:rPr>
        <w:instrText>″</w:instrText>
      </w:r>
      <w:r>
        <w:rPr>
          <w:rFonts w:ascii="Calibri" w:eastAsia="等线" w:hAnsi="Calibri" w:cs="Times New Roman"/>
        </w:rPr>
        <w:instrText>) and primary mechanical twinning ({3 3 2}âŒ©1 1 3âŒ̈ and {1 1 2}âŒ©1 1 1âŒ̈) are activated simultaneously. Secondary martensitic phase transformation and secondary mechanical twinning are then triggered in the twinned β zones. The {3 3 2}âŒ©1 1 3âŒ̈ twinning and the subsequent secondary mechanisms dominate the early-stage deformation process. The evolution of the deformation microstructure results in a high strain-hardening rate (</w:instrText>
      </w:r>
      <w:r>
        <w:rPr>
          <w:rFonts w:ascii="Cambria Math" w:eastAsia="等线" w:hAnsi="Cambria Math" w:cs="Cambria Math"/>
        </w:rPr>
        <w:instrText>∼</w:instrText>
      </w:r>
      <w:r>
        <w:rPr>
          <w:rFonts w:ascii="Calibri" w:eastAsia="等线" w:hAnsi="Calibri" w:cs="Times New Roman"/>
        </w:rPr>
        <w:instrText>2 GPa), bringing about high tensile strength (</w:instrText>
      </w:r>
      <w:r>
        <w:rPr>
          <w:rFonts w:ascii="Cambria Math" w:eastAsia="等线" w:hAnsi="Cambria Math" w:cs="Cambria Math"/>
        </w:rPr>
        <w:instrText>∼</w:instrText>
      </w:r>
      <w:r>
        <w:rPr>
          <w:rFonts w:ascii="Calibri" w:eastAsia="等线" w:hAnsi="Calibri" w:cs="Times New Roman"/>
        </w:rPr>
        <w:instrText>1 GPa) and large uniform elongation (&gt;0.38).","author":[{"dropping-particle":"","family":"Sun","given":"F.","non-dropping-particle":"","parse-names":false,"suffix":""},{"dropping-particle":"","family":"Zhang","given":"J. Y.","non-dropping-particle":"","parse-names":false,"suffix":""},{"dropping-particle":"","family":"Marteleur","given":"M.","non-dropping-particle":"","parse-names":false,"suffix":""},{"dropping-particle":"","family":"Gloriant","given":"T.","non-dropping-particle":"","parse-names":false,"suffix":""},{"dropping-particle":"","family":"Vermaut","given":"P.","non-dropping-particle":"","parse-names":false,"suffix":""},{"dropping-particle":"","family":"Laillé","given":"D.","non-dropping-particle":"","parse-names":false,"suffix":""},{"dropping-particle":"","family":"Castany","given":"P.","non-dropping-particle":"","parse-names":false,"suffix":""},{"dropping-particle":"","family":"Curfs","given":"C.","non-dropping-particle":"","parse-names":false,"suffix":""},{"dropping-particle":"","family":"Jacques","given":"P. J.","non-dropping-particle":"","parse-names":false,"suffix":""},{"dropping-particle":"","family":"Prima","given":"F.","non-dropping-particle":"","parse-names":false,"suffix":""}],"container-title":"Acta Materialia","id":"ITEM-1","issued":{"date-parts":[["2013"]]},"title":"Investigation of early stage deformation mechanisms in a metastable β titanium alloy showing combined twinning-induced plasticity and transformation-induced plasticity effects","type":"article-journal"},"uris":["http://www.mendeley.com/documents/?uuid=98dc8b6a-0a02-4bbd-b86c-5babd6aabb5a"]},{"id":"ITEM-2","itemData":{"DOI":"10.1016/j.scriptamat.2014.09.005","ISBN":"13596462","ISSN":"13596462","abstract":"A ternary β-metastable titanium Ti-9Mo-6W (wt.%) was designed. A very high work hardening rate close to 2100 MPa and a uniform deformation larger than 35% were recorded, thanks to combined transformati</w:instrText>
      </w:r>
      <w:r>
        <w:rPr>
          <w:rFonts w:ascii="Calibri" w:eastAsia="等线" w:hAnsi="Calibri" w:cs="Times New Roman" w:hint="eastAsia"/>
        </w:rPr>
        <w:instrText>on-induced plasticity and twinning-induced plasticity effects. In this paper, detailed microstructural analysis was performed to understand the deformation process. Various mechanisms, {3 3 2}</w:instrText>
      </w:r>
      <w:r>
        <w:rPr>
          <w:rFonts w:ascii="Calibri" w:eastAsia="等线" w:hAnsi="Calibri" w:cs="Times New Roman" w:hint="eastAsia"/>
        </w:rPr>
        <w:instrText>〈</w:instrText>
      </w:r>
      <w:r>
        <w:rPr>
          <w:rFonts w:ascii="Calibri" w:eastAsia="等线" w:hAnsi="Calibri" w:cs="Times New Roman" w:hint="eastAsia"/>
        </w:rPr>
        <w:instrText>1 1 3</w:instrText>
      </w:r>
      <w:r>
        <w:rPr>
          <w:rFonts w:ascii="Calibri" w:eastAsia="等线" w:hAnsi="Calibri" w:cs="Times New Roman" w:hint="eastAsia"/>
        </w:rPr>
        <w:instrText>〉</w:instrText>
      </w:r>
      <w:r>
        <w:rPr>
          <w:rFonts w:ascii="Calibri" w:eastAsia="等线" w:hAnsi="Calibri" w:cs="Times New Roman" w:hint="eastAsia"/>
        </w:rPr>
        <w:instrText xml:space="preserve"> mechanical twinning, stress-induced </w:instrText>
      </w:r>
      <w:r>
        <w:rPr>
          <w:rFonts w:ascii="Calibri" w:eastAsia="等线" w:hAnsi="Calibri" w:cs="Times New Roman" w:hint="eastAsia"/>
        </w:rPr>
        <w:instrText>ω</w:instrText>
      </w:r>
      <w:r>
        <w:rPr>
          <w:rFonts w:ascii="Calibri" w:eastAsia="等线" w:hAnsi="Calibri" w:cs="Times New Roman" w:hint="eastAsia"/>
        </w:rPr>
        <w:instrText xml:space="preserve"> phase and stress-induced </w:instrText>
      </w:r>
      <w:r>
        <w:rPr>
          <w:rFonts w:ascii="Calibri" w:eastAsia="等线" w:hAnsi="Calibri" w:cs="Times New Roman" w:hint="eastAsia"/>
        </w:rPr>
        <w:instrText>α″</w:instrText>
      </w:r>
      <w:r>
        <w:rPr>
          <w:rFonts w:ascii="Calibri" w:eastAsia="等线" w:hAnsi="Calibri" w:cs="Times New Roman" w:hint="eastAsia"/>
        </w:rPr>
        <w:instrText xml:space="preserve"> martensite were identified after mechanical testing, resulting in a complex network of deformed microstructures with very special synergetic features.","author":[{"dropping-particle":"","family":"Sun","given":"F.","non-dropping-particle":"","pa</w:instrText>
      </w:r>
      <w:r>
        <w:rPr>
          <w:rFonts w:ascii="Calibri" w:eastAsia="等线" w:hAnsi="Calibri" w:cs="Times New Roman"/>
        </w:rPr>
        <w:instrText xml:space="preserve">rse-names":false,"suffix":""},{"dropping-particle":"","family":"Zhang","given":"J. Y.","non-dropping-particle":"","parse-names":false,"suffix":""},{"dropping-particle":"","family":"Marteleur","given":"M.","non-dropping-particle":"","parse-names":false,"suffix":""},{"dropping-particle":"","family":"Brozek","given":"C.","non-dropping-particle":"","parse-names":false,"suffix":""},{"dropping-particle":"","family":"Rauch","given":"E. F.","non-dropping-particle":"","parse-names":false,"suffix":""},{"dropping-particle":"","family":"Veron","given":"M.","non-dropping-particle":"","parse-names":false,"suffix":""},{"dropping-particle":"","family":"Vermaut","given":"P.","non-dropping-particle":"","parse-names":false,"suffix":""},{"dropping-particle":"","family":"Jacques","given":"P. J.","non-dropping-particle":"","parse-names":false,"suffix":""},{"dropping-particle":"","family":"Prima","given":"F.","non-dropping-particle":"","parse-names":false,"suffix":""}],"container-title":"Scripta Materialia","id":"ITEM-2","issued":{"date-parts":[["2015"]]},"title":"A new titanium alloy with a combination of high strength, high strain hardening and improved ductility","type":"article-journal"},"uris":["http://www.mendeley.com/documents/?uuid=f1f642f4-0331-4684-8f5a-364cf9924139"]},{"id":"ITEM-3","itemData":{"DOI":"10.1080/21663831.2016.1221861","ISBN":"2166-3831","ISSN":"21663831","abstract":"ABSTRACTA new bcc Ti-rich high-entropy alloy (HEA) of composition Ti35Zr27.5Hf27.5Nb5Ta5 was designed using the ‘d-electron alloy design’ approach. The tensile behavior displays a marked transformation-induced plasticity effect resulting in a high normalized work-hardening rate of 0.103 without loss of ductility when compared to the reference composition Ti20Zr20Hf20Nb20Ta20. In this paper, </w:instrText>
      </w:r>
      <w:r>
        <w:rPr>
          <w:rFonts w:ascii="Calibri" w:eastAsia="等线" w:hAnsi="Calibri" w:cs="Times New Roman" w:hint="eastAsia"/>
        </w:rPr>
        <w:instrText xml:space="preserve">a detailed microstructural analysis was performed to understand the deformation process, revealing architectural-type microstructures and a high volume fraction (65%) of internally twinned stress-induced martensite </w:instrText>
      </w:r>
      <w:r>
        <w:rPr>
          <w:rFonts w:ascii="Calibri" w:eastAsia="等线" w:hAnsi="Calibri" w:cs="Times New Roman" w:hint="eastAsia"/>
        </w:rPr>
        <w:instrText>α″</w:instrText>
      </w:r>
      <w:r>
        <w:rPr>
          <w:rFonts w:ascii="Calibri" w:eastAsia="等线" w:hAnsi="Calibri" w:cs="Times New Roman" w:hint="eastAsia"/>
        </w:rPr>
        <w:instrText xml:space="preserve"> after mechanical testing. This study </w:instrText>
      </w:r>
      <w:r>
        <w:rPr>
          <w:rFonts w:ascii="Calibri" w:eastAsia="等线" w:hAnsi="Calibri" w:cs="Times New Roman"/>
        </w:rPr>
        <w:instrText xml:space="preserve">opens the way to mechanical properties optimization and enhancement of titanium-based HEAs by combining multiple alloying designs.IMPACT STATEMENTFor the first time, proof is given that transformation-induced plasticity was triggered in a bcc refractory high-entropy alloy, leading to a twofold increase in the normalized work-hardening rate.","author":[{"dropping-particle":"","family":"Lilensten","given":"Lola","non-dropping-particle":"","parse-names":false,"suffix":""},{"dropping-particle":"","family":"Couzinié","given":"Jean Philippe","non-dropping-particle":"","parse-names":false,"suffix":""},{"dropping-particle":"","family":"Bourgon","given":"Julie","non-dropping-particle":"","parse-names":false,"suffix":""},{"dropping-particle":"","family":"Perrière","given":"Loïc","non-dropping-particle":"","parse-names":false,"suffix":""},{"dropping-particle":"","family":"Dirras","given":"Guy","non-dropping-particle":"","parse-names":false,"suffix":""},{"dropping-particle":"","family":"Prima","given":"Frédéric","non-dropping-particle":"","parse-names":false,"suffix":""},{"dropping-particle":"","family":"Guillot","given":"Ivan","non-dropping-particle":"","parse-names":false,"suffix":""}],"container-title":"Materials Research Letters","id":"ITEM-3","issued":{"date-parts":[["2017"]]},"title":"Design and tensile properties of a bcc Ti-rich high-entropy alloy with transformation-induced plasticity","type":"article-journal"},"uris":["http://www.mendeley.com/documents/?uuid=927b9064-4d30-4f71-b016-5b50c9e0e6e5"]},{"id":"ITEM-4","itemData":{"DOI":"10.1016/j.scriptamat.2012.01.049","ISBN":"1359-6462","ISSN":"13596462","PMID":"9986980","abstract":"In this work, preliminary results are presented on attempts to develop a new family of titanium alloys with high ductility induced by combined transformation-induced plasticity and twinning-induced plasticity effects. Mechanical tests carried out on a binary β-metastable Ti-12 wt.% Mo alloy designed by a formulation strategy based on the \"d-electron alloy design\" show a very high </w:instrText>
      </w:r>
      <w:r>
        <w:rPr>
          <w:rFonts w:ascii="Calibri" w:eastAsia="等线" w:hAnsi="Calibri" w:cs="Times New Roman" w:hint="eastAsia"/>
        </w:rPr>
        <w:instrText xml:space="preserve">work hardening rate. X-ray diffraction, electron backscattered diffraction and transmission electron microscopy reveal the mechanical activation of twinning and of </w:instrText>
      </w:r>
      <w:r>
        <w:rPr>
          <w:rFonts w:ascii="Calibri" w:eastAsia="等线" w:hAnsi="Calibri" w:cs="Times New Roman" w:hint="eastAsia"/>
        </w:rPr>
        <w:instrText>α′</w:instrText>
      </w:r>
      <w:r>
        <w:rPr>
          <w:rFonts w:ascii="Calibri" w:eastAsia="等线" w:hAnsi="Calibri" w:cs="Times New Roman" w:hint="eastAsia"/>
        </w:rPr>
        <w:instrText xml:space="preserve">, </w:instrText>
      </w:r>
      <w:r>
        <w:rPr>
          <w:rFonts w:ascii="Calibri" w:eastAsia="等线" w:hAnsi="Calibri" w:cs="Times New Roman" w:hint="eastAsia"/>
        </w:rPr>
        <w:instrText>α″</w:instrText>
      </w:r>
      <w:r>
        <w:rPr>
          <w:rFonts w:ascii="Calibri" w:eastAsia="等线" w:hAnsi="Calibri" w:cs="Times New Roman" w:hint="eastAsia"/>
        </w:rPr>
        <w:instrText xml:space="preserve"> and </w:instrText>
      </w:r>
      <w:r>
        <w:rPr>
          <w:rFonts w:ascii="Calibri" w:eastAsia="等线" w:hAnsi="Calibri" w:cs="Times New Roman" w:hint="eastAsia"/>
        </w:rPr>
        <w:instrText>ω</w:instrText>
      </w:r>
      <w:r>
        <w:rPr>
          <w:rFonts w:ascii="Calibri" w:eastAsia="等线" w:hAnsi="Calibri" w:cs="Times New Roman" w:hint="eastAsia"/>
        </w:rPr>
        <w:instrText xml:space="preserve"> phases. © 2012 Acta Materialia Inc. Published by Elsevier Ltd. All rights rese</w:instrText>
      </w:r>
      <w:r>
        <w:rPr>
          <w:rFonts w:ascii="Calibri" w:eastAsia="等线" w:hAnsi="Calibri" w:cs="Times New Roman"/>
        </w:rPr>
        <w:instrText>rved.","author":[{"dropping-particle":"","family":"Marteleur","given":"Matthieu","non-dropping-particle":"","parse-names":false,"suffix":""},{"dropping-particle":"","family":"Sun","given":"Fan","non-dropping-particle":"","parse-names":false,"suffix":""},{"dropping-particle":"","family":"Gloriant","given":"Thierry","non-dropping-particle":"","parse-names":false,"suffix":""},{"dropping-particle":"","family":"Vermaut","given":"Philippe","non-dropping-particle":"","parse-names":false,"suffix":""},{"dropping-particle":"","family":"Jacques","given":"Pascal J.","non-dropping-particle":"","parse-names":false,"suffix":""},{"dropping-particle":"","family":"Prima","given":"Frédéric","non-dropping-particle":"","parse-names":false,"suffix":""}],"container-title":"Scripta Materialia","id":"ITEM-4","issued":{"date-parts":[["2012"]]},"title":"On the design of new β-metastable titanium alloys with improved work hardening rate thanks to simultaneous TRIP and TWIP effects","type":"article-journal"},"uris":["http://www.mendeley.com/documents/?uuid=3b3b3872-dccf-4265-8674-322c558de58e"]},{"id":"ITEM-5","itemData":{"DOI":"10.1016/j.actamat.2018.04.035","ISBN":"13596454","ISSN":"13596454","abstract":"Metastable β titanium alloys with both twinning (TWIP) and martensite transformation (TRIP) usually exhibit a low yield strength of between 200 and 500 MPa, but high strain hardening rate and large uniform elongation. Alloys that exhibit twinning on a single system provide a higher yield strength, but a lower strain hardening rate. Here, for the first time, we report a new alloy (Ti-7Mo-3Cr wt%) with both high yield strength (695 MPa) and high work hardening rate (</w:instrText>
      </w:r>
      <w:r>
        <w:rPr>
          <w:rFonts w:ascii="Cambria Math" w:eastAsia="等线" w:hAnsi="Cambria Math" w:cs="Cambria Math"/>
        </w:rPr>
        <w:instrText>∼</w:instrText>
      </w:r>
      <w:r>
        <w:rPr>
          <w:rFonts w:ascii="Calibri" w:eastAsia="等线" w:hAnsi="Calibri" w:cs="Times New Roman"/>
        </w:rPr>
        <w:instrText>1900 MPa) and a substantial 33.3% uniform elongation. The deformation mechanisms were systematically investigated using EBSD and TEM for samples strained to 1.3%, 5% and 16%. The high yield strength was achieved through initial deformation mechanisms of two twin systems, namely both {332}&lt;113&gt; and {112}&lt;111&gt; twinning. Importantly, the martensite transformation was suppressed at this stage of deformation. The combination of two twin systems, with approximately the same intensity, resulted in a high strain hardening rate (1600 MPa–1900 MPa), much greater compared to alloys that exhibit a single twin system. Moreover, the TRIP effect was observed at strains greater than 5%, which also contributed to the high strain hardening rate large uniform elongation.","author":[{"dropping-particle":"","family":"Gao","given":"Junheng","non-dropping-particle":"","parse-names":false,"suffix":""},{"dropping-particle":"","family":"Huang","given":"Yuhe","non-dropping-particle":"","parse-names":false,"suffix":""},{"dropping-particle":"","family":"Guan","given":"Dikai","non-dropping-particle":"","parse-names":false,"suffix":""},{"dropping-particle":"","family":"Knowles","given":"Alexander J.","non-dropping-particle":"","parse-names":false,"suffix":""},{"dropping-particle":"","family":"Ma","given":"Le","non-dropping-particle":"","parse-names":false,"suffix":""},{"dropping-particle":"","family":"Dye","given":"David","non-dropping-particle":"","parse-names":false,"suffix":""},{"dropping-particle":"","family":"Rainforth","given":"W. Mark","non-dropping-particle":"","parse-names":false,"suffix":""}],"container-title":"Acta Materialia","id":"ITEM-5","issued":{"date-parts":[["2018"]]},"title":"Deformation mechanisms in a metastable beta titanium twinning induced plasticity alloy with high yield strength and high strain hardening rate","type":"article-journal"},"uris":["http://www.mendeley.com/documents/?uuid=ceb35e6f-14d7-475d-957b-f4c504e6fc30","http://www.mendeley.com/documents/?uuid=61884fa3-bc3d-41ec-b961-ed37ce5c3470"]}],"mendeley":{"formattedCitation":"[12,26,27,43,49]","plainTextFormattedCitation":"[12,26,27,43,49]","previouslyFormattedCitation":"[12,26,27,43,49]"},"properties":{"noteIndex":0},"schema":"https://github.com/citation-style-language/schema/raw/master/csl-citation.json"}</w:instrText>
      </w:r>
      <w:r w:rsidRPr="001C513B">
        <w:rPr>
          <w:rFonts w:ascii="Calibri" w:eastAsia="等线" w:hAnsi="Calibri" w:cs="Times New Roman"/>
        </w:rPr>
        <w:fldChar w:fldCharType="separate"/>
      </w:r>
      <w:r w:rsidRPr="001C513B">
        <w:rPr>
          <w:rFonts w:ascii="Calibri" w:eastAsia="等线" w:hAnsi="Calibri" w:cs="Times New Roman"/>
          <w:noProof/>
        </w:rPr>
        <w:t>[12,26,27,43,49]</w:t>
      </w:r>
      <w:r w:rsidRPr="001C513B">
        <w:rPr>
          <w:rFonts w:ascii="Calibri" w:eastAsia="等线" w:hAnsi="Calibri" w:cs="Times New Roman"/>
        </w:rPr>
        <w:fldChar w:fldCharType="end"/>
      </w:r>
      <w:r w:rsidRPr="001C513B">
        <w:rPr>
          <w:rFonts w:ascii="Calibri" w:eastAsia="等线" w:hAnsi="Calibri" w:cs="Times New Roman"/>
        </w:rPr>
        <w:t>. By conducting EBSD and TEM</w:t>
      </w:r>
      <w:r>
        <w:rPr>
          <w:rFonts w:ascii="Calibri" w:eastAsia="等线" w:hAnsi="Calibri" w:cs="Times New Roman"/>
        </w:rPr>
        <w:t xml:space="preserve"> analyses</w:t>
      </w:r>
      <w:r w:rsidRPr="001C513B">
        <w:rPr>
          <w:rFonts w:ascii="Calibri" w:eastAsia="等线" w:hAnsi="Calibri" w:cs="Times New Roman"/>
        </w:rPr>
        <w:t>, all three SA twinning modes type I {111}</w:t>
      </w:r>
      <w:r w:rsidRPr="001C513B">
        <w:rPr>
          <w:rFonts w:ascii="Calibri" w:eastAsia="等线" w:hAnsi="Calibri" w:cs="Times New Roman"/>
          <w:vertAlign w:val="subscript"/>
        </w:rPr>
        <w:t>α’’</w:t>
      </w:r>
      <w:r w:rsidRPr="001C513B">
        <w:rPr>
          <w:rFonts w:ascii="Calibri" w:eastAsia="等线" w:hAnsi="Calibri" w:cs="Times New Roman"/>
        </w:rPr>
        <w:t>, type II [-211]</w:t>
      </w:r>
      <w:r w:rsidRPr="001C513B">
        <w:rPr>
          <w:rFonts w:ascii="Calibri" w:eastAsia="等线" w:hAnsi="Calibri" w:cs="Times New Roman"/>
          <w:vertAlign w:val="subscript"/>
        </w:rPr>
        <w:t>α’’</w:t>
      </w:r>
      <w:r w:rsidRPr="001C513B">
        <w:rPr>
          <w:rFonts w:ascii="Calibri" w:eastAsia="等线" w:hAnsi="Calibri" w:cs="Times New Roman"/>
        </w:rPr>
        <w:t xml:space="preserve"> and {011}</w:t>
      </w:r>
      <w:r w:rsidRPr="001C513B">
        <w:rPr>
          <w:rFonts w:ascii="Calibri" w:eastAsia="等线" w:hAnsi="Calibri" w:cs="Times New Roman"/>
          <w:vertAlign w:val="subscript"/>
        </w:rPr>
        <w:t>α’’</w:t>
      </w:r>
      <w:r w:rsidRPr="001C513B">
        <w:rPr>
          <w:rFonts w:ascii="Calibri" w:eastAsia="等线" w:hAnsi="Calibri" w:cs="Times New Roman"/>
        </w:rPr>
        <w:t xml:space="preserve"> compound twin</w:t>
      </w:r>
      <w:r w:rsidR="00D42B05">
        <w:rPr>
          <w:rFonts w:ascii="Calibri" w:eastAsia="等线" w:hAnsi="Calibri" w:cs="Times New Roman"/>
        </w:rPr>
        <w:t>s</w:t>
      </w:r>
      <w:r w:rsidRPr="001C513B">
        <w:rPr>
          <w:rFonts w:ascii="Calibri" w:eastAsia="等线" w:hAnsi="Calibri" w:cs="Times New Roman"/>
        </w:rPr>
        <w:t xml:space="preserve"> were identified. </w:t>
      </w:r>
      <w:r>
        <w:rPr>
          <w:rFonts w:ascii="Calibri" w:eastAsia="等线" w:hAnsi="Calibri" w:cs="Times New Roman"/>
        </w:rPr>
        <w:t>A n</w:t>
      </w:r>
      <w:r w:rsidRPr="001C513B">
        <w:rPr>
          <w:rFonts w:ascii="Calibri" w:eastAsia="等线" w:hAnsi="Calibri" w:cs="Times New Roman"/>
        </w:rPr>
        <w:t>oteworthy observation</w:t>
      </w:r>
      <w:r>
        <w:rPr>
          <w:rFonts w:ascii="Calibri" w:eastAsia="等线" w:hAnsi="Calibri" w:cs="Times New Roman"/>
        </w:rPr>
        <w:t xml:space="preserve"> was the capture</w:t>
      </w:r>
      <w:r w:rsidRPr="001C513B">
        <w:rPr>
          <w:rFonts w:ascii="Calibri" w:eastAsia="等线" w:hAnsi="Calibri" w:cs="Times New Roman"/>
        </w:rPr>
        <w:t xml:space="preserve"> of a special type II [-211]</w:t>
      </w:r>
      <w:r w:rsidRPr="001C513B">
        <w:rPr>
          <w:rFonts w:ascii="Calibri" w:eastAsia="等线" w:hAnsi="Calibri" w:cs="Times New Roman"/>
          <w:vertAlign w:val="subscript"/>
        </w:rPr>
        <w:t>α’’</w:t>
      </w:r>
      <w:r w:rsidRPr="001C513B">
        <w:rPr>
          <w:rFonts w:ascii="Calibri" w:eastAsia="等线" w:hAnsi="Calibri" w:cs="Times New Roman"/>
        </w:rPr>
        <w:t xml:space="preserve"> SA twin with {351}</w:t>
      </w:r>
      <w:r w:rsidRPr="001C513B">
        <w:rPr>
          <w:rFonts w:ascii="Calibri" w:eastAsia="等线" w:hAnsi="Calibri" w:cs="Times New Roman"/>
          <w:vertAlign w:val="subscript"/>
        </w:rPr>
        <w:t>α’’</w:t>
      </w:r>
      <w:r w:rsidRPr="001C513B">
        <w:rPr>
          <w:rFonts w:ascii="Calibri" w:eastAsia="等线" w:hAnsi="Calibri" w:cs="Times New Roman"/>
        </w:rPr>
        <w:t xml:space="preserve"> twinning plane</w:t>
      </w:r>
      <w:r>
        <w:rPr>
          <w:rFonts w:ascii="Calibri" w:eastAsia="等线" w:hAnsi="Calibri" w:cs="Times New Roman"/>
        </w:rPr>
        <w:t xml:space="preserve"> as</w:t>
      </w:r>
      <w:r w:rsidRPr="001C513B">
        <w:rPr>
          <w:rFonts w:ascii="Calibri" w:eastAsia="等线" w:hAnsi="Calibri" w:cs="Times New Roman"/>
        </w:rPr>
        <w:t xml:space="preserve"> was highlighted in Fig. 5-12. Due to the </w:t>
      </w:r>
      <w:r>
        <w:rPr>
          <w:rFonts w:ascii="Calibri" w:eastAsia="等线" w:hAnsi="Calibri" w:cs="Times New Roman"/>
        </w:rPr>
        <w:t xml:space="preserve">operation of the </w:t>
      </w:r>
      <w:r w:rsidRPr="001C513B">
        <w:rPr>
          <w:rFonts w:ascii="Calibri" w:eastAsia="等线" w:hAnsi="Calibri" w:cs="Times New Roman"/>
        </w:rPr>
        <w:t>different twinning elements, the direct observation of a</w:t>
      </w:r>
      <w:r>
        <w:rPr>
          <w:rFonts w:ascii="Calibri" w:eastAsia="等线" w:hAnsi="Calibri" w:cs="Times New Roman"/>
        </w:rPr>
        <w:t>n</w:t>
      </w:r>
      <w:r w:rsidRPr="001C513B">
        <w:rPr>
          <w:rFonts w:ascii="Calibri" w:eastAsia="等线" w:hAnsi="Calibri" w:cs="Times New Roman"/>
        </w:rPr>
        <w:t xml:space="preserve"> integer miller indice</w:t>
      </w:r>
      <w:r>
        <w:rPr>
          <w:rFonts w:ascii="Calibri" w:eastAsia="等线" w:hAnsi="Calibri" w:cs="Times New Roman"/>
        </w:rPr>
        <w:t>s</w:t>
      </w:r>
      <w:r w:rsidRPr="001C513B">
        <w:rPr>
          <w:rFonts w:ascii="Calibri" w:eastAsia="等线" w:hAnsi="Calibri" w:cs="Times New Roman"/>
        </w:rPr>
        <w:t xml:space="preserve"> twinning plane</w:t>
      </w:r>
      <w:r>
        <w:rPr>
          <w:rFonts w:ascii="Calibri" w:eastAsia="等线" w:hAnsi="Calibri" w:cs="Times New Roman"/>
        </w:rPr>
        <w:t>,</w:t>
      </w:r>
      <w:r w:rsidRPr="001C513B">
        <w:rPr>
          <w:rFonts w:ascii="Calibri" w:eastAsia="等线" w:hAnsi="Calibri" w:cs="Times New Roman"/>
        </w:rPr>
        <w:t xml:space="preserve"> of a type II twinning is unusual</w:t>
      </w:r>
      <w:r>
        <w:rPr>
          <w:rFonts w:ascii="Calibri" w:eastAsia="等线" w:hAnsi="Calibri" w:cs="Times New Roman"/>
        </w:rPr>
        <w:t xml:space="preserve"> </w:t>
      </w:r>
      <w:r w:rsidRPr="001C513B">
        <w:rPr>
          <w:rFonts w:ascii="Calibri" w:eastAsia="等线" w:hAnsi="Calibri" w:cs="Times New Roman"/>
        </w:rPr>
        <w:fldChar w:fldCharType="begin" w:fldLock="1"/>
      </w:r>
      <w:r>
        <w:rPr>
          <w:rFonts w:ascii="Calibri" w:eastAsia="等线" w:hAnsi="Calibri" w:cs="Times New Roman"/>
        </w:rPr>
        <w:instrText>ADDIN CSL_CITATION {"citationItems":[{"id":"ITEM-1","itemData":{"DOI":"10.1098/rspa.1965.0216","ISBN":"00804630","ISSN":"1364-5021","abstract":"The crystallographic characteristics of deformation twinning are derived by considering the atomic movements which occur at the moving interface as a twin propagates. This is facilitated by making use of the notation of the tensor calculus, and general expressions, valid for all crystal structures, are obtained giving the magnitude of the twinning shear and relating the twinning elements for both type I and type II twinning. The atomic shuffles, which in general must accompany the twinning shear in both single and multiple lattice structures, are examined in detail and expressions are derived for their magnitudes and directions for the cases of the four classical orientation relationships associated with deformation twinning. The use of these expressions in predicting operative twinning modes is described and the relations between this theory and other recent theories of the crystallography of deformation twinning are discussed.","author":[{"dropping-particle":"","family":"Bilby","given":"B. A.","non-dropping-particle":"","parse-names":false,"suffix":""},{"dropping-particle":"","family":"Crocker","given":"A. G.","non-dropping-particle":"","parse-names":false,"suffix":""}],"container-title":"Proceedings of the Royal Society A: Mathematical, Physical and Engineering Sciences","id":"ITEM-1","issued":{"date-parts":[["1965"]]},"title":"The Theory of the Crystallography of Deformation Twinning","type":"article-journal"},"uris":["http://www.mendeley.com/documents/?uuid=ca3bf999-34b5-458f-a1e3-c8bdfdffaa12"]}],"mendeley":{"formattedCitation":"[50]","plainTextFormattedCitation":"[50]","previouslyFormattedCitation":"[50]"},"properties":{"noteIndex":0},"schema":"https://github.com/citation-style-language/schema/raw/master/csl-citation.json"}</w:instrText>
      </w:r>
      <w:r w:rsidRPr="001C513B">
        <w:rPr>
          <w:rFonts w:ascii="Calibri" w:eastAsia="等线" w:hAnsi="Calibri" w:cs="Times New Roman"/>
        </w:rPr>
        <w:fldChar w:fldCharType="separate"/>
      </w:r>
      <w:r w:rsidRPr="001C513B">
        <w:rPr>
          <w:rFonts w:ascii="Calibri" w:eastAsia="等线" w:hAnsi="Calibri" w:cs="Times New Roman"/>
          <w:noProof/>
        </w:rPr>
        <w:t>[50]</w:t>
      </w:r>
      <w:r w:rsidRPr="001C513B">
        <w:rPr>
          <w:rFonts w:ascii="Calibri" w:eastAsia="等线" w:hAnsi="Calibri" w:cs="Times New Roman"/>
        </w:rPr>
        <w:fldChar w:fldCharType="end"/>
      </w:r>
      <w:r w:rsidRPr="001C513B">
        <w:rPr>
          <w:rFonts w:ascii="Calibri" w:eastAsia="等线" w:hAnsi="Calibri" w:cs="Times New Roman"/>
        </w:rPr>
        <w:t xml:space="preserve">. </w:t>
      </w:r>
      <w:r>
        <w:rPr>
          <w:rFonts w:ascii="Calibri" w:eastAsia="等线" w:hAnsi="Calibri" w:cs="Times New Roman"/>
        </w:rPr>
        <w:t>H</w:t>
      </w:r>
      <w:r w:rsidRPr="001C513B">
        <w:rPr>
          <w:rFonts w:ascii="Calibri" w:eastAsia="等线" w:hAnsi="Calibri" w:cs="Times New Roman"/>
        </w:rPr>
        <w:t>ighly entangled SA structure</w:t>
      </w:r>
      <w:r>
        <w:rPr>
          <w:rFonts w:ascii="Calibri" w:eastAsia="等线" w:hAnsi="Calibri" w:cs="Times New Roman"/>
        </w:rPr>
        <w:t>s</w:t>
      </w:r>
      <w:r w:rsidRPr="001C513B">
        <w:rPr>
          <w:rFonts w:ascii="Calibri" w:eastAsia="等线" w:hAnsi="Calibri" w:cs="Times New Roman"/>
        </w:rPr>
        <w:t xml:space="preserve"> involving more than 4 martensite variants were </w:t>
      </w:r>
      <w:r>
        <w:rPr>
          <w:rFonts w:ascii="Calibri" w:eastAsia="等线" w:hAnsi="Calibri" w:cs="Times New Roman"/>
        </w:rPr>
        <w:t>found</w:t>
      </w:r>
      <w:r w:rsidRPr="001C513B">
        <w:rPr>
          <w:rFonts w:ascii="Calibri" w:eastAsia="等线" w:hAnsi="Calibri" w:cs="Times New Roman"/>
        </w:rPr>
        <w:t xml:space="preserve"> </w:t>
      </w:r>
      <w:r>
        <w:rPr>
          <w:rFonts w:ascii="Calibri" w:eastAsia="等线" w:hAnsi="Calibri" w:cs="Times New Roman"/>
        </w:rPr>
        <w:t>for</w:t>
      </w:r>
      <w:r w:rsidRPr="001C513B">
        <w:rPr>
          <w:rFonts w:ascii="Calibri" w:eastAsia="等线" w:hAnsi="Calibri" w:cs="Times New Roman"/>
        </w:rPr>
        <w:t xml:space="preserve"> TiZrHfTa</w:t>
      </w:r>
      <w:r w:rsidRPr="001C513B">
        <w:rPr>
          <w:rFonts w:ascii="Calibri" w:eastAsia="等线" w:hAnsi="Calibri" w:cs="Times New Roman"/>
          <w:vertAlign w:val="subscript"/>
        </w:rPr>
        <w:t>0.5</w:t>
      </w:r>
      <w:r w:rsidRPr="001C513B">
        <w:rPr>
          <w:rFonts w:ascii="Calibri" w:eastAsia="等线" w:hAnsi="Calibri" w:cs="Times New Roman"/>
        </w:rPr>
        <w:t xml:space="preserve">. </w:t>
      </w:r>
      <w:r>
        <w:rPr>
          <w:rFonts w:ascii="Calibri" w:eastAsia="等线" w:hAnsi="Calibri" w:cs="Times New Roman"/>
        </w:rPr>
        <w:t>In contrast with the</w:t>
      </w:r>
      <w:r w:rsidRPr="001C513B">
        <w:rPr>
          <w:rFonts w:ascii="Calibri" w:eastAsia="等线" w:hAnsi="Calibri" w:cs="Times New Roman"/>
        </w:rPr>
        <w:t xml:space="preserve"> SA morphology shown in Fig</w:t>
      </w:r>
      <w:r>
        <w:rPr>
          <w:rFonts w:ascii="Calibri" w:eastAsia="等线" w:hAnsi="Calibri" w:cs="Times New Roman"/>
        </w:rPr>
        <w:t>s</w:t>
      </w:r>
      <w:r w:rsidRPr="001C513B">
        <w:rPr>
          <w:rFonts w:ascii="Calibri" w:eastAsia="等线" w:hAnsi="Calibri" w:cs="Times New Roman"/>
        </w:rPr>
        <w:t>. 5-9</w:t>
      </w:r>
      <w:r>
        <w:rPr>
          <w:rFonts w:ascii="Calibri" w:eastAsia="等线" w:hAnsi="Calibri" w:cs="Times New Roman"/>
        </w:rPr>
        <w:t xml:space="preserve"> to 5-</w:t>
      </w:r>
      <w:r w:rsidRPr="001C513B">
        <w:rPr>
          <w:rFonts w:ascii="Calibri" w:eastAsia="等线" w:hAnsi="Calibri" w:cs="Times New Roman"/>
        </w:rPr>
        <w:t>10</w:t>
      </w:r>
      <w:r>
        <w:rPr>
          <w:rFonts w:ascii="Calibri" w:eastAsia="等线" w:hAnsi="Calibri" w:cs="Times New Roman"/>
        </w:rPr>
        <w:t xml:space="preserve"> which was</w:t>
      </w:r>
      <w:r w:rsidRPr="001C513B">
        <w:rPr>
          <w:rFonts w:ascii="Calibri" w:eastAsia="等线" w:hAnsi="Calibri" w:cs="Times New Roman"/>
        </w:rPr>
        <w:t xml:space="preserve"> </w:t>
      </w:r>
      <w:r>
        <w:rPr>
          <w:rFonts w:ascii="Calibri" w:eastAsia="等线" w:hAnsi="Calibri" w:cs="Times New Roman"/>
        </w:rPr>
        <w:t xml:space="preserve">only </w:t>
      </w:r>
      <w:r w:rsidRPr="001C513B">
        <w:rPr>
          <w:rFonts w:ascii="Calibri" w:eastAsia="等线" w:hAnsi="Calibri" w:cs="Times New Roman"/>
        </w:rPr>
        <w:t>related by type I {111}</w:t>
      </w:r>
      <w:r w:rsidRPr="001C513B">
        <w:rPr>
          <w:rFonts w:ascii="Calibri" w:eastAsia="等线" w:hAnsi="Calibri" w:cs="Times New Roman"/>
          <w:vertAlign w:val="subscript"/>
        </w:rPr>
        <w:t>α’’</w:t>
      </w:r>
      <w:r w:rsidRPr="001C513B">
        <w:rPr>
          <w:rFonts w:ascii="Calibri" w:eastAsia="等线" w:hAnsi="Calibri" w:cs="Times New Roman"/>
        </w:rPr>
        <w:t xml:space="preserve"> SA twin</w:t>
      </w:r>
      <w:r w:rsidR="00D42B05">
        <w:rPr>
          <w:rFonts w:ascii="Calibri" w:eastAsia="等线" w:hAnsi="Calibri" w:cs="Times New Roman"/>
        </w:rPr>
        <w:t>ning</w:t>
      </w:r>
      <w:r w:rsidRPr="001C513B">
        <w:rPr>
          <w:rFonts w:ascii="Calibri" w:eastAsia="等线" w:hAnsi="Calibri" w:cs="Times New Roman"/>
        </w:rPr>
        <w:t xml:space="preserve">, the </w:t>
      </w:r>
      <w:r>
        <w:rPr>
          <w:rFonts w:ascii="Calibri" w:eastAsia="等线" w:hAnsi="Calibri" w:cs="Times New Roman"/>
        </w:rPr>
        <w:t>orientation relationship</w:t>
      </w:r>
      <w:r w:rsidRPr="001C513B">
        <w:rPr>
          <w:rFonts w:ascii="Calibri" w:eastAsia="等线" w:hAnsi="Calibri" w:cs="Times New Roman"/>
        </w:rPr>
        <w:t xml:space="preserve"> </w:t>
      </w:r>
      <w:r>
        <w:rPr>
          <w:rFonts w:ascii="Calibri" w:eastAsia="等线" w:hAnsi="Calibri" w:cs="Times New Roman"/>
        </w:rPr>
        <w:t>(</w:t>
      </w:r>
      <w:r w:rsidRPr="001C513B">
        <w:rPr>
          <w:rFonts w:ascii="Calibri" w:eastAsia="等线" w:hAnsi="Calibri" w:cs="Times New Roman"/>
        </w:rPr>
        <w:t>&lt;1-12&gt;</w:t>
      </w:r>
      <w:r w:rsidRPr="001C513B">
        <w:rPr>
          <w:rFonts w:ascii="Calibri" w:eastAsia="等线" w:hAnsi="Calibri" w:cs="Times New Roman"/>
          <w:vertAlign w:val="subscript"/>
        </w:rPr>
        <w:t>α’’</w:t>
      </w:r>
      <w:r w:rsidRPr="001C513B">
        <w:rPr>
          <w:rFonts w:ascii="Calibri" w:eastAsia="等线" w:hAnsi="Calibri" w:cs="Times New Roman"/>
        </w:rPr>
        <w:t>//&lt;110&gt;</w:t>
      </w:r>
      <w:r w:rsidRPr="001C513B">
        <w:rPr>
          <w:rFonts w:ascii="Calibri" w:eastAsia="等线" w:hAnsi="Calibri" w:cs="Times New Roman"/>
          <w:vertAlign w:val="subscript"/>
        </w:rPr>
        <w:t>α’’</w:t>
      </w:r>
      <w:r>
        <w:rPr>
          <w:rFonts w:ascii="Calibri" w:eastAsia="等线" w:hAnsi="Calibri" w:cs="Times New Roman"/>
        </w:rPr>
        <w:t>)</w:t>
      </w:r>
      <w:r w:rsidRPr="001C513B">
        <w:rPr>
          <w:rFonts w:ascii="Calibri" w:eastAsia="等线" w:hAnsi="Calibri" w:cs="Times New Roman"/>
        </w:rPr>
        <w:t xml:space="preserve"> of the fourth martensitic variant with the </w:t>
      </w:r>
      <w:r>
        <w:rPr>
          <w:rFonts w:ascii="Calibri" w:eastAsia="等线" w:hAnsi="Calibri" w:cs="Times New Roman"/>
        </w:rPr>
        <w:t>rest of</w:t>
      </w:r>
      <w:r w:rsidRPr="001C513B">
        <w:rPr>
          <w:rFonts w:ascii="Calibri" w:eastAsia="等线" w:hAnsi="Calibri" w:cs="Times New Roman"/>
        </w:rPr>
        <w:t xml:space="preserve"> </w:t>
      </w:r>
      <w:r w:rsidR="00D42B05">
        <w:rPr>
          <w:rFonts w:ascii="Calibri" w:eastAsia="等线" w:hAnsi="Calibri" w:cs="Times New Roman"/>
        </w:rPr>
        <w:t xml:space="preserve">the </w:t>
      </w:r>
      <w:r w:rsidRPr="001C513B">
        <w:rPr>
          <w:rFonts w:ascii="Calibri" w:eastAsia="等线" w:hAnsi="Calibri" w:cs="Times New Roman"/>
        </w:rPr>
        <w:t>martensitic variants</w:t>
      </w:r>
      <w:r>
        <w:rPr>
          <w:rFonts w:ascii="Calibri" w:eastAsia="等线" w:hAnsi="Calibri" w:cs="Times New Roman"/>
        </w:rPr>
        <w:t xml:space="preserve"> observed</w:t>
      </w:r>
      <w:r w:rsidRPr="001C513B">
        <w:rPr>
          <w:rFonts w:ascii="Calibri" w:eastAsia="等线" w:hAnsi="Calibri" w:cs="Times New Roman"/>
        </w:rPr>
        <w:t xml:space="preserve"> in Fig. 5-13 </w:t>
      </w:r>
      <w:r>
        <w:rPr>
          <w:rFonts w:ascii="Calibri" w:eastAsia="等线" w:hAnsi="Calibri" w:cs="Times New Roman"/>
        </w:rPr>
        <w:t>remained unclear</w:t>
      </w:r>
      <w:r w:rsidRPr="001C513B">
        <w:rPr>
          <w:rFonts w:ascii="Calibri" w:eastAsia="等线" w:hAnsi="Calibri" w:cs="Times New Roman"/>
        </w:rPr>
        <w:t xml:space="preserve"> until the </w:t>
      </w:r>
      <w:r>
        <w:rPr>
          <w:rFonts w:ascii="Calibri" w:eastAsia="等线" w:hAnsi="Calibri" w:cs="Times New Roman"/>
        </w:rPr>
        <w:t xml:space="preserve">particular </w:t>
      </w:r>
      <w:r w:rsidRPr="001C513B">
        <w:rPr>
          <w:rFonts w:ascii="Calibri" w:eastAsia="等线" w:hAnsi="Calibri" w:cs="Times New Roman"/>
        </w:rPr>
        <w:t>feature in Fig. 5-14 was captured. Abnormal cooperation of SA {011}</w:t>
      </w:r>
      <w:r w:rsidRPr="001C513B">
        <w:rPr>
          <w:rFonts w:ascii="Calibri" w:eastAsia="等线" w:hAnsi="Calibri" w:cs="Times New Roman"/>
          <w:vertAlign w:val="subscript"/>
        </w:rPr>
        <w:t>α’’</w:t>
      </w:r>
      <w:r w:rsidRPr="001C513B">
        <w:rPr>
          <w:rFonts w:ascii="Calibri" w:eastAsia="等线" w:hAnsi="Calibri" w:cs="Times New Roman"/>
        </w:rPr>
        <w:t xml:space="preserve"> compound twin</w:t>
      </w:r>
      <w:r w:rsidR="00D42B05">
        <w:rPr>
          <w:rFonts w:ascii="Calibri" w:eastAsia="等线" w:hAnsi="Calibri" w:cs="Times New Roman"/>
        </w:rPr>
        <w:t>s</w:t>
      </w:r>
      <w:r w:rsidRPr="001C513B">
        <w:rPr>
          <w:rFonts w:ascii="Calibri" w:eastAsia="等线" w:hAnsi="Calibri" w:cs="Times New Roman"/>
        </w:rPr>
        <w:t xml:space="preserve"> and {111}</w:t>
      </w:r>
      <w:r w:rsidRPr="001C513B">
        <w:rPr>
          <w:rFonts w:ascii="Calibri" w:eastAsia="等线" w:hAnsi="Calibri" w:cs="Times New Roman"/>
          <w:vertAlign w:val="subscript"/>
        </w:rPr>
        <w:t>α’’</w:t>
      </w:r>
      <w:r w:rsidRPr="001C513B">
        <w:rPr>
          <w:rFonts w:ascii="Calibri" w:eastAsia="等线" w:hAnsi="Calibri" w:cs="Times New Roman"/>
        </w:rPr>
        <w:t xml:space="preserve"> type I twin</w:t>
      </w:r>
      <w:r w:rsidR="00D42B05">
        <w:rPr>
          <w:rFonts w:ascii="Calibri" w:eastAsia="等线" w:hAnsi="Calibri" w:cs="Times New Roman"/>
        </w:rPr>
        <w:t>s</w:t>
      </w:r>
      <w:r w:rsidRPr="001C513B">
        <w:rPr>
          <w:rFonts w:ascii="Calibri" w:eastAsia="等线" w:hAnsi="Calibri" w:cs="Times New Roman"/>
        </w:rPr>
        <w:t xml:space="preserve"> </w:t>
      </w:r>
      <w:r>
        <w:rPr>
          <w:rFonts w:ascii="Calibri" w:eastAsia="等线" w:hAnsi="Calibri" w:cs="Times New Roman"/>
        </w:rPr>
        <w:t>were</w:t>
      </w:r>
      <w:r w:rsidRPr="001C513B">
        <w:rPr>
          <w:rFonts w:ascii="Calibri" w:eastAsia="等线" w:hAnsi="Calibri" w:cs="Times New Roman"/>
        </w:rPr>
        <w:t xml:space="preserve"> identified in Fig. 5-14(c)</w:t>
      </w:r>
      <w:r>
        <w:rPr>
          <w:rFonts w:ascii="Calibri" w:eastAsia="等线" w:hAnsi="Calibri" w:cs="Times New Roman"/>
        </w:rPr>
        <w:t xml:space="preserve"> where</w:t>
      </w:r>
      <w:r w:rsidRPr="001C513B">
        <w:rPr>
          <w:rFonts w:ascii="Calibri" w:eastAsia="等线" w:hAnsi="Calibri" w:cs="Times New Roman"/>
        </w:rPr>
        <w:t xml:space="preserve"> </w:t>
      </w:r>
      <w:r>
        <w:rPr>
          <w:rFonts w:ascii="Calibri" w:eastAsia="等线" w:hAnsi="Calibri" w:cs="Times New Roman"/>
        </w:rPr>
        <w:t>e</w:t>
      </w:r>
      <w:r w:rsidRPr="001C513B">
        <w:rPr>
          <w:rFonts w:ascii="Calibri" w:eastAsia="等线" w:hAnsi="Calibri" w:cs="Times New Roman"/>
        </w:rPr>
        <w:t xml:space="preserve">ach martensite variant </w:t>
      </w:r>
      <w:r>
        <w:rPr>
          <w:rFonts w:ascii="Calibri" w:eastAsia="等线" w:hAnsi="Calibri" w:cs="Times New Roman"/>
        </w:rPr>
        <w:t>was found to</w:t>
      </w:r>
      <w:r w:rsidRPr="001C513B">
        <w:rPr>
          <w:rFonts w:ascii="Calibri" w:eastAsia="等线" w:hAnsi="Calibri" w:cs="Times New Roman"/>
        </w:rPr>
        <w:t xml:space="preserve"> shar</w:t>
      </w:r>
      <w:r>
        <w:rPr>
          <w:rFonts w:ascii="Calibri" w:eastAsia="等线" w:hAnsi="Calibri" w:cs="Times New Roman"/>
        </w:rPr>
        <w:t>e</w:t>
      </w:r>
      <w:r w:rsidRPr="001C513B">
        <w:rPr>
          <w:rFonts w:ascii="Calibri" w:eastAsia="等线" w:hAnsi="Calibri" w:cs="Times New Roman"/>
        </w:rPr>
        <w:t xml:space="preserve"> a twinning boundary with the other variants</w:t>
      </w:r>
      <w:r>
        <w:rPr>
          <w:rFonts w:ascii="Calibri" w:eastAsia="等线" w:hAnsi="Calibri" w:cs="Times New Roman"/>
        </w:rPr>
        <w:t xml:space="preserve">. Thus, the underlying orientation relationship </w:t>
      </w:r>
      <w:r w:rsidRPr="001C513B">
        <w:rPr>
          <w:rFonts w:ascii="Calibri" w:eastAsia="等线" w:hAnsi="Calibri" w:cs="Times New Roman"/>
        </w:rPr>
        <w:t>between the</w:t>
      </w:r>
      <w:bookmarkStart w:id="272" w:name="OLE_LINK55"/>
      <w:bookmarkStart w:id="273" w:name="OLE_LINK56"/>
      <w:r w:rsidRPr="001C513B">
        <w:rPr>
          <w:rFonts w:ascii="Calibri" w:eastAsia="等线" w:hAnsi="Calibri" w:cs="Times New Roman"/>
        </w:rPr>
        <w:t xml:space="preserve"> {011}</w:t>
      </w:r>
      <w:r w:rsidRPr="001C513B">
        <w:rPr>
          <w:rFonts w:ascii="Calibri" w:eastAsia="等线" w:hAnsi="Calibri" w:cs="Times New Roman"/>
          <w:vertAlign w:val="subscript"/>
        </w:rPr>
        <w:t>α’’</w:t>
      </w:r>
      <w:r w:rsidRPr="001C513B">
        <w:rPr>
          <w:rFonts w:ascii="Calibri" w:eastAsia="等线" w:hAnsi="Calibri" w:cs="Times New Roman"/>
        </w:rPr>
        <w:t xml:space="preserve"> compound twin related variants and {111}</w:t>
      </w:r>
      <w:r w:rsidRPr="001C513B">
        <w:rPr>
          <w:rFonts w:ascii="Calibri" w:eastAsia="等线" w:hAnsi="Calibri" w:cs="Times New Roman"/>
          <w:vertAlign w:val="subscript"/>
        </w:rPr>
        <w:t>α’’</w:t>
      </w:r>
      <w:r w:rsidRPr="001C513B">
        <w:rPr>
          <w:rFonts w:ascii="Calibri" w:eastAsia="等线" w:hAnsi="Calibri" w:cs="Times New Roman"/>
        </w:rPr>
        <w:t xml:space="preserve"> type I twin related variants</w:t>
      </w:r>
      <w:bookmarkEnd w:id="272"/>
      <w:bookmarkEnd w:id="273"/>
      <w:r>
        <w:rPr>
          <w:rFonts w:ascii="Calibri" w:eastAsia="等线" w:hAnsi="Calibri" w:cs="Times New Roman"/>
        </w:rPr>
        <w:t>, was determined to be l</w:t>
      </w:r>
      <w:r w:rsidRPr="001C513B">
        <w:rPr>
          <w:rFonts w:ascii="Calibri" w:eastAsia="等线" w:hAnsi="Calibri" w:cs="Times New Roman"/>
        </w:rPr>
        <w:t>inked by another twin</w:t>
      </w:r>
      <w:r>
        <w:rPr>
          <w:rFonts w:ascii="Calibri" w:eastAsia="等线" w:hAnsi="Calibri" w:cs="Times New Roman"/>
        </w:rPr>
        <w:t>ning</w:t>
      </w:r>
      <w:r w:rsidRPr="001C513B">
        <w:rPr>
          <w:rFonts w:ascii="Calibri" w:eastAsia="等线" w:hAnsi="Calibri" w:cs="Times New Roman"/>
        </w:rPr>
        <w:t xml:space="preserve"> mode. </w:t>
      </w:r>
      <w:r>
        <w:rPr>
          <w:rFonts w:ascii="Calibri" w:eastAsia="等线" w:hAnsi="Calibri" w:cs="Times New Roman"/>
        </w:rPr>
        <w:t xml:space="preserve">The orientation relationship was finally derived by stereo-projection as </w:t>
      </w:r>
      <w:r w:rsidRPr="001C513B">
        <w:rPr>
          <w:rFonts w:ascii="Calibri" w:eastAsia="等线" w:hAnsi="Calibri" w:cs="Times New Roman"/>
        </w:rPr>
        <w:t>{332}[11-3]</w:t>
      </w:r>
      <w:r w:rsidRPr="001C513B">
        <w:rPr>
          <w:rFonts w:ascii="Calibri" w:eastAsia="等线" w:hAnsi="Calibri" w:cs="Times New Roman"/>
          <w:vertAlign w:val="subscript"/>
        </w:rPr>
        <w:t>β</w:t>
      </w:r>
      <w:r w:rsidRPr="001C513B">
        <w:rPr>
          <w:rFonts w:ascii="Calibri" w:eastAsia="等线" w:hAnsi="Calibri" w:cs="Times New Roman"/>
        </w:rPr>
        <w:t xml:space="preserve"> twin</w:t>
      </w:r>
      <w:r w:rsidR="00D42B05">
        <w:rPr>
          <w:rFonts w:ascii="Calibri" w:eastAsia="等线" w:hAnsi="Calibri" w:cs="Times New Roman"/>
        </w:rPr>
        <w:t>ning</w:t>
      </w:r>
      <w:r w:rsidRPr="001C513B">
        <w:rPr>
          <w:rFonts w:ascii="Calibri" w:eastAsia="等线" w:hAnsi="Calibri" w:cs="Times New Roman"/>
        </w:rPr>
        <w:t xml:space="preserve"> as shown in Fig. 5-12(f)</w:t>
      </w:r>
      <w:r>
        <w:rPr>
          <w:rFonts w:ascii="Calibri" w:eastAsia="等线" w:hAnsi="Calibri" w:cs="Times New Roman"/>
        </w:rPr>
        <w:t xml:space="preserve"> and this was achieved by firstly r</w:t>
      </w:r>
      <w:r w:rsidRPr="001C513B">
        <w:rPr>
          <w:rFonts w:ascii="Calibri" w:eastAsia="等线" w:hAnsi="Calibri" w:cs="Times New Roman"/>
        </w:rPr>
        <w:t>evers</w:t>
      </w:r>
      <w:r>
        <w:rPr>
          <w:rFonts w:ascii="Calibri" w:eastAsia="等线" w:hAnsi="Calibri" w:cs="Times New Roman"/>
        </w:rPr>
        <w:t>ing</w:t>
      </w:r>
      <w:r w:rsidRPr="001C513B">
        <w:rPr>
          <w:rFonts w:ascii="Calibri" w:eastAsia="等线" w:hAnsi="Calibri" w:cs="Times New Roman"/>
        </w:rPr>
        <w:t xml:space="preserve"> the {011}</w:t>
      </w:r>
      <w:r w:rsidRPr="001C513B">
        <w:rPr>
          <w:rFonts w:ascii="Calibri" w:eastAsia="等线" w:hAnsi="Calibri" w:cs="Times New Roman"/>
          <w:vertAlign w:val="subscript"/>
        </w:rPr>
        <w:t>α’’</w:t>
      </w:r>
      <w:r w:rsidRPr="001C513B">
        <w:rPr>
          <w:rFonts w:ascii="Calibri" w:eastAsia="等线" w:hAnsi="Calibri" w:cs="Times New Roman"/>
        </w:rPr>
        <w:t xml:space="preserve"> compound twin related variants M1&amp;M2 and {111}α’’ type I twin related twin variants M3&amp;M4 back </w:t>
      </w:r>
      <w:bookmarkStart w:id="274" w:name="OLE_LINK57"/>
      <w:bookmarkStart w:id="275" w:name="OLE_LINK58"/>
      <w:r>
        <w:rPr>
          <w:rFonts w:ascii="Calibri" w:eastAsia="等线" w:hAnsi="Calibri" w:cs="Times New Roman"/>
        </w:rPr>
        <w:t>to</w:t>
      </w:r>
      <w:r w:rsidRPr="001C513B">
        <w:rPr>
          <w:rFonts w:ascii="Calibri" w:eastAsia="等线" w:hAnsi="Calibri" w:cs="Times New Roman"/>
        </w:rPr>
        <w:t xml:space="preserve"> their lattice correspond β</w:t>
      </w:r>
      <w:bookmarkEnd w:id="274"/>
      <w:bookmarkEnd w:id="275"/>
      <w:r w:rsidRPr="001C513B">
        <w:rPr>
          <w:rFonts w:ascii="Calibri" w:eastAsia="等线" w:hAnsi="Calibri" w:cs="Times New Roman"/>
        </w:rPr>
        <w:t xml:space="preserve"> phase</w:t>
      </w:r>
      <w:r>
        <w:rPr>
          <w:rFonts w:ascii="Calibri" w:eastAsia="等线" w:hAnsi="Calibri" w:cs="Times New Roman"/>
        </w:rPr>
        <w:t>, then</w:t>
      </w:r>
      <w:r w:rsidRPr="001C513B">
        <w:rPr>
          <w:rFonts w:ascii="Calibri" w:eastAsia="等线" w:hAnsi="Calibri" w:cs="Times New Roman"/>
        </w:rPr>
        <w:t xml:space="preserve"> divid</w:t>
      </w:r>
      <w:r>
        <w:rPr>
          <w:rFonts w:ascii="Calibri" w:eastAsia="等线" w:hAnsi="Calibri" w:cs="Times New Roman"/>
        </w:rPr>
        <w:t>ing</w:t>
      </w:r>
      <w:r w:rsidRPr="001C513B">
        <w:rPr>
          <w:rFonts w:ascii="Calibri" w:eastAsia="等线" w:hAnsi="Calibri" w:cs="Times New Roman"/>
        </w:rPr>
        <w:t xml:space="preserve"> into group A and group B</w:t>
      </w:r>
      <w:r>
        <w:rPr>
          <w:rFonts w:ascii="Calibri" w:eastAsia="等线" w:hAnsi="Calibri" w:cs="Times New Roman"/>
        </w:rPr>
        <w:t xml:space="preserve">. </w:t>
      </w:r>
      <w:r w:rsidRPr="001C513B">
        <w:rPr>
          <w:rFonts w:ascii="Calibri" w:eastAsia="等线" w:hAnsi="Calibri" w:cs="Times New Roman"/>
        </w:rPr>
        <w:t>This discovery provide</w:t>
      </w:r>
      <w:r>
        <w:rPr>
          <w:rFonts w:ascii="Calibri" w:eastAsia="等线" w:hAnsi="Calibri" w:cs="Times New Roman"/>
        </w:rPr>
        <w:t>d</w:t>
      </w:r>
      <w:r w:rsidRPr="001C513B">
        <w:rPr>
          <w:rFonts w:ascii="Calibri" w:eastAsia="等线" w:hAnsi="Calibri" w:cs="Times New Roman"/>
        </w:rPr>
        <w:t xml:space="preserve"> essential </w:t>
      </w:r>
      <w:r>
        <w:rPr>
          <w:rFonts w:ascii="Calibri" w:eastAsia="等线" w:hAnsi="Calibri" w:cs="Times New Roman"/>
        </w:rPr>
        <w:t>evidence that there</w:t>
      </w:r>
      <w:r w:rsidRPr="001C513B">
        <w:rPr>
          <w:rFonts w:ascii="Calibri" w:eastAsia="等线" w:hAnsi="Calibri" w:cs="Times New Roman"/>
        </w:rPr>
        <w:t xml:space="preserve"> </w:t>
      </w:r>
      <w:r>
        <w:rPr>
          <w:rFonts w:ascii="Calibri" w:eastAsia="等线" w:hAnsi="Calibri" w:cs="Times New Roman"/>
        </w:rPr>
        <w:t>was</w:t>
      </w:r>
      <w:r w:rsidRPr="001C513B">
        <w:rPr>
          <w:rFonts w:ascii="Calibri" w:eastAsia="等线" w:hAnsi="Calibri" w:cs="Times New Roman"/>
        </w:rPr>
        <w:t xml:space="preserve"> another deformation mechanism</w:t>
      </w:r>
      <w:r>
        <w:rPr>
          <w:rFonts w:ascii="Calibri" w:eastAsia="等线" w:hAnsi="Calibri" w:cs="Times New Roman"/>
        </w:rPr>
        <w:t xml:space="preserve"> in addition to TWIP and TRIP that manifested itself during compressive deformation of </w:t>
      </w:r>
      <w:r w:rsidRPr="001C513B">
        <w:rPr>
          <w:rFonts w:ascii="Calibri" w:eastAsia="等线" w:hAnsi="Calibri" w:cs="Times New Roman"/>
        </w:rPr>
        <w:t>TiZrHfTa</w:t>
      </w:r>
      <w:r w:rsidRPr="001C513B">
        <w:rPr>
          <w:rFonts w:ascii="Calibri" w:eastAsia="等线" w:hAnsi="Calibri" w:cs="Times New Roman"/>
          <w:vertAlign w:val="subscript"/>
        </w:rPr>
        <w:t>0.5</w:t>
      </w:r>
      <w:r w:rsidRPr="001C513B">
        <w:rPr>
          <w:rFonts w:ascii="Calibri" w:eastAsia="等线" w:hAnsi="Calibri" w:cs="Times New Roman"/>
        </w:rPr>
        <w:t>. Th</w:t>
      </w:r>
      <w:r>
        <w:rPr>
          <w:rFonts w:ascii="Calibri" w:eastAsia="等线" w:hAnsi="Calibri" w:cs="Times New Roman"/>
        </w:rPr>
        <w:t>is particular</w:t>
      </w:r>
      <w:r w:rsidRPr="001C513B">
        <w:rPr>
          <w:rFonts w:ascii="Calibri" w:eastAsia="等线" w:hAnsi="Calibri" w:cs="Times New Roman"/>
        </w:rPr>
        <w:t xml:space="preserve"> deformation mechanism may </w:t>
      </w:r>
      <w:r>
        <w:rPr>
          <w:rFonts w:ascii="Calibri" w:eastAsia="等线" w:hAnsi="Calibri" w:cs="Times New Roman"/>
        </w:rPr>
        <w:t xml:space="preserve">aid in </w:t>
      </w:r>
      <w:r w:rsidRPr="001C513B">
        <w:rPr>
          <w:rFonts w:ascii="Calibri" w:eastAsia="等线" w:hAnsi="Calibri" w:cs="Times New Roman"/>
        </w:rPr>
        <w:t>link</w:t>
      </w:r>
      <w:r>
        <w:rPr>
          <w:rFonts w:ascii="Calibri" w:eastAsia="等线" w:hAnsi="Calibri" w:cs="Times New Roman"/>
        </w:rPr>
        <w:t>ing the simultaneous occurrence of</w:t>
      </w:r>
      <w:r w:rsidRPr="001C513B">
        <w:rPr>
          <w:rFonts w:ascii="Calibri" w:eastAsia="等线" w:hAnsi="Calibri" w:cs="Times New Roman"/>
        </w:rPr>
        <w:t xml:space="preserve"> TRIP and TWIP</w:t>
      </w:r>
      <w:r>
        <w:rPr>
          <w:rFonts w:ascii="Calibri" w:eastAsia="等线" w:hAnsi="Calibri" w:cs="Times New Roman"/>
        </w:rPr>
        <w:t xml:space="preserve"> through one particular martensitic twinning whose lattice correspond</w:t>
      </w:r>
      <w:r w:rsidR="00D42B05">
        <w:rPr>
          <w:rFonts w:ascii="Calibri" w:eastAsia="等线" w:hAnsi="Calibri" w:cs="Times New Roman"/>
        </w:rPr>
        <w:t>ence</w:t>
      </w:r>
      <w:r>
        <w:rPr>
          <w:rFonts w:ascii="Calibri" w:eastAsia="等线" w:hAnsi="Calibri" w:cs="Times New Roman"/>
        </w:rPr>
        <w:t xml:space="preserve"> structure is also a mechanical twinning mode in </w:t>
      </w:r>
      <w:r>
        <w:rPr>
          <w:rFonts w:ascii="Calibri" w:eastAsia="等线" w:hAnsi="Calibri" w:cs="Calibri"/>
        </w:rPr>
        <w:t>β</w:t>
      </w:r>
      <w:r>
        <w:rPr>
          <w:rFonts w:ascii="Calibri" w:eastAsia="等线" w:hAnsi="Calibri" w:cs="Times New Roman"/>
        </w:rPr>
        <w:t xml:space="preserve"> phase. It was determined that this</w:t>
      </w:r>
      <w:r w:rsidRPr="001C513B">
        <w:rPr>
          <w:rFonts w:ascii="Calibri" w:eastAsia="等线" w:hAnsi="Calibri" w:cs="Times New Roman"/>
        </w:rPr>
        <w:t xml:space="preserve"> key feature </w:t>
      </w:r>
      <w:r>
        <w:rPr>
          <w:rFonts w:ascii="Calibri" w:eastAsia="等线" w:hAnsi="Calibri" w:cs="Times New Roman"/>
        </w:rPr>
        <w:t>was</w:t>
      </w:r>
      <w:r w:rsidRPr="001C513B">
        <w:rPr>
          <w:rFonts w:ascii="Calibri" w:eastAsia="等线" w:hAnsi="Calibri" w:cs="Times New Roman"/>
        </w:rPr>
        <w:t xml:space="preserve"> located on the {332}[11-3]</w:t>
      </w:r>
      <w:r w:rsidRPr="001C513B">
        <w:rPr>
          <w:rFonts w:ascii="Calibri" w:eastAsia="等线" w:hAnsi="Calibri" w:cs="Times New Roman"/>
          <w:vertAlign w:val="subscript"/>
        </w:rPr>
        <w:t>β</w:t>
      </w:r>
      <w:r w:rsidRPr="001C513B">
        <w:rPr>
          <w:rFonts w:ascii="Calibri" w:eastAsia="等线" w:hAnsi="Calibri" w:cs="Times New Roman"/>
        </w:rPr>
        <w:t xml:space="preserve"> twinning structure</w:t>
      </w:r>
      <w:r>
        <w:rPr>
          <w:rFonts w:ascii="Calibri" w:eastAsia="等线" w:hAnsi="Calibri" w:cs="Times New Roman"/>
        </w:rPr>
        <w:t xml:space="preserve"> and whose origin is postulated to have a</w:t>
      </w:r>
      <w:r w:rsidRPr="001C513B">
        <w:rPr>
          <w:rFonts w:ascii="Calibri" w:eastAsia="等线" w:hAnsi="Calibri" w:cs="Times New Roman"/>
        </w:rPr>
        <w:t xml:space="preserve"> direct relationship with </w:t>
      </w:r>
      <w:r>
        <w:rPr>
          <w:rFonts w:ascii="Calibri" w:eastAsia="等线" w:hAnsi="Calibri" w:cs="Times New Roman"/>
        </w:rPr>
        <w:t xml:space="preserve">the </w:t>
      </w:r>
      <w:r w:rsidRPr="001C513B">
        <w:rPr>
          <w:rFonts w:ascii="Calibri" w:eastAsia="等线" w:hAnsi="Calibri" w:cs="Times New Roman"/>
        </w:rPr>
        <w:t>stress</w:t>
      </w:r>
      <w:r>
        <w:rPr>
          <w:rFonts w:ascii="Calibri" w:eastAsia="等线" w:hAnsi="Calibri" w:cs="Times New Roman"/>
        </w:rPr>
        <w:t>-</w:t>
      </w:r>
      <w:r w:rsidRPr="001C513B">
        <w:rPr>
          <w:rFonts w:ascii="Calibri" w:eastAsia="等线" w:hAnsi="Calibri" w:cs="Times New Roman"/>
        </w:rPr>
        <w:t xml:space="preserve">induced </w:t>
      </w:r>
      <w:r>
        <w:rPr>
          <w:rFonts w:ascii="Calibri" w:eastAsia="等线" w:hAnsi="Calibri" w:cs="Calibri"/>
        </w:rPr>
        <w:t xml:space="preserve">α’’ </w:t>
      </w:r>
      <w:r w:rsidRPr="001C513B">
        <w:rPr>
          <w:rFonts w:ascii="Calibri" w:eastAsia="等线" w:hAnsi="Calibri" w:cs="Times New Roman"/>
        </w:rPr>
        <w:t>martensite</w:t>
      </w:r>
      <w:r>
        <w:rPr>
          <w:rFonts w:ascii="Calibri" w:eastAsia="等线" w:hAnsi="Calibri" w:cs="Times New Roman"/>
        </w:rPr>
        <w:t xml:space="preserve"> transformation</w:t>
      </w:r>
      <w:r w:rsidRPr="001C513B">
        <w:rPr>
          <w:rFonts w:ascii="Calibri" w:eastAsia="等线" w:hAnsi="Calibri" w:cs="Times New Roman"/>
        </w:rPr>
        <w:t>.</w:t>
      </w:r>
    </w:p>
    <w:p w14:paraId="0F683F4C" w14:textId="77777777" w:rsidR="00B145BE" w:rsidRPr="00F2589F" w:rsidRDefault="00B145BE" w:rsidP="00B145BE">
      <w:pPr>
        <w:pStyle w:val="2"/>
        <w:spacing w:before="0" w:after="120" w:line="360" w:lineRule="auto"/>
        <w:rPr>
          <w:rFonts w:asciiTheme="minorHAnsi" w:hAnsiTheme="minorHAnsi"/>
          <w:b/>
          <w:color w:val="000000" w:themeColor="text1"/>
          <w:sz w:val="32"/>
          <w:szCs w:val="32"/>
          <w:lang w:bidi="hi-IN"/>
        </w:rPr>
      </w:pPr>
      <w:bookmarkStart w:id="276" w:name="_Toc22052543"/>
      <w:r w:rsidRPr="00F2589F">
        <w:rPr>
          <w:rFonts w:asciiTheme="minorHAnsi" w:hAnsiTheme="minorHAnsi"/>
          <w:b/>
          <w:color w:val="000000" w:themeColor="text1"/>
          <w:sz w:val="32"/>
          <w:szCs w:val="32"/>
          <w:lang w:bidi="hi-IN"/>
        </w:rPr>
        <w:t>5.5 Conclusion</w:t>
      </w:r>
      <w:r>
        <w:rPr>
          <w:rFonts w:asciiTheme="minorHAnsi" w:hAnsiTheme="minorHAnsi"/>
          <w:b/>
          <w:color w:val="000000" w:themeColor="text1"/>
          <w:sz w:val="32"/>
          <w:szCs w:val="32"/>
          <w:lang w:bidi="hi-IN"/>
        </w:rPr>
        <w:t>s</w:t>
      </w:r>
      <w:bookmarkEnd w:id="276"/>
    </w:p>
    <w:p w14:paraId="2D510B9F" w14:textId="25077139" w:rsidR="00B145BE" w:rsidRPr="001C513B" w:rsidRDefault="00B145BE" w:rsidP="00B145BE">
      <w:pPr>
        <w:spacing w:after="120" w:line="360" w:lineRule="auto"/>
        <w:ind w:left="-6" w:right="309"/>
        <w:jc w:val="both"/>
        <w:rPr>
          <w:rFonts w:ascii="Calibri" w:eastAsia="等线" w:hAnsi="Calibri" w:cs="Times New Roman"/>
        </w:rPr>
      </w:pPr>
      <w:r w:rsidRPr="001C513B">
        <w:rPr>
          <w:rFonts w:ascii="Calibri" w:eastAsia="等线" w:hAnsi="Calibri" w:cs="Times New Roman"/>
        </w:rPr>
        <w:t xml:space="preserve">In </w:t>
      </w:r>
      <w:r>
        <w:rPr>
          <w:rFonts w:ascii="Calibri" w:eastAsia="等线" w:hAnsi="Calibri" w:cs="Times New Roman"/>
        </w:rPr>
        <w:t>this</w:t>
      </w:r>
      <w:r w:rsidRPr="001C513B">
        <w:rPr>
          <w:rFonts w:ascii="Calibri" w:eastAsia="等线" w:hAnsi="Calibri" w:cs="Times New Roman"/>
        </w:rPr>
        <w:t xml:space="preserve"> chapter, the </w:t>
      </w:r>
      <w:r>
        <w:rPr>
          <w:rFonts w:ascii="Calibri" w:eastAsia="等线" w:hAnsi="Calibri" w:cs="Times New Roman"/>
        </w:rPr>
        <w:t>possibility</w:t>
      </w:r>
      <w:r w:rsidRPr="001C513B">
        <w:rPr>
          <w:rFonts w:ascii="Calibri" w:eastAsia="等线" w:hAnsi="Calibri" w:cs="Times New Roman"/>
        </w:rPr>
        <w:t xml:space="preserve"> of utili</w:t>
      </w:r>
      <w:r>
        <w:rPr>
          <w:rFonts w:ascii="Calibri" w:eastAsia="等线" w:hAnsi="Calibri" w:cs="Times New Roman"/>
        </w:rPr>
        <w:t>s</w:t>
      </w:r>
      <w:r w:rsidRPr="001C513B">
        <w:rPr>
          <w:rFonts w:ascii="Calibri" w:eastAsia="等线" w:hAnsi="Calibri" w:cs="Times New Roman"/>
        </w:rPr>
        <w:t xml:space="preserve">ing metastable engineering to introduce </w:t>
      </w:r>
      <w:r>
        <w:rPr>
          <w:rFonts w:ascii="Calibri" w:eastAsia="等线" w:hAnsi="Calibri" w:cs="Times New Roman"/>
        </w:rPr>
        <w:t xml:space="preserve">both the </w:t>
      </w:r>
      <w:r w:rsidRPr="001C513B">
        <w:rPr>
          <w:rFonts w:ascii="Calibri" w:eastAsia="等线" w:hAnsi="Calibri" w:cs="Times New Roman"/>
        </w:rPr>
        <w:t>TRIP and TWIP effect into RHEAs</w:t>
      </w:r>
      <w:r w:rsidR="00D42B05">
        <w:rPr>
          <w:rFonts w:ascii="Calibri" w:eastAsia="等线" w:hAnsi="Calibri" w:cs="Times New Roman"/>
        </w:rPr>
        <w:t xml:space="preserve"> was explained</w:t>
      </w:r>
      <w:r>
        <w:rPr>
          <w:rFonts w:ascii="Calibri" w:eastAsia="等线" w:hAnsi="Calibri" w:cs="Times New Roman"/>
        </w:rPr>
        <w:t xml:space="preserve">. The relatively ductile and unstable composition TiZrHfTa was selected </w:t>
      </w:r>
      <w:r>
        <w:rPr>
          <w:rFonts w:ascii="Calibri" w:eastAsia="等线" w:hAnsi="Calibri" w:cs="Times New Roman"/>
        </w:rPr>
        <w:lastRenderedPageBreak/>
        <w:t>from the screened result</w:t>
      </w:r>
      <w:r w:rsidR="00D42B05">
        <w:rPr>
          <w:rFonts w:ascii="Calibri" w:eastAsia="等线" w:hAnsi="Calibri" w:cs="Times New Roman"/>
        </w:rPr>
        <w:t>s</w:t>
      </w:r>
      <w:r>
        <w:rPr>
          <w:rFonts w:ascii="Calibri" w:eastAsia="等线" w:hAnsi="Calibri" w:cs="Times New Roman"/>
        </w:rPr>
        <w:t xml:space="preserve"> in Chapter 4. According to the analysis of formation enthalpy deviation and electronic environment result of TiZrHfTa in Chapter 4, the Ta content was chosen as </w:t>
      </w:r>
      <w:r w:rsidR="00D42B05">
        <w:rPr>
          <w:rFonts w:ascii="Calibri" w:eastAsia="等线" w:hAnsi="Calibri" w:cs="Times New Roman"/>
        </w:rPr>
        <w:t xml:space="preserve">the </w:t>
      </w:r>
      <w:r>
        <w:rPr>
          <w:rFonts w:ascii="Calibri" w:eastAsia="等线" w:hAnsi="Calibri" w:cs="Times New Roman"/>
        </w:rPr>
        <w:t>key factor to conduct the metastable engineering.</w:t>
      </w:r>
      <w:bookmarkStart w:id="277" w:name="OLE_LINK59"/>
      <w:r>
        <w:rPr>
          <w:rFonts w:ascii="Calibri" w:eastAsia="等线" w:hAnsi="Calibri" w:cs="Times New Roman"/>
        </w:rPr>
        <w:t xml:space="preserve"> </w:t>
      </w:r>
      <w:r w:rsidRPr="001C513B">
        <w:rPr>
          <w:rFonts w:ascii="Calibri" w:eastAsia="等线" w:hAnsi="Calibri" w:cs="Times New Roman"/>
        </w:rPr>
        <w:t>TiZrHfTa</w:t>
      </w:r>
      <w:r w:rsidRPr="001C513B">
        <w:rPr>
          <w:rFonts w:ascii="Calibri" w:eastAsia="等线" w:hAnsi="Calibri" w:cs="Times New Roman"/>
          <w:vertAlign w:val="subscript"/>
        </w:rPr>
        <w:t>x(x=0.5-1)</w:t>
      </w:r>
      <w:r w:rsidRPr="001C513B">
        <w:rPr>
          <w:rFonts w:ascii="Calibri" w:eastAsia="等线" w:hAnsi="Calibri" w:cs="Times New Roman"/>
        </w:rPr>
        <w:t xml:space="preserve"> </w:t>
      </w:r>
      <w:bookmarkEnd w:id="277"/>
      <w:r>
        <w:rPr>
          <w:rFonts w:ascii="Calibri" w:eastAsia="等线" w:hAnsi="Calibri" w:cs="Times New Roman"/>
        </w:rPr>
        <w:t>possessing 6 different compositions were</w:t>
      </w:r>
      <w:r w:rsidRPr="001C513B">
        <w:rPr>
          <w:rFonts w:ascii="Calibri" w:eastAsia="等线" w:hAnsi="Calibri" w:cs="Times New Roman"/>
        </w:rPr>
        <w:t xml:space="preserve"> designed and synthesized by vacuum arc-melting and suction casting. The phase constitution and mechanical performance </w:t>
      </w:r>
      <w:r>
        <w:rPr>
          <w:rFonts w:ascii="Calibri" w:eastAsia="等线" w:hAnsi="Calibri" w:cs="Times New Roman"/>
        </w:rPr>
        <w:t>during compressive deformation</w:t>
      </w:r>
      <w:r w:rsidRPr="001C513B">
        <w:rPr>
          <w:rFonts w:ascii="Calibri" w:eastAsia="等线" w:hAnsi="Calibri" w:cs="Times New Roman"/>
        </w:rPr>
        <w:t xml:space="preserve"> revealed </w:t>
      </w:r>
      <w:r>
        <w:rPr>
          <w:rFonts w:ascii="Calibri" w:eastAsia="等线" w:hAnsi="Calibri" w:cs="Times New Roman"/>
        </w:rPr>
        <w:t>that</w:t>
      </w:r>
      <w:r w:rsidRPr="001C513B">
        <w:rPr>
          <w:rFonts w:ascii="Calibri" w:eastAsia="等线" w:hAnsi="Calibri" w:cs="Times New Roman"/>
        </w:rPr>
        <w:t xml:space="preserve"> metastable engineering is effective in introducing multiple-deformation mechanism</w:t>
      </w:r>
      <w:r>
        <w:rPr>
          <w:rFonts w:ascii="Calibri" w:eastAsia="等线" w:hAnsi="Calibri" w:cs="Times New Roman"/>
        </w:rPr>
        <w:t>s which subsequently</w:t>
      </w:r>
      <w:r w:rsidRPr="001C513B">
        <w:rPr>
          <w:rFonts w:ascii="Calibri" w:eastAsia="等线" w:hAnsi="Calibri" w:cs="Times New Roman"/>
        </w:rPr>
        <w:t xml:space="preserve"> enhanc</w:t>
      </w:r>
      <w:r>
        <w:rPr>
          <w:rFonts w:ascii="Calibri" w:eastAsia="等线" w:hAnsi="Calibri" w:cs="Times New Roman"/>
        </w:rPr>
        <w:t>e the</w:t>
      </w:r>
      <w:r w:rsidRPr="001C513B">
        <w:rPr>
          <w:rFonts w:ascii="Calibri" w:eastAsia="等线" w:hAnsi="Calibri" w:cs="Times New Roman"/>
        </w:rPr>
        <w:t xml:space="preserve"> </w:t>
      </w:r>
      <w:r w:rsidR="00FC7323">
        <w:rPr>
          <w:rFonts w:ascii="Calibri" w:eastAsia="等线" w:hAnsi="Calibri" w:cs="Times New Roman"/>
        </w:rPr>
        <w:t>work</w:t>
      </w:r>
      <w:r w:rsidRPr="001C513B">
        <w:rPr>
          <w:rFonts w:ascii="Calibri" w:eastAsia="等线" w:hAnsi="Calibri" w:cs="Times New Roman"/>
        </w:rPr>
        <w:t xml:space="preserve"> hardening capacity</w:t>
      </w:r>
      <w:r>
        <w:rPr>
          <w:rFonts w:ascii="Calibri" w:eastAsia="等线" w:hAnsi="Calibri" w:cs="Times New Roman"/>
        </w:rPr>
        <w:t xml:space="preserve"> of the material</w:t>
      </w:r>
      <w:r w:rsidRPr="001C513B">
        <w:rPr>
          <w:rFonts w:ascii="Calibri" w:eastAsia="等线" w:hAnsi="Calibri" w:cs="Times New Roman"/>
        </w:rPr>
        <w:t>. TWIP was successfully activated and observed in TiZrHfTa</w:t>
      </w:r>
      <w:r w:rsidRPr="001C513B">
        <w:rPr>
          <w:rFonts w:ascii="Calibri" w:eastAsia="等线" w:hAnsi="Calibri" w:cs="Times New Roman"/>
          <w:vertAlign w:val="subscript"/>
        </w:rPr>
        <w:t>0.8</w:t>
      </w:r>
      <w:r w:rsidRPr="001C513B">
        <w:rPr>
          <w:rFonts w:ascii="Calibri" w:eastAsia="等线" w:hAnsi="Calibri" w:cs="Times New Roman"/>
        </w:rPr>
        <w:t xml:space="preserve">, </w:t>
      </w:r>
      <w:r>
        <w:rPr>
          <w:rFonts w:ascii="Calibri" w:eastAsia="等线" w:hAnsi="Calibri" w:cs="Times New Roman"/>
        </w:rPr>
        <w:t>where</w:t>
      </w:r>
      <w:r w:rsidRPr="001C513B">
        <w:rPr>
          <w:rFonts w:ascii="Calibri" w:eastAsia="等线" w:hAnsi="Calibri" w:cs="Times New Roman"/>
        </w:rPr>
        <w:t xml:space="preserve"> {112}</w:t>
      </w:r>
      <w:bookmarkStart w:id="278" w:name="OLE_LINK67"/>
      <w:bookmarkStart w:id="279" w:name="OLE_LINK68"/>
      <w:r w:rsidRPr="001C513B">
        <w:rPr>
          <w:rFonts w:ascii="Calibri" w:eastAsia="等线" w:hAnsi="Calibri" w:cs="Times New Roman"/>
        </w:rPr>
        <w:t>[11-1]</w:t>
      </w:r>
      <w:r w:rsidRPr="001C513B">
        <w:rPr>
          <w:rFonts w:ascii="Calibri" w:eastAsia="等线" w:hAnsi="Calibri" w:cs="Times New Roman"/>
          <w:vertAlign w:val="subscript"/>
        </w:rPr>
        <w:t>β</w:t>
      </w:r>
      <w:r w:rsidRPr="001C513B">
        <w:rPr>
          <w:rFonts w:ascii="Calibri" w:eastAsia="等线" w:hAnsi="Calibri" w:cs="Times New Roman"/>
        </w:rPr>
        <w:t xml:space="preserve"> twinning </w:t>
      </w:r>
      <w:bookmarkEnd w:id="278"/>
      <w:bookmarkEnd w:id="279"/>
      <w:r>
        <w:rPr>
          <w:rFonts w:ascii="Calibri" w:eastAsia="等线" w:hAnsi="Calibri" w:cs="Times New Roman"/>
        </w:rPr>
        <w:t>occurred and</w:t>
      </w:r>
      <w:r w:rsidRPr="001C513B">
        <w:rPr>
          <w:rFonts w:ascii="Calibri" w:eastAsia="等线" w:hAnsi="Calibri" w:cs="Times New Roman"/>
        </w:rPr>
        <w:t xml:space="preserve"> serve</w:t>
      </w:r>
      <w:r>
        <w:rPr>
          <w:rFonts w:ascii="Calibri" w:eastAsia="等线" w:hAnsi="Calibri" w:cs="Times New Roman"/>
        </w:rPr>
        <w:t>d</w:t>
      </w:r>
      <w:r w:rsidRPr="001C513B">
        <w:rPr>
          <w:rFonts w:ascii="Calibri" w:eastAsia="等线" w:hAnsi="Calibri" w:cs="Times New Roman"/>
        </w:rPr>
        <w:t xml:space="preserve"> as</w:t>
      </w:r>
      <w:r>
        <w:rPr>
          <w:rFonts w:ascii="Calibri" w:eastAsia="等线" w:hAnsi="Calibri" w:cs="Times New Roman"/>
        </w:rPr>
        <w:t xml:space="preserve"> the </w:t>
      </w:r>
      <w:r w:rsidRPr="001C513B">
        <w:rPr>
          <w:rFonts w:ascii="Calibri" w:eastAsia="等线" w:hAnsi="Calibri" w:cs="Times New Roman"/>
        </w:rPr>
        <w:t xml:space="preserve">main mechanical twin mode in stable </w:t>
      </w:r>
      <w:r>
        <w:rPr>
          <w:rFonts w:ascii="Calibri" w:eastAsia="等线" w:hAnsi="Calibri" w:cs="Times New Roman"/>
        </w:rPr>
        <w:t>BCC</w:t>
      </w:r>
      <w:r w:rsidRPr="001C513B">
        <w:rPr>
          <w:rFonts w:ascii="Calibri" w:eastAsia="等线" w:hAnsi="Calibri" w:cs="Times New Roman"/>
        </w:rPr>
        <w:t xml:space="preserve"> metallic materials. The observation of stress</w:t>
      </w:r>
      <w:r>
        <w:rPr>
          <w:rFonts w:ascii="Calibri" w:eastAsia="等线" w:hAnsi="Calibri" w:cs="Times New Roman"/>
        </w:rPr>
        <w:t>-</w:t>
      </w:r>
      <w:r w:rsidRPr="001C513B">
        <w:rPr>
          <w:rFonts w:ascii="Calibri" w:eastAsia="等线" w:hAnsi="Calibri" w:cs="Times New Roman"/>
        </w:rPr>
        <w:t xml:space="preserve">induced </w:t>
      </w:r>
      <w:r>
        <w:rPr>
          <w:rFonts w:ascii="Calibri" w:eastAsia="等线" w:hAnsi="Calibri" w:cs="Calibri"/>
        </w:rPr>
        <w:t>α</w:t>
      </w:r>
      <w:r>
        <w:rPr>
          <w:rFonts w:ascii="Calibri" w:eastAsia="等线" w:hAnsi="Calibri" w:cs="Times New Roman"/>
        </w:rPr>
        <w:t xml:space="preserve">’’ </w:t>
      </w:r>
      <w:r w:rsidRPr="001C513B">
        <w:rPr>
          <w:rFonts w:ascii="Calibri" w:eastAsia="等线" w:hAnsi="Calibri" w:cs="Times New Roman"/>
        </w:rPr>
        <w:t xml:space="preserve">martensite and </w:t>
      </w:r>
      <w:r>
        <w:rPr>
          <w:rFonts w:ascii="Calibri" w:eastAsia="等线" w:hAnsi="Calibri" w:cs="Calibri"/>
        </w:rPr>
        <w:t>β</w:t>
      </w:r>
      <w:r>
        <w:rPr>
          <w:rFonts w:ascii="Calibri" w:eastAsia="等线" w:hAnsi="Calibri" w:cs="Times New Roman"/>
        </w:rPr>
        <w:t xml:space="preserve"> mechanical twinning</w:t>
      </w:r>
      <w:r w:rsidRPr="001C513B">
        <w:rPr>
          <w:rFonts w:ascii="Calibri" w:eastAsia="等线" w:hAnsi="Calibri" w:cs="Times New Roman"/>
        </w:rPr>
        <w:t xml:space="preserve"> in TiZrHfTa</w:t>
      </w:r>
      <w:r w:rsidRPr="001C513B">
        <w:rPr>
          <w:rFonts w:ascii="Calibri" w:eastAsia="等线" w:hAnsi="Calibri" w:cs="Times New Roman"/>
          <w:vertAlign w:val="subscript"/>
        </w:rPr>
        <w:t xml:space="preserve">0.5-0.8 </w:t>
      </w:r>
      <w:r w:rsidRPr="001C513B">
        <w:rPr>
          <w:rFonts w:ascii="Calibri" w:eastAsia="等线" w:hAnsi="Calibri" w:cs="Times New Roman"/>
        </w:rPr>
        <w:t>indicat</w:t>
      </w:r>
      <w:r>
        <w:rPr>
          <w:rFonts w:ascii="Calibri" w:eastAsia="等线" w:hAnsi="Calibri" w:cs="Times New Roman"/>
        </w:rPr>
        <w:t>ed</w:t>
      </w:r>
      <w:r w:rsidRPr="001C513B">
        <w:rPr>
          <w:rFonts w:ascii="Calibri" w:eastAsia="等线" w:hAnsi="Calibri" w:cs="Times New Roman"/>
        </w:rPr>
        <w:t xml:space="preserve"> there may a certain Ta content range which</w:t>
      </w:r>
      <w:r>
        <w:rPr>
          <w:rFonts w:ascii="Calibri" w:eastAsia="等线" w:hAnsi="Calibri" w:cs="Times New Roman"/>
        </w:rPr>
        <w:t xml:space="preserve"> could potentially</w:t>
      </w:r>
      <w:r w:rsidRPr="001C513B">
        <w:rPr>
          <w:rFonts w:ascii="Calibri" w:eastAsia="等线" w:hAnsi="Calibri" w:cs="Times New Roman"/>
        </w:rPr>
        <w:t xml:space="preserve"> allow</w:t>
      </w:r>
      <w:r>
        <w:rPr>
          <w:rFonts w:ascii="Calibri" w:eastAsia="等线" w:hAnsi="Calibri" w:cs="Times New Roman"/>
        </w:rPr>
        <w:t xml:space="preserve"> both</w:t>
      </w:r>
      <w:r w:rsidRPr="001C513B">
        <w:rPr>
          <w:rFonts w:ascii="Calibri" w:eastAsia="等线" w:hAnsi="Calibri" w:cs="Times New Roman"/>
        </w:rPr>
        <w:t xml:space="preserve"> TRIP and TWIP </w:t>
      </w:r>
      <w:r>
        <w:rPr>
          <w:rFonts w:ascii="Calibri" w:eastAsia="等线" w:hAnsi="Calibri" w:cs="Times New Roman"/>
        </w:rPr>
        <w:t xml:space="preserve">to </w:t>
      </w:r>
      <w:r w:rsidRPr="001C513B">
        <w:rPr>
          <w:rFonts w:ascii="Calibri" w:eastAsia="等线" w:hAnsi="Calibri" w:cs="Times New Roman"/>
        </w:rPr>
        <w:t>cooperate simultaneously. The identification of the phase constitution for TiZrHfTa</w:t>
      </w:r>
      <w:r w:rsidRPr="001C513B">
        <w:rPr>
          <w:rFonts w:ascii="Calibri" w:eastAsia="等线" w:hAnsi="Calibri" w:cs="Times New Roman"/>
          <w:vertAlign w:val="subscript"/>
        </w:rPr>
        <w:t>x(x=0.5,0.6,0.8)</w:t>
      </w:r>
      <w:r w:rsidRPr="001C513B">
        <w:rPr>
          <w:rFonts w:ascii="Calibri" w:eastAsia="等线" w:hAnsi="Calibri" w:cs="Times New Roman"/>
        </w:rPr>
        <w:t xml:space="preserve"> </w:t>
      </w:r>
      <w:r>
        <w:rPr>
          <w:rFonts w:ascii="Calibri" w:eastAsia="等线" w:hAnsi="Calibri" w:cs="Times New Roman"/>
        </w:rPr>
        <w:t xml:space="preserve">as a result of compressive loading was obtained, where it was identified that the </w:t>
      </w:r>
      <w:r w:rsidRPr="001C513B">
        <w:rPr>
          <w:rFonts w:ascii="Calibri" w:eastAsia="等线" w:hAnsi="Calibri" w:cs="Times New Roman"/>
        </w:rPr>
        <w:t>martensite phase transformation</w:t>
      </w:r>
      <w:r>
        <w:rPr>
          <w:rFonts w:ascii="Calibri" w:eastAsia="等线" w:hAnsi="Calibri" w:cs="Times New Roman"/>
        </w:rPr>
        <w:t xml:space="preserve"> observed belonged</w:t>
      </w:r>
      <w:r w:rsidRPr="001C513B">
        <w:rPr>
          <w:rFonts w:ascii="Calibri" w:eastAsia="等线" w:hAnsi="Calibri" w:cs="Times New Roman"/>
        </w:rPr>
        <w:t xml:space="preserve"> to an Au-Cd type cubic to </w:t>
      </w:r>
      <w:bookmarkStart w:id="280" w:name="OLE_LINK61"/>
      <w:r w:rsidRPr="001C513B">
        <w:rPr>
          <w:rFonts w:ascii="Calibri" w:eastAsia="等线" w:hAnsi="Calibri" w:cs="Times New Roman"/>
        </w:rPr>
        <w:t>orthorhombic</w:t>
      </w:r>
      <w:bookmarkEnd w:id="280"/>
      <w:r w:rsidRPr="001C513B">
        <w:rPr>
          <w:rFonts w:ascii="Calibri" w:eastAsia="等线" w:hAnsi="Calibri" w:cs="Times New Roman"/>
        </w:rPr>
        <w:t xml:space="preserve"> transformation. The effect of TRIP gradually increase</w:t>
      </w:r>
      <w:r w:rsidR="00D42B05">
        <w:rPr>
          <w:rFonts w:ascii="Calibri" w:eastAsia="等线" w:hAnsi="Calibri" w:cs="Times New Roman"/>
        </w:rPr>
        <w:t>d</w:t>
      </w:r>
      <w:r w:rsidRPr="001C513B">
        <w:rPr>
          <w:rFonts w:ascii="Calibri" w:eastAsia="等线" w:hAnsi="Calibri" w:cs="Times New Roman"/>
        </w:rPr>
        <w:t xml:space="preserve"> with </w:t>
      </w:r>
      <w:r>
        <w:rPr>
          <w:rFonts w:ascii="Calibri" w:eastAsia="等线" w:hAnsi="Calibri" w:cs="Times New Roman"/>
        </w:rPr>
        <w:t>a</w:t>
      </w:r>
      <w:r w:rsidRPr="001C513B">
        <w:rPr>
          <w:rFonts w:ascii="Calibri" w:eastAsia="等线" w:hAnsi="Calibri" w:cs="Times New Roman"/>
        </w:rPr>
        <w:t xml:space="preserve"> reduction of Ta content</w:t>
      </w:r>
      <w:r>
        <w:rPr>
          <w:rFonts w:ascii="Calibri" w:eastAsia="等线" w:hAnsi="Calibri" w:cs="Times New Roman"/>
        </w:rPr>
        <w:t xml:space="preserve"> and an </w:t>
      </w:r>
      <w:r w:rsidRPr="001C513B">
        <w:rPr>
          <w:rFonts w:ascii="Calibri" w:eastAsia="等线" w:hAnsi="Calibri" w:cs="Times New Roman"/>
        </w:rPr>
        <w:t>increas</w:t>
      </w:r>
      <w:r>
        <w:rPr>
          <w:rFonts w:ascii="Calibri" w:eastAsia="等线" w:hAnsi="Calibri" w:cs="Times New Roman"/>
        </w:rPr>
        <w:t>e in the</w:t>
      </w:r>
      <w:r w:rsidRPr="001C513B">
        <w:rPr>
          <w:rFonts w:ascii="Calibri" w:eastAsia="等线" w:hAnsi="Calibri" w:cs="Times New Roman"/>
        </w:rPr>
        <w:t xml:space="preserve"> density of SA martensitic twinning</w:t>
      </w:r>
      <w:r>
        <w:rPr>
          <w:rFonts w:ascii="Calibri" w:eastAsia="等线" w:hAnsi="Calibri" w:cs="Times New Roman"/>
        </w:rPr>
        <w:t xml:space="preserve"> was reported</w:t>
      </w:r>
      <w:r w:rsidRPr="001C513B">
        <w:rPr>
          <w:rFonts w:ascii="Calibri" w:eastAsia="等线" w:hAnsi="Calibri" w:cs="Times New Roman"/>
        </w:rPr>
        <w:t xml:space="preserve">. Entanglement of SA twinning may further </w:t>
      </w:r>
      <w:r w:rsidR="00D42B05">
        <w:rPr>
          <w:rFonts w:ascii="Calibri" w:eastAsia="等线" w:hAnsi="Calibri" w:cs="Times New Roman"/>
        </w:rPr>
        <w:t>contribute</w:t>
      </w:r>
      <w:r w:rsidR="00D42B05" w:rsidRPr="001C513B">
        <w:rPr>
          <w:rFonts w:ascii="Calibri" w:eastAsia="等线" w:hAnsi="Calibri" w:cs="Times New Roman"/>
        </w:rPr>
        <w:t xml:space="preserve"> </w:t>
      </w:r>
      <w:r w:rsidRPr="001C513B">
        <w:rPr>
          <w:rFonts w:ascii="Calibri" w:eastAsia="等线" w:hAnsi="Calibri" w:cs="Times New Roman"/>
        </w:rPr>
        <w:t xml:space="preserve">to the </w:t>
      </w:r>
      <w:r w:rsidR="00FC7323">
        <w:rPr>
          <w:rFonts w:ascii="Calibri" w:eastAsia="等线" w:hAnsi="Calibri" w:cs="Times New Roman"/>
        </w:rPr>
        <w:t>work</w:t>
      </w:r>
      <w:r w:rsidRPr="001C513B">
        <w:rPr>
          <w:rFonts w:ascii="Calibri" w:eastAsia="等线" w:hAnsi="Calibri" w:cs="Times New Roman"/>
        </w:rPr>
        <w:t xml:space="preserve"> hardening capacity</w:t>
      </w:r>
      <w:r>
        <w:rPr>
          <w:rFonts w:ascii="Calibri" w:eastAsia="等线" w:hAnsi="Calibri" w:cs="Times New Roman"/>
        </w:rPr>
        <w:t>, by</w:t>
      </w:r>
      <w:r w:rsidRPr="001C513B">
        <w:rPr>
          <w:rFonts w:ascii="Calibri" w:eastAsia="等线" w:hAnsi="Calibri" w:cs="Times New Roman"/>
        </w:rPr>
        <w:t xml:space="preserve"> preventing dislocation glide. </w:t>
      </w:r>
    </w:p>
    <w:p w14:paraId="19379168" w14:textId="7314CD99" w:rsidR="00B145BE" w:rsidRDefault="00B145BE" w:rsidP="00B145BE">
      <w:pPr>
        <w:spacing w:after="120" w:line="360" w:lineRule="auto"/>
        <w:ind w:left="-6" w:right="309"/>
        <w:jc w:val="both"/>
        <w:rPr>
          <w:rFonts w:ascii="Calibri" w:eastAsia="等线" w:hAnsi="Calibri" w:cs="Times New Roman"/>
        </w:rPr>
      </w:pPr>
      <w:r w:rsidRPr="001C513B">
        <w:rPr>
          <w:rFonts w:ascii="Calibri" w:eastAsia="等线" w:hAnsi="Calibri" w:cs="Times New Roman"/>
        </w:rPr>
        <w:t>The unusual martensite twinning modes {351}&lt;-211&gt;</w:t>
      </w:r>
      <w:bookmarkStart w:id="281" w:name="OLE_LINK65"/>
      <w:bookmarkStart w:id="282" w:name="OLE_LINK66"/>
      <w:r w:rsidRPr="001C513B">
        <w:rPr>
          <w:rFonts w:ascii="Calibri" w:eastAsia="等线" w:hAnsi="Calibri" w:cs="Times New Roman"/>
          <w:vertAlign w:val="subscript"/>
        </w:rPr>
        <w:t>α’’</w:t>
      </w:r>
      <w:r w:rsidRPr="001C513B">
        <w:rPr>
          <w:rFonts w:ascii="Calibri" w:eastAsia="等线" w:hAnsi="Calibri" w:cs="Times New Roman"/>
        </w:rPr>
        <w:t xml:space="preserve"> </w:t>
      </w:r>
      <w:bookmarkEnd w:id="281"/>
      <w:bookmarkEnd w:id="282"/>
      <w:r w:rsidRPr="001C513B">
        <w:rPr>
          <w:rFonts w:ascii="Calibri" w:eastAsia="等线" w:hAnsi="Calibri" w:cs="Times New Roman"/>
        </w:rPr>
        <w:t>together with the abnormal cooperation of {111}</w:t>
      </w:r>
      <w:r w:rsidRPr="001C513B">
        <w:rPr>
          <w:rFonts w:ascii="Calibri" w:eastAsia="等线" w:hAnsi="Calibri" w:cs="Times New Roman"/>
          <w:vertAlign w:val="subscript"/>
        </w:rPr>
        <w:t>α’’</w:t>
      </w:r>
      <w:r w:rsidRPr="001C513B">
        <w:rPr>
          <w:rFonts w:ascii="Calibri" w:eastAsia="等线" w:hAnsi="Calibri" w:cs="Times New Roman"/>
        </w:rPr>
        <w:t xml:space="preserve"> type I and {011}</w:t>
      </w:r>
      <w:r w:rsidRPr="001C513B">
        <w:rPr>
          <w:rFonts w:ascii="Calibri" w:eastAsia="等线" w:hAnsi="Calibri" w:cs="Times New Roman"/>
          <w:vertAlign w:val="subscript"/>
        </w:rPr>
        <w:t>α’’</w:t>
      </w:r>
      <w:r w:rsidRPr="001C513B">
        <w:rPr>
          <w:rFonts w:ascii="Calibri" w:eastAsia="等线" w:hAnsi="Calibri" w:cs="Times New Roman"/>
        </w:rPr>
        <w:t xml:space="preserve"> compound twinning modes</w:t>
      </w:r>
      <w:r>
        <w:rPr>
          <w:rFonts w:ascii="Calibri" w:eastAsia="等线" w:hAnsi="Calibri" w:cs="Times New Roman"/>
        </w:rPr>
        <w:t>,</w:t>
      </w:r>
      <w:r w:rsidRPr="001C513B">
        <w:rPr>
          <w:rFonts w:ascii="Calibri" w:eastAsia="等线" w:hAnsi="Calibri" w:cs="Times New Roman"/>
        </w:rPr>
        <w:t xml:space="preserve"> indicat</w:t>
      </w:r>
      <w:r>
        <w:rPr>
          <w:rFonts w:ascii="Calibri" w:eastAsia="等线" w:hAnsi="Calibri" w:cs="Times New Roman"/>
        </w:rPr>
        <w:t>ed</w:t>
      </w:r>
      <w:r w:rsidRPr="001C513B">
        <w:rPr>
          <w:rFonts w:ascii="Calibri" w:eastAsia="等线" w:hAnsi="Calibri" w:cs="Times New Roman"/>
        </w:rPr>
        <w:t xml:space="preserve"> the existence of a </w:t>
      </w:r>
      <w:r>
        <w:rPr>
          <w:rFonts w:ascii="Calibri" w:eastAsia="等线" w:hAnsi="Calibri" w:cs="Times New Roman"/>
        </w:rPr>
        <w:t>new</w:t>
      </w:r>
      <w:r w:rsidRPr="001C513B">
        <w:rPr>
          <w:rFonts w:ascii="Calibri" w:eastAsia="等线" w:hAnsi="Calibri" w:cs="Times New Roman"/>
        </w:rPr>
        <w:t xml:space="preserve"> deformation mechanism</w:t>
      </w:r>
      <w:r>
        <w:rPr>
          <w:rFonts w:ascii="Calibri" w:eastAsia="等线" w:hAnsi="Calibri" w:cs="Times New Roman"/>
        </w:rPr>
        <w:t xml:space="preserve"> which was identified as being</w:t>
      </w:r>
      <w:r w:rsidRPr="001C513B">
        <w:rPr>
          <w:rFonts w:ascii="Calibri" w:eastAsia="等线" w:hAnsi="Calibri" w:cs="Times New Roman"/>
        </w:rPr>
        <w:t xml:space="preserve"> linked </w:t>
      </w:r>
      <w:r>
        <w:rPr>
          <w:rFonts w:ascii="Calibri" w:eastAsia="等线" w:hAnsi="Calibri" w:cs="Times New Roman"/>
        </w:rPr>
        <w:t xml:space="preserve">through </w:t>
      </w:r>
      <w:r w:rsidRPr="001C513B">
        <w:rPr>
          <w:rFonts w:ascii="Calibri" w:eastAsia="等线" w:hAnsi="Calibri" w:cs="Times New Roman"/>
        </w:rPr>
        <w:t>{332}[11-3]</w:t>
      </w:r>
      <w:r w:rsidRPr="001C513B">
        <w:rPr>
          <w:rFonts w:ascii="Calibri" w:eastAsia="等线" w:hAnsi="Calibri" w:cs="Times New Roman"/>
          <w:vertAlign w:val="subscript"/>
        </w:rPr>
        <w:t>β</w:t>
      </w:r>
      <w:r w:rsidRPr="001C513B">
        <w:rPr>
          <w:rFonts w:ascii="Calibri" w:eastAsia="等线" w:hAnsi="Calibri" w:cs="Times New Roman"/>
        </w:rPr>
        <w:t xml:space="preserve"> twinning</w:t>
      </w:r>
      <w:r>
        <w:rPr>
          <w:rFonts w:ascii="Calibri" w:eastAsia="等线" w:hAnsi="Calibri" w:cs="Times New Roman"/>
        </w:rPr>
        <w:t>.</w:t>
      </w:r>
      <w:r w:rsidRPr="001C513B">
        <w:rPr>
          <w:rFonts w:ascii="Calibri" w:eastAsia="等线" w:hAnsi="Calibri" w:cs="Times New Roman"/>
        </w:rPr>
        <w:t xml:space="preserve"> </w:t>
      </w:r>
      <w:r>
        <w:rPr>
          <w:rFonts w:ascii="Calibri" w:eastAsia="等线" w:hAnsi="Calibri" w:cs="Times New Roman"/>
        </w:rPr>
        <w:t>T</w:t>
      </w:r>
      <w:r w:rsidRPr="001C513B">
        <w:rPr>
          <w:rFonts w:ascii="Calibri" w:eastAsia="等线" w:hAnsi="Calibri" w:cs="Times New Roman"/>
        </w:rPr>
        <w:t xml:space="preserve">his new deformation mechanism may </w:t>
      </w:r>
      <w:r>
        <w:rPr>
          <w:rFonts w:ascii="Calibri" w:eastAsia="等线" w:hAnsi="Calibri" w:cs="Times New Roman"/>
        </w:rPr>
        <w:t xml:space="preserve">be </w:t>
      </w:r>
      <w:r w:rsidRPr="001C513B">
        <w:rPr>
          <w:rFonts w:ascii="Calibri" w:eastAsia="等线" w:hAnsi="Calibri" w:cs="Times New Roman"/>
        </w:rPr>
        <w:t>consider</w:t>
      </w:r>
      <w:r>
        <w:rPr>
          <w:rFonts w:ascii="Calibri" w:eastAsia="等线" w:hAnsi="Calibri" w:cs="Times New Roman"/>
        </w:rPr>
        <w:t>ed to be</w:t>
      </w:r>
      <w:r w:rsidRPr="001C513B">
        <w:rPr>
          <w:rFonts w:ascii="Calibri" w:eastAsia="等线" w:hAnsi="Calibri" w:cs="Times New Roman"/>
        </w:rPr>
        <w:t xml:space="preserve"> the main reason for the extraordinary </w:t>
      </w:r>
      <w:r w:rsidR="00FC7323">
        <w:rPr>
          <w:rFonts w:ascii="Calibri" w:eastAsia="等线" w:hAnsi="Calibri" w:cs="Times New Roman"/>
        </w:rPr>
        <w:t>work</w:t>
      </w:r>
      <w:r w:rsidRPr="001C513B">
        <w:rPr>
          <w:rFonts w:ascii="Calibri" w:eastAsia="等线" w:hAnsi="Calibri" w:cs="Times New Roman"/>
        </w:rPr>
        <w:t xml:space="preserve"> hardening performance in TiZrHfTa</w:t>
      </w:r>
      <w:r w:rsidRPr="001C513B">
        <w:rPr>
          <w:rFonts w:ascii="Calibri" w:eastAsia="等线" w:hAnsi="Calibri" w:cs="Times New Roman"/>
          <w:vertAlign w:val="subscript"/>
        </w:rPr>
        <w:t>0.5</w:t>
      </w:r>
      <w:r w:rsidRPr="001C513B">
        <w:rPr>
          <w:rFonts w:ascii="Calibri" w:eastAsia="等线" w:hAnsi="Calibri" w:cs="Times New Roman"/>
        </w:rPr>
        <w:t xml:space="preserve">. </w:t>
      </w:r>
      <w:r>
        <w:rPr>
          <w:rFonts w:ascii="Calibri" w:eastAsia="等线" w:hAnsi="Calibri" w:cs="Times New Roman"/>
        </w:rPr>
        <w:t>This deformation mechanism l</w:t>
      </w:r>
      <w:r w:rsidRPr="001C513B">
        <w:rPr>
          <w:rFonts w:ascii="Calibri" w:eastAsia="等线" w:hAnsi="Calibri" w:cs="Times New Roman"/>
        </w:rPr>
        <w:t>inked both the deformation products of TRIP and TWIP</w:t>
      </w:r>
      <w:r>
        <w:rPr>
          <w:rFonts w:ascii="Calibri" w:eastAsia="等线" w:hAnsi="Calibri" w:cs="Times New Roman"/>
        </w:rPr>
        <w:t xml:space="preserve"> and in addition, </w:t>
      </w:r>
      <w:r w:rsidRPr="001C513B">
        <w:rPr>
          <w:rFonts w:ascii="Calibri" w:eastAsia="等线" w:hAnsi="Calibri" w:cs="Times New Roman"/>
        </w:rPr>
        <w:t xml:space="preserve">not only </w:t>
      </w:r>
      <w:r>
        <w:rPr>
          <w:rFonts w:ascii="Calibri" w:eastAsia="等线" w:hAnsi="Calibri" w:cs="Times New Roman"/>
        </w:rPr>
        <w:t>promoted the refinement of</w:t>
      </w:r>
      <w:r w:rsidRPr="001C513B">
        <w:rPr>
          <w:rFonts w:ascii="Calibri" w:eastAsia="等线" w:hAnsi="Calibri" w:cs="Times New Roman"/>
        </w:rPr>
        <w:t xml:space="preserve"> the microstructure but also </w:t>
      </w:r>
      <w:r w:rsidR="00D42B05">
        <w:rPr>
          <w:rFonts w:ascii="Calibri" w:eastAsia="等线" w:hAnsi="Calibri" w:cs="Times New Roman"/>
        </w:rPr>
        <w:t xml:space="preserve">allowed </w:t>
      </w:r>
      <w:r>
        <w:rPr>
          <w:rFonts w:ascii="Calibri" w:eastAsia="等线" w:hAnsi="Calibri" w:cs="Times New Roman"/>
        </w:rPr>
        <w:t>the</w:t>
      </w:r>
      <w:r w:rsidRPr="001C513B">
        <w:rPr>
          <w:rFonts w:ascii="Calibri" w:eastAsia="等线" w:hAnsi="Calibri" w:cs="Times New Roman"/>
        </w:rPr>
        <w:t xml:space="preserve"> potential </w:t>
      </w:r>
      <w:r>
        <w:rPr>
          <w:rFonts w:ascii="Calibri" w:eastAsia="等线" w:hAnsi="Calibri" w:cs="Times New Roman"/>
        </w:rPr>
        <w:t>of</w:t>
      </w:r>
      <w:r w:rsidRPr="001C513B">
        <w:rPr>
          <w:rFonts w:ascii="Calibri" w:eastAsia="等线" w:hAnsi="Calibri" w:cs="Times New Roman"/>
        </w:rPr>
        <w:t xml:space="preserve"> further enhancement of</w:t>
      </w:r>
      <w:r w:rsidR="00D42B05">
        <w:rPr>
          <w:rFonts w:ascii="Calibri" w:eastAsia="等线" w:hAnsi="Calibri" w:cs="Times New Roman"/>
        </w:rPr>
        <w:t xml:space="preserve"> the</w:t>
      </w:r>
      <w:r w:rsidRPr="001C513B">
        <w:rPr>
          <w:rFonts w:ascii="Calibri" w:eastAsia="等线" w:hAnsi="Calibri" w:cs="Times New Roman"/>
        </w:rPr>
        <w:t xml:space="preserve"> RHEA system</w:t>
      </w:r>
      <w:r>
        <w:rPr>
          <w:rFonts w:ascii="Calibri" w:eastAsia="等线" w:hAnsi="Calibri" w:cs="Times New Roman"/>
        </w:rPr>
        <w:t xml:space="preserve"> investigated</w:t>
      </w:r>
      <w:r w:rsidRPr="001C513B">
        <w:rPr>
          <w:rFonts w:ascii="Calibri" w:eastAsia="等线" w:hAnsi="Calibri" w:cs="Times New Roman"/>
        </w:rPr>
        <w:t xml:space="preserve">. </w:t>
      </w:r>
      <w:r>
        <w:rPr>
          <w:rFonts w:ascii="Calibri" w:eastAsia="等线" w:hAnsi="Calibri" w:cs="Times New Roman"/>
        </w:rPr>
        <w:t>This work leads to the</w:t>
      </w:r>
      <w:r w:rsidRPr="001C513B">
        <w:rPr>
          <w:rFonts w:ascii="Calibri" w:eastAsia="等线" w:hAnsi="Calibri" w:cs="Times New Roman"/>
        </w:rPr>
        <w:t xml:space="preserve"> following chapter, </w:t>
      </w:r>
      <w:r>
        <w:rPr>
          <w:rFonts w:ascii="Calibri" w:eastAsia="等线" w:hAnsi="Calibri" w:cs="Times New Roman"/>
        </w:rPr>
        <w:t xml:space="preserve">where the </w:t>
      </w:r>
      <w:r w:rsidRPr="001C513B">
        <w:rPr>
          <w:rFonts w:ascii="Calibri" w:eastAsia="等线" w:hAnsi="Calibri" w:cs="Times New Roman"/>
        </w:rPr>
        <w:t xml:space="preserve">origin and details of this new deformation mechanism will be discussed. </w:t>
      </w:r>
      <w:r>
        <w:rPr>
          <w:rFonts w:ascii="Calibri" w:eastAsia="等线" w:hAnsi="Calibri" w:cs="Times New Roman"/>
        </w:rPr>
        <w:t>Following this</w:t>
      </w:r>
      <w:r w:rsidRPr="001C513B">
        <w:rPr>
          <w:rFonts w:ascii="Calibri" w:eastAsia="等线" w:hAnsi="Calibri" w:cs="Times New Roman"/>
        </w:rPr>
        <w:t xml:space="preserve">, by utilizing the newly discovered mechanism, RHEAs with ultrahigh </w:t>
      </w:r>
      <w:r w:rsidR="00FC7323">
        <w:rPr>
          <w:rFonts w:ascii="Calibri" w:eastAsia="等线" w:hAnsi="Calibri" w:cs="Times New Roman"/>
        </w:rPr>
        <w:t>work</w:t>
      </w:r>
      <w:r w:rsidRPr="001C513B">
        <w:rPr>
          <w:rFonts w:ascii="Calibri" w:eastAsia="等线" w:hAnsi="Calibri" w:cs="Times New Roman"/>
        </w:rPr>
        <w:t xml:space="preserve"> hardening response will be designed and tested. </w:t>
      </w:r>
    </w:p>
    <w:p w14:paraId="5A52F889" w14:textId="678C4A16" w:rsidR="00B145BE" w:rsidRDefault="00B145BE" w:rsidP="00B01787">
      <w:pPr>
        <w:spacing w:after="120" w:line="360" w:lineRule="auto"/>
        <w:ind w:right="309"/>
        <w:jc w:val="both"/>
        <w:rPr>
          <w:rFonts w:ascii="Calibri" w:eastAsia="等线" w:hAnsi="Calibri" w:cs="Times New Roman"/>
        </w:rPr>
      </w:pPr>
    </w:p>
    <w:p w14:paraId="0C032A14" w14:textId="76D05B83" w:rsidR="00AF043E" w:rsidRDefault="00AF043E" w:rsidP="00B01787">
      <w:pPr>
        <w:spacing w:after="120" w:line="360" w:lineRule="auto"/>
        <w:ind w:right="309"/>
        <w:jc w:val="both"/>
        <w:rPr>
          <w:rFonts w:ascii="Calibri" w:eastAsia="等线" w:hAnsi="Calibri" w:cs="Times New Roman"/>
        </w:rPr>
      </w:pPr>
    </w:p>
    <w:p w14:paraId="3253A388" w14:textId="77777777" w:rsidR="00AF043E" w:rsidRDefault="00AF043E" w:rsidP="00B01787">
      <w:pPr>
        <w:spacing w:after="120" w:line="360" w:lineRule="auto"/>
        <w:ind w:right="309"/>
        <w:jc w:val="both"/>
        <w:rPr>
          <w:rFonts w:ascii="Calibri" w:eastAsia="等线" w:hAnsi="Calibri" w:cs="Times New Roman"/>
        </w:rPr>
      </w:pPr>
    </w:p>
    <w:p w14:paraId="3C158B38" w14:textId="77777777" w:rsidR="00B145BE" w:rsidRDefault="00B145BE" w:rsidP="00B145BE">
      <w:pPr>
        <w:pStyle w:val="2"/>
        <w:spacing w:before="0" w:after="120" w:line="360" w:lineRule="auto"/>
        <w:rPr>
          <w:rFonts w:asciiTheme="minorHAnsi" w:hAnsiTheme="minorHAnsi"/>
          <w:b/>
          <w:color w:val="000000" w:themeColor="text1"/>
          <w:sz w:val="32"/>
          <w:szCs w:val="32"/>
          <w:lang w:bidi="hi-IN"/>
        </w:rPr>
      </w:pPr>
      <w:bookmarkStart w:id="283" w:name="_Toc22052544"/>
      <w:r w:rsidRPr="00F2589F">
        <w:rPr>
          <w:rFonts w:asciiTheme="minorHAnsi" w:hAnsiTheme="minorHAnsi"/>
          <w:b/>
          <w:color w:val="000000" w:themeColor="text1"/>
          <w:sz w:val="32"/>
          <w:szCs w:val="32"/>
          <w:lang w:bidi="hi-IN"/>
        </w:rPr>
        <w:lastRenderedPageBreak/>
        <w:t>5.</w:t>
      </w:r>
      <w:r>
        <w:rPr>
          <w:rFonts w:asciiTheme="minorHAnsi" w:hAnsiTheme="minorHAnsi"/>
          <w:b/>
          <w:color w:val="000000" w:themeColor="text1"/>
          <w:sz w:val="32"/>
          <w:szCs w:val="32"/>
          <w:lang w:bidi="hi-IN"/>
        </w:rPr>
        <w:t>6</w:t>
      </w:r>
      <w:r w:rsidRPr="00F2589F">
        <w:rPr>
          <w:rFonts w:asciiTheme="minorHAnsi" w:hAnsiTheme="minorHAnsi"/>
          <w:b/>
          <w:color w:val="000000" w:themeColor="text1"/>
          <w:sz w:val="32"/>
          <w:szCs w:val="32"/>
          <w:lang w:bidi="hi-IN"/>
        </w:rPr>
        <w:t xml:space="preserve"> </w:t>
      </w:r>
      <w:r>
        <w:rPr>
          <w:rFonts w:asciiTheme="minorHAnsi" w:hAnsiTheme="minorHAnsi"/>
          <w:b/>
          <w:color w:val="000000" w:themeColor="text1"/>
          <w:sz w:val="32"/>
          <w:szCs w:val="32"/>
          <w:lang w:bidi="hi-IN"/>
        </w:rPr>
        <w:t>References</w:t>
      </w:r>
      <w:bookmarkEnd w:id="283"/>
    </w:p>
    <w:p w14:paraId="218AA8F4"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Pr>
          <w:lang w:val="en-US" w:bidi="hi-IN"/>
        </w:rPr>
        <w:fldChar w:fldCharType="begin" w:fldLock="1"/>
      </w:r>
      <w:r>
        <w:rPr>
          <w:lang w:val="en-US" w:bidi="hi-IN"/>
        </w:rPr>
        <w:instrText xml:space="preserve">ADDIN Mendeley Bibliography CSL_BIBLIOGRAPHY </w:instrText>
      </w:r>
      <w:r>
        <w:rPr>
          <w:lang w:val="en-US" w:bidi="hi-IN"/>
        </w:rPr>
        <w:fldChar w:fldCharType="separate"/>
      </w:r>
      <w:r w:rsidRPr="00F82A87">
        <w:rPr>
          <w:rFonts w:ascii="Calibri" w:hAnsi="Calibri" w:cs="Times New Roman"/>
          <w:noProof/>
          <w:szCs w:val="24"/>
        </w:rPr>
        <w:t>[1]</w:t>
      </w:r>
      <w:r w:rsidRPr="00F82A87">
        <w:rPr>
          <w:rFonts w:ascii="Calibri" w:hAnsi="Calibri" w:cs="Times New Roman"/>
          <w:noProof/>
          <w:szCs w:val="24"/>
        </w:rPr>
        <w:tab/>
        <w:t>H. Huang, Y. Wu, J. He, H. Wang, X. Liu, K. An, W. Wu, Z. Lu, Phase-Transformation Ductilization of Brittle High-Entropy Alloys via Metastability Engineering, Adv. Mater. (2017). doi:10.1002/adma.201701678.</w:t>
      </w:r>
    </w:p>
    <w:p w14:paraId="5F8068AA"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[2]</w:t>
      </w:r>
      <w:r w:rsidRPr="00F82A87">
        <w:rPr>
          <w:rFonts w:ascii="Calibri" w:hAnsi="Calibri" w:cs="Times New Roman"/>
          <w:noProof/>
          <w:szCs w:val="24"/>
        </w:rPr>
        <w:tab/>
        <w:t>S.P. Wang, J. Xu, (TiZrNbTa)-Mo high-entropy alloys: Dependence of microstructure and mechanical properties on Mo concentration and modeling of solid solution strengthening, Intermetallics. (2018). doi:10.1016/j.intermet.2018.01.017.</w:t>
      </w:r>
    </w:p>
    <w:p w14:paraId="5C3C1B4C"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[3]</w:t>
      </w:r>
      <w:r w:rsidRPr="00F82A87">
        <w:rPr>
          <w:rFonts w:ascii="Calibri" w:hAnsi="Calibri" w:cs="Times New Roman"/>
          <w:noProof/>
          <w:szCs w:val="24"/>
        </w:rPr>
        <w:tab/>
        <w:t>E. Ma, Nanocrystalline materials: Controlling plastic instability, Nat. Mater. (2003). doi:10.1038/nmat797.</w:t>
      </w:r>
    </w:p>
    <w:p w14:paraId="08F00EC6"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[4]</w:t>
      </w:r>
      <w:r w:rsidRPr="00F82A87">
        <w:rPr>
          <w:rFonts w:ascii="Calibri" w:hAnsi="Calibri" w:cs="Times New Roman"/>
          <w:noProof/>
          <w:szCs w:val="24"/>
        </w:rPr>
        <w:tab/>
        <w:t>S. Hanada, O. Izumi, Correlation of tensile properties, deformation modes, and phase stability in commercial β-phase titanium alloys, Metall. Trans. A. (1987). doi:10.1007/BF02825707.</w:t>
      </w:r>
    </w:p>
    <w:p w14:paraId="7C738570"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[5]</w:t>
      </w:r>
      <w:r w:rsidRPr="00F82A87">
        <w:rPr>
          <w:rFonts w:ascii="Calibri" w:hAnsi="Calibri" w:cs="Times New Roman"/>
          <w:noProof/>
          <w:szCs w:val="24"/>
        </w:rPr>
        <w:tab/>
        <w:t>Y.L. Hao, S.J. Li, S.Y. Sun, C.Y. Zheng, Q.M. Hu, R. Yang, Super-elastic titanium alloy with unstable plastic deformation, Appl. Phys. Lett. (2005). doi:10.1063/1.2037192.</w:t>
      </w:r>
    </w:p>
    <w:p w14:paraId="76D30CC6"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[6]</w:t>
      </w:r>
      <w:r w:rsidRPr="00F82A87">
        <w:rPr>
          <w:rFonts w:ascii="Calibri" w:hAnsi="Calibri" w:cs="Times New Roman"/>
          <w:noProof/>
          <w:szCs w:val="24"/>
        </w:rPr>
        <w:tab/>
        <w:t>S. Banerjee, U.M. Naik, Plastic instability in an omega forming Ti-15% Mo alloy, Acta Mater. (1996). doi:10.1016/1359-6454(96)00012-2.</w:t>
      </w:r>
    </w:p>
    <w:p w14:paraId="199E0822"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[7]</w:t>
      </w:r>
      <w:r w:rsidRPr="00F82A87">
        <w:rPr>
          <w:rFonts w:ascii="Calibri" w:hAnsi="Calibri" w:cs="Times New Roman"/>
          <w:noProof/>
          <w:szCs w:val="24"/>
        </w:rPr>
        <w:tab/>
        <w:t>H.K. Kim, W.J. Kim, Microstructural instability and strength of an AZ31 Mg alloy after severe plastic deformation, Mater. Sci. Eng. A. (2004). doi:10.1016/j.msea.2004.06.055.</w:t>
      </w:r>
    </w:p>
    <w:p w14:paraId="5EAAD219"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[8]</w:t>
      </w:r>
      <w:r w:rsidRPr="00F82A87">
        <w:rPr>
          <w:rFonts w:ascii="Calibri" w:hAnsi="Calibri" w:cs="Times New Roman"/>
          <w:noProof/>
          <w:szCs w:val="24"/>
        </w:rPr>
        <w:tab/>
        <w:t>S. Turteltaub, A.S.J. Suiker, Transformation-induced plasticity in ferrous alloys, J. Mech. Phys. Solids. (2005). doi:10.1016/j.jmps.2005.03.004.</w:t>
      </w:r>
    </w:p>
    <w:p w14:paraId="5A4AE970"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[9]</w:t>
      </w:r>
      <w:r w:rsidRPr="00F82A87">
        <w:rPr>
          <w:rFonts w:ascii="Calibri" w:hAnsi="Calibri" w:cs="Times New Roman"/>
          <w:noProof/>
          <w:szCs w:val="24"/>
        </w:rPr>
        <w:tab/>
        <w:t>I. Tamura, Deformation-induced martensitic transformation and transformation-induced plasticity in steels, Met. Sci. (1982). doi:10.1179/030634582790427316.</w:t>
      </w:r>
    </w:p>
    <w:p w14:paraId="06EA5E29"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[10]</w:t>
      </w:r>
      <w:r w:rsidRPr="00F82A87">
        <w:rPr>
          <w:rFonts w:ascii="Calibri" w:hAnsi="Calibri" w:cs="Times New Roman"/>
          <w:noProof/>
          <w:szCs w:val="24"/>
        </w:rPr>
        <w:tab/>
        <w:t>Transformation induced plasticity, Adv. Mater. Process. (2005). doi:10.1115/1.3101930.</w:t>
      </w:r>
    </w:p>
    <w:p w14:paraId="682AF0A8"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[11]</w:t>
      </w:r>
      <w:r w:rsidRPr="00F82A87">
        <w:rPr>
          <w:rFonts w:ascii="Calibri" w:hAnsi="Calibri" w:cs="Times New Roman"/>
          <w:noProof/>
          <w:szCs w:val="24"/>
        </w:rPr>
        <w:tab/>
        <w:t>J. Tran, Titanium by design: Trip titanium alloy, ProQuest Diss. Theses Glob. (2009).</w:t>
      </w:r>
    </w:p>
    <w:p w14:paraId="525F4BD9"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[12]</w:t>
      </w:r>
      <w:r w:rsidRPr="00F82A87">
        <w:rPr>
          <w:rFonts w:ascii="Calibri" w:hAnsi="Calibri" w:cs="Times New Roman"/>
          <w:noProof/>
          <w:szCs w:val="24"/>
        </w:rPr>
        <w:tab/>
        <w:t>M. Marteleur, F. Sun, T. Gloriant, P. Vermaut, P.J. Jacques, F. Prima, On the design of new β-metastable titanium alloys with improved work hardening rate thanks to simultaneous TRIP and TWIP effects, Scr. Mater. (2012). doi:10.1016/j.scriptamat.2012.01.049.</w:t>
      </w:r>
    </w:p>
    <w:p w14:paraId="2CEDB679"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[13]</w:t>
      </w:r>
      <w:r w:rsidRPr="00F82A87">
        <w:rPr>
          <w:rFonts w:ascii="Calibri" w:hAnsi="Calibri" w:cs="Times New Roman"/>
          <w:noProof/>
          <w:szCs w:val="24"/>
        </w:rPr>
        <w:tab/>
        <w:t>B. Qin, P.H.K.D.H. Bhadeshia, Crystallography of TWIP Steel, Grad. Inst. Ferr. Technol. (2007). doi:10.1002/bmb.15.</w:t>
      </w:r>
    </w:p>
    <w:p w14:paraId="367E165A"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[14]</w:t>
      </w:r>
      <w:r w:rsidRPr="00F82A87">
        <w:rPr>
          <w:rFonts w:ascii="Calibri" w:hAnsi="Calibri" w:cs="Times New Roman"/>
          <w:noProof/>
          <w:szCs w:val="24"/>
        </w:rPr>
        <w:tab/>
        <w:t>B.C. De Cooman, O. Kwon, K.-G. Chin, State-of-the-knowledge on TWIP steel, Mater. Sci. Technol. (2012). doi:10.1179/1743284711Y.0000000095.</w:t>
      </w:r>
    </w:p>
    <w:p w14:paraId="1E2C3EBC"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[15]</w:t>
      </w:r>
      <w:r w:rsidRPr="00F82A87">
        <w:rPr>
          <w:rFonts w:ascii="Calibri" w:hAnsi="Calibri" w:cs="Times New Roman"/>
          <w:noProof/>
          <w:szCs w:val="24"/>
        </w:rPr>
        <w:tab/>
        <w:t>B.C. De Cooman, Y. Estrin, S.K. Kim, Twinning-induced plasticity (TWIP) steels, Acta Mater. (2018). doi:10.1016/j.actamat.2017.06.046.</w:t>
      </w:r>
    </w:p>
    <w:p w14:paraId="226F6314"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[16]</w:t>
      </w:r>
      <w:r w:rsidRPr="00F82A87">
        <w:rPr>
          <w:rFonts w:ascii="Calibri" w:hAnsi="Calibri" w:cs="Times New Roman"/>
          <w:noProof/>
          <w:szCs w:val="24"/>
        </w:rPr>
        <w:tab/>
        <w:t>D.T. Pierce, J.A. Jiménez, J. Bentley, D. Raabe, C. Oskay, J.E. Wittig, The influence of manganese content on the stacking fault and austenite/ε-martensite interfacial energies in Fe-Mn-(Al-Si) steels investigated by experiment and theory, Acta Mater. (2014). doi:10.1016/j.actamat.2014.01.001.</w:t>
      </w:r>
    </w:p>
    <w:p w14:paraId="2638B342"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[17]</w:t>
      </w:r>
      <w:r w:rsidRPr="00F82A87">
        <w:rPr>
          <w:rFonts w:ascii="Calibri" w:hAnsi="Calibri" w:cs="Times New Roman"/>
          <w:noProof/>
          <w:szCs w:val="24"/>
        </w:rPr>
        <w:tab/>
        <w:t xml:space="preserve">M. Ahmed, D. Wexler, G. Casillas, D.G. Savvakin, E. V. Pereloma, Strain rate dependence of </w:t>
      </w:r>
      <w:r w:rsidRPr="00F82A87">
        <w:rPr>
          <w:rFonts w:ascii="Calibri" w:hAnsi="Calibri" w:cs="Times New Roman"/>
          <w:noProof/>
          <w:szCs w:val="24"/>
        </w:rPr>
        <w:lastRenderedPageBreak/>
        <w:t>deformation-induced transformation and twinning in a metastable titanium alloy, Acta Mater. (2016). doi:10.1016/j.actamat.2015.11.026.</w:t>
      </w:r>
    </w:p>
    <w:p w14:paraId="6841BF45"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[18]</w:t>
      </w:r>
      <w:r w:rsidRPr="00F82A87">
        <w:rPr>
          <w:rFonts w:ascii="Calibri" w:hAnsi="Calibri" w:cs="Times New Roman"/>
          <w:noProof/>
          <w:szCs w:val="24"/>
        </w:rPr>
        <w:tab/>
        <w:t>S.L. Wong, M. Madivala, U. Prahl, F. Roters, D. Raabe, A crystal plasticity model for twinning- and transformation-induced plasticity, Acta Mater. (2016). doi:10.1016/j.actamat.2016.07.032.</w:t>
      </w:r>
    </w:p>
    <w:p w14:paraId="3D53A12B"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[19]</w:t>
      </w:r>
      <w:r w:rsidRPr="00F82A87">
        <w:rPr>
          <w:rFonts w:ascii="Calibri" w:hAnsi="Calibri" w:cs="Times New Roman"/>
          <w:noProof/>
          <w:szCs w:val="24"/>
        </w:rPr>
        <w:tab/>
        <w:t>O. Grässel, L. Krüger, G. Frommeyer, L.W. Meyer, High strength Fe-Mn-(Al, Si) TRIP/TWIP steels development - properties - application, Int. J. Plast. (2000). doi:10.1016/S0749-6419(00)00015-2.</w:t>
      </w:r>
    </w:p>
    <w:p w14:paraId="4C5AC610"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[20]</w:t>
      </w:r>
      <w:r w:rsidRPr="00F82A87">
        <w:rPr>
          <w:rFonts w:ascii="Calibri" w:hAnsi="Calibri" w:cs="Times New Roman"/>
          <w:noProof/>
          <w:szCs w:val="24"/>
        </w:rPr>
        <w:tab/>
        <w:t>B.B. He, H.W. Luo, M.X. Huang, Experimental investigation on a novel medium Mn steel combining transformation-induced plasticity and twinning-induced plasticity effects, Int. J. Plast. (2016). doi:10.1016/j.ijplas.2015.11.004.</w:t>
      </w:r>
    </w:p>
    <w:p w14:paraId="516D2CAD"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[21]</w:t>
      </w:r>
      <w:r w:rsidRPr="00F82A87">
        <w:rPr>
          <w:rFonts w:ascii="Calibri" w:hAnsi="Calibri" w:cs="Times New Roman"/>
          <w:noProof/>
          <w:szCs w:val="24"/>
        </w:rPr>
        <w:tab/>
        <w:t>L. Bracke, G. Mertens, J. Penning, B.C. De Cooman, M. Liebeherr, N. Akdut, Influence of phase transformations on the mechanical properties of high-strength austenitic Fe-Mn-Cr steel, Metall. Mater. Trans. A Phys. Metall. Mater. Sci. (2006). doi:10.1007/s11661-006-0002-5.</w:t>
      </w:r>
    </w:p>
    <w:p w14:paraId="6457D305"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[22]</w:t>
      </w:r>
      <w:r w:rsidRPr="00F82A87">
        <w:rPr>
          <w:rFonts w:ascii="Calibri" w:hAnsi="Calibri" w:cs="Times New Roman"/>
          <w:noProof/>
          <w:szCs w:val="24"/>
        </w:rPr>
        <w:tab/>
        <w:t>Z. Li, C.C. Tasan, H. Springer, B. Gault, D. Raabe, Interstitial atoms enable joint twinning and transformation induced plasticity in strong and ductile high-entropy alloys, Sci. Rep. (2017). doi:10.1038/srep40704.</w:t>
      </w:r>
    </w:p>
    <w:p w14:paraId="18474F6B"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[23]</w:t>
      </w:r>
      <w:r w:rsidRPr="00F82A87">
        <w:rPr>
          <w:rFonts w:ascii="Calibri" w:hAnsi="Calibri" w:cs="Times New Roman"/>
          <w:noProof/>
          <w:szCs w:val="24"/>
        </w:rPr>
        <w:tab/>
        <w:t>Z. Li, K.G. Pradeep, Y. Deng, D. Raabe, C.C. Tasan, Metastable high-entropy dual-phase alloys overcome the strength-ductility trade-off, Nature. (2016). doi:10.1038/nature17981.</w:t>
      </w:r>
    </w:p>
    <w:p w14:paraId="02BE853B"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[24]</w:t>
      </w:r>
      <w:r w:rsidRPr="00F82A87">
        <w:rPr>
          <w:rFonts w:ascii="Calibri" w:hAnsi="Calibri" w:cs="Times New Roman"/>
          <w:noProof/>
          <w:szCs w:val="24"/>
        </w:rPr>
        <w:tab/>
        <w:t>Z. Li, C.C. Tasan, K.G. Pradeep, D. Raabe, A TRIP-assisted dual-phase high-entropy alloy: Grain size and phase fraction effects on deformation behavior, Acta Mater. (2017). doi:10.1016/j.actamat.2017.03.069.</w:t>
      </w:r>
    </w:p>
    <w:p w14:paraId="6209D53D"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[25]</w:t>
      </w:r>
      <w:r w:rsidRPr="00F82A87">
        <w:rPr>
          <w:rFonts w:ascii="Calibri" w:hAnsi="Calibri" w:cs="Times New Roman"/>
          <w:noProof/>
          <w:szCs w:val="24"/>
        </w:rPr>
        <w:tab/>
        <w:t>Y. Deng, C.C. Tasan, K.G. Pradeep, H. Springer, A. Kostka, D. Raabe, Design of a twinning-induced plasticity high entropy alloy, Acta Mater. (2015). doi:10.1016/j.actamat.2015.04.014.</w:t>
      </w:r>
    </w:p>
    <w:p w14:paraId="2E4676D5"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[26]</w:t>
      </w:r>
      <w:r w:rsidRPr="00F82A87">
        <w:rPr>
          <w:rFonts w:ascii="Calibri" w:hAnsi="Calibri" w:cs="Times New Roman"/>
          <w:noProof/>
          <w:szCs w:val="24"/>
        </w:rPr>
        <w:tab/>
        <w:t>F. Sun, J.Y. Zhang, M. Marteleur, T. Gloriant, P. Vermaut, D. Laillé, P. Castany, C. Curfs, P.J. Jacques, F. Prima, Investigation of early stage deformation mechanisms in a metastable β titanium alloy showing combined twinning-induced plasticity and transformation-induced plasticity effects, Acta Mater. (2013). doi:10.1016/j.actamat.2013.07.019.</w:t>
      </w:r>
    </w:p>
    <w:p w14:paraId="6049828C"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[27]</w:t>
      </w:r>
      <w:r w:rsidRPr="00F82A87">
        <w:rPr>
          <w:rFonts w:ascii="Calibri" w:hAnsi="Calibri" w:cs="Times New Roman"/>
          <w:noProof/>
          <w:szCs w:val="24"/>
        </w:rPr>
        <w:tab/>
        <w:t>F. Sun, J.Y. Zhang, M. Marteleur, C. Brozek, E.F. Rauch, M. Veron, P. Vermaut, P.J. Jacques, F. Prima, A new titanium alloy with a combination of high strength, high strain hardening and improved ductility, Scr. Mater. (2015). doi:10.1016/j.scriptamat.2014.09.005.</w:t>
      </w:r>
    </w:p>
    <w:p w14:paraId="7F222566"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[28]</w:t>
      </w:r>
      <w:r w:rsidRPr="00F82A87">
        <w:rPr>
          <w:rFonts w:ascii="Calibri" w:hAnsi="Calibri" w:cs="Times New Roman"/>
          <w:noProof/>
          <w:szCs w:val="24"/>
        </w:rPr>
        <w:tab/>
        <w:t>G.P. Tiwari, R. V. Ramanujan, Relation between the electron to atom ratio and some properties of metallic systems, J. Mater. Sci. (2001). doi:10.1023/A:1004853304704.</w:t>
      </w:r>
    </w:p>
    <w:p w14:paraId="5C01B383"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[29]</w:t>
      </w:r>
      <w:r w:rsidRPr="00F82A87">
        <w:rPr>
          <w:rFonts w:ascii="Calibri" w:hAnsi="Calibri" w:cs="Times New Roman"/>
          <w:noProof/>
          <w:szCs w:val="24"/>
        </w:rPr>
        <w:tab/>
        <w:t>J. Zhang, C.C. Tasan, M.J. Lai, A.C. Dippel, D. Raabe, Complexion-mediated martensitic phase transformation in Titanium, Nat. Commun. (2017). doi:10.1007/s00117-017-0224-0.</w:t>
      </w:r>
    </w:p>
    <w:p w14:paraId="4850935D"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[30]</w:t>
      </w:r>
      <w:r w:rsidRPr="00F82A87">
        <w:rPr>
          <w:rFonts w:ascii="Calibri" w:hAnsi="Calibri" w:cs="Times New Roman"/>
          <w:noProof/>
          <w:szCs w:val="24"/>
        </w:rPr>
        <w:tab/>
        <w:t>L.F. Huang, B. Grabowski, J. Zhang, M.J. Lai, C.C. Tasan, S. Sandlöbes, D. Raabe, J. Neugebauer, From electronic structure to phase diagrams: A bottom-up approach to understand the stability of titanium–transition metal alloys, Acta Mater. (2016). doi:10.1016/j.actamat.2016.04.059.</w:t>
      </w:r>
    </w:p>
    <w:p w14:paraId="56322A67"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[31]</w:t>
      </w:r>
      <w:r w:rsidRPr="00F82A87">
        <w:rPr>
          <w:rFonts w:ascii="Calibri" w:hAnsi="Calibri" w:cs="Times New Roman"/>
          <w:noProof/>
          <w:szCs w:val="24"/>
        </w:rPr>
        <w:tab/>
        <w:t>M. Ahmed, D. Wexler, G. Casillas, O.M. Ivasishin, E. V. Pereloma, The influence of β phase stability on deformation mode and compressive mechanical properties of Ti-10V-3Fe-3Al alloy, Acta Mater. (2015). doi:10.1016/j.actamat.2014.10.043.</w:t>
      </w:r>
    </w:p>
    <w:p w14:paraId="5D91A688"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lastRenderedPageBreak/>
        <w:t>[32]</w:t>
      </w:r>
      <w:r w:rsidRPr="00F82A87">
        <w:rPr>
          <w:rFonts w:ascii="Calibri" w:hAnsi="Calibri" w:cs="Times New Roman"/>
          <w:noProof/>
          <w:szCs w:val="24"/>
        </w:rPr>
        <w:tab/>
        <w:t>J.Y. He, H. Wang, Y. Wu, X.J. Liu, H.H. Mao, T.G. Nieh, Z.P. Lu, Precipitation behavior and its effects on tensile properties of FeCoNiCr high-entropy alloys, Intermetallics. (2016). doi:10.1016/j.intermet.2016.09.005.</w:t>
      </w:r>
    </w:p>
    <w:p w14:paraId="37AE8593"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[33]</w:t>
      </w:r>
      <w:r w:rsidRPr="00F82A87">
        <w:rPr>
          <w:rFonts w:ascii="Calibri" w:hAnsi="Calibri" w:cs="Times New Roman"/>
          <w:noProof/>
          <w:szCs w:val="24"/>
        </w:rPr>
        <w:tab/>
        <w:t>A.H. Cottrell, Theory of dislocations, Prog. Met. Phys. (1953). doi:10.1016/0502-8205(53)90018-5.</w:t>
      </w:r>
    </w:p>
    <w:p w14:paraId="3D472DE5"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[34]</w:t>
      </w:r>
      <w:r w:rsidRPr="00F82A87">
        <w:rPr>
          <w:rFonts w:ascii="Calibri" w:hAnsi="Calibri" w:cs="Times New Roman"/>
          <w:noProof/>
          <w:szCs w:val="24"/>
        </w:rPr>
        <w:tab/>
        <w:t>L. Chen, Y. Zhao, X. Qin, Some aspects of high manganese twinning-induced plasticity (TWIP) steel, a review, Acta Metall. Sin. (English Lett. (2013). doi:10.1007/s40195-012-0501-x.</w:t>
      </w:r>
    </w:p>
    <w:p w14:paraId="6EB88DB2"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[35]</w:t>
      </w:r>
      <w:r w:rsidRPr="00F82A87">
        <w:rPr>
          <w:rFonts w:ascii="Calibri" w:hAnsi="Calibri" w:cs="Times New Roman"/>
          <w:noProof/>
          <w:szCs w:val="24"/>
        </w:rPr>
        <w:tab/>
        <w:t>A.A. Salem, S.R. Kalidindi, R.D. Doherty, Strain hardening of titanium: Role of deformation twinning, Acta Mater. (2003). doi:10.1016/S1359-6454(03)00239-8.</w:t>
      </w:r>
    </w:p>
    <w:p w14:paraId="3920C7E5"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[36]</w:t>
      </w:r>
      <w:r w:rsidRPr="00F82A87">
        <w:rPr>
          <w:rFonts w:ascii="Calibri" w:hAnsi="Calibri" w:cs="Times New Roman"/>
          <w:noProof/>
          <w:szCs w:val="24"/>
        </w:rPr>
        <w:tab/>
        <w:t>Q.Y. Sun, S.J. Song, R.H. Zhu, H.C. Gu, Toughening of titanium alloys by twinning and martensite transformation, J. Mater. Sci. (2002). doi:10.1023/A:1015456026919.</w:t>
      </w:r>
    </w:p>
    <w:p w14:paraId="39A17B20"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[37]</w:t>
      </w:r>
      <w:r w:rsidRPr="00F82A87">
        <w:rPr>
          <w:rFonts w:ascii="Calibri" w:hAnsi="Calibri" w:cs="Times New Roman"/>
          <w:noProof/>
          <w:szCs w:val="24"/>
        </w:rPr>
        <w:tab/>
        <w:t>Y.W. Chai, H.Y. Kim, H. Hosoda, S. Miyazaki, Self-accommodation in Ti-Nb shape memory alloys, Acta Mater. (2009). doi:10.1016/j.actamat.2009.04.051.</w:t>
      </w:r>
    </w:p>
    <w:p w14:paraId="02FD59CA"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[38]</w:t>
      </w:r>
      <w:r w:rsidRPr="00F82A87">
        <w:rPr>
          <w:rFonts w:ascii="Calibri" w:hAnsi="Calibri" w:cs="Times New Roman"/>
          <w:noProof/>
          <w:szCs w:val="24"/>
        </w:rPr>
        <w:tab/>
        <w:t>T. Inamura, J.I. Kim, H.Y. Kim, H. Hosoda, K. Wakashima, S. Miyazaki, Composition dependent crystallography of α″-martensite in Ti-Nb-based β-titanium alloy, Philos. Mag. (2007). doi:10.1080/14786430601003874.</w:t>
      </w:r>
    </w:p>
    <w:p w14:paraId="4C6A41B8"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[39]</w:t>
      </w:r>
      <w:r w:rsidRPr="00F82A87">
        <w:rPr>
          <w:rFonts w:ascii="Calibri" w:hAnsi="Calibri" w:cs="Times New Roman"/>
          <w:noProof/>
          <w:szCs w:val="24"/>
        </w:rPr>
        <w:tab/>
        <w:t>K. Bhattacharya, Self-accommodation in martensite, Arch. Ration. Mech. Anal. (1992). doi:10.1007/BF00375026.</w:t>
      </w:r>
    </w:p>
    <w:p w14:paraId="2368178D"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[40]</w:t>
      </w:r>
      <w:r w:rsidRPr="00F82A87">
        <w:rPr>
          <w:rFonts w:ascii="Calibri" w:hAnsi="Calibri" w:cs="Times New Roman"/>
          <w:noProof/>
          <w:szCs w:val="24"/>
        </w:rPr>
        <w:tab/>
        <w:t>X. Zhang, W. Wang, J. Sun, Formation of {332}</w:t>
      </w:r>
      <w:r w:rsidRPr="00F82A87">
        <w:rPr>
          <w:rFonts w:ascii="Calibri" w:hAnsi="Calibri" w:cs="Times New Roman"/>
          <w:noProof/>
          <w:szCs w:val="24"/>
        </w:rPr>
        <w:t>〈</w:t>
      </w:r>
      <w:r w:rsidRPr="00F82A87">
        <w:rPr>
          <w:rFonts w:ascii="Calibri" w:hAnsi="Calibri" w:cs="Times New Roman"/>
          <w:noProof/>
          <w:szCs w:val="24"/>
        </w:rPr>
        <w:t>113</w:t>
      </w:r>
      <w:r w:rsidRPr="00F82A87">
        <w:rPr>
          <w:rFonts w:ascii="Calibri" w:hAnsi="Calibri" w:cs="Times New Roman"/>
          <w:noProof/>
          <w:szCs w:val="24"/>
        </w:rPr>
        <w:t>〉</w:t>
      </w:r>
      <w:r w:rsidRPr="00F82A87">
        <w:rPr>
          <w:rFonts w:ascii="Calibri" w:hAnsi="Calibri" w:cs="Times New Roman"/>
          <w:noProof/>
          <w:szCs w:val="24"/>
        </w:rPr>
        <w:t>βtwins from parent {130}</w:t>
      </w:r>
      <w:r w:rsidRPr="00F82A87">
        <w:rPr>
          <w:rFonts w:ascii="Calibri" w:hAnsi="Calibri" w:cs="Times New Roman"/>
          <w:noProof/>
          <w:szCs w:val="24"/>
        </w:rPr>
        <w:t>〈</w:t>
      </w:r>
      <w:r w:rsidRPr="00F82A87">
        <w:rPr>
          <w:rFonts w:ascii="Calibri" w:hAnsi="Calibri" w:cs="Times New Roman"/>
          <w:noProof/>
          <w:szCs w:val="24"/>
        </w:rPr>
        <w:t>310</w:t>
      </w:r>
      <w:r w:rsidRPr="00F82A87">
        <w:rPr>
          <w:rFonts w:ascii="Calibri" w:hAnsi="Calibri" w:cs="Times New Roman"/>
          <w:noProof/>
          <w:szCs w:val="24"/>
        </w:rPr>
        <w:t>〉</w:t>
      </w:r>
      <w:r w:rsidRPr="00F82A87">
        <w:rPr>
          <w:rFonts w:ascii="Calibri" w:hAnsi="Calibri" w:cs="Times New Roman"/>
          <w:noProof/>
          <w:szCs w:val="24"/>
        </w:rPr>
        <w:t>α″plastic twins in a full α″ Ti-Nb alloy by annealing, Mater. Charact. (2018). doi:10.1016/j.matchar.2018.09.034.</w:t>
      </w:r>
    </w:p>
    <w:p w14:paraId="6B5C2F52"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[41]</w:t>
      </w:r>
      <w:r w:rsidRPr="00F82A87">
        <w:rPr>
          <w:rFonts w:ascii="Calibri" w:hAnsi="Calibri" w:cs="Times New Roman"/>
          <w:noProof/>
          <w:szCs w:val="24"/>
        </w:rPr>
        <w:tab/>
        <w:t>E. Bertrand, P. Castany, Y. Yang, E. Menou, T. Gloriant, Deformation twinning in the full-α″ martensitic Ti-25Ta-20Nb shape memory alloy, Acta Mater. (2016). doi:10.1016/j.actamat.2015.12.001.</w:t>
      </w:r>
    </w:p>
    <w:p w14:paraId="4A905858"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[42]</w:t>
      </w:r>
      <w:r w:rsidRPr="00F82A87">
        <w:rPr>
          <w:rFonts w:ascii="Calibri" w:hAnsi="Calibri" w:cs="Times New Roman"/>
          <w:noProof/>
          <w:szCs w:val="24"/>
        </w:rPr>
        <w:tab/>
        <w:t>M.J. Lai, C.C. Tasan, D. Raabe, On the mechanism of {332} twinning in metastable β titanium alloys, Acta Mater. (2016). doi:10.1016/j.actamat.2016.03.040.</w:t>
      </w:r>
    </w:p>
    <w:p w14:paraId="1E9A160A"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[43]</w:t>
      </w:r>
      <w:r w:rsidRPr="00F82A87">
        <w:rPr>
          <w:rFonts w:ascii="Calibri" w:hAnsi="Calibri" w:cs="Times New Roman"/>
          <w:noProof/>
          <w:szCs w:val="24"/>
        </w:rPr>
        <w:tab/>
        <w:t>J. Gao, Y. Huang, D. Guan, A.J. Knowles, L. Ma, D. Dye, W.M. Rainforth, Deformation mechanisms in a metastable beta titanium twinning induced plasticity alloy with high yield strength and high strain hardening rate, Acta Mater. (2018). doi:10.1016/j.actamat.2018.04.035.</w:t>
      </w:r>
    </w:p>
    <w:p w14:paraId="184C50F5"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[44]</w:t>
      </w:r>
      <w:r w:rsidRPr="00F82A87">
        <w:rPr>
          <w:rFonts w:ascii="Calibri" w:hAnsi="Calibri" w:cs="Times New Roman"/>
          <w:noProof/>
          <w:szCs w:val="24"/>
        </w:rPr>
        <w:tab/>
        <w:t>T. Inamura, H. Hosoda, H. Young Kim, S. Miyazaki, Antiphase boundary-like stacking fault in α″-martensite of disordered crystal structure in β-titanium shape memory alloy, Philos. Mag. (2010). doi:10.1080/14786435.2010.489889.</w:t>
      </w:r>
    </w:p>
    <w:p w14:paraId="42CA79E1"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[45]</w:t>
      </w:r>
      <w:r w:rsidRPr="00F82A87">
        <w:rPr>
          <w:rFonts w:ascii="Calibri" w:hAnsi="Calibri" w:cs="Times New Roman"/>
          <w:noProof/>
          <w:szCs w:val="24"/>
        </w:rPr>
        <w:tab/>
        <w:t>T. Inamura, H.Y. Kim, H. Hosoda, K. Wakashima, S. Miyazaki, ANTIPHASE BOUNDARY LIKE DEFECT INSIDE a " -MARTENSITE IN Ti-Nb-Al SHAPE MEMORY ALLOY, Tms. (2009). doi:10.2466/PMS.110.1.257-264.</w:t>
      </w:r>
    </w:p>
    <w:p w14:paraId="6CB29363"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[46]</w:t>
      </w:r>
      <w:r w:rsidRPr="00F82A87">
        <w:rPr>
          <w:rFonts w:ascii="Calibri" w:hAnsi="Calibri" w:cs="Times New Roman"/>
          <w:noProof/>
          <w:szCs w:val="24"/>
        </w:rPr>
        <w:tab/>
        <w:t>H. Tobe, H.Y. Kim, T. Inamura, H. Hosoda, S. Miyazaki, Origin of {3 3 2} twinning in metastable β-Ti alloys, Acta Mater. (2014). doi:10.1016/j.actamat.2013.10.048.</w:t>
      </w:r>
    </w:p>
    <w:p w14:paraId="19CD3753"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[47]</w:t>
      </w:r>
      <w:r w:rsidRPr="00F82A87">
        <w:rPr>
          <w:rFonts w:ascii="Calibri" w:hAnsi="Calibri" w:cs="Times New Roman"/>
          <w:noProof/>
          <w:szCs w:val="24"/>
        </w:rPr>
        <w:tab/>
        <w:t xml:space="preserve">X.L. Wang, L. Li, W. Mei, W.L. Wang, J. Sun, Dependence of stress-induced omega transition and mechanical twinning on phase stability in metastable β Ti-V alloys, Mater. Charact. (2015). </w:t>
      </w:r>
      <w:r w:rsidRPr="00F82A87">
        <w:rPr>
          <w:rFonts w:ascii="Calibri" w:hAnsi="Calibri" w:cs="Times New Roman"/>
          <w:noProof/>
          <w:szCs w:val="24"/>
        </w:rPr>
        <w:lastRenderedPageBreak/>
        <w:t>doi:10.1016/j.matchar.2015.06.038.</w:t>
      </w:r>
    </w:p>
    <w:p w14:paraId="70D03674"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[48]</w:t>
      </w:r>
      <w:r w:rsidRPr="00F82A87">
        <w:rPr>
          <w:rFonts w:ascii="Calibri" w:hAnsi="Calibri" w:cs="Times New Roman"/>
          <w:noProof/>
          <w:szCs w:val="24"/>
        </w:rPr>
        <w:tab/>
        <w:t>H.S. Kim, S.H. Lim, I.D. Yeo, W.Y. Kim, Stress-induced martensitic transformation of metastable β-titanium alloy, Mater. Sci. Eng. A. (2007). doi:10.1016/j.msea.2006.02.329.</w:t>
      </w:r>
    </w:p>
    <w:p w14:paraId="7EC5EF08" w14:textId="77777777" w:rsidR="00B145BE" w:rsidRPr="00F82A87" w:rsidRDefault="00B145BE" w:rsidP="00B145BE">
      <w:pPr>
        <w:widowControl w:val="0"/>
        <w:autoSpaceDE w:val="0"/>
        <w:autoSpaceDN w:val="0"/>
        <w:adjustRightInd w:val="0"/>
        <w:spacing w:line="240" w:lineRule="auto"/>
        <w:ind w:left="640" w:hanging="640"/>
        <w:rPr>
          <w:rFonts w:ascii="Calibri" w:hAnsi="Calibri" w:cs="Times New Roman"/>
          <w:noProof/>
          <w:szCs w:val="24"/>
        </w:rPr>
      </w:pPr>
      <w:r w:rsidRPr="00F82A87">
        <w:rPr>
          <w:rFonts w:ascii="Calibri" w:hAnsi="Calibri" w:cs="Times New Roman"/>
          <w:noProof/>
          <w:szCs w:val="24"/>
        </w:rPr>
        <w:t>[49]</w:t>
      </w:r>
      <w:r w:rsidRPr="00F82A87">
        <w:rPr>
          <w:rFonts w:ascii="Calibri" w:hAnsi="Calibri" w:cs="Times New Roman"/>
          <w:noProof/>
          <w:szCs w:val="24"/>
        </w:rPr>
        <w:tab/>
        <w:t>L. Lilensten, J.P. Couzinié, J. Bourgon, L. Perrière, G. Dirras, F. Prima, I. Guillot, Design and tensile properties of a bcc Ti-rich high-entropy alloy with transformation-induced plasticity, Mater. Res. Lett. (2017). doi:10.1080/21663831.2016.1221861.</w:t>
      </w:r>
    </w:p>
    <w:p w14:paraId="0A6FFF85" w14:textId="77777777" w:rsidR="00B145BE" w:rsidRPr="00F82A87" w:rsidRDefault="00B145BE" w:rsidP="00B145BE">
      <w:pPr>
        <w:widowControl w:val="0"/>
        <w:autoSpaceDE w:val="0"/>
        <w:autoSpaceDN w:val="0"/>
        <w:adjustRightInd w:val="0"/>
        <w:spacing w:line="240" w:lineRule="auto"/>
        <w:ind w:left="640" w:hanging="640"/>
        <w:rPr>
          <w:rFonts w:ascii="Calibri" w:hAnsi="Calibri"/>
          <w:noProof/>
        </w:rPr>
      </w:pPr>
      <w:r w:rsidRPr="00F82A87">
        <w:rPr>
          <w:rFonts w:ascii="Calibri" w:hAnsi="Calibri" w:cs="Times New Roman"/>
          <w:noProof/>
          <w:szCs w:val="24"/>
        </w:rPr>
        <w:t>[50]</w:t>
      </w:r>
      <w:r w:rsidRPr="00F82A87">
        <w:rPr>
          <w:rFonts w:ascii="Calibri" w:hAnsi="Calibri" w:cs="Times New Roman"/>
          <w:noProof/>
          <w:szCs w:val="24"/>
        </w:rPr>
        <w:tab/>
        <w:t>B.A. Bilby, A.G. Crocker, The Theory of the Crystallography of Deformation Twinning, Proc. R. Soc. A Math. Phys. Eng. Sci. (1965). doi:10.1098/rspa.1965.0216.</w:t>
      </w:r>
    </w:p>
    <w:p w14:paraId="5811C9EA" w14:textId="05AA3D4E" w:rsidR="001C513B" w:rsidRPr="001C513B" w:rsidRDefault="00B145BE" w:rsidP="00B145BE">
      <w:pPr>
        <w:widowControl w:val="0"/>
        <w:spacing w:after="120" w:line="360" w:lineRule="auto"/>
        <w:jc w:val="both"/>
        <w:rPr>
          <w:rFonts w:ascii="Calibri" w:eastAsia="等线" w:hAnsi="Calibri" w:cs="Calibri"/>
        </w:rPr>
      </w:pPr>
      <w:r>
        <w:rPr>
          <w:lang w:val="en-US" w:bidi="hi-IN"/>
        </w:rPr>
        <w:fldChar w:fldCharType="end"/>
      </w:r>
    </w:p>
    <w:p w14:paraId="3D7C04E7" w14:textId="77777777" w:rsidR="001C513B" w:rsidRDefault="001C513B"/>
    <w:p w14:paraId="59D4E529" w14:textId="77777777" w:rsidR="001C513B" w:rsidRDefault="001C513B"/>
    <w:p w14:paraId="57684E87" w14:textId="77777777" w:rsidR="001C513B" w:rsidRDefault="001C513B"/>
    <w:p w14:paraId="57997BD1" w14:textId="77777777" w:rsidR="001C513B" w:rsidRDefault="001C513B"/>
    <w:p w14:paraId="362FD48C" w14:textId="77777777" w:rsidR="001C513B" w:rsidRDefault="001C513B"/>
    <w:p w14:paraId="63F9CD9B" w14:textId="77777777" w:rsidR="001C513B" w:rsidRDefault="001C513B"/>
    <w:p w14:paraId="0151AFD8" w14:textId="77777777" w:rsidR="001C513B" w:rsidRDefault="001C513B"/>
    <w:p w14:paraId="35D3A099" w14:textId="77777777" w:rsidR="001C513B" w:rsidRDefault="001C513B"/>
    <w:p w14:paraId="12C4F117" w14:textId="77777777" w:rsidR="001C513B" w:rsidRDefault="001C513B"/>
    <w:p w14:paraId="2861C6B0" w14:textId="77777777" w:rsidR="001C513B" w:rsidRDefault="001C513B"/>
    <w:p w14:paraId="4A1024C7" w14:textId="77777777" w:rsidR="001C513B" w:rsidRDefault="001C513B"/>
    <w:p w14:paraId="685FD423" w14:textId="77777777" w:rsidR="001C513B" w:rsidRDefault="001C513B"/>
    <w:p w14:paraId="3F5A277E" w14:textId="77777777" w:rsidR="001C513B" w:rsidRDefault="001C513B"/>
    <w:p w14:paraId="00A9F261" w14:textId="77777777" w:rsidR="001C513B" w:rsidRDefault="001C513B"/>
    <w:p w14:paraId="12C43268" w14:textId="77777777" w:rsidR="001C513B" w:rsidRDefault="001C513B"/>
    <w:p w14:paraId="69570D10" w14:textId="335A514A" w:rsidR="00F2589F" w:rsidRDefault="00F2589F" w:rsidP="00E40B2A">
      <w:pPr>
        <w:spacing w:after="120" w:line="360" w:lineRule="auto"/>
        <w:jc w:val="both"/>
        <w:rPr>
          <w:rFonts w:cstheme="minorHAnsi"/>
        </w:rPr>
      </w:pPr>
    </w:p>
    <w:p w14:paraId="2AED4CCA" w14:textId="51E71BA3" w:rsidR="00B01787" w:rsidRDefault="00B01787" w:rsidP="00E40B2A">
      <w:pPr>
        <w:spacing w:after="120" w:line="360" w:lineRule="auto"/>
        <w:jc w:val="both"/>
        <w:rPr>
          <w:rFonts w:cstheme="minorHAnsi"/>
        </w:rPr>
      </w:pPr>
    </w:p>
    <w:p w14:paraId="2A1C0C2A" w14:textId="22FD42DC" w:rsidR="00B01787" w:rsidRDefault="00B01787" w:rsidP="00E40B2A">
      <w:pPr>
        <w:spacing w:after="120" w:line="360" w:lineRule="auto"/>
        <w:jc w:val="both"/>
        <w:rPr>
          <w:rFonts w:cstheme="minorHAnsi"/>
        </w:rPr>
      </w:pPr>
    </w:p>
    <w:p w14:paraId="68FAAFCF" w14:textId="6935BA47" w:rsidR="00E91267" w:rsidRDefault="00E91267" w:rsidP="00E40B2A">
      <w:pPr>
        <w:spacing w:after="120" w:line="360" w:lineRule="auto"/>
        <w:jc w:val="both"/>
        <w:rPr>
          <w:rFonts w:cstheme="minorHAnsi"/>
        </w:rPr>
      </w:pPr>
    </w:p>
    <w:p w14:paraId="4D381E18" w14:textId="03A6DD85" w:rsidR="00E91267" w:rsidRDefault="00E91267" w:rsidP="00E40B2A">
      <w:pPr>
        <w:spacing w:after="120" w:line="360" w:lineRule="auto"/>
        <w:jc w:val="both"/>
        <w:rPr>
          <w:rFonts w:cstheme="minorHAnsi"/>
        </w:rPr>
      </w:pPr>
    </w:p>
    <w:p w14:paraId="338CDCC8" w14:textId="77777777" w:rsidR="00E91267" w:rsidRDefault="00E91267" w:rsidP="00E40B2A">
      <w:pPr>
        <w:spacing w:after="120" w:line="360" w:lineRule="auto"/>
        <w:jc w:val="both"/>
        <w:rPr>
          <w:rFonts w:cstheme="minorHAnsi"/>
        </w:rPr>
      </w:pPr>
    </w:p>
    <w:p w14:paraId="0F20DD9D" w14:textId="77777777" w:rsidR="00B145BE" w:rsidRPr="00577D1F" w:rsidRDefault="00B145BE" w:rsidP="00B145BE">
      <w:pPr>
        <w:pStyle w:val="1"/>
        <w:spacing w:before="0" w:afterLines="60" w:after="144" w:line="360" w:lineRule="auto"/>
        <w:rPr>
          <w:rFonts w:asciiTheme="minorHAnsi" w:hAnsiTheme="minorHAnsi"/>
          <w:b/>
          <w:color w:val="auto"/>
          <w:lang w:bidi="hi-IN"/>
        </w:rPr>
      </w:pPr>
      <w:bookmarkStart w:id="284" w:name="_Toc22052545"/>
      <w:r w:rsidRPr="00577D1F">
        <w:rPr>
          <w:rFonts w:asciiTheme="minorHAnsi" w:hAnsiTheme="minorHAnsi"/>
          <w:b/>
          <w:color w:val="auto"/>
          <w:lang w:bidi="hi-IN"/>
        </w:rPr>
        <w:lastRenderedPageBreak/>
        <w:t>Chapter.6 Transformation twinning induced plasticity</w:t>
      </w:r>
      <w:bookmarkEnd w:id="284"/>
      <w:r w:rsidRPr="00577D1F">
        <w:rPr>
          <w:rFonts w:asciiTheme="minorHAnsi" w:hAnsiTheme="minorHAnsi"/>
          <w:b/>
          <w:color w:val="auto"/>
          <w:lang w:bidi="hi-IN"/>
        </w:rPr>
        <w:t xml:space="preserve"> </w:t>
      </w:r>
    </w:p>
    <w:p w14:paraId="7AE2986A" w14:textId="77777777" w:rsidR="00B145BE" w:rsidRPr="005F6FF5" w:rsidRDefault="00B145BE" w:rsidP="00B145BE">
      <w:pPr>
        <w:pStyle w:val="2"/>
        <w:spacing w:before="0" w:afterLines="60" w:after="144" w:line="360" w:lineRule="auto"/>
        <w:rPr>
          <w:rFonts w:asciiTheme="minorHAnsi" w:hAnsiTheme="minorHAnsi"/>
          <w:b/>
          <w:color w:val="auto"/>
          <w:sz w:val="32"/>
          <w:lang w:bidi="hi-IN"/>
        </w:rPr>
      </w:pPr>
      <w:bookmarkStart w:id="285" w:name="_Toc22052546"/>
      <w:r w:rsidRPr="00577D1F">
        <w:rPr>
          <w:rFonts w:asciiTheme="minorHAnsi" w:hAnsiTheme="minorHAnsi"/>
          <w:b/>
          <w:color w:val="auto"/>
          <w:sz w:val="32"/>
          <w:lang w:bidi="hi-IN"/>
        </w:rPr>
        <w:t>6.1 Preface</w:t>
      </w:r>
      <w:bookmarkEnd w:id="285"/>
    </w:p>
    <w:p w14:paraId="61FE062E" w14:textId="092E2476" w:rsidR="00B145BE" w:rsidRPr="006E5260" w:rsidRDefault="00B145BE" w:rsidP="00B145BE">
      <w:pPr>
        <w:spacing w:afterLines="60" w:after="144" w:line="360" w:lineRule="auto"/>
        <w:jc w:val="both"/>
        <w:rPr>
          <w:rFonts w:cstheme="minorHAnsi"/>
        </w:rPr>
      </w:pPr>
      <w:r w:rsidRPr="006E5260">
        <w:rPr>
          <w:rFonts w:cstheme="minorHAnsi"/>
        </w:rPr>
        <w:t xml:space="preserve">The strategy of </w:t>
      </w:r>
      <w:r w:rsidRPr="006E5260">
        <w:rPr>
          <w:rFonts w:cstheme="minorHAnsi"/>
          <w:noProof/>
        </w:rPr>
        <w:t>utilising</w:t>
      </w:r>
      <w:r w:rsidRPr="006E5260">
        <w:rPr>
          <w:rFonts w:cstheme="minorHAnsi"/>
        </w:rPr>
        <w:t xml:space="preserve"> TRIP and TWIP </w:t>
      </w:r>
      <w:r>
        <w:rPr>
          <w:rFonts w:cstheme="minorHAnsi"/>
          <w:noProof/>
        </w:rPr>
        <w:t>has been</w:t>
      </w:r>
      <w:r w:rsidRPr="006E5260">
        <w:rPr>
          <w:rFonts w:cstheme="minorHAnsi"/>
          <w:noProof/>
        </w:rPr>
        <w:t xml:space="preserve"> widely applied</w:t>
      </w:r>
      <w:r w:rsidRPr="006E5260">
        <w:rPr>
          <w:rFonts w:cstheme="minorHAnsi"/>
        </w:rPr>
        <w:t xml:space="preserve"> </w:t>
      </w:r>
      <w:r>
        <w:rPr>
          <w:rFonts w:cstheme="minorHAnsi"/>
        </w:rPr>
        <w:t xml:space="preserve">in order </w:t>
      </w:r>
      <w:r w:rsidRPr="006E5260">
        <w:rPr>
          <w:rFonts w:cstheme="minorHAnsi"/>
          <w:noProof/>
        </w:rPr>
        <w:t>to balanc</w:t>
      </w:r>
      <w:r>
        <w:rPr>
          <w:rFonts w:cstheme="minorHAnsi"/>
          <w:noProof/>
        </w:rPr>
        <w:t>e</w:t>
      </w:r>
      <w:r w:rsidRPr="006E5260">
        <w:rPr>
          <w:rFonts w:cstheme="minorHAnsi"/>
          <w:noProof/>
        </w:rPr>
        <w:t xml:space="preserve"> the trade-off between strength and ductility</w:t>
      </w:r>
      <w:r w:rsidRPr="006E5260">
        <w:rPr>
          <w:rFonts w:cstheme="minorHAnsi"/>
        </w:rPr>
        <w:t xml:space="preserve"> in designing </w:t>
      </w:r>
      <w:r w:rsidRPr="006E5260">
        <w:rPr>
          <w:rFonts w:cstheme="minorHAnsi"/>
          <w:noProof/>
        </w:rPr>
        <w:t>high-performance</w:t>
      </w:r>
      <w:r w:rsidRPr="006E5260">
        <w:rPr>
          <w:rFonts w:cstheme="minorHAnsi"/>
        </w:rPr>
        <w:t xml:space="preserve"> metallic materials</w:t>
      </w:r>
      <w:r>
        <w:rPr>
          <w:rFonts w:cstheme="minorHAnsi"/>
        </w:rPr>
        <w:t xml:space="preserve"> </w:t>
      </w:r>
      <w:r w:rsidRPr="006E5260">
        <w:rPr>
          <w:rFonts w:cstheme="minorHAnsi"/>
        </w:rPr>
        <w:fldChar w:fldCharType="begin" w:fldLock="1"/>
      </w:r>
      <w:r>
        <w:rPr>
          <w:rFonts w:cstheme="minorHAnsi"/>
        </w:rPr>
        <w:instrText xml:space="preserve">ADDIN CSL_CITATION {"citationItems":[{"id":"ITEM-1","itemData":{"DOI":"10.1038/srep40704","ISBN":"2045-2322 (Electronic) 2045-2322 (Linking)","ISSN":"20452322","PMID":"28079175","abstract":"High-entropy alloys (HEAs) consisting of multiple principle elements provide an avenue for realizing exceptional mechanical, physical and chemical properties. We report a novel strategy for designing a new class of HEAs incorporating the additional interstitial element carbon. This results in joint activation of twinning- and transformation-induced plasticity (TWIP and TRIP) by tuning the matrix phase's instability in a metastable TRIP-assisted dual-phase HEA. Besides TWIP and TRIP, such alloys benefit from massive substitutional and interstitial solid solution strengthening as well as from the composite effect associated with its dual-phase structure. Nanosize particle formation and grain size reduction are also utilized. The new interstitial TWIP-TRIP-HEA thus unifies all metallic strengthening mechanisms in one material, leading to twice the tensile strength compared to a single-phase HEA with similar composition, yet, at identical ductility.","author":[{"dropping-particle":"","family":"Li","given":"Zhiming","non-dropping-particle":"","parse-names":false,"suffix":""},{"dropping-particle":"","family":"Tasan","given":"Cemal Cem","non-dropping-particle":"","parse-names":false,"suffix":""},{"dropping-particle":"","family":"Springer","given":"Hauke","non-dropping-particle":"","parse-names":false,"suffix":""},{"dropping-particle":"","family":"Gault","given":"Baptiste","non-dropping-particle":"","parse-names":false,"suffix":""},{"dropping-particle":"","family":"Raabe","given":"Dierk","non-dropping-particle":"","parse-names":false,"suffix":""}],"container-title":"Scientific Reports","id":"ITEM-1","issued":{"date-parts":[["2017"]]},"title":"Interstitial atoms enable joint twinning and transformation induced plasticity in strong and ductile high-entropy alloys","type":"article-journal"},"uris":["http://www.mendeley.com/documents/?uuid=1650cf74-6946-4d91-abda-d3caca716444"]},{"id":"ITEM-2","itemData":{"DOI":"10.1016/j.ijplas.2015.11.004","ISBN":"0749-6419","ISSN":"07496419","abstract":"The additional deep cryogenic treatment process prior to intercritical annealing was employed to tailor the mechanical stability of austenite grains in a new medium Mn steel. As a consequence, the medium Mn steel after intercritical annealing contains the austenite grains with different mechanical stability due to the different grain size and C content. The large austenite grains with low C content transform to martensite prior to the strain of 9.5% due to their low mechanical stability and provide the transformation-induced plasticity (TRIP) effect during tensile test. On the other hand, the small austenite grains with high C content have high mechanical stability and proper stacking fault energy, therefore do not transform to martensite but offer the twinning-induced plasticity (TWIP) effect from 9.5% strain up to fracture. Subsequently some of the twinned austenite grains provide the nucleation site for martensite formation from the strain of 26.2% up to fracture, providing the TRIP effect again in the large strain regime. In summary, the present novel medium Mn steel has TRIP effect firstly, followed by TWIP effect and then TWIP + TRIP effects during tensile test, therefore demonstrating enhanced work hardening behavior and excellent tensile properties.","author":[{"dropping-particle":"","family":"He","given":"B. B.","non-dropping-particle":"","parse-names":false,"suffix":""},{"dropping-particle":"","family":"Luo","given":"H. W.","non-dropping-particle":"","parse-names":false,"suffix":""},{"dropping-particle":"","family":"Huang","given":"M. X.","non-dropping-particle":"","parse-names":false,"suffix":""}],"container-title":"International Journal of Plasticity","id":"ITEM-2","issued":{"date-parts":[["2016"]]},"title":"Experimental investigation on a novel medium Mn steel combining transformation-induced plasticity and twinning-induced plasticity effects","type":"article-journal"},"uris":["http://www.mendeley.com/documents/?uuid=d782355d-a635-43ad-ae8a-d6ba843b5f3b"]},{"id":"ITEM-3","itemData":{"DOI":"10.1016/j.scriptamat.2012.01.049","ISBN":"1359-6462","ISSN":"13596462","PMID":"9986980","abstract":"In this work, preliminary results are presented on attempts to develop a new family of titanium alloys with high ductility induced by combined transformation-induced plasticity and twinning-induced plasticity effects. Mechanical tests carried out on a binary β-metastable Ti-12 wt.% Mo alloy designed by a formulation strategy based on the \"d-electron alloy design\" show a very high work hardening rate. X-ray diffraction, electron backscattered diffraction and transmission electron microscopy reveal </w:instrText>
      </w:r>
      <w:r>
        <w:rPr>
          <w:rFonts w:cstheme="minorHAnsi" w:hint="eastAsia"/>
        </w:rPr>
        <w:instrText xml:space="preserve">the mechanical activation of twinning and of </w:instrText>
      </w:r>
      <w:r>
        <w:rPr>
          <w:rFonts w:cstheme="minorHAnsi" w:hint="eastAsia"/>
        </w:rPr>
        <w:instrText>α′</w:instrText>
      </w:r>
      <w:r>
        <w:rPr>
          <w:rFonts w:cstheme="minorHAnsi" w:hint="eastAsia"/>
        </w:rPr>
        <w:instrText xml:space="preserve">, </w:instrText>
      </w:r>
      <w:r>
        <w:rPr>
          <w:rFonts w:cstheme="minorHAnsi" w:hint="eastAsia"/>
        </w:rPr>
        <w:instrText>α″</w:instrText>
      </w:r>
      <w:r>
        <w:rPr>
          <w:rFonts w:cstheme="minorHAnsi" w:hint="eastAsia"/>
        </w:rPr>
        <w:instrText xml:space="preserve"> and </w:instrText>
      </w:r>
      <w:r>
        <w:rPr>
          <w:rFonts w:cstheme="minorHAnsi" w:hint="eastAsia"/>
        </w:rPr>
        <w:instrText>ω</w:instrText>
      </w:r>
      <w:r>
        <w:rPr>
          <w:rFonts w:cstheme="minorHAnsi" w:hint="eastAsia"/>
        </w:rPr>
        <w:instrText xml:space="preserve"> phases. © 2012 Acta Materialia Inc. Published by Elsevier Ltd. All rights reserved.","author":[{"dropping-particle":"","family":"Marteleur","given":"Matthieu","non-dropping-particle":"","parse-name</w:instrText>
      </w:r>
      <w:r>
        <w:rPr>
          <w:rFonts w:cstheme="minorHAnsi"/>
        </w:rPr>
        <w:instrText>s":false,"suffix":""},{"dropping-particle":"","family":"Sun","given":"Fan","non-dropping-particle":"","parse-names":false,"suffix":""},{"dropping-particle":"","family":"Gloriant","given":"Thierry","non-dropping-particle":"","parse-names":false,"suffix":""},{"dropping-particle":"","family":"Vermaut","given":"Philippe","non-dropping-particle":"","parse-names":false,"suffix":""},{"dropping-particle":"","family":"Jacques","given":"Pascal J.","non-dropping-particle":"","parse-names":false,"suffix":""},{"dropping-particle":"","family":"Prima","given":"Frédéric","non-dropping-particle":"","parse-names":false,"suffix":""}],"container-title":"Scripta Materialia","id":"ITEM-3","issued":{"date-parts":[["2012"]]},"title":"On the design of new β-metastable titanium alloys with improved work hardening rate thanks to simultaneous TRIP and TWIP effects","type":"article-journal"},"uris":["http://www.mendeley.com/documents/?uuid=1090121d-4d47-4101-802f-3f4768a75559"]},{"id":"ITEM-4","itemData":{"DOI":"10.2355/isijinternational.43.438","ISBN":"10.2355/isijinternational.43.438","ISSN":"0915-1559","PMID":"19085183","abstract":"The microstructural properties of advanced high strength and supra-ductile TRIP and TWIP steels with high-manganese concentrations (15 to 25 mass%) and additions of aluminum and silicon (2 to 4mass%) were investigated as a function of temperature (−196 to 400°C) and strain rate (10−4</w:instrText>
      </w:r>
      <w:r>
        <w:rPr>
          <w:rFonts w:cstheme="minorHAnsi" w:hint="eastAsia"/>
        </w:rPr>
        <w:instrText>≤ε≤</w:instrText>
      </w:r>
      <w:r>
        <w:rPr>
          <w:rFonts w:cstheme="minorHAnsi"/>
        </w:rPr>
        <w:instrText>103 s−1). Multiple martensitic γfcc (austenie)</w:instrText>
      </w:r>
      <w:r>
        <w:rPr>
          <w:rFonts w:cstheme="minorHAnsi" w:hint="eastAsia"/>
        </w:rPr>
        <w:instrText>→ε</w:instrText>
      </w:r>
      <w:r>
        <w:rPr>
          <w:rFonts w:cstheme="minorHAnsi"/>
        </w:rPr>
        <w:instrText>hcpMs (hcp-martensite)</w:instrText>
      </w:r>
      <w:r>
        <w:rPr>
          <w:rFonts w:cstheme="minorHAnsi" w:hint="eastAsia"/>
        </w:rPr>
        <w:instrText>→α</w:instrText>
      </w:r>
      <w:r>
        <w:rPr>
          <w:rFonts w:cstheme="minorHAnsi"/>
        </w:rPr>
        <w:instrText>bccMs (bcc-martensite)-transformations occurred in the TRIP steel when deformed at higher strain rates and ambient temperatures. This mechanism leads to a pronounced strain hardening and high tensile strength (&gt;1 000 MPa) with improved elongations to failure of &gt;50%. The austenitic TWIP steel reveals extensive twin formation when deformed below 150°C at low and high strain rates. Under these conditions extremely high tensile ductility (&gt;80%) and energy absorption is achieved and no brittle fracture transition temperature occurs. The governing microstr</w:instrText>
      </w:r>
      <w:r>
        <w:rPr>
          <w:rFonts w:cstheme="minorHAnsi" w:hint="eastAsia"/>
        </w:rPr>
        <w:instrText xml:space="preserve">uctural parameter is the stacking fault energy </w:instrText>
      </w:r>
      <w:r>
        <w:rPr>
          <w:rFonts w:cstheme="minorHAnsi" w:hint="eastAsia"/>
        </w:rPr>
        <w:instrText>Γ</w:instrText>
      </w:r>
      <w:r>
        <w:rPr>
          <w:rFonts w:cstheme="minorHAnsi" w:hint="eastAsia"/>
        </w:rPr>
        <w:instrText xml:space="preserve">fcc of the fcc austenite and the phase stability determined by the Gibbs free energy </w:instrText>
      </w:r>
      <w:r>
        <w:rPr>
          <w:rFonts w:cstheme="minorHAnsi" w:hint="eastAsia"/>
        </w:rPr>
        <w:instrText>Δ</w:instrText>
      </w:r>
      <w:r>
        <w:rPr>
          <w:rFonts w:cstheme="minorHAnsi" w:hint="eastAsia"/>
        </w:rPr>
        <w:instrText>G</w:instrText>
      </w:r>
      <w:r>
        <w:rPr>
          <w:rFonts w:cstheme="minorHAnsi" w:hint="eastAsia"/>
        </w:rPr>
        <w:instrText>γ→ε</w:instrText>
      </w:r>
      <w:r>
        <w:rPr>
          <w:rFonts w:cstheme="minorHAnsi" w:hint="eastAsia"/>
        </w:rPr>
        <w:instrText xml:space="preserve">. These factors are strongly influenced by the manganese content and additions of aluminum and silicon.The stacking fault energy </w:instrText>
      </w:r>
      <w:r>
        <w:rPr>
          <w:rFonts w:cstheme="minorHAnsi" w:hint="eastAsia"/>
        </w:rPr>
        <w:instrText>Γ</w:instrText>
      </w:r>
      <w:r>
        <w:rPr>
          <w:rFonts w:cstheme="minorHAnsi" w:hint="eastAsia"/>
        </w:rPr>
        <w:instrText xml:space="preserve">fcc and the Gibbs free energy G were calculated using the regular solution model. The results show that aluminum increases </w:instrText>
      </w:r>
      <w:r>
        <w:rPr>
          <w:rFonts w:cstheme="minorHAnsi" w:hint="eastAsia"/>
        </w:rPr>
        <w:instrText>Γ</w:instrText>
      </w:r>
      <w:r>
        <w:rPr>
          <w:rFonts w:cstheme="minorHAnsi" w:hint="eastAsia"/>
        </w:rPr>
        <w:instrText xml:space="preserve">fcc and suppresses the </w:instrText>
      </w:r>
      <w:r>
        <w:rPr>
          <w:rFonts w:cstheme="minorHAnsi" w:hint="eastAsia"/>
        </w:rPr>
        <w:instrText>γ</w:instrText>
      </w:r>
      <w:r>
        <w:rPr>
          <w:rFonts w:cstheme="minorHAnsi" w:hint="eastAsia"/>
        </w:rPr>
        <w:instrText>fcc</w:instrText>
      </w:r>
      <w:r>
        <w:rPr>
          <w:rFonts w:cstheme="minorHAnsi" w:hint="eastAsia"/>
        </w:rPr>
        <w:instrText>→ε</w:instrText>
      </w:r>
      <w:r>
        <w:rPr>
          <w:rFonts w:cstheme="minorHAnsi" w:hint="eastAsia"/>
        </w:rPr>
        <w:instrText xml:space="preserve">hcpMs transformation, whereas silicon sustains the </w:instrText>
      </w:r>
      <w:r>
        <w:rPr>
          <w:rFonts w:cstheme="minorHAnsi" w:hint="eastAsia"/>
        </w:rPr>
        <w:instrText>γ</w:instrText>
      </w:r>
      <w:r>
        <w:rPr>
          <w:rFonts w:cstheme="minorHAnsi" w:hint="eastAsia"/>
        </w:rPr>
        <w:instrText>fcc</w:instrText>
      </w:r>
      <w:r>
        <w:rPr>
          <w:rFonts w:cstheme="minorHAnsi" w:hint="eastAsia"/>
        </w:rPr>
        <w:instrText>→ε</w:instrText>
      </w:r>
      <w:r>
        <w:rPr>
          <w:rFonts w:cstheme="minorHAnsi" w:hint="eastAsia"/>
        </w:rPr>
        <w:instrText xml:space="preserve">hcpMs transformation and decreases the stacking fault energy. At the critical value of </w:instrText>
      </w:r>
      <w:r>
        <w:rPr>
          <w:rFonts w:cstheme="minorHAnsi" w:hint="eastAsia"/>
        </w:rPr>
        <w:instrText>Γ</w:instrText>
      </w:r>
      <w:r>
        <w:rPr>
          <w:rFonts w:cstheme="minorHAnsi" w:hint="eastAsia"/>
        </w:rPr>
        <w:instrText>fcc</w:instrText>
      </w:r>
      <w:r>
        <w:rPr>
          <w:rFonts w:cstheme="minorHAnsi" w:hint="eastAsia"/>
        </w:rPr>
        <w:instrText>≈</w:instrText>
      </w:r>
      <w:r>
        <w:rPr>
          <w:rFonts w:cstheme="minorHAnsi" w:hint="eastAsia"/>
        </w:rPr>
        <w:instrText xml:space="preserve">25 mJ/mol and for </w:instrText>
      </w:r>
      <w:r>
        <w:rPr>
          <w:rFonts w:cstheme="minorHAnsi" w:hint="eastAsia"/>
        </w:rPr>
        <w:instrText>Δ</w:instrText>
      </w:r>
      <w:r>
        <w:rPr>
          <w:rFonts w:cstheme="minorHAnsi" w:hint="eastAsia"/>
        </w:rPr>
        <w:instrText>G</w:instrText>
      </w:r>
      <w:r>
        <w:rPr>
          <w:rFonts w:cstheme="minorHAnsi" w:hint="eastAsia"/>
        </w:rPr>
        <w:instrText>γ→ε</w:instrText>
      </w:r>
      <w:r>
        <w:rPr>
          <w:rFonts w:cstheme="minorHAnsi" w:hint="eastAsia"/>
        </w:rPr>
        <w:instrText>&gt;0, the twinning mechanism is favored. At lower stacking fault energy of (</w:instrText>
      </w:r>
      <w:r>
        <w:rPr>
          <w:rFonts w:cstheme="minorHAnsi" w:hint="eastAsia"/>
        </w:rPr>
        <w:instrText>Γ</w:instrText>
      </w:r>
      <w:r>
        <w:rPr>
          <w:rFonts w:cstheme="minorHAnsi" w:hint="eastAsia"/>
        </w:rPr>
        <w:instrText xml:space="preserve">fcc&lt;16 mJ/mol and for </w:instrText>
      </w:r>
      <w:r>
        <w:rPr>
          <w:rFonts w:cstheme="minorHAnsi" w:hint="eastAsia"/>
        </w:rPr>
        <w:instrText>Δ</w:instrText>
      </w:r>
      <w:r>
        <w:rPr>
          <w:rFonts w:cstheme="minorHAnsi" w:hint="eastAsia"/>
        </w:rPr>
        <w:instrText>G</w:instrText>
      </w:r>
      <w:r>
        <w:rPr>
          <w:rFonts w:cstheme="minorHAnsi" w:hint="eastAsia"/>
        </w:rPr>
        <w:instrText>γ→ε</w:instrText>
      </w:r>
      <w:r>
        <w:rPr>
          <w:rFonts w:cstheme="minorHAnsi" w:hint="eastAsia"/>
        </w:rPr>
        <w:instrText>&gt;0, martensitic phase transformation will be the governing deformation</w:instrText>
      </w:r>
      <w:r>
        <w:rPr>
          <w:rFonts w:cstheme="minorHAnsi"/>
        </w:rPr>
        <w:instrText xml:space="preserve"> mechanism.The excellent ductility and the enhanced impact properties enable complex deep drawing or stretch forming operations of sheets and the fabrication of crash absorbing frame structures.","author":[{"dropping-particle":"","family":"Frommeyer","given":"Georg","non-dropping-particle":"","parse-names":false,"suffix":""},{"dropping-particle":"","family":"Brüx","given":"Udo","non-dropping-particle":"","parse-names":false,"suffix":""},{"dropping-particle":"","family":"Neumann","given":"Peter","non-dropping-particle":"","parse-names":false,"suffix":""}],"container-title":"ISIJ International","id":"ITEM-4","issued":{"date-parts":[["2003"]]},"title":"Supra-Ductile and High-Strength Manganese-TRIP/TWIP Steels for High Energy Absorption Purposes.","type":"article-journal"},"uris":["http://www.mendeley.com/documents/?uuid=316c681c-fa1f-4eb9-b7ef-d8174f10640c"]},{"id":"ITEM-5","itemData":{"DOI":"10.1038/nature17981","ISBN":"0028-0836","ISSN":"14764687","PMID":"27279217","abstract":"Metals have been mankind's most essential materials for thousands of years; however, their use is affected by ecological and economical concerns. Alloys with higher strength and ductility could alleviate some of these concerns by reducing weight and improving energy efficiency. However, most metallurgical mechanisms for increasing strength lead to ductility loss, an effect referred to as the strength-ductility trade-off. Here we present a metastability-engineering strategy in which we design nanostructured, bulk high-entropy alloys with multiple compositionally equivalent high-entropy phases. High-entropy alloys were originally proposed to benefit from phase stabilization through entropy maximization. Yet here, motivated by recent work that relaxes the strict restrictions on high-entropy alloy compositions by demonstrating the weakness of this connection, the concept is overturned. We decrease phase stability to achieve two key benefits: interface hardening due to a dual-phase microstructure (resulting from reduced thermal stability of the high-temperature phase); and transformation-induced hardening (resulting from the reduced mechanical stability of the room-temperature phase). This combines the best of two worlds: extensive hardening due to the decreased phase stability known from advanced steels and massive solid-solution strengthening of high-entropy alloys. In our transformation-induced plasticity-assisted, dual-phase high-entropy alloy (TRIP-DP-HEA), these two contributions lead respectively to enhanced trans-grain and inter-grain slip resistance, and hence, increased strength. Moreover, the increased strain hardening capacity that is enabled by dislocation hardening of the stable phase and transformation-induced hardening of the metastable phase produces increased ductility. This combined increase in strength and ductility distinguishes the TRIP-DP-HEA alloy from other recently developed structural materials. This metastability-engineering strategy should thus usefully guide design in the near-infinite compositional space of high-entropy alloys.","author":[{"dropping-particle":"","family":"Li","given":"Zhiming","non-dropping-particle":"","parse-names":false,"suffix":""},{"dropping-particle":"","family":"Pradeep","given":"Konda Gokuldoss","non-dropping-particle":"","parse-names":false,"suffix":""},{"dropping-particle":"","family":"Deng","given":"Yun","non-dropping-particle":"","parse-names":false,"suffix":""},{"dropping-particle":"","family":"Raabe","given":"Dierk","non-dropping-particle":"","parse-names":false,"suffix":""},{"dropping-particle":"","family":"Tasan","given":"Cemal Cem","non-dropping-particle":"","parse-names":false,"suffix":""}],"container-title":"Nature","id":"ITEM-5","issued":{"date-parts":[["2016"]]},"title":"Metastable high-entropy dual-phase alloys overcome the strength-ductility trade-off","type":"article-journal"},"uris":["http://www.mendeley.com/documents/?uuid=082f25b9-5d2c-4b7f-b69b-80e2c555b8ca"]}],"mendeley":{"formattedCitation":"[1–5]","plainTextFormattedCitation":"[1–5]","previouslyFormattedCitation":"[1–5]"},"properties":{"noteIndex":0},"schema":"https://github.com/citation-style-language/schema/raw/master/csl-citation.json"}</w:instrText>
      </w:r>
      <w:r w:rsidRPr="006E5260">
        <w:rPr>
          <w:rFonts w:cstheme="minorHAnsi"/>
        </w:rPr>
        <w:fldChar w:fldCharType="separate"/>
      </w:r>
      <w:r w:rsidRPr="00631636">
        <w:rPr>
          <w:rFonts w:cstheme="minorHAnsi"/>
          <w:noProof/>
        </w:rPr>
        <w:t>[1–5]</w:t>
      </w:r>
      <w:r w:rsidRPr="006E5260">
        <w:rPr>
          <w:rFonts w:cstheme="minorHAnsi"/>
        </w:rPr>
        <w:fldChar w:fldCharType="end"/>
      </w:r>
      <w:r w:rsidRPr="006E5260">
        <w:rPr>
          <w:rFonts w:cstheme="minorHAnsi"/>
        </w:rPr>
        <w:t xml:space="preserve">. In most cases, the effects of TRIP and TWIP </w:t>
      </w:r>
      <w:r w:rsidRPr="006E5260">
        <w:rPr>
          <w:rFonts w:cstheme="minorHAnsi"/>
          <w:noProof/>
        </w:rPr>
        <w:t>are adjusted</w:t>
      </w:r>
      <w:r w:rsidRPr="006E5260">
        <w:rPr>
          <w:rFonts w:cstheme="minorHAnsi"/>
        </w:rPr>
        <w:t xml:space="preserve"> primarily by varying the </w:t>
      </w:r>
      <w:r>
        <w:rPr>
          <w:rFonts w:cstheme="minorHAnsi"/>
        </w:rPr>
        <w:t>content</w:t>
      </w:r>
      <w:r w:rsidRPr="006E5260">
        <w:rPr>
          <w:rFonts w:cstheme="minorHAnsi"/>
        </w:rPr>
        <w:t xml:space="preserve"> of certain alloying elements</w:t>
      </w:r>
      <w:r>
        <w:rPr>
          <w:rFonts w:cstheme="minorHAnsi"/>
        </w:rPr>
        <w:t xml:space="preserve">. This influences </w:t>
      </w:r>
      <w:r w:rsidR="00B17691">
        <w:rPr>
          <w:rFonts w:cstheme="minorHAnsi" w:hint="eastAsia"/>
        </w:rPr>
        <w:t>the</w:t>
      </w:r>
      <w:r w:rsidR="00B17691">
        <w:rPr>
          <w:rFonts w:cstheme="minorHAnsi"/>
        </w:rPr>
        <w:t xml:space="preserve"> </w:t>
      </w:r>
      <w:r w:rsidRPr="006E5260">
        <w:rPr>
          <w:rFonts w:cstheme="minorHAnsi"/>
        </w:rPr>
        <w:t>stacking fault energy, critical resolved shear stress (CRSS) for slip and twin</w:t>
      </w:r>
      <w:r>
        <w:rPr>
          <w:rFonts w:cstheme="minorHAnsi"/>
        </w:rPr>
        <w:t>n</w:t>
      </w:r>
      <w:r w:rsidRPr="006E5260">
        <w:rPr>
          <w:rFonts w:cstheme="minorHAnsi"/>
        </w:rPr>
        <w:t>ing</w:t>
      </w:r>
      <w:r>
        <w:rPr>
          <w:rFonts w:cstheme="minorHAnsi"/>
        </w:rPr>
        <w:t xml:space="preserve"> </w:t>
      </w:r>
      <w:r w:rsidRPr="006E5260">
        <w:rPr>
          <w:rFonts w:cstheme="minorHAnsi"/>
        </w:rPr>
        <w:fldChar w:fldCharType="begin" w:fldLock="1"/>
      </w:r>
      <w:r>
        <w:rPr>
          <w:rFonts w:cstheme="minorHAnsi"/>
        </w:rPr>
        <w:instrText>ADDIN CSL_CITATION {"citationItems":[{"id":"ITEM-1","itemData":{"DOI":"10.1016/S1359-6454(01)00300-7","ISBN":"1858534569","ISSN":"13596454","PMID":"26","abstract":"A constitutive approach is developed that predicts the critical stress for twinning as a function of external (temperature, strain rate) and internal (grain size, stacking-fault energy) parameters. Plastic deformation by slip and twinning are considered as competitive mechanisms. The twinning stress is equated to the slip stress based on the plastic flow by thermally assisted movement of dislocations over obstacles, which leads to successful prediction of the slip-twinning transition. The model is applied to body centered cubic, face centered cubic, and hexagonal metals and alloys: Fe, Cu, brasses, and Ti, respectively. A constitutive expression for the twinning stress in BCC metals is developed using dislocation emission from a source and the formation of pile-ups, as rate-controlling mechanism. Employing an Eshelby-type analysis, the critical size of twin nucleus and twinning stress are correlated to the twin-boundary energy, which is directly related to the stacking-fault energy (SFE) for FCC metals. The effects of grain size and SFE are examined and the results indicate that the grain-scale pile-ups are not the source of the stress concentrations giving rise to twinning in FCC metals. The constitutive description of the slip-twinning transition are incorporated into the Weertman-Ashby deformation mechanism maps, thereby enabling the introduction of a twinning domain. This is illustrated for titanium with a grain size of 100 μm. © 2001 Acta Materialia Inc. Published by Elsevier Science Ltd. All rights reserved.","author":[{"dropping-particle":"","family":"Meyers","given":"M. A.","non-dropping-particle":"","parse-names":false,"suffix":""},{"dropping-particle":"","family":"Vöhringer","given":"O.","non-dropping-particle":"","parse-names":false,"suffix":""},{"dropping-particle":"","family":"Lubarda","given":"V. A.","non-dropping-particle":"","parse-names":false,"suffix":""}],"container-title":"Acta Materialia","id":"ITEM-1","issued":{"date-parts":[["2001"]]},"title":"The onset of twinning in metals: A constitutive description","type":"article-journal"},"uris":["http://www.mendeley.com/documents/?uuid=6aa4637f-c68f-485b-99cc-02cfbb792a5e"]},{"id":"ITEM-2","itemData":{"DOI":"10.1016/j.actamat.2016.07.032","ISBN":"13596454","ISSN":"13596454","abstract":"A dislocation density-based crystal plasticity model incorporating both transformation-induced plasticity (TRIP) and twinning-induced plasticity (TWIP) is presented. The approach is a physically-based model which reflects microstructure investigations of ε-martensite, twins and dislocation structures in high manganese steels. Validation of the model was conducted using experimental data for a TRIP/TWIP Fe-22Mn-0.6C steel. The model is able to predict, based on the difference in the stacking fault energies, the activation of TRIP and/or TWIP deformation mechanisms at different temperatures.","author":[{"dropping-particle":"","family":"Wong","given":"Su Leen","non-dropping-particle":"","parse-names":false,"suffix":""},{"dropping-particle":"","family":"Madivala","given":"Manjunatha","non-dropping-particle":"","parse-names":false,"suffix":""},{"dropping-particle":"","family":"Prahl","given":"Ulrich","non-dropping-particle":"","parse-names":false,"suffix":""},{"dropping-particle":"","family":"Roters","given":"Franz","non-dropping-particle":"","parse-names":false,"suffix":""},{"dropping-particle":"","family":"Raabe","given":"Dierk","non-dropping-particle":"","parse-names":false,"suffix":""}],"container-title":"Acta Materialia","id":"ITEM-2","issued":{"date-parts":[["2016"]]},"title":"A crystal plasticity model for twinning- and transformation-induced plasticity","type":"article-journal"},"uris":["http://www.mendeley.com/documents/?uuid=edf7875e-43cb-4ff1-9739-19a540cdcd54"]},{"id":"ITEM-3","itemData":{"DOI":"10.1016/j.ijplas.2015.11.004","ISBN":"0749-6419","ISSN":"07496419","abstract":"The additional deep cryogenic treatment process prior to intercritical annealing was employed to tailor the mechanical stability of austenite grains in a new medium Mn steel. As a consequence, the medium Mn steel after intercritical annealing contains the austenite grains with different mechanical stability due to the different grain size and C content. The large austenite grains with low C content transform to martensite prior to the strain of 9.5% due to their low mechanical stability and provide the transformation-induced plasticity (TRIP) effect during tensile test. On the other hand, the small austenite grains with high C content have high mechanical stability and proper stacking fault energy, therefore do not transform to martensite but offer the twinning-induced plasticity (TWIP) effect from 9.5% strain up to fracture. Subsequently some of the twinned austenite grains provide the nucleation site for martensite formation from the strain of 26.2% up to fracture, providing the TRIP effect again in the large strain regime. In summary, the present novel medium Mn steel has TRIP effect firstly, followed by TWIP effect and then TWIP + TRIP effects during tensile test, therefore demonstrating enhanced work hardening behavior and excellent tensile properties.","author":[{"dropping-particle":"","family":"He","given":"B. B.","non-dropping-particle":"","parse-names":false,"suffix":""},{"dropping-particle":"","family":"Luo","given":"H. W.","non-dropping-particle":"","parse-names":false,"suffix":""},{"dropping-particle":"","family":"Huang","given":"M. X.","non-dropping-particle":"","parse-names":false,"suffix":""}],"container-title":"International Journal of Plasticity","id":"ITEM-3","issued":{"date-parts":[["2016"]]},"title":"Experimental investigation on a novel medium Mn steel combining transformation-induced plasticity and twinning-induced plasticity effects","type":"article-journal"},"uris":["http://www.mendeley.com/documents/?uuid=5c28e66e-0b11-478f-b0f1-3c5e9f951547"]},{"id":"ITEM-4","itemData":{"DOI":"10.2355/isijinternational.43.438","ISBN":"10.2355/isijinternational.43.438","ISSN":"0915-1559","PMID":"19085183","abstract":"The microstructural properties of advanced high strength and supra-ductile TRIP and TWIP steels with high-manganese concentrations (15 to 25 mass%) and additions of aluminum and silicon (2 to 4mass%) were investigated as a function of temperature (−196 to 400°C) and strain rate (10−4</w:instrText>
      </w:r>
      <w:r>
        <w:rPr>
          <w:rFonts w:cstheme="minorHAnsi" w:hint="eastAsia"/>
        </w:rPr>
        <w:instrText>≤ε≤</w:instrText>
      </w:r>
      <w:r>
        <w:rPr>
          <w:rFonts w:cstheme="minorHAnsi"/>
        </w:rPr>
        <w:instrText>103 s−1). Multiple martensitic γfcc (austenie)</w:instrText>
      </w:r>
      <w:r>
        <w:rPr>
          <w:rFonts w:cstheme="minorHAnsi" w:hint="eastAsia"/>
        </w:rPr>
        <w:instrText>→ε</w:instrText>
      </w:r>
      <w:r>
        <w:rPr>
          <w:rFonts w:cstheme="minorHAnsi"/>
        </w:rPr>
        <w:instrText>hcpMs (hcp-martensite)</w:instrText>
      </w:r>
      <w:r>
        <w:rPr>
          <w:rFonts w:cstheme="minorHAnsi" w:hint="eastAsia"/>
        </w:rPr>
        <w:instrText>→α</w:instrText>
      </w:r>
      <w:r>
        <w:rPr>
          <w:rFonts w:cstheme="minorHAnsi"/>
        </w:rPr>
        <w:instrText>bccMs (bcc-martensite)-transformations occurred in the TRIP steel when deformed at higher strain rates and ambient temperatures. This mechanism leads to a pronounced strain hardening and high tensile strength (&gt;1 000 MPa) with improved elongations to failure of &gt;50%. The austenitic TWIP steel reveals extensive twin formation when deformed below 150°C at low and high strain rates. Under these conditions extremely high tensile ductility (&gt;80%) and energy absorption is achieved and no brittle fracture transition temperature occurs. The governing microstr</w:instrText>
      </w:r>
      <w:r>
        <w:rPr>
          <w:rFonts w:cstheme="minorHAnsi" w:hint="eastAsia"/>
        </w:rPr>
        <w:instrText xml:space="preserve">uctural parameter is the stacking fault energy </w:instrText>
      </w:r>
      <w:r>
        <w:rPr>
          <w:rFonts w:cstheme="minorHAnsi" w:hint="eastAsia"/>
        </w:rPr>
        <w:instrText>Γ</w:instrText>
      </w:r>
      <w:r>
        <w:rPr>
          <w:rFonts w:cstheme="minorHAnsi" w:hint="eastAsia"/>
        </w:rPr>
        <w:instrText xml:space="preserve">fcc of the fcc austenite and the phase stability determined by the Gibbs free energy </w:instrText>
      </w:r>
      <w:r>
        <w:rPr>
          <w:rFonts w:cstheme="minorHAnsi" w:hint="eastAsia"/>
        </w:rPr>
        <w:instrText>Δ</w:instrText>
      </w:r>
      <w:r>
        <w:rPr>
          <w:rFonts w:cstheme="minorHAnsi" w:hint="eastAsia"/>
        </w:rPr>
        <w:instrText>G</w:instrText>
      </w:r>
      <w:r>
        <w:rPr>
          <w:rFonts w:cstheme="minorHAnsi" w:hint="eastAsia"/>
        </w:rPr>
        <w:instrText>γ→ε</w:instrText>
      </w:r>
      <w:r>
        <w:rPr>
          <w:rFonts w:cstheme="minorHAnsi" w:hint="eastAsia"/>
        </w:rPr>
        <w:instrText xml:space="preserve">. These factors are strongly influenced by the manganese content and additions of aluminum and silicon.The stacking fault energy </w:instrText>
      </w:r>
      <w:r>
        <w:rPr>
          <w:rFonts w:cstheme="minorHAnsi" w:hint="eastAsia"/>
        </w:rPr>
        <w:instrText>Γ</w:instrText>
      </w:r>
      <w:r>
        <w:rPr>
          <w:rFonts w:cstheme="minorHAnsi" w:hint="eastAsia"/>
        </w:rPr>
        <w:instrText xml:space="preserve">fcc and the Gibbs free energy G were calculated using the regular solution model. The results show that aluminum increases </w:instrText>
      </w:r>
      <w:r>
        <w:rPr>
          <w:rFonts w:cstheme="minorHAnsi" w:hint="eastAsia"/>
        </w:rPr>
        <w:instrText>Γ</w:instrText>
      </w:r>
      <w:r>
        <w:rPr>
          <w:rFonts w:cstheme="minorHAnsi" w:hint="eastAsia"/>
        </w:rPr>
        <w:instrText xml:space="preserve">fcc and suppresses the </w:instrText>
      </w:r>
      <w:r>
        <w:rPr>
          <w:rFonts w:cstheme="minorHAnsi" w:hint="eastAsia"/>
        </w:rPr>
        <w:instrText>γ</w:instrText>
      </w:r>
      <w:r>
        <w:rPr>
          <w:rFonts w:cstheme="minorHAnsi" w:hint="eastAsia"/>
        </w:rPr>
        <w:instrText>fcc</w:instrText>
      </w:r>
      <w:r>
        <w:rPr>
          <w:rFonts w:cstheme="minorHAnsi" w:hint="eastAsia"/>
        </w:rPr>
        <w:instrText>→ε</w:instrText>
      </w:r>
      <w:r>
        <w:rPr>
          <w:rFonts w:cstheme="minorHAnsi" w:hint="eastAsia"/>
        </w:rPr>
        <w:instrText xml:space="preserve">hcpMs transformation, whereas silicon sustains the </w:instrText>
      </w:r>
      <w:r>
        <w:rPr>
          <w:rFonts w:cstheme="minorHAnsi" w:hint="eastAsia"/>
        </w:rPr>
        <w:instrText>γ</w:instrText>
      </w:r>
      <w:r>
        <w:rPr>
          <w:rFonts w:cstheme="minorHAnsi" w:hint="eastAsia"/>
        </w:rPr>
        <w:instrText>fcc</w:instrText>
      </w:r>
      <w:r>
        <w:rPr>
          <w:rFonts w:cstheme="minorHAnsi" w:hint="eastAsia"/>
        </w:rPr>
        <w:instrText>→ε</w:instrText>
      </w:r>
      <w:r>
        <w:rPr>
          <w:rFonts w:cstheme="minorHAnsi" w:hint="eastAsia"/>
        </w:rPr>
        <w:instrText xml:space="preserve">hcpMs transformation and decreases the stacking fault energy. At the critical value of </w:instrText>
      </w:r>
      <w:r>
        <w:rPr>
          <w:rFonts w:cstheme="minorHAnsi" w:hint="eastAsia"/>
        </w:rPr>
        <w:instrText>Γ</w:instrText>
      </w:r>
      <w:r>
        <w:rPr>
          <w:rFonts w:cstheme="minorHAnsi" w:hint="eastAsia"/>
        </w:rPr>
        <w:instrText>fcc</w:instrText>
      </w:r>
      <w:r>
        <w:rPr>
          <w:rFonts w:cstheme="minorHAnsi" w:hint="eastAsia"/>
        </w:rPr>
        <w:instrText>≈</w:instrText>
      </w:r>
      <w:r>
        <w:rPr>
          <w:rFonts w:cstheme="minorHAnsi" w:hint="eastAsia"/>
        </w:rPr>
        <w:instrText xml:space="preserve">25 mJ/mol and for </w:instrText>
      </w:r>
      <w:r>
        <w:rPr>
          <w:rFonts w:cstheme="minorHAnsi" w:hint="eastAsia"/>
        </w:rPr>
        <w:instrText>Δ</w:instrText>
      </w:r>
      <w:r>
        <w:rPr>
          <w:rFonts w:cstheme="minorHAnsi" w:hint="eastAsia"/>
        </w:rPr>
        <w:instrText>G</w:instrText>
      </w:r>
      <w:r>
        <w:rPr>
          <w:rFonts w:cstheme="minorHAnsi" w:hint="eastAsia"/>
        </w:rPr>
        <w:instrText>γ→ε</w:instrText>
      </w:r>
      <w:r>
        <w:rPr>
          <w:rFonts w:cstheme="minorHAnsi" w:hint="eastAsia"/>
        </w:rPr>
        <w:instrText>&gt;0, the twinning mechanism is favored. At lower stacking fault energy of (</w:instrText>
      </w:r>
      <w:r>
        <w:rPr>
          <w:rFonts w:cstheme="minorHAnsi" w:hint="eastAsia"/>
        </w:rPr>
        <w:instrText>Γ</w:instrText>
      </w:r>
      <w:r>
        <w:rPr>
          <w:rFonts w:cstheme="minorHAnsi" w:hint="eastAsia"/>
        </w:rPr>
        <w:instrText xml:space="preserve">fcc&lt;16 mJ/mol and for </w:instrText>
      </w:r>
      <w:r>
        <w:rPr>
          <w:rFonts w:cstheme="minorHAnsi" w:hint="eastAsia"/>
        </w:rPr>
        <w:instrText>Δ</w:instrText>
      </w:r>
      <w:r>
        <w:rPr>
          <w:rFonts w:cstheme="minorHAnsi" w:hint="eastAsia"/>
        </w:rPr>
        <w:instrText>G</w:instrText>
      </w:r>
      <w:r>
        <w:rPr>
          <w:rFonts w:cstheme="minorHAnsi" w:hint="eastAsia"/>
        </w:rPr>
        <w:instrText>γ→ε</w:instrText>
      </w:r>
      <w:r>
        <w:rPr>
          <w:rFonts w:cstheme="minorHAnsi" w:hint="eastAsia"/>
        </w:rPr>
        <w:instrText>&gt;0, martensitic phase transformation will be the governing deformation</w:instrText>
      </w:r>
      <w:r>
        <w:rPr>
          <w:rFonts w:cstheme="minorHAnsi"/>
        </w:rPr>
        <w:instrText xml:space="preserve"> mechanism.The excellent ductility and the enhanced impact properties enable complex deep drawing or stretch forming operations of sheets and the fabrication of crash absorbing frame structures.","author":[{"dropping-particle":"","family":"Frommeyer","given":"Georg","non-dropping-particle":"","parse-names":false,"suffix":""},{"dropping-particle":"","family":"Brüx","given":"Udo","non-dropping-particle":"","parse-names":false,"suffix":""},{"dropping-particle":"","family":"Neumann","given":"Peter","non-dropping-particle":"","parse-names":false,"suffix":""}],"container-title":"ISIJ International","id":"ITEM-4","issued":{"date-parts":[["2003"]]},"title":"Supra-Ductile and High-Strength Manganese-TRIP/TWIP Steels for High Energy Absorption Purposes.","type":"article-journal"},"uris":["http://www.mendeley.com/documents/?uuid=09bb2d40-c6ec-4fbe-b43a-1ab4db7c4088"]}],"mendeley":{"formattedCitation":"[2,4,6,7]","plainTextFormattedCitation":"[2,4,6,7]","previouslyFormattedCitation":"[2,4,6,7]"},"properties":{"noteIndex":0},"schema":"https://github.com/citation-style-language/schema/raw/master/csl-citation.json"}</w:instrText>
      </w:r>
      <w:r w:rsidRPr="006E5260">
        <w:rPr>
          <w:rFonts w:cstheme="minorHAnsi"/>
        </w:rPr>
        <w:fldChar w:fldCharType="separate"/>
      </w:r>
      <w:r w:rsidRPr="00631636">
        <w:rPr>
          <w:rFonts w:cstheme="minorHAnsi"/>
          <w:noProof/>
        </w:rPr>
        <w:t>[2,4,6,7]</w:t>
      </w:r>
      <w:r w:rsidRPr="006E5260">
        <w:rPr>
          <w:rFonts w:cstheme="minorHAnsi"/>
        </w:rPr>
        <w:fldChar w:fldCharType="end"/>
      </w:r>
      <w:r w:rsidRPr="006E5260">
        <w:rPr>
          <w:rFonts w:cstheme="minorHAnsi"/>
        </w:rPr>
        <w:t xml:space="preserve">, </w:t>
      </w:r>
      <w:r>
        <w:rPr>
          <w:rFonts w:cstheme="minorHAnsi"/>
        </w:rPr>
        <w:t xml:space="preserve">in addition to </w:t>
      </w:r>
      <w:r w:rsidRPr="006E5260">
        <w:rPr>
          <w:rFonts w:cstheme="minorHAnsi"/>
          <w:noProof/>
        </w:rPr>
        <w:t>differences</w:t>
      </w:r>
      <w:r w:rsidRPr="006E5260">
        <w:rPr>
          <w:rFonts w:cstheme="minorHAnsi"/>
        </w:rPr>
        <w:t xml:space="preserve"> in phase stabilities between austenite and martensite</w:t>
      </w:r>
      <w:r>
        <w:rPr>
          <w:rFonts w:cstheme="minorHAnsi"/>
        </w:rPr>
        <w:t xml:space="preserve"> [4,8,9]</w:t>
      </w:r>
      <w:r w:rsidRPr="006E5260">
        <w:rPr>
          <w:rFonts w:cstheme="minorHAnsi"/>
        </w:rPr>
        <w:t>.</w:t>
      </w:r>
      <w:r w:rsidRPr="006E5260">
        <w:rPr>
          <w:rFonts w:cstheme="minorHAnsi"/>
          <w:noProof/>
        </w:rPr>
        <w:t xml:space="preserve"> </w:t>
      </w:r>
      <w:r>
        <w:rPr>
          <w:rFonts w:cstheme="minorHAnsi"/>
          <w:noProof/>
        </w:rPr>
        <w:t>Two</w:t>
      </w:r>
      <w:r w:rsidRPr="006E5260">
        <w:rPr>
          <w:rFonts w:cstheme="minorHAnsi"/>
          <w:noProof/>
        </w:rPr>
        <w:t xml:space="preserve"> examples</w:t>
      </w:r>
      <w:r w:rsidRPr="006E5260">
        <w:rPr>
          <w:rFonts w:cstheme="minorHAnsi"/>
        </w:rPr>
        <w:t xml:space="preserve"> include </w:t>
      </w:r>
      <w:r>
        <w:rPr>
          <w:rFonts w:cstheme="minorHAnsi"/>
        </w:rPr>
        <w:t>the Mn</w:t>
      </w:r>
      <w:r w:rsidRPr="006E5260">
        <w:rPr>
          <w:rFonts w:cstheme="minorHAnsi"/>
        </w:rPr>
        <w:t xml:space="preserve"> content in TRIP/TWIP steel and β </w:t>
      </w:r>
      <w:r w:rsidRPr="006E5260">
        <w:rPr>
          <w:rFonts w:cstheme="minorHAnsi"/>
          <w:noProof/>
        </w:rPr>
        <w:t>stabilisers</w:t>
      </w:r>
      <w:r w:rsidRPr="006E5260">
        <w:rPr>
          <w:rFonts w:cstheme="minorHAnsi"/>
        </w:rPr>
        <w:t xml:space="preserve"> in </w:t>
      </w:r>
      <w:r w:rsidRPr="006E5260">
        <w:rPr>
          <w:rFonts w:cstheme="minorHAnsi"/>
          <w:noProof/>
        </w:rPr>
        <w:t>β-Ti</w:t>
      </w:r>
      <w:r w:rsidRPr="006E5260">
        <w:rPr>
          <w:rFonts w:cstheme="minorHAnsi"/>
        </w:rPr>
        <w:t xml:space="preserve"> alloys. However, in most </w:t>
      </w:r>
      <w:r w:rsidRPr="006E5260">
        <w:rPr>
          <w:rFonts w:cstheme="minorHAnsi"/>
          <w:noProof/>
        </w:rPr>
        <w:t>cases,</w:t>
      </w:r>
      <w:r w:rsidRPr="006E5260">
        <w:rPr>
          <w:rFonts w:cstheme="minorHAnsi"/>
        </w:rPr>
        <w:t xml:space="preserve"> the effects of </w:t>
      </w:r>
      <w:r w:rsidRPr="006E5260">
        <w:rPr>
          <w:rFonts w:cstheme="minorHAnsi"/>
          <w:noProof/>
        </w:rPr>
        <w:t>TRIP</w:t>
      </w:r>
      <w:r w:rsidRPr="006E5260">
        <w:rPr>
          <w:rFonts w:cstheme="minorHAnsi"/>
        </w:rPr>
        <w:t xml:space="preserve"> and TWIP </w:t>
      </w:r>
      <w:r>
        <w:rPr>
          <w:rFonts w:cstheme="minorHAnsi"/>
        </w:rPr>
        <w:t>do not</w:t>
      </w:r>
      <w:r w:rsidRPr="006E5260">
        <w:rPr>
          <w:rFonts w:cstheme="minorHAnsi"/>
        </w:rPr>
        <w:t xml:space="preserve"> balance </w:t>
      </w:r>
      <w:r>
        <w:rPr>
          <w:rFonts w:cstheme="minorHAnsi"/>
        </w:rPr>
        <w:t>particularly well</w:t>
      </w:r>
      <w:r w:rsidRPr="006E5260">
        <w:rPr>
          <w:rFonts w:cstheme="minorHAnsi"/>
        </w:rPr>
        <w:t xml:space="preserve"> and </w:t>
      </w:r>
      <w:r>
        <w:rPr>
          <w:rFonts w:cstheme="minorHAnsi"/>
        </w:rPr>
        <w:t xml:space="preserve">thus </w:t>
      </w:r>
      <w:r w:rsidRPr="006E5260">
        <w:rPr>
          <w:rFonts w:cstheme="minorHAnsi"/>
        </w:rPr>
        <w:t xml:space="preserve">result in distinct plastic instability. </w:t>
      </w:r>
      <w:r>
        <w:rPr>
          <w:rFonts w:cstheme="minorHAnsi"/>
        </w:rPr>
        <w:t>This holds true for</w:t>
      </w:r>
      <w:r w:rsidRPr="006E5260">
        <w:rPr>
          <w:rFonts w:cstheme="minorHAnsi"/>
        </w:rPr>
        <w:t xml:space="preserve"> metastable β</w:t>
      </w:r>
      <w:r>
        <w:rPr>
          <w:rFonts w:cstheme="minorHAnsi"/>
        </w:rPr>
        <w:t>-</w:t>
      </w:r>
      <w:r w:rsidRPr="006E5260">
        <w:rPr>
          <w:rFonts w:cstheme="minorHAnsi"/>
        </w:rPr>
        <w:t>Ti alloy</w:t>
      </w:r>
      <w:r>
        <w:rPr>
          <w:rFonts w:cstheme="minorHAnsi"/>
        </w:rPr>
        <w:t>s</w:t>
      </w:r>
      <w:r w:rsidRPr="006E5260">
        <w:rPr>
          <w:rFonts w:cstheme="minorHAnsi"/>
        </w:rPr>
        <w:t xml:space="preserve">, </w:t>
      </w:r>
      <w:r>
        <w:rPr>
          <w:rFonts w:cstheme="minorHAnsi"/>
        </w:rPr>
        <w:t xml:space="preserve">where </w:t>
      </w:r>
      <w:r w:rsidRPr="006E5260">
        <w:rPr>
          <w:rFonts w:cstheme="minorHAnsi"/>
        </w:rPr>
        <w:t>high</w:t>
      </w:r>
      <w:r>
        <w:rPr>
          <w:rFonts w:cstheme="minorHAnsi"/>
        </w:rPr>
        <w:t xml:space="preserve"> levels of </w:t>
      </w:r>
      <w:r w:rsidRPr="006E5260">
        <w:rPr>
          <w:rFonts w:cstheme="minorHAnsi"/>
        </w:rPr>
        <w:t>work hardening</w:t>
      </w:r>
      <w:r>
        <w:rPr>
          <w:rFonts w:cstheme="minorHAnsi"/>
        </w:rPr>
        <w:t xml:space="preserve"> occur as a result of TRIP during the early stages of deformation; however, as deformation proceeds, the level of work hardening diminishes</w:t>
      </w:r>
      <w:r w:rsidRPr="006E5260">
        <w:rPr>
          <w:rFonts w:cstheme="minorHAnsi"/>
        </w:rPr>
        <w:t xml:space="preserve"> </w:t>
      </w:r>
      <w:r w:rsidRPr="006E5260">
        <w:rPr>
          <w:rFonts w:cstheme="minorHAnsi"/>
        </w:rPr>
        <w:fldChar w:fldCharType="begin" w:fldLock="1"/>
      </w:r>
      <w:r>
        <w:rPr>
          <w:rFonts w:cstheme="minorHAnsi"/>
        </w:rPr>
        <w:instrText>ADDIN CSL_CITATION {"citationItems":[{"id":"ITEM-1","itemData":{"DOI":"10.1016/S1359-6454(03)00239-8","ISBN":"1359-6454","ISSN":"13596454","abstract":"The purpose of this study is to investigate the role of deformation twinning in the strain-hardening behavior of high purity, polycrystalline α-titanium in a number of different deformation modes. Constant strain rate tests were conducted on this material in simple compression, plane-strain compression and simple shear, and the true stress (σ)-true strain (ε) responses were documented. From the measured data, the strain hardening rates were numerically computed, normalized by the shear modulus (G), and plotted against both normalized stress and ε. These normalized strain hardening plots exhibited three distinct stages of strain hardening that were similar to those observed in previous studies on low stacking fault energy fcc metals (e.g. 70/30 brass) in which deformation twinning has been known to play an important role. Optical microscopy and Orientation imaging microscopy were conducted on samples deformed to different strain levels in the various deformation paths. It was found that the onset of deformation twinning correlated with a sudden increase in strain hardening rate in compression tests. The falling strain hardening rate correlated with saturation in the twin volume fraction. In shear testing a much lower rate of strain hardening was found, at all strains, and this correlated with a lower density of deformation twinning. © 2003 Acta Materialia Inc. Published by Elsevier Science Ltd. All rights reserved.","author":[{"dropping-particle":"","family":"Salem","given":"Ayman A.","non-dropping-particle":"","parse-names":false,"suffix":""},{"dropping-particle":"","family":"Kalidindi","given":"Surya R.","non-dropping-particle":"","parse-names":false,"suffix":""},{"dropping-particle":"","family":"Doherty","given":"Roger D.","non-dropping-particle":"","parse-names":false,"suffix":""}],"container-title":"Acta Materialia","id":"ITEM-1","issued":{"date-parts":[["2003"]]},"title":"Strain hardening of titanium: Role of deformation twinning","type":"article-journal"},"uris":["http://www.mendeley.com/documents/?uuid=5eb1a6d5-41df-405e-941a-62fba8c0d002"]},{"id":"ITEM-2","itemData":{"DOI":"10.1016/j.msea.2006.02.329","ISBN":"09215093","ISSN":"09215093","PMID":"24372748","abstract":"The constituent phases and associated deformed microstructure of the quenched Ti-xNb-(0.5-1.5) at.% Si alloy consisting of non-cytotoxicity elements, where x = 24-30 at.%, were investigated to provide pseudoelasticity for biomedical and sensor applications. Optical microscopy revealed that stress-induced martensitic transformation takes place during the deformation in the present alloys. It is confirmed from the X-ray diffraction results</w:instrText>
      </w:r>
      <w:r>
        <w:rPr>
          <w:rFonts w:cstheme="minorHAnsi" w:hint="eastAsia"/>
        </w:rPr>
        <w:instrText xml:space="preserve"> of the deformed specimens that the crystal structure of the stress-induced martensite phase is the orthorhombic so-called </w:instrText>
      </w:r>
      <w:r>
        <w:rPr>
          <w:rFonts w:cstheme="minorHAnsi" w:hint="eastAsia"/>
        </w:rPr>
        <w:instrText>α″</w:instrText>
      </w:r>
      <w:r>
        <w:rPr>
          <w:rFonts w:cstheme="minorHAnsi" w:hint="eastAsia"/>
        </w:rPr>
        <w:instrText xml:space="preserve"> structure. Within the alloys having </w:instrText>
      </w:r>
      <w:r>
        <w:rPr>
          <w:rFonts w:cstheme="minorHAnsi" w:hint="eastAsia"/>
        </w:rPr>
        <w:instrText>β</w:instrText>
      </w:r>
      <w:r>
        <w:rPr>
          <w:rFonts w:cstheme="minorHAnsi" w:hint="eastAsia"/>
        </w:rPr>
        <w:instrText>(bcc) phase studied Nb-poor region appeared to exhibit a dominant behavior for stress-induce</w:instrText>
      </w:r>
      <w:r>
        <w:rPr>
          <w:rFonts w:cstheme="minorHAnsi"/>
        </w:rPr>
        <w:instrText>d martensitic transformation than Nb-rich region. This result suggests that metastable β phase is superior to stable β phase for the occurrence of stress-induced martensitic transformation in the present alloy system. © 2006 Elsevier B.V. All rights reserved.","author":[{"dropping-particle":"","family":"Kim","given":"Han Sol","non-dropping-particle":"","parse-names":false,"suffix":""},{"dropping-particle":"","family":"Lim","given":"Sung Hwan","non-dropping-particle":"","parse-names":false,"suffix":""},{"dropping-particle":"","family":"Yeo","given":"In Dong","non-dropping-particle":"","parse-names":false,"suffix":""},{"dropping-particle":"","family":"Kim","given":"Won Yong","non-dropping-particle":"","parse-names":false,"suffix":""}],"container-title":"Materials Science and Engineering A","id":"ITEM-2","issued":{"date-parts":[["2007"]]},"title":"Stress-induced martensitic transformation of metastable β-titanium alloy","type":"article-journal"},"uris":["http://www.mendeley.com/documents/?uuid=2f642130-7a91-4aeb-a499-6eb1e90501cc"]}],"mendeley":{"formattedCitation":"[8,9]","plainTextFormattedCitation":"[8,9]","previouslyFormattedCitation":"[10,11]"},"properties":{"noteIndex":0},"schema":"https://github.com/citation-style-language/schema/raw/master/csl-citation.json"}</w:instrText>
      </w:r>
      <w:r w:rsidRPr="006E5260">
        <w:rPr>
          <w:rFonts w:cstheme="minorHAnsi"/>
        </w:rPr>
        <w:fldChar w:fldCharType="separate"/>
      </w:r>
      <w:r w:rsidRPr="008F7036">
        <w:rPr>
          <w:rFonts w:cstheme="minorHAnsi"/>
          <w:noProof/>
        </w:rPr>
        <w:t>[8,9]</w:t>
      </w:r>
      <w:r w:rsidRPr="006E5260">
        <w:rPr>
          <w:rFonts w:cstheme="minorHAnsi"/>
        </w:rPr>
        <w:fldChar w:fldCharType="end"/>
      </w:r>
      <w:r w:rsidRPr="006E5260">
        <w:rPr>
          <w:rFonts w:cstheme="minorHAnsi"/>
        </w:rPr>
        <w:t xml:space="preserve">. </w:t>
      </w:r>
      <w:r>
        <w:rPr>
          <w:rFonts w:cstheme="minorHAnsi"/>
        </w:rPr>
        <w:t>Investigations</w:t>
      </w:r>
      <w:r w:rsidRPr="006E5260">
        <w:rPr>
          <w:rFonts w:cstheme="minorHAnsi"/>
        </w:rPr>
        <w:t xml:space="preserve"> have been conducted to activate TWIP and TRIP simultaneously</w:t>
      </w:r>
      <w:r>
        <w:rPr>
          <w:rFonts w:cstheme="minorHAnsi"/>
        </w:rPr>
        <w:t>,</w:t>
      </w:r>
      <w:r w:rsidRPr="006E5260">
        <w:rPr>
          <w:rFonts w:cstheme="minorHAnsi"/>
        </w:rPr>
        <w:t xml:space="preserve"> to enable the </w:t>
      </w:r>
      <w:r>
        <w:rPr>
          <w:rFonts w:cstheme="minorHAnsi"/>
        </w:rPr>
        <w:t xml:space="preserve">work </w:t>
      </w:r>
      <w:r w:rsidRPr="006E5260">
        <w:rPr>
          <w:rFonts w:cstheme="minorHAnsi"/>
        </w:rPr>
        <w:t xml:space="preserve">hardening capacity to be sustained by </w:t>
      </w:r>
      <w:r>
        <w:rPr>
          <w:rFonts w:cstheme="minorHAnsi"/>
        </w:rPr>
        <w:t>the activation of</w:t>
      </w:r>
      <w:r w:rsidRPr="006E5260">
        <w:rPr>
          <w:rFonts w:cstheme="minorHAnsi"/>
        </w:rPr>
        <w:t xml:space="preserve"> TWIP. However, in most TWIP/TRIP alloys, due to differences in crystallographic structure and mechanical properties between </w:t>
      </w:r>
      <w:r>
        <w:rPr>
          <w:rFonts w:cstheme="minorHAnsi"/>
        </w:rPr>
        <w:t xml:space="preserve">the </w:t>
      </w:r>
      <w:r w:rsidRPr="006E5260">
        <w:rPr>
          <w:rFonts w:cstheme="minorHAnsi"/>
        </w:rPr>
        <w:t xml:space="preserve">primary phase and transformed phase, </w:t>
      </w:r>
      <w:r>
        <w:rPr>
          <w:rFonts w:cstheme="minorHAnsi"/>
        </w:rPr>
        <w:t xml:space="preserve">it is difficult for </w:t>
      </w:r>
      <w:r w:rsidRPr="006E5260">
        <w:rPr>
          <w:rFonts w:cstheme="minorHAnsi"/>
        </w:rPr>
        <w:t xml:space="preserve">TWIP </w:t>
      </w:r>
      <w:r>
        <w:rPr>
          <w:rFonts w:cstheme="minorHAnsi"/>
        </w:rPr>
        <w:t>to occur in</w:t>
      </w:r>
      <w:r w:rsidRPr="006E5260">
        <w:rPr>
          <w:rFonts w:cstheme="minorHAnsi"/>
        </w:rPr>
        <w:t xml:space="preserve"> both </w:t>
      </w:r>
      <w:r w:rsidR="00B17691">
        <w:rPr>
          <w:rFonts w:cstheme="minorHAnsi"/>
        </w:rPr>
        <w:t xml:space="preserve">the </w:t>
      </w:r>
      <w:r w:rsidRPr="006E5260">
        <w:rPr>
          <w:rFonts w:cstheme="minorHAnsi"/>
        </w:rPr>
        <w:t xml:space="preserve">martensite phase and austenite phase simultaneously. </w:t>
      </w:r>
      <w:r>
        <w:rPr>
          <w:rFonts w:cstheme="minorHAnsi"/>
          <w:noProof/>
        </w:rPr>
        <w:t>Therefore</w:t>
      </w:r>
      <w:r w:rsidRPr="006E5260">
        <w:rPr>
          <w:rFonts w:cstheme="minorHAnsi"/>
          <w:noProof/>
        </w:rPr>
        <w:t>,</w:t>
      </w:r>
      <w:r w:rsidRPr="006E5260">
        <w:rPr>
          <w:rFonts w:cstheme="minorHAnsi"/>
        </w:rPr>
        <w:t xml:space="preserve"> a </w:t>
      </w:r>
      <w:r w:rsidRPr="006E5260">
        <w:rPr>
          <w:rFonts w:cstheme="minorHAnsi"/>
          <w:noProof/>
        </w:rPr>
        <w:t>new</w:t>
      </w:r>
      <w:r w:rsidRPr="006E5260">
        <w:rPr>
          <w:rFonts w:cstheme="minorHAnsi"/>
        </w:rPr>
        <w:t xml:space="preserve"> strategy</w:t>
      </w:r>
      <w:r w:rsidRPr="006E5260">
        <w:rPr>
          <w:rFonts w:cstheme="minorHAnsi"/>
          <w:noProof/>
        </w:rPr>
        <w:t xml:space="preserve"> is</w:t>
      </w:r>
      <w:r w:rsidRPr="006E5260">
        <w:rPr>
          <w:rFonts w:cstheme="minorHAnsi"/>
        </w:rPr>
        <w:t xml:space="preserve"> </w:t>
      </w:r>
      <w:r>
        <w:rPr>
          <w:rFonts w:cstheme="minorHAnsi"/>
        </w:rPr>
        <w:t>required</w:t>
      </w:r>
      <w:r w:rsidRPr="006E5260">
        <w:rPr>
          <w:rFonts w:cstheme="minorHAnsi"/>
        </w:rPr>
        <w:t xml:space="preserve"> to overcome this limitation and </w:t>
      </w:r>
      <w:r>
        <w:rPr>
          <w:rFonts w:cstheme="minorHAnsi"/>
        </w:rPr>
        <w:t xml:space="preserve">hence </w:t>
      </w:r>
      <w:r w:rsidRPr="006E5260">
        <w:rPr>
          <w:rFonts w:cstheme="minorHAnsi"/>
          <w:noProof/>
        </w:rPr>
        <w:t>maximise</w:t>
      </w:r>
      <w:r w:rsidRPr="006E5260">
        <w:rPr>
          <w:rFonts w:cstheme="minorHAnsi"/>
        </w:rPr>
        <w:t xml:space="preserve"> the effect</w:t>
      </w:r>
      <w:r>
        <w:rPr>
          <w:rFonts w:cstheme="minorHAnsi"/>
        </w:rPr>
        <w:t>s</w:t>
      </w:r>
      <w:r w:rsidRPr="006E5260">
        <w:rPr>
          <w:rFonts w:cstheme="minorHAnsi"/>
        </w:rPr>
        <w:t xml:space="preserve"> of TWIP and TRIP to </w:t>
      </w:r>
      <w:r>
        <w:rPr>
          <w:rFonts w:cstheme="minorHAnsi"/>
          <w:noProof/>
        </w:rPr>
        <w:t>aid in the</w:t>
      </w:r>
      <w:r w:rsidRPr="006E5260">
        <w:rPr>
          <w:rFonts w:cstheme="minorHAnsi"/>
          <w:noProof/>
        </w:rPr>
        <w:t xml:space="preserve"> design</w:t>
      </w:r>
      <w:r w:rsidRPr="006E5260">
        <w:rPr>
          <w:rFonts w:cstheme="minorHAnsi"/>
        </w:rPr>
        <w:t xml:space="preserve"> </w:t>
      </w:r>
      <w:r>
        <w:rPr>
          <w:rFonts w:cstheme="minorHAnsi"/>
        </w:rPr>
        <w:t xml:space="preserve">of </w:t>
      </w:r>
      <w:r w:rsidRPr="006E5260">
        <w:rPr>
          <w:rFonts w:cstheme="minorHAnsi"/>
          <w:noProof/>
        </w:rPr>
        <w:t>high-performance</w:t>
      </w:r>
      <w:r w:rsidRPr="006E5260">
        <w:rPr>
          <w:rFonts w:cstheme="minorHAnsi"/>
        </w:rPr>
        <w:t xml:space="preserve"> structural alloys. </w:t>
      </w:r>
    </w:p>
    <w:p w14:paraId="693FED4C" w14:textId="6C5DB5BA" w:rsidR="00B145BE" w:rsidRPr="006E5260" w:rsidRDefault="00B145BE" w:rsidP="00B145BE">
      <w:pPr>
        <w:spacing w:afterLines="60" w:after="144" w:line="360" w:lineRule="auto"/>
        <w:jc w:val="both"/>
        <w:rPr>
          <w:rFonts w:cstheme="minorHAnsi"/>
        </w:rPr>
      </w:pPr>
      <w:r>
        <w:rPr>
          <w:rFonts w:cstheme="minorHAnsi"/>
        </w:rPr>
        <w:t>On reviewing</w:t>
      </w:r>
      <w:r w:rsidRPr="006E5260">
        <w:rPr>
          <w:rFonts w:cstheme="minorHAnsi"/>
        </w:rPr>
        <w:t xml:space="preserve"> the experimental result</w:t>
      </w:r>
      <w:r>
        <w:rPr>
          <w:rFonts w:cstheme="minorHAnsi"/>
        </w:rPr>
        <w:t>s</w:t>
      </w:r>
      <w:r w:rsidRPr="006E5260">
        <w:rPr>
          <w:rFonts w:cstheme="minorHAnsi"/>
        </w:rPr>
        <w:t xml:space="preserve"> discussed </w:t>
      </w:r>
      <w:r>
        <w:rPr>
          <w:rFonts w:cstheme="minorHAnsi"/>
        </w:rPr>
        <w:t>in Chapter 5</w:t>
      </w:r>
      <w:r w:rsidRPr="006E5260">
        <w:rPr>
          <w:rFonts w:cstheme="minorHAnsi"/>
        </w:rPr>
        <w:t xml:space="preserve">, </w:t>
      </w:r>
      <w:r w:rsidRPr="006E5260">
        <w:rPr>
          <w:rFonts w:cstheme="minorHAnsi"/>
          <w:noProof/>
        </w:rPr>
        <w:t>by</w:t>
      </w:r>
      <w:r w:rsidRPr="006E5260">
        <w:rPr>
          <w:rFonts w:cstheme="minorHAnsi"/>
        </w:rPr>
        <w:t xml:space="preserve"> lowering the content of Ta, the β phase stability of TiZrHfTa</w:t>
      </w:r>
      <w:r w:rsidRPr="006E5260">
        <w:rPr>
          <w:rFonts w:cstheme="minorHAnsi"/>
          <w:vertAlign w:val="subscript"/>
        </w:rPr>
        <w:t>x</w:t>
      </w:r>
      <w:r>
        <w:rPr>
          <w:rFonts w:cstheme="minorHAnsi"/>
          <w:vertAlign w:val="subscript"/>
        </w:rPr>
        <w:t xml:space="preserve"> (x=0.5-1.0)</w:t>
      </w:r>
      <w:r w:rsidRPr="006E5260">
        <w:rPr>
          <w:rFonts w:cstheme="minorHAnsi"/>
        </w:rPr>
        <w:t xml:space="preserve"> series RHEA alloy</w:t>
      </w:r>
      <w:r>
        <w:rPr>
          <w:rFonts w:cstheme="minorHAnsi"/>
        </w:rPr>
        <w:t>s</w:t>
      </w:r>
      <w:r w:rsidRPr="006E5260">
        <w:rPr>
          <w:rFonts w:cstheme="minorHAnsi"/>
        </w:rPr>
        <w:t xml:space="preserve"> was successfully decreased and resulted in simultaneously activated TWIP and TRIP. </w:t>
      </w:r>
      <w:r>
        <w:rPr>
          <w:rFonts w:cstheme="minorHAnsi"/>
        </w:rPr>
        <w:t>The enhanced</w:t>
      </w:r>
      <w:r w:rsidRPr="006E5260">
        <w:rPr>
          <w:rFonts w:cstheme="minorHAnsi"/>
        </w:rPr>
        <w:t xml:space="preserve"> strain hardening capacity</w:t>
      </w:r>
      <w:r>
        <w:rPr>
          <w:rFonts w:cstheme="minorHAnsi"/>
        </w:rPr>
        <w:t xml:space="preserve"> observed for</w:t>
      </w:r>
      <w:r w:rsidRPr="006E5260">
        <w:rPr>
          <w:rFonts w:cstheme="minorHAnsi"/>
        </w:rPr>
        <w:t xml:space="preserve"> TiZrHfTa</w:t>
      </w:r>
      <w:r w:rsidRPr="006E5260">
        <w:rPr>
          <w:rFonts w:cstheme="minorHAnsi"/>
          <w:vertAlign w:val="subscript"/>
        </w:rPr>
        <w:t>0.5</w:t>
      </w:r>
      <w:r w:rsidRPr="006E5260">
        <w:rPr>
          <w:rFonts w:cstheme="minorHAnsi"/>
        </w:rPr>
        <w:t xml:space="preserve"> indicat</w:t>
      </w:r>
      <w:r>
        <w:rPr>
          <w:rFonts w:cstheme="minorHAnsi"/>
        </w:rPr>
        <w:t>ed</w:t>
      </w:r>
      <w:r w:rsidRPr="006E5260">
        <w:rPr>
          <w:rFonts w:cstheme="minorHAnsi"/>
        </w:rPr>
        <w:t xml:space="preserve"> </w:t>
      </w:r>
      <w:r w:rsidR="00B17691">
        <w:rPr>
          <w:rFonts w:cstheme="minorHAnsi"/>
        </w:rPr>
        <w:t xml:space="preserve">the </w:t>
      </w:r>
      <w:r>
        <w:rPr>
          <w:rFonts w:cstheme="minorHAnsi"/>
        </w:rPr>
        <w:t>existence of an</w:t>
      </w:r>
      <w:r w:rsidRPr="006E5260">
        <w:rPr>
          <w:rFonts w:cstheme="minorHAnsi"/>
        </w:rPr>
        <w:t xml:space="preserve"> unknown</w:t>
      </w:r>
      <w:r>
        <w:rPr>
          <w:rFonts w:cstheme="minorHAnsi"/>
        </w:rPr>
        <w:t xml:space="preserve"> </w:t>
      </w:r>
      <w:r w:rsidRPr="006E5260">
        <w:rPr>
          <w:rFonts w:cstheme="minorHAnsi"/>
        </w:rPr>
        <w:t>deformation mechanism</w:t>
      </w:r>
      <w:r w:rsidR="00B17691">
        <w:rPr>
          <w:rFonts w:cstheme="minorHAnsi"/>
        </w:rPr>
        <w:t>,</w:t>
      </w:r>
      <w:r w:rsidRPr="006E5260">
        <w:rPr>
          <w:rFonts w:cstheme="minorHAnsi"/>
        </w:rPr>
        <w:t xml:space="preserve"> </w:t>
      </w:r>
      <w:r>
        <w:rPr>
          <w:rFonts w:cstheme="minorHAnsi"/>
        </w:rPr>
        <w:t>which appeared to heavily influence this enhancement of strain hardening.</w:t>
      </w:r>
      <w:r w:rsidRPr="003B25EA">
        <w:rPr>
          <w:rFonts w:cstheme="minorHAnsi"/>
        </w:rPr>
        <w:t xml:space="preserve"> The cooperation of type I {111}</w:t>
      </w:r>
      <w:r w:rsidRPr="003B25EA">
        <w:rPr>
          <w:rFonts w:cstheme="minorHAnsi"/>
          <w:vertAlign w:val="subscript"/>
        </w:rPr>
        <w:t>α’’</w:t>
      </w:r>
      <w:r w:rsidRPr="003B25EA">
        <w:rPr>
          <w:rFonts w:cstheme="minorHAnsi"/>
        </w:rPr>
        <w:t xml:space="preserve"> with {011}</w:t>
      </w:r>
      <w:r w:rsidRPr="003B25EA">
        <w:rPr>
          <w:rFonts w:cstheme="minorHAnsi"/>
          <w:vertAlign w:val="subscript"/>
        </w:rPr>
        <w:t>α’’</w:t>
      </w:r>
      <w:r w:rsidRPr="003B25EA">
        <w:rPr>
          <w:rFonts w:cstheme="minorHAnsi"/>
        </w:rPr>
        <w:t xml:space="preserve"> compound self-accommodation</w:t>
      </w:r>
      <w:r>
        <w:rPr>
          <w:rFonts w:cstheme="minorHAnsi"/>
        </w:rPr>
        <w:t xml:space="preserve"> </w:t>
      </w:r>
      <w:r w:rsidRPr="003B25EA">
        <w:rPr>
          <w:rFonts w:cstheme="minorHAnsi"/>
        </w:rPr>
        <w:t>(SA) twin feature</w:t>
      </w:r>
      <w:r>
        <w:rPr>
          <w:rFonts w:cstheme="minorHAnsi"/>
        </w:rPr>
        <w:t>s</w:t>
      </w:r>
      <w:r w:rsidRPr="003B25EA">
        <w:rPr>
          <w:rFonts w:cstheme="minorHAnsi"/>
        </w:rPr>
        <w:t xml:space="preserve"> observed</w:t>
      </w:r>
      <w:r>
        <w:rPr>
          <w:rFonts w:cstheme="minorHAnsi"/>
        </w:rPr>
        <w:t xml:space="preserve"> in the deformed sample through</w:t>
      </w:r>
      <w:r w:rsidRPr="003B25EA">
        <w:rPr>
          <w:rFonts w:cstheme="minorHAnsi"/>
        </w:rPr>
        <w:t xml:space="preserve"> TEM</w:t>
      </w:r>
      <w:r>
        <w:rPr>
          <w:rFonts w:cstheme="minorHAnsi"/>
        </w:rPr>
        <w:t xml:space="preserve">, aided in determining the underlying deformation mechanism. </w:t>
      </w:r>
      <w:r w:rsidRPr="006E5260">
        <w:rPr>
          <w:rFonts w:cstheme="minorHAnsi"/>
        </w:rPr>
        <w:t xml:space="preserve">By conducting the </w:t>
      </w:r>
      <w:r w:rsidRPr="006E5260">
        <w:rPr>
          <w:rFonts w:cstheme="minorHAnsi"/>
          <w:noProof/>
        </w:rPr>
        <w:t>stereo-projection</w:t>
      </w:r>
      <w:r w:rsidRPr="006E5260">
        <w:rPr>
          <w:rFonts w:cstheme="minorHAnsi"/>
        </w:rPr>
        <w:t xml:space="preserve"> on </w:t>
      </w:r>
      <w:r>
        <w:rPr>
          <w:rFonts w:cstheme="minorHAnsi"/>
        </w:rPr>
        <w:t>the recorded</w:t>
      </w:r>
      <w:r w:rsidRPr="006E5260">
        <w:rPr>
          <w:rFonts w:cstheme="minorHAnsi"/>
        </w:rPr>
        <w:t xml:space="preserve"> TEM result in </w:t>
      </w:r>
      <w:r>
        <w:rPr>
          <w:rFonts w:cstheme="minorHAnsi"/>
        </w:rPr>
        <w:t>F</w:t>
      </w:r>
      <w:r w:rsidRPr="006E5260">
        <w:rPr>
          <w:rFonts w:cstheme="minorHAnsi"/>
        </w:rPr>
        <w:t xml:space="preserve">ig. </w:t>
      </w:r>
      <w:r>
        <w:rPr>
          <w:rFonts w:cstheme="minorHAnsi"/>
        </w:rPr>
        <w:t>5-</w:t>
      </w:r>
      <w:r w:rsidRPr="006E5260">
        <w:rPr>
          <w:rFonts w:cstheme="minorHAnsi"/>
        </w:rPr>
        <w:t>12, the lattice correspond</w:t>
      </w:r>
      <w:r>
        <w:rPr>
          <w:rFonts w:cstheme="minorHAnsi"/>
        </w:rPr>
        <w:t>ed to a</w:t>
      </w:r>
      <w:r w:rsidRPr="006E5260">
        <w:rPr>
          <w:rFonts w:cstheme="minorHAnsi"/>
        </w:rPr>
        <w:t xml:space="preserve"> β matrix orientation relationship (OR) between </w:t>
      </w:r>
      <w:r w:rsidRPr="006E5260">
        <w:rPr>
          <w:rFonts w:cstheme="minorHAnsi"/>
          <w:noProof/>
        </w:rPr>
        <w:t>type</w:t>
      </w:r>
      <w:r w:rsidRPr="006E5260">
        <w:rPr>
          <w:rFonts w:cstheme="minorHAnsi"/>
        </w:rPr>
        <w:t xml:space="preserve"> I {111}</w:t>
      </w:r>
      <w:r w:rsidRPr="006E5260">
        <w:rPr>
          <w:rFonts w:cstheme="minorHAnsi"/>
          <w:vertAlign w:val="subscript"/>
        </w:rPr>
        <w:t>α’’</w:t>
      </w:r>
      <w:r w:rsidRPr="006E5260">
        <w:rPr>
          <w:rFonts w:cstheme="minorHAnsi"/>
        </w:rPr>
        <w:t xml:space="preserve"> and</w:t>
      </w:r>
      <w:r>
        <w:rPr>
          <w:rFonts w:cstheme="minorHAnsi"/>
        </w:rPr>
        <w:t xml:space="preserve"> the</w:t>
      </w:r>
      <w:r w:rsidRPr="006E5260">
        <w:rPr>
          <w:rFonts w:cstheme="minorHAnsi"/>
        </w:rPr>
        <w:t xml:space="preserve"> {011}</w:t>
      </w:r>
      <w:r w:rsidRPr="006E5260">
        <w:rPr>
          <w:rFonts w:cstheme="minorHAnsi"/>
          <w:vertAlign w:val="subscript"/>
        </w:rPr>
        <w:t>α’’</w:t>
      </w:r>
      <w:r w:rsidRPr="006E5260">
        <w:rPr>
          <w:rFonts w:cstheme="minorHAnsi"/>
        </w:rPr>
        <w:t xml:space="preserve"> twin</w:t>
      </w:r>
      <w:r>
        <w:rPr>
          <w:rFonts w:cstheme="minorHAnsi"/>
        </w:rPr>
        <w:t>n</w:t>
      </w:r>
      <w:r w:rsidRPr="006E5260">
        <w:rPr>
          <w:rFonts w:cstheme="minorHAnsi"/>
        </w:rPr>
        <w:t>ed martensite variant was identified as {332}&lt;11-3&gt;</w:t>
      </w:r>
      <w:r w:rsidRPr="006E5260">
        <w:rPr>
          <w:rFonts w:cstheme="minorHAnsi"/>
          <w:vertAlign w:val="subscript"/>
        </w:rPr>
        <w:t>β</w:t>
      </w:r>
      <w:r w:rsidRPr="006E5260">
        <w:rPr>
          <w:rFonts w:cstheme="minorHAnsi"/>
        </w:rPr>
        <w:t xml:space="preserve"> twin</w:t>
      </w:r>
      <w:r w:rsidR="00B17691">
        <w:rPr>
          <w:rFonts w:cstheme="minorHAnsi"/>
        </w:rPr>
        <w:t>ning</w:t>
      </w:r>
      <w:r w:rsidRPr="006E5260">
        <w:rPr>
          <w:rFonts w:cstheme="minorHAnsi"/>
        </w:rPr>
        <w:t xml:space="preserve"> whose origin has </w:t>
      </w:r>
      <w:r>
        <w:rPr>
          <w:rFonts w:cstheme="minorHAnsi"/>
        </w:rPr>
        <w:t>presented a</w:t>
      </w:r>
      <w:r w:rsidRPr="006E5260">
        <w:rPr>
          <w:rFonts w:cstheme="minorHAnsi"/>
        </w:rPr>
        <w:t xml:space="preserve"> historical problem </w:t>
      </w:r>
      <w:r>
        <w:rPr>
          <w:rFonts w:cstheme="minorHAnsi"/>
        </w:rPr>
        <w:t>for</w:t>
      </w:r>
      <w:r w:rsidRPr="006E5260">
        <w:rPr>
          <w:rFonts w:cstheme="minorHAnsi"/>
        </w:rPr>
        <w:t xml:space="preserve"> metastable β-Ti alloys</w:t>
      </w:r>
      <w:r w:rsidRPr="006E5260">
        <w:rPr>
          <w:rFonts w:cstheme="minorHAnsi"/>
        </w:rPr>
        <w:fldChar w:fldCharType="begin" w:fldLock="1"/>
      </w:r>
      <w:r>
        <w:rPr>
          <w:rFonts w:cstheme="minorHAnsi"/>
        </w:rPr>
        <w:instrText>ADDIN CSL_CITATION {"citationItems":[{"id":"ITEM-1","itemData":{"DOI":"10.1016/j.actamat.2016.03.040","ISBN":"13596454","ISSN":"13596454","abstract":"{332} twinning, an unusual twinning mode in other body-centered cubic (bcc) metals and alloys, has been demonstrated to be a fundamental deformation mode in bcc metastable β titanium alloys. Recent studies suggest that this twinning mode plays an important role in enhancing the work hardening and thus improving the mechanical properties. Here, we studied the mechanism of this twinning mode in a metastable β Ti-36Nb-2Ta-3Zr (wt.%) alloy. Tensile tests were performed to induce the formation of {332} twins. By using electron backscatter diffraction, transmission electron microscopy and in situ scanning electron</w:instrText>
      </w:r>
      <w:r>
        <w:rPr>
          <w:rFonts w:cstheme="minorHAnsi" w:hint="eastAsia"/>
        </w:rPr>
        <w:instrText xml:space="preserve"> microscopy, the surface-to-bulk microstructures and the initiation and propagation of {332} twins were investigated. In addition to the previously reported high densities of straight dislocations within the twin, we have observed that an </w:instrText>
      </w:r>
      <w:r>
        <w:rPr>
          <w:rFonts w:cstheme="minorHAnsi" w:hint="eastAsia"/>
        </w:rPr>
        <w:instrText>α″</w:instrText>
      </w:r>
      <w:r>
        <w:rPr>
          <w:rFonts w:cstheme="minorHAnsi" w:hint="eastAsia"/>
        </w:rPr>
        <w:instrText xml:space="preserve"> martensite band is present near the surface adjacent to the twin. During annealing at 900</w:instrText>
      </w:r>
      <w:r>
        <w:rPr>
          <w:rFonts w:cstheme="minorHAnsi" w:hint="eastAsia"/>
        </w:rPr>
        <w:instrText>°</w:instrText>
      </w:r>
      <w:r>
        <w:rPr>
          <w:rFonts w:cstheme="minorHAnsi" w:hint="eastAsia"/>
        </w:rPr>
        <w:instrText xml:space="preserve">C, the </w:instrText>
      </w:r>
      <w:r>
        <w:rPr>
          <w:rFonts w:cstheme="minorHAnsi" w:hint="eastAsia"/>
        </w:rPr>
        <w:instrText>α″</w:instrText>
      </w:r>
      <w:r>
        <w:rPr>
          <w:rFonts w:cstheme="minorHAnsi" w:hint="eastAsia"/>
        </w:rPr>
        <w:instrText xml:space="preserve"> martensite band transforms into the adjacent twin rather than into the matrix, indicating that {332} twin nucleates within </w:instrText>
      </w:r>
      <w:r>
        <w:rPr>
          <w:rFonts w:cstheme="minorHAnsi" w:hint="eastAsia"/>
        </w:rPr>
        <w:instrText>α″</w:instrText>
      </w:r>
      <w:r>
        <w:rPr>
          <w:rFonts w:cstheme="minorHAnsi" w:hint="eastAsia"/>
        </w:rPr>
        <w:instrText xml:space="preserve"> martensite. Further evidence for this is the constitution of the twin in the initial stage of its formation, where the first portion formed consists of </w:instrText>
      </w:r>
      <w:r>
        <w:rPr>
          <w:rFonts w:cstheme="minorHAnsi" w:hint="eastAsia"/>
        </w:rPr>
        <w:instrText>α″</w:instrText>
      </w:r>
      <w:r>
        <w:rPr>
          <w:rFonts w:cstheme="minorHAnsi" w:hint="eastAsia"/>
        </w:rPr>
        <w:instrText xml:space="preserve"> martensite. During propagation, the twins propagating to the opposite directions can merge together when their lateral boundaries impinge on each other. Based on the experimental observations, an </w:instrText>
      </w:r>
      <w:r>
        <w:rPr>
          <w:rFonts w:cstheme="minorHAnsi" w:hint="eastAsia"/>
        </w:rPr>
        <w:instrText>α″</w:instrText>
      </w:r>
      <w:r>
        <w:rPr>
          <w:rFonts w:cstheme="minorHAnsi" w:hint="eastAsia"/>
        </w:rPr>
        <w:instrText>-assisted twinning mechanism is proposed and the origin of the dislocations within {332} twin is discussed accordingly.","author":[{"dropping-particle":"","family":"Lai","given":"M. J.","non-dropping</w:instrText>
      </w:r>
      <w:r>
        <w:rPr>
          <w:rFonts w:cstheme="minorHAnsi"/>
        </w:rPr>
        <w:instrText>-particle":"","parse-names":false,"suffix":""},{"dropping-particle":"","family":"Tasan","given":"C. C.","non-dropping-particle":"","parse-names":false,"suffix":""},{"dropping-particle":"","family":"Raabe","given":"D.","non-dropping-particle":"","parse-names":false,"suffix":""}],"container-title":"Acta Materialia","id":"ITEM-1","issued":{"date-parts":[["2016"]]},"title":"On the mechanism of {332} twinning in metastable β titanium alloys","type":"article-journal"},"uris":["http://www.mendeley.com/documents/?uuid=eaadc855-c7f9-40f7-b46f-94b49e458d47"]},{"id":"ITEM-2","itemData":{"DOI":"10.1016/j.actamat.2013.10.048","ISBN":"13596454 (ISSN)","ISSN":"13596454","abstract":"In this paper, the origin of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which is a unique twinning mode in metastable β-Ti alloys, was investigated. The possible twinning modes in metastable β-Ti alloys are derived by considering lattice instability in addition to the theory of the crystallography of deformation twinning. In order to consider lattice instability in the body-centered-cubic (bcc) structure, a modulated structure was proposed. We then clarify how the modulated structure facilitates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preferentially compared to other possible twinning modes by evaluating the magnitude of twinning shear and the complexity of shuffle. It was found that the lattice instability makes {112}</w:instrText>
      </w:r>
      <w:r>
        <w:rPr>
          <w:rFonts w:cstheme="minorHAnsi" w:hint="eastAsia"/>
        </w:rPr>
        <w:instrText>〈</w:instrText>
      </w:r>
      <w:r>
        <w:rPr>
          <w:rFonts w:cstheme="minorHAnsi"/>
        </w:rPr>
        <w:instrText>1̄1̄1</w:instrText>
      </w:r>
      <w:r>
        <w:rPr>
          <w:rFonts w:cstheme="minorHAnsi" w:hint="eastAsia"/>
        </w:rPr>
        <w:instrText>〉</w:instrText>
      </w:r>
      <w:r>
        <w:rPr>
          <w:rFonts w:cstheme="minorHAnsi"/>
        </w:rPr>
        <w:instrText xml:space="preserve"> twinning, which is a major twinning mode observed in alloys with stable bcc structure, unlikely to occur because the lattice modulation causes additional shuffling to form the {112}</w:instrText>
      </w:r>
      <w:r>
        <w:rPr>
          <w:rFonts w:cstheme="minorHAnsi" w:hint="eastAsia"/>
        </w:rPr>
        <w:instrText>〈</w:instrText>
      </w:r>
      <w:r>
        <w:rPr>
          <w:rFonts w:cstheme="minorHAnsi"/>
        </w:rPr>
        <w:instrText>1̄1̄1</w:instrText>
      </w:r>
      <w:r>
        <w:rPr>
          <w:rFonts w:cstheme="minorHAnsi" w:hint="eastAsia"/>
        </w:rPr>
        <w:instrText>〉</w:instrText>
      </w:r>
      <w:r>
        <w:rPr>
          <w:rFonts w:cstheme="minorHAnsi"/>
        </w:rPr>
        <w:instrText xml:space="preserve"> twin. It was also found that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is the most possible twinning mode in the modulated structure in terms of the magnitude of twinning shear and the complexity of shuffle. The new formation model of the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 presented in this study can explain how the lattice instability preferentially activates the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in metastable β-Ti alloys. © 2013 Acta Materialia Inc. Published by Elsevier Ltd. All rights reserved.","author":[{"dropping-particle":"","family":"Tobe","given":"Hirobumi","non-dropping-particle":"","parse-names":false,"suffix":""},{"dropping-particle":"","family":"Kim","given":"Hee Young","non-dropping-particle":"","parse-names":false,"suffix":""},{"dropping-particle":"","family":"Inamura","given":"Tomonari","non-dropping-particle":"","parse-names":false,"suffix":""},{"dropping-particle":"","family":"Hosoda","given":"Hideki","non-dropping-particle":"","parse-names":false,"suffix":""},{"dropping-particle":"","family":"Miyazaki","given":"Shuichi","non-dropping-particle":"","parse-names":false,"suffix":""}],"container-title":"Acta Materialia","id":"ITEM-2","issued":{"date-parts":[["2014"]]},"title":"Origin of {3 3 2} twinning in metastable β-Ti alloys","type":"article"},"uris":["http://www.mendeley.com/documents/?uuid=31b05719-f129-4d26-9b4e-0fcdda57e8af"]}],"mendeley":{"formattedCitation":"[10,11]","plainTextFormattedCitation":"[10,11]","previouslyFormattedCitation":"[12,13]"},"properties":{"noteIndex":0},"schema":"https://github.com/citation-style-language/schema/raw/master/csl-citation.json"}</w:instrText>
      </w:r>
      <w:r w:rsidRPr="006E5260">
        <w:rPr>
          <w:rFonts w:cstheme="minorHAnsi"/>
        </w:rPr>
        <w:fldChar w:fldCharType="separate"/>
      </w:r>
      <w:r w:rsidRPr="008F7036">
        <w:rPr>
          <w:rFonts w:cstheme="minorHAnsi"/>
          <w:noProof/>
        </w:rPr>
        <w:t>[10,11]</w:t>
      </w:r>
      <w:r w:rsidRPr="006E5260">
        <w:rPr>
          <w:rFonts w:cstheme="minorHAnsi"/>
        </w:rPr>
        <w:fldChar w:fldCharType="end"/>
      </w:r>
      <w:r w:rsidRPr="006E5260">
        <w:rPr>
          <w:rFonts w:cstheme="minorHAnsi"/>
        </w:rPr>
        <w:t>. Coincidentally,</w:t>
      </w:r>
      <w:r>
        <w:rPr>
          <w:rFonts w:cstheme="minorHAnsi"/>
        </w:rPr>
        <w:t xml:space="preserve"> for the</w:t>
      </w:r>
      <w:r w:rsidRPr="006E5260">
        <w:rPr>
          <w:rFonts w:cstheme="minorHAnsi"/>
        </w:rPr>
        <w:t xml:space="preserve"> deformed TiZrHfTa</w:t>
      </w:r>
      <w:r w:rsidRPr="006E5260">
        <w:rPr>
          <w:rFonts w:cstheme="minorHAnsi"/>
          <w:vertAlign w:val="subscript"/>
        </w:rPr>
        <w:t>0.5</w:t>
      </w:r>
      <w:r w:rsidRPr="006E5260">
        <w:rPr>
          <w:rFonts w:cstheme="minorHAnsi"/>
        </w:rPr>
        <w:t xml:space="preserve"> sample</w:t>
      </w:r>
      <w:r>
        <w:rPr>
          <w:rFonts w:cstheme="minorHAnsi"/>
        </w:rPr>
        <w:t>,</w:t>
      </w:r>
      <w:r w:rsidRPr="006E5260">
        <w:rPr>
          <w:rFonts w:cstheme="minorHAnsi"/>
        </w:rPr>
        <w:t xml:space="preserve"> a novel type II {351}&lt;-211&gt;</w:t>
      </w:r>
      <w:r w:rsidRPr="006E5260">
        <w:rPr>
          <w:rFonts w:cstheme="minorHAnsi"/>
          <w:vertAlign w:val="subscript"/>
        </w:rPr>
        <w:t>α’’</w:t>
      </w:r>
      <w:r w:rsidRPr="006E5260">
        <w:rPr>
          <w:rFonts w:cstheme="minorHAnsi"/>
        </w:rPr>
        <w:t xml:space="preserve"> SA twinning</w:t>
      </w:r>
      <w:r>
        <w:rPr>
          <w:rFonts w:cstheme="minorHAnsi"/>
        </w:rPr>
        <w:t xml:space="preserve"> was identified</w:t>
      </w:r>
      <w:r w:rsidRPr="006E5260">
        <w:rPr>
          <w:rFonts w:cstheme="minorHAnsi"/>
        </w:rPr>
        <w:t>, whose lattice correspond</w:t>
      </w:r>
      <w:r>
        <w:rPr>
          <w:rFonts w:cstheme="minorHAnsi"/>
        </w:rPr>
        <w:t>ed to</w:t>
      </w:r>
      <w:r w:rsidRPr="006E5260">
        <w:rPr>
          <w:rFonts w:cstheme="minorHAnsi"/>
        </w:rPr>
        <w:t xml:space="preserve"> </w:t>
      </w:r>
      <w:r w:rsidR="00B17691">
        <w:rPr>
          <w:rFonts w:cstheme="minorHAnsi"/>
        </w:rPr>
        <w:t xml:space="preserve">a </w:t>
      </w:r>
      <w:r w:rsidRPr="006E5260">
        <w:rPr>
          <w:rFonts w:cstheme="minorHAnsi"/>
        </w:rPr>
        <w:t>twinning mode in</w:t>
      </w:r>
      <w:r w:rsidR="00B17691">
        <w:rPr>
          <w:rFonts w:cstheme="minorHAnsi"/>
        </w:rPr>
        <w:t xml:space="preserve"> the</w:t>
      </w:r>
      <w:r w:rsidRPr="006E5260">
        <w:rPr>
          <w:rFonts w:cstheme="minorHAnsi"/>
        </w:rPr>
        <w:t xml:space="preserve"> β phase along</w:t>
      </w:r>
      <w:r>
        <w:rPr>
          <w:rFonts w:cstheme="minorHAnsi"/>
        </w:rPr>
        <w:t xml:space="preserve"> the</w:t>
      </w:r>
      <w:r w:rsidRPr="006E5260">
        <w:rPr>
          <w:rFonts w:cstheme="minorHAnsi"/>
        </w:rPr>
        <w:t xml:space="preserve"> {332}</w:t>
      </w:r>
      <w:r w:rsidRPr="006E5260">
        <w:rPr>
          <w:rFonts w:cstheme="minorHAnsi"/>
          <w:vertAlign w:val="subscript"/>
        </w:rPr>
        <w:t>β</w:t>
      </w:r>
      <w:r w:rsidRPr="006E5260">
        <w:rPr>
          <w:rFonts w:cstheme="minorHAnsi"/>
        </w:rPr>
        <w:t xml:space="preserve"> plane</w:t>
      </w:r>
      <w:r>
        <w:rPr>
          <w:rFonts w:cstheme="minorHAnsi"/>
        </w:rPr>
        <w:t>.</w:t>
      </w:r>
      <w:r w:rsidRPr="006E5260">
        <w:rPr>
          <w:rFonts w:cstheme="minorHAnsi"/>
        </w:rPr>
        <w:t xml:space="preserve"> Thus, considering the result</w:t>
      </w:r>
      <w:r>
        <w:rPr>
          <w:rFonts w:cstheme="minorHAnsi"/>
        </w:rPr>
        <w:t>s</w:t>
      </w:r>
      <w:r w:rsidRPr="006E5260">
        <w:rPr>
          <w:rFonts w:cstheme="minorHAnsi"/>
        </w:rPr>
        <w:t xml:space="preserve"> observed </w:t>
      </w:r>
      <w:r>
        <w:rPr>
          <w:rFonts w:cstheme="minorHAnsi"/>
        </w:rPr>
        <w:t>in Chapter 5</w:t>
      </w:r>
      <w:r w:rsidRPr="006E5260">
        <w:rPr>
          <w:rFonts w:cstheme="minorHAnsi"/>
        </w:rPr>
        <w:t>, a new deformation mechanism</w:t>
      </w:r>
      <w:r>
        <w:rPr>
          <w:rFonts w:cstheme="minorHAnsi"/>
        </w:rPr>
        <w:t xml:space="preserve"> was proposed,</w:t>
      </w:r>
      <w:r w:rsidRPr="006E5260">
        <w:rPr>
          <w:rFonts w:cstheme="minorHAnsi"/>
        </w:rPr>
        <w:t xml:space="preserve"> u</w:t>
      </w:r>
      <w:r w:rsidRPr="006E5260">
        <w:rPr>
          <w:rFonts w:cstheme="minorHAnsi"/>
          <w:noProof/>
        </w:rPr>
        <w:t>tilising</w:t>
      </w:r>
      <w:r w:rsidRPr="006E5260">
        <w:rPr>
          <w:rFonts w:cstheme="minorHAnsi"/>
        </w:rPr>
        <w:t xml:space="preserve"> the existing SA twin from TRIP and coherently </w:t>
      </w:r>
      <w:r w:rsidRPr="006E5260">
        <w:rPr>
          <w:rFonts w:cstheme="minorHAnsi"/>
          <w:noProof/>
        </w:rPr>
        <w:lastRenderedPageBreak/>
        <w:t>cooperat</w:t>
      </w:r>
      <w:r>
        <w:rPr>
          <w:rFonts w:cstheme="minorHAnsi"/>
          <w:noProof/>
        </w:rPr>
        <w:t>ing</w:t>
      </w:r>
      <w:r w:rsidRPr="006E5260">
        <w:rPr>
          <w:rFonts w:cstheme="minorHAnsi"/>
        </w:rPr>
        <w:t xml:space="preserve"> with the lattice correspond</w:t>
      </w:r>
      <w:r>
        <w:rPr>
          <w:rFonts w:cstheme="minorHAnsi"/>
        </w:rPr>
        <w:t>ing to the</w:t>
      </w:r>
      <w:r w:rsidRPr="006E5260">
        <w:rPr>
          <w:rFonts w:cstheme="minorHAnsi"/>
        </w:rPr>
        <w:t xml:space="preserve"> β phase mechanical twin </w:t>
      </w:r>
      <w:r w:rsidRPr="006E5260">
        <w:rPr>
          <w:rFonts w:cstheme="minorHAnsi"/>
          <w:noProof/>
        </w:rPr>
        <w:t>along</w:t>
      </w:r>
      <w:r w:rsidRPr="006E5260">
        <w:rPr>
          <w:rFonts w:cstheme="minorHAnsi"/>
        </w:rPr>
        <w:t xml:space="preserve"> the </w:t>
      </w:r>
      <w:r w:rsidRPr="006E5260">
        <w:rPr>
          <w:rFonts w:cstheme="minorHAnsi"/>
          <w:noProof/>
        </w:rPr>
        <w:t>favoured</w:t>
      </w:r>
      <w:r w:rsidRPr="006E5260">
        <w:rPr>
          <w:rFonts w:cstheme="minorHAnsi"/>
        </w:rPr>
        <w:t xml:space="preserve"> shear direction</w:t>
      </w:r>
      <w:r w:rsidRPr="006E5260">
        <w:rPr>
          <w:rFonts w:cstheme="minorHAnsi"/>
          <w:noProof/>
        </w:rPr>
        <w:t>.</w:t>
      </w:r>
      <w:r w:rsidRPr="006E5260">
        <w:rPr>
          <w:rFonts w:cstheme="minorHAnsi"/>
        </w:rPr>
        <w:t xml:space="preserve"> </w:t>
      </w:r>
      <w:r>
        <w:rPr>
          <w:rFonts w:cstheme="minorHAnsi"/>
        </w:rPr>
        <w:t>T</w:t>
      </w:r>
      <w:r w:rsidRPr="006E5260">
        <w:rPr>
          <w:rFonts w:cstheme="minorHAnsi"/>
        </w:rPr>
        <w:t xml:space="preserve">his new dynamic strength mechanism </w:t>
      </w:r>
      <w:r>
        <w:rPr>
          <w:rFonts w:cstheme="minorHAnsi"/>
        </w:rPr>
        <w:t xml:space="preserve">was </w:t>
      </w:r>
      <w:r w:rsidR="00B17691">
        <w:rPr>
          <w:rFonts w:cstheme="minorHAnsi"/>
        </w:rPr>
        <w:t xml:space="preserve">here </w:t>
      </w:r>
      <w:r>
        <w:rPr>
          <w:rFonts w:cstheme="minorHAnsi"/>
        </w:rPr>
        <w:t xml:space="preserve">termed </w:t>
      </w:r>
      <w:r w:rsidRPr="006E5260">
        <w:rPr>
          <w:rFonts w:cstheme="minorHAnsi"/>
        </w:rPr>
        <w:t xml:space="preserve">as </w:t>
      </w:r>
      <w:r>
        <w:rPr>
          <w:rFonts w:cstheme="minorHAnsi"/>
        </w:rPr>
        <w:t>T</w:t>
      </w:r>
      <w:r w:rsidRPr="006E5260">
        <w:rPr>
          <w:rFonts w:cstheme="minorHAnsi"/>
        </w:rPr>
        <w:t xml:space="preserve">winning </w:t>
      </w:r>
      <w:r>
        <w:rPr>
          <w:rFonts w:cstheme="minorHAnsi"/>
          <w:noProof/>
        </w:rPr>
        <w:t>T</w:t>
      </w:r>
      <w:r w:rsidRPr="006E5260">
        <w:rPr>
          <w:rFonts w:cstheme="minorHAnsi"/>
          <w:noProof/>
        </w:rPr>
        <w:t xml:space="preserve">ransformation </w:t>
      </w:r>
      <w:r>
        <w:rPr>
          <w:rFonts w:cstheme="minorHAnsi"/>
          <w:noProof/>
        </w:rPr>
        <w:t>I</w:t>
      </w:r>
      <w:r w:rsidRPr="006E5260">
        <w:rPr>
          <w:rFonts w:cstheme="minorHAnsi"/>
          <w:noProof/>
        </w:rPr>
        <w:t xml:space="preserve">nduced </w:t>
      </w:r>
      <w:r>
        <w:rPr>
          <w:rFonts w:cstheme="minorHAnsi"/>
          <w:noProof/>
        </w:rPr>
        <w:t>P</w:t>
      </w:r>
      <w:r w:rsidRPr="006E5260">
        <w:rPr>
          <w:rFonts w:cstheme="minorHAnsi"/>
          <w:noProof/>
        </w:rPr>
        <w:t>lasticity</w:t>
      </w:r>
      <w:r>
        <w:rPr>
          <w:rFonts w:cstheme="minorHAnsi"/>
          <w:noProof/>
        </w:rPr>
        <w:t xml:space="preserve"> </w:t>
      </w:r>
      <w:r w:rsidRPr="006E5260">
        <w:rPr>
          <w:rFonts w:cstheme="minorHAnsi"/>
          <w:noProof/>
        </w:rPr>
        <w:t>(TTIP)</w:t>
      </w:r>
      <w:r w:rsidRPr="006E5260">
        <w:rPr>
          <w:rFonts w:cstheme="minorHAnsi"/>
        </w:rPr>
        <w:t xml:space="preserve">. </w:t>
      </w:r>
    </w:p>
    <w:p w14:paraId="547F6D9A" w14:textId="333C712D" w:rsidR="00B145BE" w:rsidRPr="006E5260" w:rsidRDefault="00B145BE" w:rsidP="00B145BE">
      <w:pPr>
        <w:spacing w:afterLines="60" w:after="144" w:line="360" w:lineRule="auto"/>
        <w:jc w:val="both"/>
        <w:rPr>
          <w:rFonts w:cstheme="minorHAnsi"/>
        </w:rPr>
      </w:pPr>
      <w:r w:rsidRPr="006E5260">
        <w:rPr>
          <w:rFonts w:cstheme="minorHAnsi"/>
        </w:rPr>
        <w:t xml:space="preserve">In </w:t>
      </w:r>
      <w:r>
        <w:rPr>
          <w:rFonts w:cstheme="minorHAnsi"/>
        </w:rPr>
        <w:t>this chapter</w:t>
      </w:r>
      <w:r w:rsidRPr="006E5260">
        <w:rPr>
          <w:rFonts w:cstheme="minorHAnsi"/>
        </w:rPr>
        <w:t xml:space="preserve">, the </w:t>
      </w:r>
      <w:r w:rsidRPr="006E5260">
        <w:rPr>
          <w:rFonts w:cstheme="minorHAnsi"/>
          <w:noProof/>
        </w:rPr>
        <w:t>special</w:t>
      </w:r>
      <w:r w:rsidRPr="006E5260">
        <w:rPr>
          <w:rFonts w:cstheme="minorHAnsi"/>
        </w:rPr>
        <w:t xml:space="preserve"> twinning systems which </w:t>
      </w:r>
      <w:r w:rsidRPr="006E5260">
        <w:rPr>
          <w:rFonts w:cstheme="minorHAnsi"/>
          <w:noProof/>
        </w:rPr>
        <w:t>satisfy</w:t>
      </w:r>
      <w:r w:rsidRPr="006E5260">
        <w:rPr>
          <w:rFonts w:cstheme="minorHAnsi"/>
        </w:rPr>
        <w:t xml:space="preserve"> the </w:t>
      </w:r>
      <w:r>
        <w:rPr>
          <w:rFonts w:cstheme="minorHAnsi"/>
        </w:rPr>
        <w:t>activation</w:t>
      </w:r>
      <w:r w:rsidRPr="006E5260">
        <w:rPr>
          <w:rFonts w:cstheme="minorHAnsi"/>
        </w:rPr>
        <w:t xml:space="preserve"> condition</w:t>
      </w:r>
      <w:r>
        <w:rPr>
          <w:rFonts w:cstheme="minorHAnsi"/>
        </w:rPr>
        <w:t>s</w:t>
      </w:r>
      <w:r w:rsidRPr="006E5260">
        <w:rPr>
          <w:rFonts w:cstheme="minorHAnsi"/>
        </w:rPr>
        <w:t xml:space="preserve"> of TTIP </w:t>
      </w:r>
      <w:r w:rsidRPr="006E5260">
        <w:rPr>
          <w:rFonts w:cstheme="minorHAnsi"/>
          <w:noProof/>
        </w:rPr>
        <w:t>were derived</w:t>
      </w:r>
      <w:r>
        <w:rPr>
          <w:rFonts w:cstheme="minorHAnsi"/>
          <w:noProof/>
        </w:rPr>
        <w:t>, through</w:t>
      </w:r>
      <w:r w:rsidRPr="006E5260">
        <w:rPr>
          <w:rFonts w:cstheme="minorHAnsi"/>
        </w:rPr>
        <w:t xml:space="preserve"> the </w:t>
      </w:r>
      <w:r w:rsidRPr="006E5260">
        <w:rPr>
          <w:rFonts w:cstheme="minorHAnsi"/>
          <w:noProof/>
        </w:rPr>
        <w:t>infinitesimal</w:t>
      </w:r>
      <w:r w:rsidRPr="006E5260">
        <w:rPr>
          <w:rFonts w:cstheme="minorHAnsi"/>
        </w:rPr>
        <w:t xml:space="preserve"> deformation approach (IDA)</w:t>
      </w:r>
      <w:r>
        <w:rPr>
          <w:rFonts w:cstheme="minorHAnsi"/>
        </w:rPr>
        <w:t xml:space="preserve"> </w:t>
      </w:r>
      <w:r w:rsidRPr="006E5260">
        <w:rPr>
          <w:rFonts w:cstheme="minorHAnsi"/>
        </w:rPr>
        <w:fldChar w:fldCharType="begin" w:fldLock="1"/>
      </w:r>
      <w:r>
        <w:rPr>
          <w:rFonts w:cstheme="minorHAnsi"/>
        </w:rPr>
        <w:instrText>ADDIN CSL_CITATION {"citationItems":[{"id":"ITEM-1","itemData":{"DOI":"10.1080/14786430601003874","ISBN":"1478-6435","ISSN":"14786435","abstract":"11q","author":[{"dropping-particle":"","family":"Inamura","given":"T.","non-dropping-particle":"","parse-names":false,"suffix":""},{"dropping-particle":"","family":"Kim","given":"J. I.","non-dropping-particle":"","parse-names":false,"suffix":""},{"dropping-particle":"","family":"Kim","given":"H. Y.","non-dropping-particle":"","parse-names":false,"suffix":""},{"dropping-particle":"","family":"Hosoda","given":"H.","non-dropping-particle":"","parse-names":false,"suffix":""},{"dropping-particle":"","family":"Wakashima","given":"K.","non-dropping-particle":"","parse-names":false,"suffix":""},{"dropping-particle":"",</w:instrText>
      </w:r>
      <w:r>
        <w:rPr>
          <w:rFonts w:cstheme="minorHAnsi" w:hint="eastAsia"/>
        </w:rPr>
        <w:instrText xml:space="preserve">"family":"Miyazaki","given":"S.","non-dropping-particle":"","parse-names":false,"suffix":""}],"container-title":"Philosophical Magazine","id":"ITEM-1","issued":{"date-parts":[["2007"]]},"title":"Composition dependent crystallography of </w:instrText>
      </w:r>
      <w:r>
        <w:rPr>
          <w:rFonts w:cstheme="minorHAnsi" w:hint="eastAsia"/>
        </w:rPr>
        <w:instrText>α″</w:instrText>
      </w:r>
      <w:r>
        <w:rPr>
          <w:rFonts w:cstheme="minorHAnsi" w:hint="eastAsia"/>
        </w:rPr>
        <w:instrText>-martensite in Ti</w:instrText>
      </w:r>
      <w:r>
        <w:rPr>
          <w:rFonts w:cstheme="minorHAnsi"/>
        </w:rPr>
        <w:instrText>-Nb-based β-titanium alloy","type":"article-journal"},"uris":["http://www.mendeley.com/documents/?uuid=4ea84c35-d3ea-4315-8bc5-461397befc0b"]},{"id":"ITEM-2","itemData":{"DOI":"10.1063/1.1722021","ISBN":"0031-899X","ISSN":"00218979","abstract":"A theoretical analysis of the cubic to orthorhombic transformation is presented which predicts for a partly transformed crystal, the interface plane, orientation relationships, and macroscopic distortions from a knowledge only of the lattice parameters of the initial and final phases. Arguments are advanced to show that in order to minimize the strain energy associated with the transformation, the interface plane must be one of zero average distortion. This leads directly to considerations of an inhomogeneous product phase. Experimental studies on an AuCd alloy are described and the observed crystallographic features of the transformation compared with values calculated using the theory. The agreement between calculated and observed results for this alloy system as well as others is strong evidence for the theory of diffusionless phase transformations presented.","author":[{"dropping-particle":"","family":"Lieberman","given":"D. S.","non-dropping-particle":"","parse-names":false,"suffix":""},{"dropping-particle":"","family":"Wechsler","given":"M. S.","non-dropping-particle":"","parse-names":false,"suffix":""},{"dropping-particle":"","family":"Read","given":"T. A.","non-dropping-particle":"","parse-names":false,"suffix":""}],"container-title":"Journal of Applied Physics","id":"ITEM-2","issued":{"date-parts":[["1955"]]},"title":"Cubic to orthorhombic diffusionless phase change - Experimental and theoretical studies of AuCd","type":"article-journal"},"uris":["http://www.mendeley.com/documents/?uuid=8147d9ea-d37b-4964-9fc5-a543eccc1665","http://www.mendeley.com/documents/?uuid=ffa487d2-1350-410a-a4eb-4efeac525df5"]}],"mendeley":{"formattedCitation":"[12,13]","plainTextFormattedCitation":"[12,13]","previouslyFormattedCitation":"[14,15]"},"properties":{"noteIndex":0},"schema":"https://github.com/citation-style-language/schema/raw/master/csl-citation.json"}</w:instrText>
      </w:r>
      <w:r w:rsidRPr="006E5260">
        <w:rPr>
          <w:rFonts w:cstheme="minorHAnsi"/>
        </w:rPr>
        <w:fldChar w:fldCharType="separate"/>
      </w:r>
      <w:r w:rsidRPr="008F7036">
        <w:rPr>
          <w:rFonts w:cstheme="minorHAnsi"/>
          <w:noProof/>
        </w:rPr>
        <w:t>[12,13]</w:t>
      </w:r>
      <w:r w:rsidRPr="006E5260">
        <w:rPr>
          <w:rFonts w:cstheme="minorHAnsi"/>
        </w:rPr>
        <w:fldChar w:fldCharType="end"/>
      </w:r>
      <w:r w:rsidRPr="006E5260">
        <w:rPr>
          <w:rFonts w:cstheme="minorHAnsi"/>
        </w:rPr>
        <w:t xml:space="preserve"> and the theory of the crystallography of deformation twinning</w:t>
      </w:r>
      <w:r>
        <w:rPr>
          <w:rFonts w:cstheme="minorHAnsi"/>
        </w:rPr>
        <w:t xml:space="preserve"> </w:t>
      </w:r>
      <w:r w:rsidRPr="006E5260">
        <w:rPr>
          <w:rFonts w:cstheme="minorHAnsi"/>
        </w:rPr>
        <w:fldChar w:fldCharType="begin" w:fldLock="1"/>
      </w:r>
      <w:r>
        <w:rPr>
          <w:rFonts w:cstheme="minorHAnsi"/>
        </w:rPr>
        <w:instrText>ADDIN CSL_CITATION {"citationItems":[{"id":"ITEM-1","itemData":{"DOI":"10.1016/0001-6160(62)90056-1","ISBN":"00016160","ISSN":"00016160","abstract":"In view of the recent thin film work which has shown that at least some plates of martensite are twinned on a fine scale, the possible twinning modes of the martensite structure are examined in detail. These reduce to fourteen different shear modes, which are used as initial data for a current theory of martensite crystallography. It is shown that only six of these modes can in fact result in twinned martensite plates and a comparison of the corresponding predictions and the observed crystallographic features indicates that only one type of twinned martensite is likely to occur in practice. This type has been observed in several steels. Further developments of the theory which appear to be necessary in order to explain all the observed features are also discussed. © 1962.","author":[{"dropping-particle":"","family":"Crocker","given":"A. G.","non-dropping-particle":"","parse-names":false,"suffix":""}],"container-title":"Acta Metallurgica","id":"ITEM-1","issued":{"date-parts":[["1962"]]},"title":"Twinned martensite","type":"article-journal"},"uris":["http://www.mendeley.com/documents/?uuid=a9472a4c-54ba-4e8f-9fe1-08937f7684d1"]},{"id":"ITEM-2","itemData":{"DOI":"10.1098/rspa.1965.0216","ISBN":"00804630","ISSN":"1364-5021","abstract":"The crystallographic characteristics of deformation twinning are derived by considering the atomic movements which occur at the moving interface as a twin propagates. This is facilitated by making use of the notation of the tensor calculus, and general expressions, valid for all crystal structures, are obtained giving the magnitude of the twinning shear and relating the twinning elements for both type I and type II twinning. The atomic shuffles, which in general must accompany the twinning shear in both single and multiple lattice structures, are examined in detail and expressions are derived for their magnitudes and directions for the cases of the four classical orientation relationships associated with deformation twinning. The use of these expressions in predicting operative twinning modes is described and the relations between this theory and other recent theories of the crystallography of deformation twinning are discussed.","author":[{"dropping-particle":"","family":"Bilby","given":"B. A.","non-dropping-particle":"","parse-names":false,"suffix":""},{"dropping-particle":"","family":"Crocker","given":"A. G.","non-dropping-particle":"","parse-names":false,"suffix":""}],"container-title":"Proceedings of the Royal Society A: Mathematical, Physical and Engineering Sciences","id":"ITEM-2","issued":{"date-parts":[["1965"]]},"title":"The Theory of the Crystallography of Deformation Twinning","type":"article-journal"},"uris":["http://www.mendeley.com/documents/?uuid=c28e9e0b-8335-456b-a9e4-4b534d132ce5","http://www.mendeley.com/documents/?uuid=ca3bf999-34b5-458f-a1e3-c8bdfdffaa12"]}],"mendeley":{"formattedCitation":"[14,15]","plainTextFormattedCitation":"[14,15]","previouslyFormattedCitation":"[16,17]"},"properties":{"noteIndex":0},"schema":"https://github.com/citation-style-language/schema/raw/master/csl-citation.json"}</w:instrText>
      </w:r>
      <w:r w:rsidRPr="006E5260">
        <w:rPr>
          <w:rFonts w:cstheme="minorHAnsi"/>
        </w:rPr>
        <w:fldChar w:fldCharType="separate"/>
      </w:r>
      <w:r w:rsidRPr="008F7036">
        <w:rPr>
          <w:rFonts w:cstheme="minorHAnsi"/>
          <w:noProof/>
        </w:rPr>
        <w:t>[14,15]</w:t>
      </w:r>
      <w:r w:rsidRPr="006E5260">
        <w:rPr>
          <w:rFonts w:cstheme="minorHAnsi"/>
        </w:rPr>
        <w:fldChar w:fldCharType="end"/>
      </w:r>
      <w:r w:rsidRPr="006E5260">
        <w:rPr>
          <w:rFonts w:cstheme="minorHAnsi"/>
        </w:rPr>
        <w:t xml:space="preserve">. </w:t>
      </w:r>
      <w:r w:rsidRPr="006E5260">
        <w:rPr>
          <w:rFonts w:cstheme="minorHAnsi"/>
          <w:noProof/>
        </w:rPr>
        <w:t>Utilising</w:t>
      </w:r>
      <w:r w:rsidRPr="006E5260">
        <w:rPr>
          <w:rFonts w:cstheme="minorHAnsi"/>
        </w:rPr>
        <w:t xml:space="preserve"> the modulated structure model</w:t>
      </w:r>
      <w:r>
        <w:rPr>
          <w:rFonts w:cstheme="minorHAnsi"/>
        </w:rPr>
        <w:t xml:space="preserve"> </w:t>
      </w:r>
      <w:r w:rsidRPr="006E5260">
        <w:rPr>
          <w:rFonts w:cstheme="minorHAnsi"/>
        </w:rPr>
        <w:fldChar w:fldCharType="begin" w:fldLock="1"/>
      </w:r>
      <w:r>
        <w:rPr>
          <w:rFonts w:cstheme="minorHAnsi"/>
        </w:rPr>
        <w:instrText>ADDIN CSL_CITATION {"citationItems":[{"id":"ITEM-1","itemData":{"DOI":"10.1016/j.actamat.2013.10.048","ISBN":"13596454 (ISSN)","ISSN":"13596454","abstract":"In this paper, the origin of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which is a unique twinning mode in metastable β-Ti alloys, was investigated. The possible twinning modes in metastable β-Ti alloys are derived by considering lattice instability in addition to the theory of the crystallography of deformation twinning. In order to consider lattice instability in the body-centered-cubic (bcc) structure, a modulated structure was proposed. We then clarify how the modulated structure facilitates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preferentially compared to other possible twinning modes by evaluating the magnitude of twinning shear and the complexity of shuffle. It was found that the lattice instability makes {112}</w:instrText>
      </w:r>
      <w:r>
        <w:rPr>
          <w:rFonts w:cstheme="minorHAnsi" w:hint="eastAsia"/>
        </w:rPr>
        <w:instrText>〈</w:instrText>
      </w:r>
      <w:r>
        <w:rPr>
          <w:rFonts w:cstheme="minorHAnsi"/>
        </w:rPr>
        <w:instrText>1̄1̄1</w:instrText>
      </w:r>
      <w:r>
        <w:rPr>
          <w:rFonts w:cstheme="minorHAnsi" w:hint="eastAsia"/>
        </w:rPr>
        <w:instrText>〉</w:instrText>
      </w:r>
      <w:r>
        <w:rPr>
          <w:rFonts w:cstheme="minorHAnsi"/>
        </w:rPr>
        <w:instrText xml:space="preserve"> twinning, which is a major twinning mode observed in alloys with stable bcc structure, unlikely to occur because the lattice modulation causes additional shuffling to form the {112}</w:instrText>
      </w:r>
      <w:r>
        <w:rPr>
          <w:rFonts w:cstheme="minorHAnsi" w:hint="eastAsia"/>
        </w:rPr>
        <w:instrText>〈</w:instrText>
      </w:r>
      <w:r>
        <w:rPr>
          <w:rFonts w:cstheme="minorHAnsi"/>
        </w:rPr>
        <w:instrText>1̄1̄1</w:instrText>
      </w:r>
      <w:r>
        <w:rPr>
          <w:rFonts w:cstheme="minorHAnsi" w:hint="eastAsia"/>
        </w:rPr>
        <w:instrText>〉</w:instrText>
      </w:r>
      <w:r>
        <w:rPr>
          <w:rFonts w:cstheme="minorHAnsi"/>
        </w:rPr>
        <w:instrText xml:space="preserve"> twin. It was also found that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is the most possible twinning mode in the modulated structure in terms of the magnitude of twinning shear and the complexity of shuffle. The new formation model of the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 presented in this study can explain how the lattice instability preferentially activates the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in metastable β-Ti alloys. © 2013 Acta Materialia Inc. Published by Elsevier Ltd. All rights reserved.","author":[{"dropping-particle":"","family":"Tobe","given":"Hirobumi","non-dropping-particle":"","parse-names":false,"suffix":""},{"dropping-particle":"","family":"Kim","given":"Hee Young","non-dropping-particle":"","parse-names":false,"suffix":""},{"dropping-particle":"","family":"Inamura","given":"Tomonari","non-dropping-particle":"","parse-names":false,"suffix":""},{"dropping-particle":"","family":"Hosoda","given":"Hideki","non-dropping-particle":"","parse-names":false,"suffix":""},{"dropping-particle":"","family":"Miyazaki","given":"Shuichi","non-dropping-particle":"","parse-names":false,"suffix":""}],"container-title":"Acta Materialia","id":"ITEM-1","issued":{"date-parts":[["2014"]]},"title":"Origin of {3 3 2} twinning in metastable β-Ti alloys","type":"article"},"uris":["http://www.mendeley.com/documents/?uuid=31b05719-f129-4d26-9b4e-0fcdda57e8af"]},{"id":"ITEM-2","itemData":{"DOI":"10.1016/0022-3115(71)90077-8","ISBN":"0022-3115","ISSN":"00223115","abstract":"An analysis is given of the crystallography of deformation twinning in α-plutonium, which has sixteen atoms in its monoclinic unit cell. The 20 twinning modes with the smallest possible shears consistent with all or one-half of the lattice points shearing directly to correct twin positions are tabulated. However in a structure with this degree of complexity the atomic shuffles accompanying any twinning shear must, of necessity, be very involved. In order to analyse these shuffles a simple pseudo-structure with only two atoms in its monoclinic unit cell is introduced. The twinning modes in this structure which correspond to the 20 modes obtained previously for the true structure are then examined and it is deduced that only two modes are acceptable. These have twinning elements K1K2η1η2g given by (001) (2&amp;#x0304;01) [1&amp;#x0304;00] [102]; 0.159 (2&amp;#x0304;01) (001) [102] [1&amp;#x0304;00]; 0.159. These modes were also predicted in an earlier analysis by Sebilleau. The detailed atomic shuffles associated with these modes are examined in both the pseudo-structure and in the true structure and it is concluded that both modes are likely to operate in practice. However, consideration of the production of twinning dislocations in the two interfaces suggests that (2&amp;#x0304;01) twins are favoured. The predictions are consistent with the very limited amount of experimental information which is available. © 1971.","author":[{"dropping-particle":"","family":"Crocker","given":"A. G.","non-dropping-particle":"","parse-names":false,"suffix":""}],"container-title":"Journal of Nuclear Materials","id":"ITEM-2","issued":{"date-parts":[["1971"]]},"title":"The crystallography of deformation-twinning in alpha-plutonium","type":"article-journal"},"uris":["http://www.mendeley.com/documents/?uuid=7067708d-a896-4577-b5f9-e3788698327c","http://www.mendeley.com/documents/?uuid=458038aa-30e2-44a8-8a74-ec9c55602b9e"]}],"mendeley":{"formattedCitation":"[11,16]","plainTextFormattedCitation":"[11,16]","previouslyFormattedCitation":"[13,18]"},"properties":{"noteIndex":0},"schema":"https://github.com/citation-style-language/schema/raw/master/csl-citation.json"}</w:instrText>
      </w:r>
      <w:r w:rsidRPr="006E5260">
        <w:rPr>
          <w:rFonts w:cstheme="minorHAnsi"/>
        </w:rPr>
        <w:fldChar w:fldCharType="separate"/>
      </w:r>
      <w:r w:rsidRPr="008F7036">
        <w:rPr>
          <w:rFonts w:cstheme="minorHAnsi"/>
          <w:noProof/>
        </w:rPr>
        <w:t>[11,16]</w:t>
      </w:r>
      <w:r w:rsidRPr="006E5260">
        <w:rPr>
          <w:rFonts w:cstheme="minorHAnsi"/>
        </w:rPr>
        <w:fldChar w:fldCharType="end"/>
      </w:r>
      <w:r w:rsidRPr="006E5260">
        <w:rPr>
          <w:rFonts w:cstheme="minorHAnsi"/>
        </w:rPr>
        <w:t xml:space="preserve">, the origin and activation sequence of TTIP were simulated by following the magnitude of atomic shuffle displacement and twinning shear vectors. </w:t>
      </w:r>
      <w:r>
        <w:rPr>
          <w:rFonts w:cstheme="minorHAnsi"/>
        </w:rPr>
        <w:t>As a result of</w:t>
      </w:r>
      <w:r w:rsidRPr="006E5260">
        <w:rPr>
          <w:rFonts w:cstheme="minorHAnsi"/>
        </w:rPr>
        <w:t xml:space="preserve"> the accommodation process of type II &lt;-211&gt;</w:t>
      </w:r>
      <w:r w:rsidRPr="006E5260">
        <w:rPr>
          <w:rFonts w:cstheme="minorHAnsi"/>
          <w:vertAlign w:val="subscript"/>
        </w:rPr>
        <w:t>α’’</w:t>
      </w:r>
      <w:r w:rsidRPr="006E5260">
        <w:rPr>
          <w:rFonts w:cstheme="minorHAnsi"/>
        </w:rPr>
        <w:t xml:space="preserve"> SA twin</w:t>
      </w:r>
      <w:r>
        <w:rPr>
          <w:rFonts w:cstheme="minorHAnsi"/>
        </w:rPr>
        <w:t>, these results explained the development</w:t>
      </w:r>
      <w:r w:rsidRPr="006E5260">
        <w:rPr>
          <w:rFonts w:cstheme="minorHAnsi"/>
        </w:rPr>
        <w:t xml:space="preserve"> of abnormal {112}&lt;11-1&gt;</w:t>
      </w:r>
      <w:r w:rsidRPr="006E5260">
        <w:rPr>
          <w:rFonts w:cstheme="minorHAnsi"/>
          <w:vertAlign w:val="subscript"/>
        </w:rPr>
        <w:t>β</w:t>
      </w:r>
      <w:r w:rsidRPr="006E5260">
        <w:rPr>
          <w:rFonts w:cstheme="minorHAnsi"/>
        </w:rPr>
        <w:t xml:space="preserve"> and {332}&lt;11-3&gt;</w:t>
      </w:r>
      <w:r w:rsidRPr="006E5260">
        <w:rPr>
          <w:rFonts w:cstheme="minorHAnsi"/>
          <w:vertAlign w:val="subscript"/>
        </w:rPr>
        <w:t>β</w:t>
      </w:r>
      <w:r w:rsidRPr="006E5260">
        <w:rPr>
          <w:rFonts w:cstheme="minorHAnsi"/>
        </w:rPr>
        <w:t xml:space="preserve"> twinning cooperation </w:t>
      </w:r>
      <w:r>
        <w:rPr>
          <w:rFonts w:cstheme="minorHAnsi"/>
        </w:rPr>
        <w:t>which was reported in C</w:t>
      </w:r>
      <w:r w:rsidRPr="006E5260">
        <w:rPr>
          <w:rFonts w:cstheme="minorHAnsi"/>
        </w:rPr>
        <w:t>hapter 5</w:t>
      </w:r>
      <w:r>
        <w:rPr>
          <w:rFonts w:cstheme="minorHAnsi"/>
        </w:rPr>
        <w:t xml:space="preserve"> </w:t>
      </w:r>
      <w:r w:rsidRPr="006E5260">
        <w:rPr>
          <w:rFonts w:cstheme="minorHAnsi"/>
        </w:rPr>
        <w:t>(</w:t>
      </w:r>
      <w:r>
        <w:rPr>
          <w:rFonts w:cstheme="minorHAnsi"/>
        </w:rPr>
        <w:t>F</w:t>
      </w:r>
      <w:r w:rsidRPr="006E5260">
        <w:rPr>
          <w:rFonts w:cstheme="minorHAnsi"/>
        </w:rPr>
        <w:t>ig.</w:t>
      </w:r>
      <w:r>
        <w:rPr>
          <w:rFonts w:cstheme="minorHAnsi"/>
        </w:rPr>
        <w:t xml:space="preserve"> 5-</w:t>
      </w:r>
      <w:r w:rsidRPr="006E5260">
        <w:rPr>
          <w:rFonts w:cstheme="minorHAnsi"/>
        </w:rPr>
        <w:t xml:space="preserve">2 and </w:t>
      </w:r>
      <w:r>
        <w:rPr>
          <w:rFonts w:cstheme="minorHAnsi"/>
        </w:rPr>
        <w:t>F</w:t>
      </w:r>
      <w:r w:rsidRPr="006E5260">
        <w:rPr>
          <w:rFonts w:cstheme="minorHAnsi"/>
        </w:rPr>
        <w:t>ig.</w:t>
      </w:r>
      <w:r>
        <w:rPr>
          <w:rFonts w:cstheme="minorHAnsi"/>
        </w:rPr>
        <w:t xml:space="preserve"> 5-</w:t>
      </w:r>
      <w:r w:rsidRPr="006E5260">
        <w:rPr>
          <w:rFonts w:cstheme="minorHAnsi"/>
        </w:rPr>
        <w:t xml:space="preserve">6) </w:t>
      </w:r>
      <w:r w:rsidR="00B17691">
        <w:rPr>
          <w:rFonts w:cstheme="minorHAnsi"/>
        </w:rPr>
        <w:t xml:space="preserve">and </w:t>
      </w:r>
      <w:r w:rsidRPr="006E5260">
        <w:rPr>
          <w:rFonts w:cstheme="minorHAnsi"/>
        </w:rPr>
        <w:t>which coherently linked the twin structure between</w:t>
      </w:r>
      <w:r>
        <w:rPr>
          <w:rFonts w:cstheme="minorHAnsi"/>
        </w:rPr>
        <w:t xml:space="preserve"> the</w:t>
      </w:r>
      <w:r w:rsidRPr="006E5260">
        <w:rPr>
          <w:rFonts w:cstheme="minorHAnsi"/>
        </w:rPr>
        <w:t xml:space="preserve"> </w:t>
      </w:r>
      <w:r>
        <w:rPr>
          <w:rFonts w:cstheme="minorHAnsi"/>
        </w:rPr>
        <w:t>BCC</w:t>
      </w:r>
      <w:r w:rsidRPr="006E5260">
        <w:rPr>
          <w:rFonts w:cstheme="minorHAnsi"/>
        </w:rPr>
        <w:t xml:space="preserve"> lattice</w:t>
      </w:r>
      <w:r>
        <w:rPr>
          <w:rFonts w:cstheme="minorHAnsi"/>
        </w:rPr>
        <w:t xml:space="preserve"> of </w:t>
      </w:r>
      <w:r w:rsidRPr="006E5260">
        <w:rPr>
          <w:rFonts w:cstheme="minorHAnsi"/>
        </w:rPr>
        <w:t>β phase</w:t>
      </w:r>
      <w:r>
        <w:rPr>
          <w:rFonts w:cstheme="minorHAnsi"/>
        </w:rPr>
        <w:t xml:space="preserve"> with the</w:t>
      </w:r>
      <w:r w:rsidRPr="006E5260">
        <w:rPr>
          <w:rFonts w:cstheme="minorHAnsi"/>
        </w:rPr>
        <w:t xml:space="preserve"> orthorhombic lattice</w:t>
      </w:r>
      <w:r>
        <w:rPr>
          <w:rFonts w:cstheme="minorHAnsi"/>
        </w:rPr>
        <w:t xml:space="preserve">  of </w:t>
      </w:r>
      <w:r w:rsidRPr="006E5260">
        <w:rPr>
          <w:rFonts w:cstheme="minorHAnsi"/>
        </w:rPr>
        <w:t xml:space="preserve">α’’ phase. </w:t>
      </w:r>
    </w:p>
    <w:p w14:paraId="379C837D" w14:textId="77777777" w:rsidR="00B145BE" w:rsidRPr="00577D1F" w:rsidRDefault="00B145BE" w:rsidP="00B145BE">
      <w:pPr>
        <w:pStyle w:val="2"/>
        <w:spacing w:before="0" w:afterLines="60" w:after="144" w:line="360" w:lineRule="auto"/>
        <w:rPr>
          <w:rFonts w:asciiTheme="minorHAnsi" w:hAnsiTheme="minorHAnsi"/>
          <w:b/>
          <w:color w:val="auto"/>
          <w:sz w:val="32"/>
          <w:lang w:bidi="hi-IN"/>
        </w:rPr>
      </w:pPr>
      <w:bookmarkStart w:id="286" w:name="_Toc22052547"/>
      <w:r w:rsidRPr="00577D1F">
        <w:rPr>
          <w:rFonts w:asciiTheme="minorHAnsi" w:hAnsiTheme="minorHAnsi"/>
          <w:b/>
          <w:color w:val="auto"/>
          <w:sz w:val="32"/>
          <w:lang w:bidi="hi-IN"/>
        </w:rPr>
        <w:t xml:space="preserve">6.2 General solution of </w:t>
      </w:r>
      <w:r>
        <w:rPr>
          <w:rFonts w:asciiTheme="minorHAnsi" w:hAnsiTheme="minorHAnsi"/>
          <w:b/>
          <w:color w:val="auto"/>
          <w:sz w:val="32"/>
          <w:lang w:bidi="hi-IN"/>
        </w:rPr>
        <w:t>p</w:t>
      </w:r>
      <w:r w:rsidRPr="00577D1F">
        <w:rPr>
          <w:rFonts w:asciiTheme="minorHAnsi" w:hAnsiTheme="minorHAnsi"/>
          <w:b/>
          <w:color w:val="auto"/>
          <w:sz w:val="32"/>
          <w:lang w:bidi="hi-IN"/>
        </w:rPr>
        <w:t>otential lattice invariant strain</w:t>
      </w:r>
      <w:r>
        <w:rPr>
          <w:rFonts w:asciiTheme="minorHAnsi" w:hAnsiTheme="minorHAnsi"/>
          <w:b/>
          <w:color w:val="auto"/>
          <w:sz w:val="32"/>
          <w:lang w:bidi="hi-IN"/>
        </w:rPr>
        <w:t xml:space="preserve"> (LIS)</w:t>
      </w:r>
      <w:r w:rsidRPr="00577D1F">
        <w:rPr>
          <w:rFonts w:asciiTheme="minorHAnsi" w:hAnsiTheme="minorHAnsi"/>
          <w:b/>
          <w:color w:val="auto"/>
          <w:sz w:val="32"/>
          <w:lang w:bidi="hi-IN"/>
        </w:rPr>
        <w:t xml:space="preserve"> type SA twin</w:t>
      </w:r>
      <w:r>
        <w:rPr>
          <w:rFonts w:asciiTheme="minorHAnsi" w:hAnsiTheme="minorHAnsi"/>
          <w:b/>
          <w:color w:val="auto"/>
          <w:sz w:val="32"/>
          <w:lang w:bidi="hi-IN"/>
        </w:rPr>
        <w:t>n</w:t>
      </w:r>
      <w:r w:rsidRPr="00577D1F">
        <w:rPr>
          <w:rFonts w:asciiTheme="minorHAnsi" w:hAnsiTheme="minorHAnsi"/>
          <w:b/>
          <w:color w:val="auto"/>
          <w:sz w:val="32"/>
          <w:lang w:bidi="hi-IN"/>
        </w:rPr>
        <w:t xml:space="preserve">ing and mechanical twinning in </w:t>
      </w:r>
      <w:r w:rsidRPr="00577D1F">
        <w:rPr>
          <w:rFonts w:asciiTheme="minorHAnsi" w:hAnsiTheme="minorHAnsi"/>
          <w:b/>
          <w:noProof/>
          <w:color w:val="auto"/>
          <w:sz w:val="32"/>
          <w:lang w:bidi="hi-IN"/>
        </w:rPr>
        <w:t>orthorhombic</w:t>
      </w:r>
      <w:r w:rsidRPr="00577D1F">
        <w:rPr>
          <w:rFonts w:asciiTheme="minorHAnsi" w:hAnsiTheme="minorHAnsi"/>
          <w:b/>
          <w:color w:val="auto"/>
          <w:sz w:val="32"/>
          <w:lang w:bidi="hi-IN"/>
        </w:rPr>
        <w:t xml:space="preserve"> martensite</w:t>
      </w:r>
      <w:bookmarkEnd w:id="286"/>
      <w:r w:rsidRPr="00577D1F">
        <w:rPr>
          <w:rFonts w:asciiTheme="minorHAnsi" w:hAnsiTheme="minorHAnsi"/>
          <w:b/>
          <w:color w:val="auto"/>
          <w:sz w:val="32"/>
          <w:lang w:bidi="hi-IN"/>
        </w:rPr>
        <w:t xml:space="preserve">  </w:t>
      </w:r>
    </w:p>
    <w:p w14:paraId="0A6D2463" w14:textId="7488B543" w:rsidR="00B145BE" w:rsidRPr="008266C8" w:rsidRDefault="00B145BE" w:rsidP="00B145BE">
      <w:pPr>
        <w:spacing w:afterLines="60" w:after="144" w:line="360" w:lineRule="auto"/>
        <w:jc w:val="both"/>
        <w:rPr>
          <w:rFonts w:cstheme="minorHAnsi"/>
        </w:rPr>
      </w:pPr>
      <w:r>
        <w:rPr>
          <w:rFonts w:cstheme="minorHAnsi"/>
          <w:noProof/>
        </w:rPr>
        <w:t>In order to</w:t>
      </w:r>
      <w:r w:rsidRPr="006E5260">
        <w:rPr>
          <w:rFonts w:cstheme="minorHAnsi"/>
          <w:noProof/>
        </w:rPr>
        <w:t xml:space="preserve"> activate TTIP</w:t>
      </w:r>
      <w:r w:rsidRPr="006E5260">
        <w:rPr>
          <w:rFonts w:cstheme="minorHAnsi"/>
        </w:rPr>
        <w:t xml:space="preserve">, </w:t>
      </w:r>
      <w:r>
        <w:rPr>
          <w:rFonts w:cstheme="minorHAnsi"/>
        </w:rPr>
        <w:t>the required</w:t>
      </w:r>
      <w:r w:rsidRPr="006E5260">
        <w:rPr>
          <w:rFonts w:cstheme="minorHAnsi"/>
        </w:rPr>
        <w:t xml:space="preserve"> conditions </w:t>
      </w:r>
      <w:r>
        <w:rPr>
          <w:rFonts w:cstheme="minorHAnsi"/>
          <w:noProof/>
        </w:rPr>
        <w:t>are</w:t>
      </w:r>
      <w:r w:rsidRPr="006E5260">
        <w:rPr>
          <w:rFonts w:cstheme="minorHAnsi"/>
        </w:rPr>
        <w:t xml:space="preserve"> </w:t>
      </w:r>
      <w:r>
        <w:rPr>
          <w:rFonts w:cstheme="minorHAnsi"/>
        </w:rPr>
        <w:t xml:space="preserve">a </w:t>
      </w:r>
      <w:r w:rsidRPr="006E5260">
        <w:rPr>
          <w:rFonts w:cstheme="minorHAnsi"/>
        </w:rPr>
        <w:t>perfect lattice crystallograph</w:t>
      </w:r>
      <w:r w:rsidR="00B17691">
        <w:rPr>
          <w:rFonts w:cstheme="minorHAnsi"/>
        </w:rPr>
        <w:t>ic</w:t>
      </w:r>
      <w:r w:rsidRPr="006E5260">
        <w:rPr>
          <w:rFonts w:cstheme="minorHAnsi"/>
        </w:rPr>
        <w:t xml:space="preserve"> correspondence between</w:t>
      </w:r>
      <w:r>
        <w:rPr>
          <w:rFonts w:cstheme="minorHAnsi"/>
        </w:rPr>
        <w:t xml:space="preserve"> </w:t>
      </w:r>
      <w:r w:rsidRPr="006E5260">
        <w:rPr>
          <w:rFonts w:cstheme="minorHAnsi"/>
        </w:rPr>
        <w:t>specific martensite SA twin</w:t>
      </w:r>
      <w:r>
        <w:rPr>
          <w:rFonts w:cstheme="minorHAnsi"/>
        </w:rPr>
        <w:t>ning</w:t>
      </w:r>
      <w:r w:rsidRPr="006E5260">
        <w:rPr>
          <w:rFonts w:cstheme="minorHAnsi"/>
        </w:rPr>
        <w:t xml:space="preserve"> and</w:t>
      </w:r>
      <w:r>
        <w:rPr>
          <w:rFonts w:cstheme="minorHAnsi"/>
        </w:rPr>
        <w:t xml:space="preserve"> </w:t>
      </w:r>
      <w:r w:rsidRPr="006E5260">
        <w:rPr>
          <w:rFonts w:cstheme="minorHAnsi"/>
        </w:rPr>
        <w:t>austenite mechanical twin</w:t>
      </w:r>
      <w:r>
        <w:rPr>
          <w:rFonts w:cstheme="minorHAnsi"/>
        </w:rPr>
        <w:t xml:space="preserve">ning. Identified as a specific BCC mechanical </w:t>
      </w:r>
      <w:r w:rsidRPr="006E5260">
        <w:rPr>
          <w:rFonts w:cstheme="minorHAnsi"/>
        </w:rPr>
        <w:t>twin</w:t>
      </w:r>
      <w:r>
        <w:rPr>
          <w:rFonts w:cstheme="minorHAnsi"/>
        </w:rPr>
        <w:t>ning mode, where the corresponding lattice structure in the orthorhombic martensite phase is also a possible mechanical twinning system,</w:t>
      </w:r>
      <w:r w:rsidRPr="006E5260">
        <w:rPr>
          <w:rFonts w:cstheme="minorHAnsi"/>
        </w:rPr>
        <w:t xml:space="preserve"> the activation of {332}&lt;11-3&gt;</w:t>
      </w:r>
      <w:r w:rsidRPr="006E5260">
        <w:rPr>
          <w:rFonts w:cstheme="minorHAnsi"/>
          <w:vertAlign w:val="subscript"/>
        </w:rPr>
        <w:t>β</w:t>
      </w:r>
      <w:r w:rsidRPr="006E5260">
        <w:rPr>
          <w:rFonts w:cstheme="minorHAnsi"/>
        </w:rPr>
        <w:t xml:space="preserve"> twin in metastable β-Ti alloys</w:t>
      </w:r>
      <w:r w:rsidRPr="00C7493C">
        <w:rPr>
          <w:rFonts w:cstheme="minorHAnsi"/>
        </w:rPr>
        <w:t xml:space="preserve"> follow</w:t>
      </w:r>
      <w:r w:rsidR="00B17691">
        <w:rPr>
          <w:rFonts w:cstheme="minorHAnsi"/>
        </w:rPr>
        <w:t>s</w:t>
      </w:r>
      <w:r w:rsidRPr="00C7493C">
        <w:rPr>
          <w:rFonts w:cstheme="minorHAnsi"/>
        </w:rPr>
        <w:t xml:space="preserve"> </w:t>
      </w:r>
      <w:r>
        <w:rPr>
          <w:rFonts w:cstheme="minorHAnsi"/>
        </w:rPr>
        <w:t xml:space="preserve">the </w:t>
      </w:r>
      <w:r>
        <w:rPr>
          <w:rFonts w:cstheme="minorHAnsi" w:hint="eastAsia"/>
        </w:rPr>
        <w:t>subsequent</w:t>
      </w:r>
      <w:r>
        <w:rPr>
          <w:rFonts w:cstheme="minorHAnsi"/>
        </w:rPr>
        <w:t xml:space="preserve"> sequence: (i)</w:t>
      </w:r>
      <w:r>
        <w:rPr>
          <w:rFonts w:cstheme="minorHAnsi"/>
          <w:noProof/>
        </w:rPr>
        <w:t xml:space="preserve"> during the</w:t>
      </w:r>
      <w:r w:rsidRPr="00C7493C">
        <w:rPr>
          <w:rFonts w:cstheme="minorHAnsi"/>
        </w:rPr>
        <w:t xml:space="preserve"> </w:t>
      </w:r>
      <w:r w:rsidRPr="00C7493C">
        <w:rPr>
          <w:rFonts w:cstheme="minorHAnsi"/>
          <w:noProof/>
        </w:rPr>
        <w:t>early</w:t>
      </w:r>
      <w:r w:rsidRPr="00C7493C">
        <w:rPr>
          <w:rFonts w:cstheme="minorHAnsi"/>
        </w:rPr>
        <w:t xml:space="preserve"> stage</w:t>
      </w:r>
      <w:r>
        <w:rPr>
          <w:rFonts w:cstheme="minorHAnsi"/>
        </w:rPr>
        <w:t>s</w:t>
      </w:r>
      <w:r w:rsidRPr="00C7493C">
        <w:rPr>
          <w:rFonts w:cstheme="minorHAnsi"/>
        </w:rPr>
        <w:t xml:space="preserve"> of deformation, α’’ phase transformation </w:t>
      </w:r>
      <w:r>
        <w:rPr>
          <w:rFonts w:cstheme="minorHAnsi"/>
          <w:noProof/>
        </w:rPr>
        <w:t>occurs first; (ii) then</w:t>
      </w:r>
      <w:r w:rsidRPr="009B5977">
        <w:rPr>
          <w:rFonts w:cstheme="minorHAnsi"/>
        </w:rPr>
        <w:t xml:space="preserve"> the α’’ {130}&lt;3-10&gt;</w:t>
      </w:r>
      <w:r w:rsidRPr="009B5977">
        <w:rPr>
          <w:rFonts w:cstheme="minorHAnsi"/>
          <w:vertAlign w:val="subscript"/>
        </w:rPr>
        <w:t>α’’</w:t>
      </w:r>
      <w:r w:rsidRPr="009B5977">
        <w:rPr>
          <w:rFonts w:cstheme="minorHAnsi"/>
        </w:rPr>
        <w:t xml:space="preserve"> mechanical twinning is activated within the primary α’’ band</w:t>
      </w:r>
      <w:r>
        <w:rPr>
          <w:rFonts w:cstheme="minorHAnsi"/>
        </w:rPr>
        <w:t>; (iii) l</w:t>
      </w:r>
      <w:r w:rsidRPr="009B5977">
        <w:rPr>
          <w:rFonts w:cstheme="minorHAnsi"/>
        </w:rPr>
        <w:t>astly, during the unloading process, the α’’ phase</w:t>
      </w:r>
      <w:r>
        <w:rPr>
          <w:rFonts w:cstheme="minorHAnsi"/>
        </w:rPr>
        <w:t xml:space="preserve"> will</w:t>
      </w:r>
      <w:r w:rsidRPr="009B5977">
        <w:rPr>
          <w:rFonts w:cstheme="minorHAnsi"/>
        </w:rPr>
        <w:t xml:space="preserve"> </w:t>
      </w:r>
      <w:r w:rsidRPr="009B5977">
        <w:rPr>
          <w:rFonts w:cstheme="minorHAnsi"/>
          <w:noProof/>
        </w:rPr>
        <w:t>transforms</w:t>
      </w:r>
      <w:r w:rsidRPr="009B5977">
        <w:rPr>
          <w:rFonts w:cstheme="minorHAnsi"/>
        </w:rPr>
        <w:t xml:space="preserve"> back to β matrix, while the {130}&lt;3-10&gt;</w:t>
      </w:r>
      <w:r w:rsidRPr="009B5977">
        <w:rPr>
          <w:rFonts w:cstheme="minorHAnsi"/>
          <w:vertAlign w:val="subscript"/>
        </w:rPr>
        <w:t>α’’</w:t>
      </w:r>
      <w:r w:rsidRPr="009B5977">
        <w:rPr>
          <w:rFonts w:cstheme="minorHAnsi"/>
        </w:rPr>
        <w:t xml:space="preserve"> twins transform back to </w:t>
      </w:r>
      <w:r>
        <w:rPr>
          <w:rFonts w:cstheme="minorHAnsi"/>
        </w:rPr>
        <w:t xml:space="preserve">the </w:t>
      </w:r>
      <w:r w:rsidRPr="009B5977">
        <w:rPr>
          <w:rFonts w:cstheme="minorHAnsi"/>
        </w:rPr>
        <w:t>lattice correspond</w:t>
      </w:r>
      <w:r>
        <w:rPr>
          <w:rFonts w:cstheme="minorHAnsi"/>
        </w:rPr>
        <w:t>ing</w:t>
      </w:r>
      <w:r w:rsidRPr="009B5977">
        <w:rPr>
          <w:rFonts w:cstheme="minorHAnsi"/>
        </w:rPr>
        <w:t xml:space="preserve"> β {332}&lt;11-3&gt;</w:t>
      </w:r>
      <w:r w:rsidRPr="009B5977">
        <w:rPr>
          <w:rFonts w:cstheme="minorHAnsi"/>
          <w:vertAlign w:val="subscript"/>
        </w:rPr>
        <w:t>β</w:t>
      </w:r>
      <w:r w:rsidRPr="009B5977">
        <w:rPr>
          <w:rFonts w:cstheme="minorHAnsi"/>
        </w:rPr>
        <w:t xml:space="preserve"> twins</w:t>
      </w:r>
      <w:r>
        <w:rPr>
          <w:rFonts w:cstheme="minorHAnsi"/>
        </w:rPr>
        <w:t xml:space="preserve"> </w:t>
      </w:r>
      <w:r w:rsidRPr="00C7493C">
        <w:rPr>
          <w:rFonts w:cstheme="minorHAnsi"/>
        </w:rPr>
        <w:fldChar w:fldCharType="begin" w:fldLock="1"/>
      </w:r>
      <w:r>
        <w:rPr>
          <w:rFonts w:cstheme="minorHAnsi"/>
        </w:rPr>
        <w:instrText>ADDIN CSL_CITATION {"citationItems":[{"id":"ITEM-1","itemData":{"DOI":"10.1016/j.actamat.2015.12.001","ISBN":"13596454","ISSN":"13596454","PMID":"10124575","abstract":"Deformation twinning of the Ti-25Ta-20Nb (mass%) shape memory alloy is characterized us</w:instrText>
      </w:r>
      <w:r>
        <w:rPr>
          <w:rFonts w:cstheme="minorHAnsi" w:hint="eastAsia"/>
        </w:rPr>
        <w:instrText xml:space="preserve">ing EBSD and TEM. The selfaccommodating </w:instrText>
      </w:r>
      <w:r>
        <w:rPr>
          <w:rFonts w:cstheme="minorHAnsi" w:hint="eastAsia"/>
        </w:rPr>
        <w:instrText>α″</w:instrText>
      </w:r>
      <w:r>
        <w:rPr>
          <w:rFonts w:cstheme="minorHAnsi" w:hint="eastAsia"/>
        </w:rPr>
        <w:instrText xml:space="preserve"> microstructure is shown to be first deformed using {111}</w:instrText>
      </w:r>
      <w:r>
        <w:rPr>
          <w:rFonts w:cstheme="minorHAnsi" w:hint="eastAsia"/>
        </w:rPr>
        <w:instrText>α″</w:instrText>
      </w:r>
      <w:r>
        <w:rPr>
          <w:rFonts w:cstheme="minorHAnsi" w:hint="eastAsia"/>
        </w:rPr>
        <w:instrText xml:space="preserve"> type I and &lt;211&gt;</w:instrText>
      </w:r>
      <w:r>
        <w:rPr>
          <w:rFonts w:cstheme="minorHAnsi" w:hint="eastAsia"/>
        </w:rPr>
        <w:instrText>α″</w:instrText>
      </w:r>
      <w:r>
        <w:rPr>
          <w:rFonts w:cstheme="minorHAnsi" w:hint="eastAsia"/>
        </w:rPr>
        <w:instrText xml:space="preserve"> type II reorientation twinning. Plastic deformation occurs further by plastic twinning with a new {130}&lt;310&gt;</w:instrText>
      </w:r>
      <w:r>
        <w:rPr>
          <w:rFonts w:cstheme="minorHAnsi" w:hint="eastAsia"/>
        </w:rPr>
        <w:instrText>α″</w:instrText>
      </w:r>
      <w:r>
        <w:rPr>
          <w:rFonts w:cstheme="minorHAnsi" w:hint="eastAsia"/>
        </w:rPr>
        <w:instrText xml:space="preserve"> twinning system. Maximum lattice deformation calculation is a relevant parameter to predict the variant of martensite that is favored during the reorientation process. Conversely, Schmid factor analysis can be used to predict the selection of {130}&lt;310&gt;</w:instrText>
      </w:r>
      <w:r>
        <w:rPr>
          <w:rFonts w:cstheme="minorHAnsi" w:hint="eastAsia"/>
        </w:rPr>
        <w:instrText>α″</w:instrText>
      </w:r>
      <w:r>
        <w:rPr>
          <w:rFonts w:cstheme="minorHAnsi" w:hint="eastAsia"/>
        </w:rPr>
        <w:instrText xml:space="preserve"> twinning variants during deformation. Analogy between {130}&lt;310&gt;</w:instrText>
      </w:r>
      <w:r>
        <w:rPr>
          <w:rFonts w:cstheme="minorHAnsi" w:hint="eastAsia"/>
        </w:rPr>
        <w:instrText>α″</w:instrText>
      </w:r>
      <w:r>
        <w:rPr>
          <w:rFonts w:cstheme="minorHAnsi" w:hint="eastAsia"/>
        </w:rPr>
        <w:instrText xml:space="preserve"> and {332}&lt;113&gt;</w:instrText>
      </w:r>
      <w:r>
        <w:rPr>
          <w:rFonts w:cstheme="minorHAnsi" w:hint="eastAsia"/>
        </w:rPr>
        <w:instrText>β</w:instrText>
      </w:r>
      <w:r>
        <w:rPr>
          <w:rFonts w:cstheme="minorHAnsi" w:hint="eastAsia"/>
        </w:rPr>
        <w:instrText>twinning systems is highlighted.","author":[{"dropping-particle":"","family":"Bertrand","given":"Emmanuel","non-dropping-particle":"","parse-names":false,"suffix":""},{"dropping-particle":"","fam</w:instrText>
      </w:r>
      <w:r>
        <w:rPr>
          <w:rFonts w:cstheme="minorHAnsi"/>
        </w:rPr>
        <w:instrText>ily":"Castany","given":"Philippe","non-dropping-particle":"","parse-names":false,"suffix":""},{"dropping-particle":"","family":"Yang","given":"Yang","non-dropping-particle":"","parse-names":false,"suffix":""},{"dropping-particle":"","family":"Menou","given":"Edern","non-dropping-particle":"","parse-names":false,"suffix":""},{"dropping-particle":"","family":"Gloriant","given":"Thierry","non-dropping-particle":"","parse-names":false,"suffix":""}],"container-title":"Acta Materialia","id":"ITEM-1","issued":{"</w:instrText>
      </w:r>
      <w:r>
        <w:rPr>
          <w:rFonts w:cstheme="minorHAnsi" w:hint="eastAsia"/>
        </w:rPr>
        <w:instrText>date-parts":[["2016"]]},"title":"Deformation twinning in the full-</w:instrText>
      </w:r>
      <w:r>
        <w:rPr>
          <w:rFonts w:cstheme="minorHAnsi" w:hint="eastAsia"/>
        </w:rPr>
        <w:instrText>α″</w:instrText>
      </w:r>
      <w:r>
        <w:rPr>
          <w:rFonts w:cstheme="minorHAnsi" w:hint="eastAsia"/>
        </w:rPr>
        <w:instrText xml:space="preserve"> martensitic Ti-25Ta-20Nb shape memory alloy","type":"article-journal"},"uris":["http://www.mendeley.com/documents/?uuid=40c9e674-5c50-4012-9404-ce85f346724c"]},{"id":"ITEM-2","itemData":</w:instrText>
      </w:r>
      <w:r>
        <w:rPr>
          <w:rFonts w:cstheme="minorHAnsi"/>
        </w:rPr>
        <w:instrText>{"DOI":"10.1016/j.actamat.2013.10.048","ISBN":"13596454 (ISSN)","ISSN":"13596454","abstract":"In this paper, the origin of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which is a unique twinning mode in metastable β-Ti alloys, was investigated. The possible twinning modes in metastable β-Ti alloys are derived by considering lattice instability in addition to the theory of the crystallography of deformation twinning. In order to consider lattice instability in the body-centered-cubic (bcc) structure, a modulated structure was proposed. We then clarify how the modulated structure facilitates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preferentially compared to other possible twinning modes by evaluating the magnitude of twinning shear and the complexity of shuffle. It was found that the lattice instability makes {112}</w:instrText>
      </w:r>
      <w:r>
        <w:rPr>
          <w:rFonts w:cstheme="minorHAnsi" w:hint="eastAsia"/>
        </w:rPr>
        <w:instrText>〈</w:instrText>
      </w:r>
      <w:r>
        <w:rPr>
          <w:rFonts w:cstheme="minorHAnsi"/>
        </w:rPr>
        <w:instrText>1̄1̄1</w:instrText>
      </w:r>
      <w:r>
        <w:rPr>
          <w:rFonts w:cstheme="minorHAnsi" w:hint="eastAsia"/>
        </w:rPr>
        <w:instrText>〉</w:instrText>
      </w:r>
      <w:r>
        <w:rPr>
          <w:rFonts w:cstheme="minorHAnsi"/>
        </w:rPr>
        <w:instrText xml:space="preserve"> twinning, which is a major twinning mode observed in alloys with stable bcc structure, unlikely to occur because the lattice modulation causes additional shuffling to form the {112}</w:instrText>
      </w:r>
      <w:r>
        <w:rPr>
          <w:rFonts w:cstheme="minorHAnsi" w:hint="eastAsia"/>
        </w:rPr>
        <w:instrText>〈</w:instrText>
      </w:r>
      <w:r>
        <w:rPr>
          <w:rFonts w:cstheme="minorHAnsi"/>
        </w:rPr>
        <w:instrText>1̄1̄1</w:instrText>
      </w:r>
      <w:r>
        <w:rPr>
          <w:rFonts w:cstheme="minorHAnsi" w:hint="eastAsia"/>
        </w:rPr>
        <w:instrText>〉</w:instrText>
      </w:r>
      <w:r>
        <w:rPr>
          <w:rFonts w:cstheme="minorHAnsi"/>
        </w:rPr>
        <w:instrText xml:space="preserve"> twin. It was also found that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is the most possible twinning mode in the modulated structure in terms of the magnitude of twinning shear and the complexity of shuffle. The new formation model of the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 presented in this study can explain how the lattice instability preferentially activates the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in metastable β-Ti alloys. © 2013 Acta Materialia Inc. Published by Elsevier Ltd. All rights reserved.","author":[{"dropping-particle":"","family":"Tobe","given":"Hirobumi","non-dropping-particle":"","parse-names":false,"suffix":""},{"dropping-particle":"","family":"Kim","given":"Hee Young","non-dropping-particle":"","parse-names":false,"suffix":""},{"dropping-particle":"","family":"Inamura","given":"Tomonari","non-dropping-particle":"","parse-names":false,"suffix":""},{"dropping-particle":"","family":"Hosoda","given":"Hideki","non-dropping-particle":"","parse-names":false,"suffix":""},{"dropping-particle":"","family":"Miyazaki","given":"Shuichi","non-dropping-particle":"","parse-names":false,"suffix":""}],"container-title":"Acta Materialia","id":"ITEM-2","issued":{"date-parts":[["2014"]]},"title":"Origin of {3 3 2} twinning in metastable β-Ti alloys","type":"article"},"uris":["http://www.mendeley.com/documents/?uuid=071f1bf4-cdc8-45b3-8675-32071ee1f466"]},{"id":"ITEM-3","itemData":{"DOI":"10.1016/j.actamat.2016.03.040","ISBN":"13596454","ISSN":"13596454","abstract":"{332} twinning, an unusual twinning mode in other body-centered cubic (bcc) metals and alloys, has been demonstrated to be a fundamental deformation mode in bcc metastable β titanium alloys. Recent studies suggest that this twinning mode plays an important role in enhancing the work hardening and thus improving the mechanical properties. Here, we studied the mechanism of this twinning mode in a metastable β Ti-36Nb-2Ta-3Zr (wt.%) alloy. Tensile tests were performed to induce the formation of {332} twins. By using electron backscatter diffraction, transmission electron microscopy and in situ scanning electron microscopy, the surface-to-bulk </w:instrText>
      </w:r>
      <w:r>
        <w:rPr>
          <w:rFonts w:cstheme="minorHAnsi" w:hint="eastAsia"/>
        </w:rPr>
        <w:instrText xml:space="preserve">microstructures and the initiation and propagation of {332} twins were investigated. In addition to the previously reported high densities of straight dislocations within the twin, we have observed that an </w:instrText>
      </w:r>
      <w:r>
        <w:rPr>
          <w:rFonts w:cstheme="minorHAnsi" w:hint="eastAsia"/>
        </w:rPr>
        <w:instrText>α″</w:instrText>
      </w:r>
      <w:r>
        <w:rPr>
          <w:rFonts w:cstheme="minorHAnsi" w:hint="eastAsia"/>
        </w:rPr>
        <w:instrText xml:space="preserve"> martensite band is present near the surface adjacent to the twin. During annealing at 900</w:instrText>
      </w:r>
      <w:r>
        <w:rPr>
          <w:rFonts w:cstheme="minorHAnsi" w:hint="eastAsia"/>
        </w:rPr>
        <w:instrText>°</w:instrText>
      </w:r>
      <w:r>
        <w:rPr>
          <w:rFonts w:cstheme="minorHAnsi" w:hint="eastAsia"/>
        </w:rPr>
        <w:instrText xml:space="preserve">C, the </w:instrText>
      </w:r>
      <w:r>
        <w:rPr>
          <w:rFonts w:cstheme="minorHAnsi" w:hint="eastAsia"/>
        </w:rPr>
        <w:instrText>α″</w:instrText>
      </w:r>
      <w:r>
        <w:rPr>
          <w:rFonts w:cstheme="minorHAnsi" w:hint="eastAsia"/>
        </w:rPr>
        <w:instrText xml:space="preserve"> martensite band transforms into the adjacent twin rather than into the matrix, indicating that {332} twin nucleates within </w:instrText>
      </w:r>
      <w:r>
        <w:rPr>
          <w:rFonts w:cstheme="minorHAnsi" w:hint="eastAsia"/>
        </w:rPr>
        <w:instrText>α″</w:instrText>
      </w:r>
      <w:r>
        <w:rPr>
          <w:rFonts w:cstheme="minorHAnsi" w:hint="eastAsia"/>
        </w:rPr>
        <w:instrText xml:space="preserve"> martensite. Further evidence for this is the constitution of the twin in the initial stage of its formation, where the first portion formed consists of </w:instrText>
      </w:r>
      <w:r>
        <w:rPr>
          <w:rFonts w:cstheme="minorHAnsi" w:hint="eastAsia"/>
        </w:rPr>
        <w:instrText>α″</w:instrText>
      </w:r>
      <w:r>
        <w:rPr>
          <w:rFonts w:cstheme="minorHAnsi" w:hint="eastAsia"/>
        </w:rPr>
        <w:instrText xml:space="preserve"> martensite. During propagation, the twins propagating to the opposite directions can merge together when their lateral boundaries impinge on each other. Based on the experimental observations, an </w:instrText>
      </w:r>
      <w:r>
        <w:rPr>
          <w:rFonts w:cstheme="minorHAnsi" w:hint="eastAsia"/>
        </w:rPr>
        <w:instrText>α″</w:instrText>
      </w:r>
      <w:r>
        <w:rPr>
          <w:rFonts w:cstheme="minorHAnsi" w:hint="eastAsia"/>
        </w:rPr>
        <w:instrText>-assisted twinning mechanism is proposed and the origin of the dislocations within {332} twin is discussed accordingly.","author":[{"dropping-particle":"","family":"Lai","given":"M. J.","non-dropping-particle":"","parse-names":false</w:instrText>
      </w:r>
      <w:r>
        <w:rPr>
          <w:rFonts w:cstheme="minorHAnsi"/>
        </w:rPr>
        <w:instrText>,"suffix":""},{"dropping-particle":"","family":"Tasan","given":"C. C.","non-dropping-particle":"","parse-names":false,"suffix":""},{"dropping-particle":"","family":"Raabe","given":"D.","non-dropping-particle":"","parse-names":false,"suffix":""}],"container-title":"Acta Materialia","id":"ITEM-3","issued":{"date-parts":[["2016"]]},"title":"On the mechanism of {332} twinning in metastable β titanium alloys","type":"article-journal"},"uris":["http://www.mendeley.com/documents/?uuid=6b9cdc24-7719-4876-bc9a-cd2475f9c32b"]},{"id":"ITEM-4","itemData":{"DOI":"10.1103/PhysRevLett.117.245501","ISSN":"10797114","abstract":"Author(s): P. Castany, Y. Yang, E. Bertrand, and T. GloriantIn bcc metastable β titanium alloys, and particularly in superelastic alloys, a unique {332}</w:instrText>
      </w:r>
      <w:r>
        <w:rPr>
          <w:rFonts w:ascii="Cambria Math" w:hAnsi="Cambria Math" w:cs="Cambria Math"/>
        </w:rPr>
        <w:instrText>⟨</w:instrText>
      </w:r>
      <w:r>
        <w:rPr>
          <w:rFonts w:cstheme="minorHAnsi"/>
        </w:rPr>
        <w:instrText>113</w:instrText>
      </w:r>
      <w:r>
        <w:rPr>
          <w:rFonts w:ascii="Cambria Math" w:hAnsi="Cambria Math" w:cs="Cambria Math"/>
        </w:rPr>
        <w:instrText>⟩</w:instrText>
      </w:r>
      <w:r>
        <w:rPr>
          <w:rFonts w:cstheme="minorHAnsi"/>
        </w:rPr>
        <w:instrText xml:space="preserve"> twinning system occurs during plastic deformation. However, in situ synchrotron x-ray diffraction during a tensile test shows that the β phase totally transforms into α^{</w:instrText>
      </w:r>
      <w:r>
        <w:rPr>
          <w:rFonts w:cstheme="minorHAnsi" w:hint="eastAsia"/>
        </w:rPr>
        <w:instrText>′′</w:instrText>
      </w:r>
      <w:r>
        <w:rPr>
          <w:rFonts w:cstheme="minorHAnsi"/>
        </w:rPr>
        <w:instrText>} martensite under stress in a…[Phys. Rev. Lett. 117, 245501] Published Tue Dec 06, 2016","author":[{"dropping-particle":"","family":"Castany","given":"P.","non-dropping-particle":"","parse-names":false,"suffix":""},{"dropping-particle":"","family":"Yang","given":"Y.","non-dropping-particle":"","parse-names":false,"suffix":""},{"dropping-particle":"","family":"Bertrand","given":"E.","non-dropping-particle":"","parse-names":false,"suffix":""},{"dropping-particle":"","family":"Gloriant","given":"T.","non-dropping-particle":"","parse-names":false,"suffix":""}],"container-title":"Physical Review Letters","id":"ITEM-4","issued":{"date-parts":[["2016"]]},"title":"Reversion of a Parent {130}&lt;310&gt;alpha'' Martensitic Twinning System at the Origin of {332 } &lt;113&gt;beta Twins Observed in Metastable beta Titanium Alloys","type":"article-journal"},"uris":["http://www.mendeley.com/documents/?uuid=e58dd9bd-2060-4e69-b2d1-1af2a10d16e5","http://www.mendeley.com/documents/?uuid=e82de48e-c2e6-4c72-ba61-a95b962fa237"]}],"mendeley":{"formattedCitation":"[10,11,17,18]","plainTextFormattedCitation":"[10,11,17,18]","previouslyFormattedCitation":"[12,13,19,20]"},"properties":{"noteIndex":0},"schema":"https://github.com/citation-style-language/schema/raw/master/csl-citation.json"}</w:instrText>
      </w:r>
      <w:r w:rsidRPr="00C7493C">
        <w:rPr>
          <w:rFonts w:cstheme="minorHAnsi"/>
        </w:rPr>
        <w:fldChar w:fldCharType="separate"/>
      </w:r>
      <w:r w:rsidRPr="008F7036">
        <w:rPr>
          <w:rFonts w:cstheme="minorHAnsi"/>
          <w:noProof/>
        </w:rPr>
        <w:t>[10,11,17,18]</w:t>
      </w:r>
      <w:r w:rsidRPr="00C7493C">
        <w:rPr>
          <w:rFonts w:cstheme="minorHAnsi"/>
        </w:rPr>
        <w:fldChar w:fldCharType="end"/>
      </w:r>
      <w:r w:rsidRPr="00C7493C">
        <w:rPr>
          <w:rFonts w:cstheme="minorHAnsi"/>
        </w:rPr>
        <w:t xml:space="preserve">. </w:t>
      </w:r>
      <w:r>
        <w:rPr>
          <w:rFonts w:cstheme="minorHAnsi"/>
        </w:rPr>
        <w:t>Alt</w:t>
      </w:r>
      <w:r w:rsidRPr="00C7493C">
        <w:rPr>
          <w:rFonts w:cstheme="minorHAnsi"/>
        </w:rPr>
        <w:t xml:space="preserve">hough in </w:t>
      </w:r>
      <w:r w:rsidRPr="009B5977">
        <w:rPr>
          <w:rFonts w:cstheme="minorHAnsi"/>
          <w:noProof/>
        </w:rPr>
        <w:t>previous</w:t>
      </w:r>
      <w:r w:rsidRPr="009B5977">
        <w:rPr>
          <w:rFonts w:cstheme="minorHAnsi"/>
        </w:rPr>
        <w:t xml:space="preserve"> report</w:t>
      </w:r>
      <w:r>
        <w:rPr>
          <w:rFonts w:cstheme="minorHAnsi"/>
        </w:rPr>
        <w:t>s,</w:t>
      </w:r>
      <w:r w:rsidRPr="009B5977">
        <w:rPr>
          <w:rFonts w:cstheme="minorHAnsi"/>
        </w:rPr>
        <w:t xml:space="preserve"> the activation of {332}&lt;11-3&gt;</w:t>
      </w:r>
      <w:r w:rsidRPr="009B5977">
        <w:rPr>
          <w:rFonts w:cstheme="minorHAnsi"/>
          <w:vertAlign w:val="subscript"/>
        </w:rPr>
        <w:t>β</w:t>
      </w:r>
      <w:r w:rsidRPr="009B5977">
        <w:rPr>
          <w:rFonts w:cstheme="minorHAnsi"/>
        </w:rPr>
        <w:t xml:space="preserve"> twins </w:t>
      </w:r>
      <w:r>
        <w:rPr>
          <w:rFonts w:cstheme="minorHAnsi"/>
        </w:rPr>
        <w:t>wasn’t detailed as</w:t>
      </w:r>
      <w:r w:rsidRPr="009B5977">
        <w:rPr>
          <w:rFonts w:cstheme="minorHAnsi"/>
        </w:rPr>
        <w:t xml:space="preserve"> relat</w:t>
      </w:r>
      <w:r>
        <w:rPr>
          <w:rFonts w:cstheme="minorHAnsi"/>
        </w:rPr>
        <w:t>ing</w:t>
      </w:r>
      <w:r w:rsidRPr="009B5977">
        <w:rPr>
          <w:rFonts w:cstheme="minorHAnsi"/>
        </w:rPr>
        <w:t xml:space="preserve"> to any SA twins, the activation sequence of {332}&lt;11-3&gt;</w:t>
      </w:r>
      <w:r w:rsidRPr="009B5977">
        <w:rPr>
          <w:rFonts w:cstheme="minorHAnsi"/>
          <w:vertAlign w:val="subscript"/>
        </w:rPr>
        <w:t>β</w:t>
      </w:r>
      <w:r w:rsidRPr="009B5977">
        <w:rPr>
          <w:rFonts w:cstheme="minorHAnsi"/>
        </w:rPr>
        <w:t xml:space="preserve"> twin</w:t>
      </w:r>
      <w:r>
        <w:rPr>
          <w:rFonts w:cstheme="minorHAnsi"/>
        </w:rPr>
        <w:t>ning</w:t>
      </w:r>
      <w:r w:rsidRPr="009B5977">
        <w:rPr>
          <w:rFonts w:cstheme="minorHAnsi"/>
        </w:rPr>
        <w:t xml:space="preserve"> satisf</w:t>
      </w:r>
      <w:r>
        <w:rPr>
          <w:rFonts w:cstheme="minorHAnsi"/>
        </w:rPr>
        <w:t>ies</w:t>
      </w:r>
      <w:r w:rsidRPr="009B5977">
        <w:rPr>
          <w:rFonts w:cstheme="minorHAnsi"/>
        </w:rPr>
        <w:t xml:space="preserve"> the requirement of </w:t>
      </w:r>
      <w:r w:rsidR="00B17691">
        <w:rPr>
          <w:rFonts w:cstheme="minorHAnsi"/>
        </w:rPr>
        <w:t xml:space="preserve">the </w:t>
      </w:r>
      <w:r w:rsidRPr="009B5977">
        <w:rPr>
          <w:rFonts w:cstheme="minorHAnsi"/>
        </w:rPr>
        <w:t>TTIP concept. Moreover, considering the newly observed type II {351}&lt;-211&gt;</w:t>
      </w:r>
      <w:r w:rsidRPr="009B5977">
        <w:rPr>
          <w:rFonts w:cstheme="minorHAnsi"/>
          <w:vertAlign w:val="subscript"/>
        </w:rPr>
        <w:t>α’’</w:t>
      </w:r>
      <w:r w:rsidRPr="009B5977">
        <w:rPr>
          <w:rFonts w:cstheme="minorHAnsi"/>
        </w:rPr>
        <w:t xml:space="preserve"> SA twin’s twinning plane is</w:t>
      </w:r>
      <w:r>
        <w:rPr>
          <w:rFonts w:cstheme="minorHAnsi"/>
        </w:rPr>
        <w:t xml:space="preserve"> the </w:t>
      </w:r>
      <w:r w:rsidRPr="009B5977">
        <w:rPr>
          <w:rFonts w:cstheme="minorHAnsi"/>
        </w:rPr>
        <w:t>lattice correspond</w:t>
      </w:r>
      <w:r>
        <w:rPr>
          <w:rFonts w:cstheme="minorHAnsi"/>
        </w:rPr>
        <w:t>ing</w:t>
      </w:r>
      <w:r w:rsidRPr="009B5977">
        <w:rPr>
          <w:rFonts w:cstheme="minorHAnsi"/>
        </w:rPr>
        <w:t xml:space="preserve"> to the {332}&lt;11-3&gt;</w:t>
      </w:r>
      <w:r w:rsidRPr="009B5977">
        <w:rPr>
          <w:rFonts w:cstheme="minorHAnsi"/>
          <w:vertAlign w:val="subscript"/>
        </w:rPr>
        <w:t>β</w:t>
      </w:r>
      <w:r w:rsidRPr="009B5977">
        <w:rPr>
          <w:rFonts w:cstheme="minorHAnsi"/>
        </w:rPr>
        <w:t xml:space="preserve"> twin’s {332}</w:t>
      </w:r>
      <w:r w:rsidRPr="009B5977">
        <w:rPr>
          <w:rFonts w:cstheme="minorHAnsi"/>
          <w:vertAlign w:val="subscript"/>
        </w:rPr>
        <w:t>β</w:t>
      </w:r>
      <w:r w:rsidRPr="009B5977">
        <w:rPr>
          <w:rFonts w:cstheme="minorHAnsi"/>
        </w:rPr>
        <w:t xml:space="preserve"> plane, possibilities exist for a new origin</w:t>
      </w:r>
      <w:r>
        <w:rPr>
          <w:rFonts w:cstheme="minorHAnsi"/>
        </w:rPr>
        <w:t>ating</w:t>
      </w:r>
      <w:r w:rsidRPr="009B5977">
        <w:rPr>
          <w:rFonts w:cstheme="minorHAnsi"/>
        </w:rPr>
        <w:t xml:space="preserve"> </w:t>
      </w:r>
      <w:r>
        <w:rPr>
          <w:rFonts w:cstheme="minorHAnsi"/>
        </w:rPr>
        <w:t>regime</w:t>
      </w:r>
      <w:r w:rsidRPr="009B5977">
        <w:rPr>
          <w:rFonts w:cstheme="minorHAnsi"/>
        </w:rPr>
        <w:t xml:space="preserve"> of {332}&lt;11-3&gt;</w:t>
      </w:r>
      <w:r w:rsidRPr="009B5977">
        <w:rPr>
          <w:rFonts w:cstheme="minorHAnsi"/>
          <w:vertAlign w:val="subscript"/>
        </w:rPr>
        <w:t>β</w:t>
      </w:r>
      <w:r w:rsidRPr="009B5977">
        <w:rPr>
          <w:rFonts w:cstheme="minorHAnsi"/>
        </w:rPr>
        <w:t xml:space="preserve"> twin</w:t>
      </w:r>
      <w:r>
        <w:rPr>
          <w:rFonts w:cstheme="minorHAnsi"/>
        </w:rPr>
        <w:t>ning</w:t>
      </w:r>
      <w:r w:rsidRPr="009B5977">
        <w:rPr>
          <w:rFonts w:cstheme="minorHAnsi"/>
        </w:rPr>
        <w:t xml:space="preserve"> to satisfy the requirement of twinning transformation. </w:t>
      </w:r>
      <w:r w:rsidRPr="009B5977">
        <w:rPr>
          <w:rFonts w:cstheme="minorHAnsi"/>
          <w:noProof/>
        </w:rPr>
        <w:t xml:space="preserve">During the phase transformation from </w:t>
      </w:r>
      <w:r>
        <w:rPr>
          <w:rFonts w:cstheme="minorHAnsi"/>
          <w:noProof/>
        </w:rPr>
        <w:t>BCC</w:t>
      </w:r>
      <w:r w:rsidRPr="009B5977">
        <w:rPr>
          <w:rFonts w:cstheme="minorHAnsi"/>
          <w:noProof/>
        </w:rPr>
        <w:t xml:space="preserve"> to orthorhombic structure</w:t>
      </w:r>
      <w:r w:rsidRPr="009B5977">
        <w:rPr>
          <w:rFonts w:cstheme="minorHAnsi"/>
        </w:rPr>
        <w:t xml:space="preserve">, six martensite variants </w:t>
      </w:r>
      <w:r>
        <w:rPr>
          <w:rFonts w:cstheme="minorHAnsi"/>
          <w:noProof/>
        </w:rPr>
        <w:t>were</w:t>
      </w:r>
      <w:r w:rsidRPr="009B5977">
        <w:rPr>
          <w:rFonts w:cstheme="minorHAnsi"/>
          <w:noProof/>
        </w:rPr>
        <w:t xml:space="preserve"> involved</w:t>
      </w:r>
      <w:r>
        <w:rPr>
          <w:rFonts w:cstheme="minorHAnsi"/>
          <w:noProof/>
        </w:rPr>
        <w:t>. This is shown</w:t>
      </w:r>
      <w:r w:rsidRPr="009B5977">
        <w:rPr>
          <w:rFonts w:cstheme="minorHAnsi"/>
        </w:rPr>
        <w:t xml:space="preserve"> in Fig. 6-1 </w:t>
      </w:r>
      <w:r>
        <w:rPr>
          <w:rFonts w:cstheme="minorHAnsi"/>
        </w:rPr>
        <w:t>and</w:t>
      </w:r>
      <w:r w:rsidRPr="009B5977">
        <w:rPr>
          <w:rFonts w:cstheme="minorHAnsi"/>
        </w:rPr>
        <w:t xml:space="preserve"> increases the probability of activating multiple SA twinning systems</w:t>
      </w:r>
      <w:r>
        <w:rPr>
          <w:rFonts w:cstheme="minorHAnsi"/>
        </w:rPr>
        <w:t xml:space="preserve"> </w:t>
      </w:r>
      <w:r w:rsidRPr="00C7493C">
        <w:rPr>
          <w:rFonts w:cstheme="minorHAnsi"/>
        </w:rPr>
        <w:fldChar w:fldCharType="begin" w:fldLock="1"/>
      </w:r>
      <w:r>
        <w:rPr>
          <w:rFonts w:cstheme="minorHAnsi"/>
        </w:rPr>
        <w:instrText>ADDIN CSL_CITATION {"citationItems":[{"id":"ITEM-1","itemData":{"DOI":"10.1080/14786430601003874","ISBN":"1478-6435","ISSN":"14786435","abstract":"11q","author":[{"dropping-particle":"","family":"Inamura","given":"T.","non-dropping-particle":"","parse-names":false,"suffix":""},{"dropping-particle":"","family":"Kim","given":"J. I.","non-dropping-particle":"","parse-names":false,"suffix":""},{"dropping-particle":"","family":"Kim","given":"H. Y.","non-dropping-particle":"","parse-names":false,"suffix":""},{"dropping-particle":"","family":"Hosoda","given":"H.","non-dropping-particle":"","parse-names":false,"suffix":""},{"dropping-particle":"","family":"Wakashima","given":"K.","non-dropping-particle":"","parse-names":false,"suffix":""},{"dropping-particle":"",</w:instrText>
      </w:r>
      <w:r>
        <w:rPr>
          <w:rFonts w:cstheme="minorHAnsi" w:hint="eastAsia"/>
        </w:rPr>
        <w:instrText xml:space="preserve">"family":"Miyazaki","given":"S.","non-dropping-particle":"","parse-names":false,"suffix":""}],"container-title":"Philosophical Magazine","id":"ITEM-1","issued":{"date-parts":[["2007"]]},"title":"Composition dependent crystallography of </w:instrText>
      </w:r>
      <w:r>
        <w:rPr>
          <w:rFonts w:cstheme="minorHAnsi" w:hint="eastAsia"/>
        </w:rPr>
        <w:instrText>α″</w:instrText>
      </w:r>
      <w:r>
        <w:rPr>
          <w:rFonts w:cstheme="minorHAnsi" w:hint="eastAsia"/>
        </w:rPr>
        <w:instrText>-martensite in Ti</w:instrText>
      </w:r>
      <w:r>
        <w:rPr>
          <w:rFonts w:cstheme="minorHAnsi"/>
        </w:rPr>
        <w:instrText>-Nb-based β-titanium alloy","type":"article-journal"},"uris":["http://www.mendeley.com/documents/?uuid=4ea84c35-d3ea-4315-8bc5-461397befc0b"]},{"id":"ITEM-2","itemData":{"DOI":"10.1063/1.1722021","ISBN":"0031-899X","ISSN":"00218979","abstract":"A theoretical analysis of the cubic to orthorhombic transformation is presented which predicts for a partly transformed crystal, the interface plane, orientation relationships, and macroscopic distortions from a knowledge only of the lattice parameters of the initial and final phases. Arguments are advanced to show that in order to minimize the strain energy associated with the transformation, the interface plane must be one of zero average distortion. This leads directly to considerations of an inhomogeneous product phase. Experimental studies on an AuCd alloy are described and the observed crystallographic features of the transformation compared with values calculated using the theory. The agreement between calculated and observed results for this alloy system as well as others is strong evidence for the theory of diffusionless phase transformations presented.","author":[{"dropping-particle":"","family":"Lieberman","given":"D. S.","non-dropping-particle":"","parse-names":false,"suffix":""},{"dropping-particle":"","family":"Wechsler","given":"M. S.","non-dropping-particle":"","parse-names":false,"suffix":""},{"dropping-particle":"","family":"Read","given":"T. A.","non-dropping-particle":"","parse-names":false,"suffix":""}],"container-title":"Journal of Applied Physics","id":"ITEM-2","issued":{"date-parts":[["1955"]]},"title":"Cubic to orthorhombic diffusionless phase change - Experimental and theoretical studies of AuCd","type":"article-journal"},"uris":["http://www.mendeley.com/documents/?uuid=ffa487d2-1350-410a-a4eb-4efeac525df5","http://www.mendeley.com/documents/?uuid=8147d9ea-d37b-4964-9fc5-a543eccc1665"]}],"mendeley":{"formattedCitation":"[12,13]","plainTextFormattedCitation":"[12,13]","previouslyFormattedCitation":"[14,15]"},"properties":{"noteIndex":0},"schema":"https://github.com/citation-style-language/schema/raw/master/csl-citation.json"}</w:instrText>
      </w:r>
      <w:r w:rsidRPr="00C7493C">
        <w:rPr>
          <w:rFonts w:cstheme="minorHAnsi"/>
        </w:rPr>
        <w:fldChar w:fldCharType="separate"/>
      </w:r>
      <w:r w:rsidRPr="008F7036">
        <w:rPr>
          <w:rFonts w:cstheme="minorHAnsi"/>
          <w:noProof/>
        </w:rPr>
        <w:t>[12,13]</w:t>
      </w:r>
      <w:r w:rsidRPr="00C7493C">
        <w:rPr>
          <w:rFonts w:cstheme="minorHAnsi"/>
        </w:rPr>
        <w:fldChar w:fldCharType="end"/>
      </w:r>
      <w:r w:rsidRPr="00C7493C">
        <w:rPr>
          <w:rFonts w:cstheme="minorHAnsi"/>
        </w:rPr>
        <w:t xml:space="preserve"> to serve as TTIP twin candidate</w:t>
      </w:r>
      <w:r>
        <w:rPr>
          <w:rFonts w:cstheme="minorHAnsi"/>
        </w:rPr>
        <w:t>s</w:t>
      </w:r>
      <w:r w:rsidRPr="00C7493C">
        <w:rPr>
          <w:rFonts w:cstheme="minorHAnsi"/>
        </w:rPr>
        <w:t xml:space="preserve">. Thus, in the </w:t>
      </w:r>
      <w:r w:rsidRPr="00C7493C">
        <w:rPr>
          <w:rFonts w:cstheme="minorHAnsi"/>
          <w:noProof/>
        </w:rPr>
        <w:t>current</w:t>
      </w:r>
      <w:r w:rsidRPr="00C7493C">
        <w:rPr>
          <w:rFonts w:cstheme="minorHAnsi"/>
        </w:rPr>
        <w:t xml:space="preserve"> section,</w:t>
      </w:r>
      <w:r>
        <w:rPr>
          <w:rFonts w:cstheme="minorHAnsi"/>
        </w:rPr>
        <w:t xml:space="preserve"> the twinning elements of</w:t>
      </w:r>
      <w:r w:rsidRPr="00C7493C">
        <w:rPr>
          <w:rFonts w:cstheme="minorHAnsi"/>
        </w:rPr>
        <w:t xml:space="preserve"> </w:t>
      </w:r>
      <w:r>
        <w:rPr>
          <w:rFonts w:cstheme="minorHAnsi"/>
        </w:rPr>
        <w:t>potential</w:t>
      </w:r>
      <w:r w:rsidRPr="00C7493C">
        <w:rPr>
          <w:rFonts w:cstheme="minorHAnsi"/>
        </w:rPr>
        <w:t xml:space="preserve"> twinning modes for both SA </w:t>
      </w:r>
      <w:r w:rsidRPr="009B5977">
        <w:rPr>
          <w:rFonts w:cstheme="minorHAnsi"/>
          <w:noProof/>
        </w:rPr>
        <w:t>martenstite</w:t>
      </w:r>
      <w:r w:rsidRPr="009B5977">
        <w:rPr>
          <w:rFonts w:cstheme="minorHAnsi"/>
        </w:rPr>
        <w:t xml:space="preserve"> twin</w:t>
      </w:r>
      <w:r>
        <w:rPr>
          <w:rFonts w:cstheme="minorHAnsi"/>
        </w:rPr>
        <w:t>s</w:t>
      </w:r>
      <w:r w:rsidRPr="009B5977">
        <w:rPr>
          <w:rFonts w:cstheme="minorHAnsi"/>
        </w:rPr>
        <w:t xml:space="preserve"> and β mechanical twin</w:t>
      </w:r>
      <w:r>
        <w:rPr>
          <w:rFonts w:cstheme="minorHAnsi"/>
        </w:rPr>
        <w:t>s</w:t>
      </w:r>
      <w:r w:rsidRPr="009B5977">
        <w:rPr>
          <w:rFonts w:cstheme="minorHAnsi"/>
        </w:rPr>
        <w:t xml:space="preserve"> will be </w:t>
      </w:r>
      <w:r>
        <w:rPr>
          <w:rFonts w:cstheme="minorHAnsi"/>
        </w:rPr>
        <w:t>calculated</w:t>
      </w:r>
      <w:r w:rsidRPr="009B5977">
        <w:rPr>
          <w:rFonts w:cstheme="minorHAnsi"/>
        </w:rPr>
        <w:t xml:space="preserve"> and compared. Potential </w:t>
      </w:r>
      <w:r w:rsidRPr="009B5977">
        <w:rPr>
          <w:rFonts w:cstheme="minorHAnsi"/>
        </w:rPr>
        <w:lastRenderedPageBreak/>
        <w:t xml:space="preserve">twinning candidates </w:t>
      </w:r>
      <w:r w:rsidRPr="009B5977">
        <w:rPr>
          <w:rFonts w:cstheme="minorHAnsi"/>
          <w:noProof/>
        </w:rPr>
        <w:t>which</w:t>
      </w:r>
      <w:r w:rsidRPr="009B5977">
        <w:rPr>
          <w:rFonts w:cstheme="minorHAnsi"/>
        </w:rPr>
        <w:t xml:space="preserve"> can enable twinning transformation</w:t>
      </w:r>
      <w:r>
        <w:rPr>
          <w:rFonts w:cstheme="minorHAnsi"/>
        </w:rPr>
        <w:t xml:space="preserve"> between austenite and martensite phase</w:t>
      </w:r>
      <w:r w:rsidRPr="009B5977">
        <w:rPr>
          <w:rFonts w:cstheme="minorHAnsi"/>
        </w:rPr>
        <w:t xml:space="preserve"> will be further </w:t>
      </w:r>
      <w:r>
        <w:rPr>
          <w:rFonts w:cstheme="minorHAnsi"/>
          <w:noProof/>
        </w:rPr>
        <w:t>determined</w:t>
      </w:r>
      <w:r w:rsidRPr="009B5977">
        <w:rPr>
          <w:rFonts w:cstheme="minorHAnsi"/>
        </w:rPr>
        <w:t xml:space="preserve"> and discussed. </w:t>
      </w:r>
      <w:r>
        <w:rPr>
          <w:rFonts w:cstheme="minorHAnsi"/>
        </w:rPr>
        <w:t xml:space="preserve"> </w:t>
      </w:r>
    </w:p>
    <w:p w14:paraId="18199281" w14:textId="77777777" w:rsidR="00B145BE" w:rsidRDefault="00B145BE" w:rsidP="00B145BE">
      <w:pPr>
        <w:keepNext/>
        <w:spacing w:afterLines="60" w:after="144" w:line="360" w:lineRule="auto"/>
        <w:ind w:right="110"/>
        <w:jc w:val="center"/>
      </w:pPr>
      <w:r w:rsidRPr="006E5260">
        <w:rPr>
          <w:rFonts w:cstheme="minorHAnsi"/>
          <w:noProof/>
          <w:lang w:val="en-US" w:eastAsia="en-US"/>
        </w:rPr>
        <w:drawing>
          <wp:inline distT="0" distB="0" distL="0" distR="0" wp14:anchorId="4302F06B" wp14:editId="62CE1C73">
            <wp:extent cx="3907766" cy="1831090"/>
            <wp:effectExtent l="0" t="0" r="0" b="0"/>
            <wp:docPr id="72" name="图片 33">
              <a:extLst xmlns:a="http://schemas.openxmlformats.org/drawingml/2006/main">
                <a:ext uri="{FF2B5EF4-FFF2-40B4-BE49-F238E27FC236}">
                  <a16:creationId xmlns:a16="http://schemas.microsoft.com/office/drawing/2014/main" id="{7706B128-6E00-4292-847E-905D6F7A6B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a:extLst>
                        <a:ext uri="{FF2B5EF4-FFF2-40B4-BE49-F238E27FC236}">
                          <a16:creationId xmlns:a16="http://schemas.microsoft.com/office/drawing/2014/main" id="{7706B128-6E00-4292-847E-905D6F7A6BE5}"/>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932000" cy="1842445"/>
                    </a:xfrm>
                    <a:prstGeom prst="rect">
                      <a:avLst/>
                    </a:prstGeom>
                  </pic:spPr>
                </pic:pic>
              </a:graphicData>
            </a:graphic>
          </wp:inline>
        </w:drawing>
      </w:r>
    </w:p>
    <w:p w14:paraId="28161C9B" w14:textId="1B6213F7" w:rsidR="00B145BE" w:rsidRPr="00631636" w:rsidRDefault="00B145BE" w:rsidP="00B145BE">
      <w:pPr>
        <w:spacing w:afterLines="60" w:after="144" w:line="360" w:lineRule="auto"/>
        <w:ind w:right="110"/>
        <w:jc w:val="center"/>
        <w:rPr>
          <w:rFonts w:cstheme="minorHAnsi"/>
          <w:noProof/>
          <w:sz w:val="20"/>
        </w:rPr>
      </w:pPr>
      <w:bookmarkStart w:id="287" w:name="_Toc7364607"/>
      <w:bookmarkStart w:id="288" w:name="_Toc39312721"/>
      <w:r w:rsidRPr="006E5260">
        <w:rPr>
          <w:rFonts w:cstheme="minorHAnsi"/>
          <w:b/>
          <w:noProof/>
          <w:sz w:val="20"/>
        </w:rPr>
        <w:t>Figure</w:t>
      </w:r>
      <w:r>
        <w:rPr>
          <w:rFonts w:cstheme="minorHAnsi"/>
          <w:b/>
          <w:noProof/>
          <w:sz w:val="20"/>
        </w:rPr>
        <w:t xml:space="preserve"> 6-</w:t>
      </w:r>
      <w:r w:rsidRPr="00631636">
        <w:rPr>
          <w:b/>
          <w:sz w:val="20"/>
        </w:rPr>
        <w:fldChar w:fldCharType="begin"/>
      </w:r>
      <w:r w:rsidRPr="00631636">
        <w:rPr>
          <w:b/>
          <w:sz w:val="20"/>
        </w:rPr>
        <w:instrText xml:space="preserve"> SEQ Figure \* ARABIC </w:instrText>
      </w:r>
      <w:r w:rsidRPr="00631636">
        <w:rPr>
          <w:b/>
          <w:sz w:val="20"/>
        </w:rPr>
        <w:fldChar w:fldCharType="separate"/>
      </w:r>
      <w:r>
        <w:rPr>
          <w:b/>
          <w:noProof/>
          <w:sz w:val="20"/>
        </w:rPr>
        <w:t>1</w:t>
      </w:r>
      <w:r w:rsidRPr="00631636">
        <w:rPr>
          <w:b/>
          <w:sz w:val="20"/>
        </w:rPr>
        <w:fldChar w:fldCharType="end"/>
      </w:r>
      <w:r w:rsidRPr="006E5260">
        <w:rPr>
          <w:rFonts w:cstheme="minorHAnsi"/>
          <w:noProof/>
          <w:sz w:val="20"/>
        </w:rPr>
        <w:t xml:space="preserve"> </w:t>
      </w:r>
      <w:r w:rsidRPr="003B25EA">
        <w:rPr>
          <w:rFonts w:cstheme="minorHAnsi"/>
          <w:noProof/>
          <w:sz w:val="20"/>
        </w:rPr>
        <w:t xml:space="preserve">Lattice correspondence of six martensite variants in </w:t>
      </w:r>
      <w:r>
        <w:rPr>
          <w:rFonts w:cstheme="minorHAnsi"/>
          <w:noProof/>
          <w:sz w:val="20"/>
        </w:rPr>
        <w:t>BCC</w:t>
      </w:r>
      <w:r w:rsidRPr="003B25EA">
        <w:rPr>
          <w:rFonts w:cstheme="minorHAnsi"/>
          <w:noProof/>
          <w:sz w:val="20"/>
        </w:rPr>
        <w:t xml:space="preserve"> matrix</w:t>
      </w:r>
      <w:bookmarkEnd w:id="287"/>
      <w:r>
        <w:rPr>
          <w:rFonts w:cstheme="minorHAnsi"/>
          <w:noProof/>
          <w:sz w:val="20"/>
        </w:rPr>
        <w:t>.</w:t>
      </w:r>
      <w:bookmarkEnd w:id="288"/>
    </w:p>
    <w:p w14:paraId="7354338F" w14:textId="3B9ECAF1" w:rsidR="00B145BE" w:rsidRPr="006E5260" w:rsidRDefault="00B145BE" w:rsidP="00B145BE">
      <w:pPr>
        <w:spacing w:afterLines="60" w:after="144" w:line="360" w:lineRule="auto"/>
        <w:jc w:val="both"/>
        <w:rPr>
          <w:rFonts w:cstheme="minorHAnsi"/>
        </w:rPr>
      </w:pPr>
      <w:r w:rsidRPr="006E5260">
        <w:rPr>
          <w:rFonts w:cstheme="minorHAnsi"/>
          <w:noProof/>
        </w:rPr>
        <w:t>As a product of phase transformation,</w:t>
      </w:r>
      <w:r>
        <w:rPr>
          <w:rFonts w:cstheme="minorHAnsi"/>
          <w:noProof/>
        </w:rPr>
        <w:t xml:space="preserve"> the</w:t>
      </w:r>
      <w:r w:rsidRPr="006E5260">
        <w:rPr>
          <w:rFonts w:cstheme="minorHAnsi"/>
          <w:noProof/>
        </w:rPr>
        <w:t xml:space="preserve"> self-accommodation (SA) twinning which </w:t>
      </w:r>
      <w:r>
        <w:rPr>
          <w:rFonts w:cstheme="minorHAnsi"/>
          <w:noProof/>
        </w:rPr>
        <w:t>occurs</w:t>
      </w:r>
      <w:r w:rsidRPr="006E5260">
        <w:rPr>
          <w:rFonts w:cstheme="minorHAnsi"/>
          <w:noProof/>
        </w:rPr>
        <w:t xml:space="preserve"> from the rearrangement of martensite variants</w:t>
      </w:r>
      <w:r>
        <w:rPr>
          <w:rFonts w:cstheme="minorHAnsi"/>
          <w:noProof/>
        </w:rPr>
        <w:t xml:space="preserve"> </w:t>
      </w:r>
      <w:r w:rsidRPr="006E5260">
        <w:rPr>
          <w:rFonts w:cstheme="minorHAnsi"/>
          <w:noProof/>
        </w:rPr>
        <w:fldChar w:fldCharType="begin" w:fldLock="1"/>
      </w:r>
      <w:r>
        <w:rPr>
          <w:rFonts w:cstheme="minorHAnsi"/>
          <w:noProof/>
        </w:rPr>
        <w:instrText>ADDIN CSL_CITATION {"citationItems":[{"id":"ITEM-1","itemData":{"DOI":"10.1007/BF00375026","ISSN":"00039527","abstract":"The shape-memory effect is a phenomenon wherein an apparently plastically deformed specimen recovers all strain when heated above a critical temperature. This is observed in some crystalline solids that undergo martensitic phase transformation. The martensitic transformation is a temperature-induced, diffusionless solid-to-solid phase transformation involving a change in crystalline symmetry. Shape-memory materials are able to transform from the high-temperature austenite to the low-temperature martensite phase without any apparent change in shape. This is known as self-accommodation. Necessary and sufficient conditions that the lattice parameters of a material must satisfy for the material to form a self-accommodating microstructure are derived. The main result states that if the austenite is cubic, the material is self-accommodating if and only if the transformation is volume preserving. On the other hand, if the symmetry of the austenite is not cubic, it is not possible to construct any microstructure that is self-accommodating unless the transformation strain or the Bain strain satisfies additional, rather strict, conditions. These results show good agreement with the available experimental data. The analysis here is significantly different from previous studies because it makes no a priori assumption on the microstructure.","author":[{"dropping-particle":"","family":"Bhattacharya","given":"Kaushik","non-dropping-particle":"","parse-names":false,"suffix":""}],"container-title":"Archive for Rational Mechanics and Analysis","id":"ITEM-1","issued":{"date-parts":[["1992"]]},"title":"Self-accommodation in martensite","type":"article-journal"},"uris":["http://www.mendeley.com/documents/?uuid=2bd4c428-bcb4-43f7-93f3-ce99fdbda6f1"]}],"mendeley":{"formattedCitation":"[19]","plainTextFormattedCitation":"[19]","previouslyFormattedCitation":"[21]"},"properties":{"noteIndex":0},"schema":"https://github.com/citation-style-language/schema/raw/master/csl-citation.json"}</w:instrText>
      </w:r>
      <w:r w:rsidRPr="006E5260">
        <w:rPr>
          <w:rFonts w:cstheme="minorHAnsi"/>
          <w:noProof/>
        </w:rPr>
        <w:fldChar w:fldCharType="separate"/>
      </w:r>
      <w:r w:rsidRPr="008F7036">
        <w:rPr>
          <w:rFonts w:cstheme="minorHAnsi"/>
          <w:noProof/>
        </w:rPr>
        <w:t>[19]</w:t>
      </w:r>
      <w:r w:rsidRPr="006E5260">
        <w:rPr>
          <w:rFonts w:cstheme="minorHAnsi"/>
          <w:noProof/>
        </w:rPr>
        <w:fldChar w:fldCharType="end"/>
      </w:r>
      <w:r>
        <w:rPr>
          <w:rFonts w:cstheme="minorHAnsi"/>
          <w:noProof/>
        </w:rPr>
        <w:t>,</w:t>
      </w:r>
      <w:r w:rsidRPr="006E5260">
        <w:rPr>
          <w:rFonts w:cstheme="minorHAnsi"/>
          <w:noProof/>
        </w:rPr>
        <w:t xml:space="preserve"> have the potential to correlate TRIP and TWIP coherently.</w:t>
      </w:r>
      <w:r w:rsidRPr="006E5260">
        <w:rPr>
          <w:rFonts w:cstheme="minorHAnsi"/>
        </w:rPr>
        <w:t xml:space="preserve"> During austenite to martensite</w:t>
      </w:r>
      <w:r>
        <w:rPr>
          <w:rFonts w:cstheme="minorHAnsi"/>
        </w:rPr>
        <w:t xml:space="preserve"> transformation</w:t>
      </w:r>
      <w:r w:rsidRPr="006E5260">
        <w:rPr>
          <w:rFonts w:cstheme="minorHAnsi"/>
        </w:rPr>
        <w:t xml:space="preserve">, the variants of martensite arrange themselves in a microstructure to reduce the </w:t>
      </w:r>
      <w:r w:rsidRPr="006E5260">
        <w:rPr>
          <w:rFonts w:cstheme="minorHAnsi"/>
          <w:noProof/>
        </w:rPr>
        <w:t>overall</w:t>
      </w:r>
      <w:r w:rsidRPr="006E5260">
        <w:rPr>
          <w:rFonts w:cstheme="minorHAnsi"/>
        </w:rPr>
        <w:t xml:space="preserve"> strain caused by macroscopic shape </w:t>
      </w:r>
      <w:r>
        <w:rPr>
          <w:rFonts w:cstheme="minorHAnsi"/>
        </w:rPr>
        <w:t>change,</w:t>
      </w:r>
      <w:r w:rsidRPr="006E5260">
        <w:rPr>
          <w:rFonts w:cstheme="minorHAnsi"/>
        </w:rPr>
        <w:t xml:space="preserve"> which </w:t>
      </w:r>
      <w:r w:rsidRPr="006E5260">
        <w:rPr>
          <w:rFonts w:cstheme="minorHAnsi"/>
          <w:noProof/>
        </w:rPr>
        <w:t>results</w:t>
      </w:r>
      <w:r w:rsidRPr="006E5260">
        <w:rPr>
          <w:rFonts w:cstheme="minorHAnsi"/>
        </w:rPr>
        <w:t xml:space="preserve"> in the </w:t>
      </w:r>
      <w:r w:rsidRPr="006E5260">
        <w:rPr>
          <w:rFonts w:cstheme="minorHAnsi"/>
          <w:noProof/>
        </w:rPr>
        <w:t>activation</w:t>
      </w:r>
      <w:r w:rsidRPr="006E5260">
        <w:rPr>
          <w:rFonts w:cstheme="minorHAnsi"/>
        </w:rPr>
        <w:t xml:space="preserve"> of </w:t>
      </w:r>
      <w:r>
        <w:rPr>
          <w:rFonts w:cstheme="minorHAnsi"/>
        </w:rPr>
        <w:t xml:space="preserve">the </w:t>
      </w:r>
      <w:r w:rsidRPr="006E5260">
        <w:rPr>
          <w:rFonts w:cstheme="minorHAnsi"/>
          <w:noProof/>
        </w:rPr>
        <w:t>self-accommodation</w:t>
      </w:r>
      <w:r>
        <w:rPr>
          <w:rFonts w:cstheme="minorHAnsi"/>
          <w:noProof/>
        </w:rPr>
        <w:t xml:space="preserve"> </w:t>
      </w:r>
      <w:r w:rsidRPr="006E5260">
        <w:rPr>
          <w:rFonts w:cstheme="minorHAnsi"/>
          <w:noProof/>
        </w:rPr>
        <w:t>(SA)</w:t>
      </w:r>
      <w:r w:rsidRPr="006E5260">
        <w:rPr>
          <w:rFonts w:cstheme="minorHAnsi"/>
        </w:rPr>
        <w:t xml:space="preserve"> twinning system. </w:t>
      </w:r>
      <w:r>
        <w:rPr>
          <w:rFonts w:cstheme="minorHAnsi"/>
        </w:rPr>
        <w:t>Similar to most</w:t>
      </w:r>
      <w:r w:rsidRPr="006E5260">
        <w:rPr>
          <w:rFonts w:cstheme="minorHAnsi"/>
        </w:rPr>
        <w:t xml:space="preserve"> </w:t>
      </w:r>
      <w:r w:rsidRPr="006E5260">
        <w:rPr>
          <w:rFonts w:cstheme="minorHAnsi"/>
          <w:noProof/>
        </w:rPr>
        <w:t>mechanical</w:t>
      </w:r>
      <w:r w:rsidRPr="006E5260">
        <w:rPr>
          <w:rFonts w:cstheme="minorHAnsi"/>
        </w:rPr>
        <w:t xml:space="preserve"> twinning</w:t>
      </w:r>
      <w:r>
        <w:rPr>
          <w:rFonts w:cstheme="minorHAnsi"/>
        </w:rPr>
        <w:t xml:space="preserve"> modes in metallic materials</w:t>
      </w:r>
      <w:r w:rsidRPr="006E5260">
        <w:rPr>
          <w:rFonts w:cstheme="minorHAnsi"/>
        </w:rPr>
        <w:t xml:space="preserve">, the interfaces between these martensite </w:t>
      </w:r>
      <w:r>
        <w:rPr>
          <w:rFonts w:cstheme="minorHAnsi"/>
        </w:rPr>
        <w:t xml:space="preserve">SA twined </w:t>
      </w:r>
      <w:r w:rsidRPr="006E5260">
        <w:rPr>
          <w:rFonts w:cstheme="minorHAnsi"/>
        </w:rPr>
        <w:t xml:space="preserve">plates always </w:t>
      </w:r>
      <w:r>
        <w:rPr>
          <w:rFonts w:cstheme="minorHAnsi"/>
        </w:rPr>
        <w:t xml:space="preserve">remain </w:t>
      </w:r>
      <w:r w:rsidRPr="006E5260">
        <w:rPr>
          <w:rFonts w:cstheme="minorHAnsi"/>
        </w:rPr>
        <w:t>coherent</w:t>
      </w:r>
      <w:r>
        <w:rPr>
          <w:rFonts w:cstheme="minorHAnsi"/>
        </w:rPr>
        <w:t xml:space="preserve"> </w:t>
      </w:r>
      <w:r w:rsidRPr="006E5260">
        <w:rPr>
          <w:rFonts w:cstheme="minorHAnsi"/>
        </w:rPr>
        <w:fldChar w:fldCharType="begin" w:fldLock="1"/>
      </w:r>
      <w:r>
        <w:rPr>
          <w:rFonts w:cstheme="minorHAnsi" w:hint="eastAsia"/>
        </w:rPr>
        <w:instrText xml:space="preserve">ADDIN CSL_CITATION {"citationItems":[{"id":"ITEM-1","itemData":{"DOI":"10.1016/j.actamat.2009.04.051","ISBN":"0000000000","ISSN":"13596454","PMID":"30089621","abstract":"Self-accommodation morphology of the </w:instrText>
      </w:r>
      <w:r>
        <w:rPr>
          <w:rFonts w:cstheme="minorHAnsi" w:hint="eastAsia"/>
        </w:rPr>
        <w:instrText>α″</w:instrText>
      </w:r>
      <w:r>
        <w:rPr>
          <w:rFonts w:cstheme="minorHAnsi" w:hint="eastAsia"/>
        </w:rPr>
        <w:instrText xml:space="preserve">martensites in Ti-Nb shape memory alloys with </w:instrText>
      </w:r>
      <w:r>
        <w:rPr>
          <w:rFonts w:cstheme="minorHAnsi"/>
        </w:rPr>
        <w:instrText>Nb content ranging from 20 to 24 at.% was investigated. Hollow and solid triangular morphologies consisting of three α</w:instrText>
      </w:r>
      <w:r>
        <w:rPr>
          <w:rFonts w:cstheme="minorHAnsi" w:hint="eastAsia"/>
        </w:rPr>
        <w:instrText>″</w:instrText>
      </w:r>
      <w:r>
        <w:rPr>
          <w:rFonts w:cstheme="minorHAnsi"/>
        </w:rPr>
        <w:instrText>variants were found to be the α</w:instrText>
      </w:r>
      <w:r>
        <w:rPr>
          <w:rFonts w:cstheme="minorHAnsi" w:hint="eastAsia"/>
        </w:rPr>
        <w:instrText>″</w:instrText>
      </w:r>
      <w:r>
        <w:rPr>
          <w:rFonts w:cstheme="minorHAnsi"/>
        </w:rPr>
        <w:instrText>self-accommodation morphologies. The α</w:instrText>
      </w:r>
      <w:r>
        <w:rPr>
          <w:rFonts w:cstheme="minorHAnsi" w:hint="eastAsia"/>
        </w:rPr>
        <w:instrText>″</w:instrText>
      </w:r>
      <w:r>
        <w:rPr>
          <w:rFonts w:cstheme="minorHAnsi"/>
        </w:rPr>
        <w:instrText>variants are related to each other by twinning on {1 over(1, ̄) 1</w:instrText>
      </w:r>
      <w:r>
        <w:rPr>
          <w:rFonts w:cstheme="minorHAnsi" w:hint="eastAsia"/>
        </w:rPr>
        <w:instrText>}</w:instrText>
      </w:r>
      <w:r>
        <w:rPr>
          <w:rFonts w:cstheme="minorHAnsi" w:hint="eastAsia"/>
        </w:rPr>
        <w:instrText>α″</w:instrText>
      </w:r>
      <w:r>
        <w:rPr>
          <w:rFonts w:cstheme="minorHAnsi" w:hint="eastAsia"/>
        </w:rPr>
        <w:instrText xml:space="preserve">. A V-shaped morphology consisting of two </w:instrText>
      </w:r>
      <w:r>
        <w:rPr>
          <w:rFonts w:cstheme="minorHAnsi" w:hint="eastAsia"/>
        </w:rPr>
        <w:instrText>α″</w:instrText>
      </w:r>
      <w:r>
        <w:rPr>
          <w:rFonts w:cstheme="minorHAnsi" w:hint="eastAsia"/>
        </w:rPr>
        <w:instrText xml:space="preserve">variants coupled with a solid triangular morphology consisting of three </w:instrText>
      </w:r>
      <w:r>
        <w:rPr>
          <w:rFonts w:cstheme="minorHAnsi" w:hint="eastAsia"/>
        </w:rPr>
        <w:instrText>α″</w:instrText>
      </w:r>
      <w:r>
        <w:rPr>
          <w:rFonts w:cstheme="minorHAnsi" w:hint="eastAsia"/>
        </w:rPr>
        <w:instrText xml:space="preserve">variants was found to be another type of self-accommodation morphology. The </w:instrText>
      </w:r>
      <w:r>
        <w:rPr>
          <w:rFonts w:cstheme="minorHAnsi" w:hint="eastAsia"/>
        </w:rPr>
        <w:instrText>α″</w:instrText>
      </w:r>
      <w:r>
        <w:rPr>
          <w:rFonts w:cstheme="minorHAnsi" w:hint="eastAsia"/>
        </w:rPr>
        <w:instrText>variants from the V-shaped morphology are related by twi</w:instrText>
      </w:r>
      <w:r>
        <w:rPr>
          <w:rFonts w:cstheme="minorHAnsi"/>
        </w:rPr>
        <w:instrText>nning on {1 1 1}α</w:instrText>
      </w:r>
      <w:r>
        <w:rPr>
          <w:rFonts w:cstheme="minorHAnsi" w:hint="eastAsia"/>
        </w:rPr>
        <w:instrText>″</w:instrText>
      </w:r>
      <w:r>
        <w:rPr>
          <w:rFonts w:cstheme="minorHAnsi"/>
        </w:rPr>
        <w:instrText>, whereas the α</w:instrText>
      </w:r>
      <w:r>
        <w:rPr>
          <w:rFonts w:cstheme="minorHAnsi" w:hint="eastAsia"/>
        </w:rPr>
        <w:instrText>″</w:instrText>
      </w:r>
      <w:r>
        <w:rPr>
          <w:rFonts w:cstheme="minorHAnsi"/>
        </w:rPr>
        <w:instrText>variants from the solid triangular morphology are related to each other by twinning on {1 over(1, ̄) 1}α</w:instrText>
      </w:r>
      <w:r>
        <w:rPr>
          <w:rFonts w:cstheme="minorHAnsi" w:hint="eastAsia"/>
        </w:rPr>
        <w:instrText>″</w:instrText>
      </w:r>
      <w:r>
        <w:rPr>
          <w:rFonts w:cstheme="minorHAnsi"/>
        </w:rPr>
        <w:instrText>. Pairs of crystallographically equivalent {1 over(1, ̄) 1}α</w:instrText>
      </w:r>
      <w:r>
        <w:rPr>
          <w:rFonts w:cstheme="minorHAnsi" w:hint="eastAsia"/>
        </w:rPr>
        <w:instrText>″</w:instrText>
      </w:r>
      <w:r>
        <w:rPr>
          <w:rFonts w:cstheme="minorHAnsi"/>
        </w:rPr>
        <w:instrText>twinning dislocations with steps of opposite signs were found to cause the overall orientation of the twinning terraces and steps to be parallel to the {1 over(1, ̄) 1}α</w:instrText>
      </w:r>
      <w:r>
        <w:rPr>
          <w:rFonts w:cstheme="minorHAnsi" w:hint="eastAsia"/>
        </w:rPr>
        <w:instrText>″</w:instrText>
      </w:r>
      <w:r>
        <w:rPr>
          <w:rFonts w:cstheme="minorHAnsi"/>
        </w:rPr>
        <w:instrText>twinning interface. © 2009 Acta Materialia Inc.","author":[{"dropping-particle":"","family":"Chai","given":"Y. W.","non-dropping-particle":"","parse-names":false,"suffix":""},{"dropping-particle":"","family":"Kim","given":"H. Y.","non-dropping-particle":"","parse-names":false,"suffix":""},{"dropping-particle":"","family":"Hosoda","given":"H.","non-dropping-particle":"","parse-names":false,"suffix":""},{"dropping-particle":"","family":"Miyazaki","given":"S.","non-dropping-particle":"","parse-names":false,"suffix":""}],"container-title":"Acta Materialia","id":"ITEM-1","issued":{"date-parts":[["2009"]]},"title":"Self-accommodation in Ti-Nb shape memory alloys","type":"article-journal"},"uris":["http://www.mendeley.com/documents/?uuid=95bc14ff-590f-4858-bc92-38df50f2c3ab"]},{"id":"ITEM-2","itemData":{"DOI":"10.1080/14786430601003874","ISBN":"1478-6435","ISSN":"14786435","abstract":"11q","author":[{"dropping-particle":"","family":"Inamura","given":"T.","non-dropping-particle":"","parse-names":false,"suffix":""},{"dropping-particle":"","family":"Kim","given":"J. I.","non-dropping-particle":"","parse-names":false,"suffix":""},{"dropping-particle":"","family":"Kim","given":"H. Y.","non-dropping-particle":"","parse-names":false,"suffix":""},{"dropping-particle":"","family":"Hosoda","given":"H.","non-dropping-particle":"","parse-names":false,"suffix":""},{"dropping-particle":"","family":"Wakashima","given":"K.","non-dropping-particle":"","parse-names":false,"suffix":""},{"dropping-particle":"","family":"Miyazaki","given":"S.","non-dropping-particle":"","parse-names":false,"suffix":""}],"container-title":"Philosophical Magazine","id":"ITEM-2","issued":{</w:instrText>
      </w:r>
      <w:r>
        <w:rPr>
          <w:rFonts w:cstheme="minorHAnsi" w:hint="eastAsia"/>
        </w:rPr>
        <w:instrText xml:space="preserve">"date-parts":[["2007"]]},"title":"Composition dependent crystallography of </w:instrText>
      </w:r>
      <w:r>
        <w:rPr>
          <w:rFonts w:cstheme="minorHAnsi" w:hint="eastAsia"/>
        </w:rPr>
        <w:instrText>α″</w:instrText>
      </w:r>
      <w:r>
        <w:rPr>
          <w:rFonts w:cstheme="minorHAnsi" w:hint="eastAsia"/>
        </w:rPr>
        <w:instrText xml:space="preserve">-martensite in Ti-Nb-based </w:instrText>
      </w:r>
      <w:r>
        <w:rPr>
          <w:rFonts w:cstheme="minorHAnsi" w:hint="eastAsia"/>
        </w:rPr>
        <w:instrText>β</w:instrText>
      </w:r>
      <w:r>
        <w:rPr>
          <w:rFonts w:cstheme="minorHAnsi" w:hint="eastAsia"/>
        </w:rPr>
        <w:instrText>-titanium alloy","type":"article-journal"},"uris":["http://www.mendeley.com/documents/?uuid=26904a4b-d6c6-4c17-b6da-29a902ada479"]}],"mendeley":{"form</w:instrText>
      </w:r>
      <w:r>
        <w:rPr>
          <w:rFonts w:cstheme="minorHAnsi"/>
        </w:rPr>
        <w:instrText>attedCitation":"[12,20]","plainTextFormattedCitation":"[12,20]","previouslyFormattedCitation":"[14,22]"},"properties":{"noteIndex":0},"schema":"https://github.com/citation-style-language/schema/raw/master/csl-citation.json"}</w:instrText>
      </w:r>
      <w:r w:rsidRPr="006E5260">
        <w:rPr>
          <w:rFonts w:cstheme="minorHAnsi"/>
        </w:rPr>
        <w:fldChar w:fldCharType="separate"/>
      </w:r>
      <w:r w:rsidRPr="008F7036">
        <w:rPr>
          <w:rFonts w:cstheme="minorHAnsi"/>
          <w:noProof/>
        </w:rPr>
        <w:t>[12,20]</w:t>
      </w:r>
      <w:r w:rsidRPr="006E5260">
        <w:rPr>
          <w:rFonts w:cstheme="minorHAnsi"/>
        </w:rPr>
        <w:fldChar w:fldCharType="end"/>
      </w:r>
      <w:r>
        <w:rPr>
          <w:rFonts w:cstheme="minorHAnsi"/>
        </w:rPr>
        <w:t>.</w:t>
      </w:r>
      <w:r w:rsidRPr="006E5260">
        <w:rPr>
          <w:rFonts w:cstheme="minorHAnsi"/>
        </w:rPr>
        <w:t xml:space="preserve"> </w:t>
      </w:r>
      <w:r>
        <w:rPr>
          <w:rFonts w:cstheme="minorHAnsi"/>
        </w:rPr>
        <w:t>This</w:t>
      </w:r>
      <w:r w:rsidRPr="006E5260">
        <w:rPr>
          <w:rFonts w:cstheme="minorHAnsi"/>
        </w:rPr>
        <w:t xml:space="preserve"> enable</w:t>
      </w:r>
      <w:r>
        <w:rPr>
          <w:rFonts w:cstheme="minorHAnsi"/>
        </w:rPr>
        <w:t>s</w:t>
      </w:r>
      <w:r w:rsidRPr="006E5260">
        <w:rPr>
          <w:rFonts w:cstheme="minorHAnsi"/>
        </w:rPr>
        <w:t xml:space="preserve"> </w:t>
      </w:r>
      <w:r>
        <w:rPr>
          <w:rFonts w:cstheme="minorHAnsi"/>
        </w:rPr>
        <w:t>the utilisation of</w:t>
      </w:r>
      <w:r w:rsidRPr="006E5260">
        <w:rPr>
          <w:rFonts w:cstheme="minorHAnsi"/>
        </w:rPr>
        <w:t xml:space="preserve"> their twinning plane</w:t>
      </w:r>
      <w:r>
        <w:rPr>
          <w:rFonts w:cstheme="minorHAnsi"/>
        </w:rPr>
        <w:t>,</w:t>
      </w:r>
      <w:r w:rsidRPr="006E5260">
        <w:rPr>
          <w:rFonts w:cstheme="minorHAnsi"/>
        </w:rPr>
        <w:t xml:space="preserve"> as an </w:t>
      </w:r>
      <w:r w:rsidRPr="006E5260">
        <w:rPr>
          <w:rFonts w:cstheme="minorHAnsi"/>
          <w:noProof/>
        </w:rPr>
        <w:t>invariant</w:t>
      </w:r>
      <w:r w:rsidRPr="006E5260">
        <w:rPr>
          <w:rFonts w:cstheme="minorHAnsi"/>
        </w:rPr>
        <w:t xml:space="preserve"> plane for deformation twinning</w:t>
      </w:r>
      <w:r>
        <w:rPr>
          <w:rFonts w:cstheme="minorHAnsi"/>
        </w:rPr>
        <w:t>,</w:t>
      </w:r>
      <w:r w:rsidRPr="006E5260">
        <w:rPr>
          <w:rFonts w:cstheme="minorHAnsi"/>
        </w:rPr>
        <w:t xml:space="preserve"> to accommodate the mechanical shear. In </w:t>
      </w:r>
      <w:r>
        <w:rPr>
          <w:rFonts w:cstheme="minorHAnsi"/>
        </w:rPr>
        <w:t>recent</w:t>
      </w:r>
      <w:r w:rsidRPr="006E5260">
        <w:rPr>
          <w:rFonts w:cstheme="minorHAnsi"/>
        </w:rPr>
        <w:t xml:space="preserve"> work, </w:t>
      </w:r>
      <w:r w:rsidRPr="006E5260">
        <w:rPr>
          <w:rFonts w:cstheme="minorHAnsi"/>
          <w:noProof/>
        </w:rPr>
        <w:t xml:space="preserve">the infinitesimal deformation approach (IDA) was applied to calculate the possible SA twining modes for </w:t>
      </w:r>
      <w:r w:rsidR="00B17691">
        <w:rPr>
          <w:rFonts w:cstheme="minorHAnsi"/>
          <w:noProof/>
        </w:rPr>
        <w:t xml:space="preserve">the </w:t>
      </w:r>
      <w:r w:rsidRPr="006E5260">
        <w:rPr>
          <w:rFonts w:cstheme="minorHAnsi"/>
          <w:noProof/>
        </w:rPr>
        <w:t>orthorhombic martensite structure</w:t>
      </w:r>
      <w:r>
        <w:rPr>
          <w:rFonts w:cstheme="minorHAnsi"/>
          <w:noProof/>
        </w:rPr>
        <w:t xml:space="preserve"> </w:t>
      </w:r>
      <w:r w:rsidRPr="006E5260">
        <w:rPr>
          <w:rFonts w:cstheme="minorHAnsi"/>
        </w:rPr>
        <w:fldChar w:fldCharType="begin" w:fldLock="1"/>
      </w:r>
      <w:r>
        <w:rPr>
          <w:rFonts w:cstheme="minorHAnsi"/>
        </w:rPr>
        <w:instrText>ADDIN CSL_CITATION {"citationItems":[{"id":"ITEM-1","itemData":{"DOI":"10.1016/S1359-6462(00)00465-6","ISSN":"13596462","abstract":"A study was carried out to complete the analysis of the deformation of a group B combined variant (f=0.3012). By taking into account the average transformation strains of groups A and B, it was found that group B cannot be ignored, when the preferential formation of a particular variant is examined under stress.","author":[{"dropping-particle":"","family":"Liang","given":"Yuanchang","non-dropping-particle":"","parse-names":false,"suffix":""},{"dropping-particle":"","family":"Kato","given":"Hiroyuki","non-dropping-particle":"","parse-names":false,"suffix":""},{"dropping-particle":"","family":"Taya","given":"Minoru","non-dropping-particle":"","parse-names":false,"suffix":""},{"dropping-particle":"","family":"Mori","given":"T.","non-dropping-particle":"","parse-names":false,"suffix":""}],"container-title":"Scripta Materialia","id":"ITEM-1","issued":{"date-parts":[["2000"]]},"title":"Infinitesimal approach to the crystallography of martensitic transformation: application to Ni-Ti","type":"article-journal"},"uris":["http://www.mendeley.com/documents/?uuid=2f7d6ac6-37d0-436a-aa83-63c26c3f4e6f"]}],"mendeley":{"formattedCitation":"[21]","plainTextFormattedCitation":"[21]","previouslyFormattedCitation":"[23]"},"properties":{"noteIndex":0},"schema":"https://github.com/citation-style-language/schema/raw/master/csl-citation.json"}</w:instrText>
      </w:r>
      <w:r w:rsidRPr="006E5260">
        <w:rPr>
          <w:rFonts w:cstheme="minorHAnsi"/>
        </w:rPr>
        <w:fldChar w:fldCharType="separate"/>
      </w:r>
      <w:r w:rsidRPr="008F7036">
        <w:rPr>
          <w:rFonts w:cstheme="minorHAnsi"/>
          <w:noProof/>
        </w:rPr>
        <w:t>[21]</w:t>
      </w:r>
      <w:r w:rsidRPr="006E5260">
        <w:rPr>
          <w:rFonts w:cstheme="minorHAnsi"/>
        </w:rPr>
        <w:fldChar w:fldCharType="end"/>
      </w:r>
      <w:r w:rsidRPr="006E5260">
        <w:rPr>
          <w:rFonts w:cstheme="minorHAnsi"/>
        </w:rPr>
        <w:t>. The approach was successfully applied in predicting possible twinning relationships among monoclinic SA variants during cubic to monoclinic phase transformation in Ti-Ni shape memory alloy</w:t>
      </w:r>
      <w:r>
        <w:rPr>
          <w:rFonts w:cstheme="minorHAnsi"/>
        </w:rPr>
        <w:t xml:space="preserve"> </w:t>
      </w:r>
      <w:r w:rsidRPr="006E5260">
        <w:rPr>
          <w:rFonts w:cstheme="minorHAnsi"/>
        </w:rPr>
        <w:fldChar w:fldCharType="begin" w:fldLock="1"/>
      </w:r>
      <w:r>
        <w:rPr>
          <w:rFonts w:cstheme="minorHAnsi"/>
        </w:rPr>
        <w:instrText>ADDIN CSL_CITATION {"citationItems":[{"id":"ITEM-1","itemData":{"DOI":"10.5860/choice.41-6554","ISSN":"0009-4978","abstract":"Martensites are crystalline solids that display dazzling patterns at the microscopic scales. This microstructure gives rise to unusual macroscopic properties like the shape-memory effect. Starting with the crystalline structure, this book describes a theoretical framework for studying martensites and uses the theory to explain why these materials form microstructure. The macrostructure consequences of the microstructure are subsequently discussed. Complete with a piece of shape-memory wire and numerous examples from real materials, this book represents a successful case study in multiscale modeling, giving a clear understanding of the link between microstructure and macrostructure properties. Beautifully written, in a most clear and pedagogical manner, it holds appeal for a broad audience. On the one hand, it introduces modern modeling techniques to those trained in materials science, mechanics and physics and shows how these techniques can be used in real-world problems. On the other hand, it introduces physical phenomena to those trained in mathematics, and demonstrates how such phenomena give rise to interesting mathematical problems","container-title":"Choice Reviews Online","id":"ITEM-1","issued":{"date-parts":[["2013"]]},"title":"Microstructure of martensite: why it forms and how it gives rise to the shape-memory effect","type":"article-journal"},"uris":["http://www.mendeley.com/documents/?uuid=00b6cf37-3205-4a3b-a897-3a217bfd0f9c"]},{"id":"ITEM-2","itemData":{"DOI":"10.1007/BF00544207","ISSN":"00222461","author":[{"dropping-particle":"","family":"Kato","given":"Masaharu","non-dropping-particle":"","parse-names":false,"suffix":""},{"dropping-particle":"","family":"Shibata-Yanagisawa","given":"Mezame","non-dropping-particle":"","parse-names":false,"suffix":""}],"container-title":"Journal of Materials Science","id":"ITEM-2","issued":{"date-parts":[["1990"]]},"title":"Infinitesimal deformation approach of the phenomenological crystallographic theory of martensitic transformations","type":"article-journal"},"uris":["http://www.mendeley.com/documents/?uuid=362c496e-b41e-413c-91d7-546e1a74cd02"]}],"mendeley":{"formattedCitation":"[22,23]","plainTextFormattedCitation":"[22,23]","previouslyFormattedCitation":"[24,25]"},"properties":{"noteIndex":0},"schema":"https://github.com/citation-style-language/schema/raw/master/csl-citation.json"}</w:instrText>
      </w:r>
      <w:r w:rsidRPr="006E5260">
        <w:rPr>
          <w:rFonts w:cstheme="minorHAnsi"/>
        </w:rPr>
        <w:fldChar w:fldCharType="separate"/>
      </w:r>
      <w:r w:rsidRPr="008F7036">
        <w:rPr>
          <w:rFonts w:cstheme="minorHAnsi"/>
          <w:noProof/>
        </w:rPr>
        <w:t>[22,23]</w:t>
      </w:r>
      <w:r w:rsidRPr="006E5260">
        <w:rPr>
          <w:rFonts w:cstheme="minorHAnsi"/>
        </w:rPr>
        <w:fldChar w:fldCharType="end"/>
      </w:r>
      <w:r w:rsidRPr="006E5260">
        <w:rPr>
          <w:rFonts w:cstheme="minorHAnsi"/>
        </w:rPr>
        <w:t xml:space="preserve">. The method was then corrected </w:t>
      </w:r>
      <w:r>
        <w:rPr>
          <w:rFonts w:cstheme="minorHAnsi"/>
        </w:rPr>
        <w:t>for application</w:t>
      </w:r>
      <w:r w:rsidRPr="006E5260">
        <w:rPr>
          <w:rFonts w:cstheme="minorHAnsi"/>
        </w:rPr>
        <w:t xml:space="preserve"> on cubic to orthorhombic transformation</w:t>
      </w:r>
      <w:r>
        <w:rPr>
          <w:rFonts w:cstheme="minorHAnsi"/>
        </w:rPr>
        <w:t xml:space="preserve"> </w:t>
      </w:r>
      <w:r w:rsidRPr="006E5260">
        <w:rPr>
          <w:rFonts w:cstheme="minorHAnsi"/>
        </w:rPr>
        <w:fldChar w:fldCharType="begin" w:fldLock="1"/>
      </w:r>
      <w:r>
        <w:rPr>
          <w:rFonts w:cstheme="minorHAnsi"/>
        </w:rPr>
        <w:instrText>ADDIN CSL_CITATION {"citationItems":[{"id":"ITEM-1","itemData":{"DOI":"10.1080/14786430601003874","ISBN":"1478-6435","ISSN":"14786435","abstract":"11q","author":[{"dropping-particle":"","family":"Inamura","given":"T.","non-dropping-particle":"","parse-names":false,"suffix":""},{"dropping-particle":"","family":"Kim","given":"J. I.","non-dropping-particle":"","parse-names":false,"suffix":""},{"dropping-particle":"","family":"Kim","given":"H. Y.","non-dropping-particle":"","parse-names":false,"suffix":""},{"dropping-particle":"","family":"Hosoda","given":"H.","non-dropping-particle":"","parse-names":false,"suffix":""},{"dropping-particle":"","family":"Wakashima","given":"K.","non-dropping-particle":"","parse-names":false,"suffix":""},{"dropping-particle":"",</w:instrText>
      </w:r>
      <w:r>
        <w:rPr>
          <w:rFonts w:cstheme="minorHAnsi" w:hint="eastAsia"/>
        </w:rPr>
        <w:instrText xml:space="preserve">"family":"Miyazaki","given":"S.","non-dropping-particle":"","parse-names":false,"suffix":""}],"container-title":"Philosophical Magazine","id":"ITEM-1","issued":{"date-parts":[["2007"]]},"title":"Composition dependent crystallography of </w:instrText>
      </w:r>
      <w:r>
        <w:rPr>
          <w:rFonts w:cstheme="minorHAnsi" w:hint="eastAsia"/>
        </w:rPr>
        <w:instrText>α″</w:instrText>
      </w:r>
      <w:r>
        <w:rPr>
          <w:rFonts w:cstheme="minorHAnsi" w:hint="eastAsia"/>
        </w:rPr>
        <w:instrText>-martensite in Ti</w:instrText>
      </w:r>
      <w:r>
        <w:rPr>
          <w:rFonts w:cstheme="minorHAnsi"/>
        </w:rPr>
        <w:instrText>-Nb-based β-titanium alloy","type":"article-journal"},"uris":["http://www.mendeley.com/documents/?uuid=26904a4b-d6c6-4c17-b6da-29a902ada479"]}],"mendeley":{"formattedCitation":"[12]","plainTextFormattedCitation":"[12]","previouslyFormattedCitation":"[14]"},"properties":{"noteIndex":0},"schema":"https://github.com/citation-style-language/schema/raw/master/csl-citation.json"}</w:instrText>
      </w:r>
      <w:r w:rsidRPr="006E5260">
        <w:rPr>
          <w:rFonts w:cstheme="minorHAnsi"/>
        </w:rPr>
        <w:fldChar w:fldCharType="separate"/>
      </w:r>
      <w:r w:rsidRPr="008F7036">
        <w:rPr>
          <w:rFonts w:cstheme="minorHAnsi"/>
          <w:noProof/>
        </w:rPr>
        <w:t>[12]</w:t>
      </w:r>
      <w:r w:rsidRPr="006E5260">
        <w:rPr>
          <w:rFonts w:cstheme="minorHAnsi"/>
        </w:rPr>
        <w:fldChar w:fldCharType="end"/>
      </w:r>
      <w:r w:rsidRPr="006E5260">
        <w:rPr>
          <w:rFonts w:cstheme="minorHAnsi"/>
        </w:rPr>
        <w:t>. Three twin modes, type I {111}</w:t>
      </w:r>
      <w:r w:rsidRPr="006E5260">
        <w:rPr>
          <w:rFonts w:cstheme="minorHAnsi"/>
          <w:vertAlign w:val="subscript"/>
        </w:rPr>
        <w:t>α’’</w:t>
      </w:r>
      <w:r w:rsidRPr="006E5260">
        <w:rPr>
          <w:rFonts w:cstheme="minorHAnsi"/>
        </w:rPr>
        <w:t>, type II &lt;-211&gt;</w:t>
      </w:r>
      <w:r w:rsidRPr="006E5260">
        <w:rPr>
          <w:rFonts w:cstheme="minorHAnsi"/>
          <w:vertAlign w:val="subscript"/>
        </w:rPr>
        <w:t>α’’</w:t>
      </w:r>
      <w:r w:rsidRPr="006E5260">
        <w:rPr>
          <w:rFonts w:cstheme="minorHAnsi"/>
        </w:rPr>
        <w:t xml:space="preserve"> and {011}</w:t>
      </w:r>
      <w:r w:rsidRPr="006E5260">
        <w:rPr>
          <w:rFonts w:cstheme="minorHAnsi"/>
          <w:vertAlign w:val="subscript"/>
        </w:rPr>
        <w:t>α’’</w:t>
      </w:r>
      <w:r w:rsidRPr="006E5260">
        <w:rPr>
          <w:rFonts w:cstheme="minorHAnsi"/>
        </w:rPr>
        <w:t xml:space="preserve"> compound twins </w:t>
      </w:r>
      <w:r w:rsidRPr="006E5260">
        <w:rPr>
          <w:rFonts w:cstheme="minorHAnsi"/>
          <w:noProof/>
        </w:rPr>
        <w:t>were derived</w:t>
      </w:r>
      <w:r w:rsidRPr="006E5260">
        <w:rPr>
          <w:rFonts w:cstheme="minorHAnsi"/>
        </w:rPr>
        <w:t xml:space="preserve"> as potential SA structure</w:t>
      </w:r>
      <w:r w:rsidR="00B17691">
        <w:rPr>
          <w:rFonts w:cstheme="minorHAnsi"/>
        </w:rPr>
        <w:t>s</w:t>
      </w:r>
      <w:r w:rsidRPr="006E5260">
        <w:rPr>
          <w:rFonts w:cstheme="minorHAnsi"/>
        </w:rPr>
        <w:t xml:space="preserve"> for cubic to orthorhombic transformation. Here, </w:t>
      </w:r>
      <w:r>
        <w:rPr>
          <w:rFonts w:cstheme="minorHAnsi"/>
        </w:rPr>
        <w:t>the aim was to determine</w:t>
      </w:r>
      <w:r w:rsidRPr="006E5260">
        <w:rPr>
          <w:rFonts w:cstheme="minorHAnsi"/>
        </w:rPr>
        <w:t xml:space="preserve"> the possible SA twin modes to serve as TTIP candidates</w:t>
      </w:r>
      <w:r>
        <w:rPr>
          <w:rFonts w:cstheme="minorHAnsi"/>
        </w:rPr>
        <w:t xml:space="preserve"> and</w:t>
      </w:r>
      <w:r w:rsidRPr="006E5260">
        <w:rPr>
          <w:rFonts w:cstheme="minorHAnsi"/>
        </w:rPr>
        <w:t xml:space="preserve"> IDA together with the theory of the crystallography of deformation twinning</w:t>
      </w:r>
      <w:r>
        <w:rPr>
          <w:rFonts w:cstheme="minorHAnsi"/>
        </w:rPr>
        <w:t xml:space="preserve"> </w:t>
      </w:r>
      <w:r w:rsidRPr="006E5260">
        <w:rPr>
          <w:rFonts w:cstheme="minorHAnsi"/>
        </w:rPr>
        <w:fldChar w:fldCharType="begin" w:fldLock="1"/>
      </w:r>
      <w:r>
        <w:rPr>
          <w:rFonts w:cstheme="minorHAnsi"/>
        </w:rPr>
        <w:instrText>ADDIN CSL_CITATION {"citationItems":[{"id":"ITEM-1","itemData":{"DOI":"10.1098/rspa.1965.0216","ISBN":"00804630","ISSN":"1364-5021","abstract":"The crystallographic characteristics of deformation twinning are derived by considering the atomic movements which occur at the moving interface as a twin propagates. This is facilitated by making use of the notation of the tensor calculus, and general expressions, valid for all crystal structures, are obtained giving the magnitude of the twinning shear and relating the twinning elements for both type I and type II twinning. The atomic shuffles, which in general must accompany the twinning shear in both single and multiple lattice structures, are examined in detail and expressions are derived for their magnitudes and directions for the cases of the four classical orientation relationships associated with deformation twinning. The use of these expressions in predicting operative twinning modes is described and the relations between this theory and other recent theories of the crystallography of deformation twinning are discussed.","author":[{"dropping-particle":"","family":"Bilby","given":"B. A.","non-dropping-particle":"","parse-names":false,"suffix":""},{"dropping-particle":"","family":"Crocker","given":"A. G.","non-dropping-particle":"","parse-names":false,"suffix":""}],"container-title":"Proceedings of the Royal Society A: Mathematical, Physical and Engineering Sciences","id":"ITEM-1","issued":{"date-parts":[["1965"]]},"title":"The Theory of the Crystallography of Deformation Twinning","type":"article-journal"},"uris":["http://www.mendeley.com/documents/?uuid=ca3bf999-34b5-458f-a1e3-c8bdfdffaa12"]}],"mendeley":{"formattedCitation":"[15]","plainTextFormattedCitation":"[15]","previouslyFormattedCitation":"[17]"},"properties":{"noteIndex":0},"schema":"https://github.com/citation-style-language/schema/raw/master/csl-citation.json"}</w:instrText>
      </w:r>
      <w:r w:rsidRPr="006E5260">
        <w:rPr>
          <w:rFonts w:cstheme="minorHAnsi"/>
        </w:rPr>
        <w:fldChar w:fldCharType="separate"/>
      </w:r>
      <w:r w:rsidRPr="008F7036">
        <w:rPr>
          <w:rFonts w:cstheme="minorHAnsi"/>
          <w:noProof/>
        </w:rPr>
        <w:t>[15]</w:t>
      </w:r>
      <w:r w:rsidRPr="006E5260">
        <w:rPr>
          <w:rFonts w:cstheme="minorHAnsi"/>
        </w:rPr>
        <w:fldChar w:fldCharType="end"/>
      </w:r>
      <w:r w:rsidRPr="006E5260">
        <w:rPr>
          <w:rFonts w:cstheme="minorHAnsi"/>
        </w:rPr>
        <w:t xml:space="preserve"> were used to </w:t>
      </w:r>
      <w:r>
        <w:rPr>
          <w:rFonts w:cstheme="minorHAnsi"/>
        </w:rPr>
        <w:t>find</w:t>
      </w:r>
      <w:r w:rsidRPr="006E5260">
        <w:rPr>
          <w:rFonts w:cstheme="minorHAnsi"/>
        </w:rPr>
        <w:t xml:space="preserve"> potential TTIP</w:t>
      </w:r>
      <w:r>
        <w:rPr>
          <w:rFonts w:cstheme="minorHAnsi"/>
        </w:rPr>
        <w:t>-</w:t>
      </w:r>
      <w:r w:rsidRPr="006E5260">
        <w:rPr>
          <w:rFonts w:cstheme="minorHAnsi"/>
        </w:rPr>
        <w:t>type twin</w:t>
      </w:r>
      <w:r>
        <w:rPr>
          <w:rFonts w:cstheme="minorHAnsi"/>
        </w:rPr>
        <w:t>s</w:t>
      </w:r>
      <w:r w:rsidRPr="006E5260">
        <w:rPr>
          <w:rFonts w:cstheme="minorHAnsi"/>
        </w:rPr>
        <w:t xml:space="preserve">.  </w:t>
      </w:r>
    </w:p>
    <w:p w14:paraId="004AD935" w14:textId="77777777" w:rsidR="00B145BE" w:rsidRPr="006E5260" w:rsidRDefault="00B145BE" w:rsidP="00B145BE">
      <w:pPr>
        <w:spacing w:afterLines="60" w:after="144" w:line="360" w:lineRule="auto"/>
        <w:rPr>
          <w:rFonts w:cstheme="minorHAnsi"/>
          <w:noProof/>
          <w:color w:val="000000" w:themeColor="text1"/>
        </w:rPr>
      </w:pPr>
      <w:r w:rsidRPr="006E5260">
        <w:rPr>
          <w:rFonts w:cstheme="minorHAnsi"/>
          <w:lang w:bidi="hi-IN"/>
        </w:rPr>
        <w:t xml:space="preserve">First, </w:t>
      </w:r>
      <w:r w:rsidRPr="006E5260">
        <w:rPr>
          <w:rFonts w:cstheme="minorHAnsi"/>
          <w:noProof/>
        </w:rPr>
        <w:t>the orientation relationships among the six variants with the β matrix is derived following the provision introduced by Liberman</w:t>
      </w:r>
      <w:r>
        <w:rPr>
          <w:rFonts w:cstheme="minorHAnsi"/>
          <w:noProof/>
        </w:rPr>
        <w:t xml:space="preserve"> </w:t>
      </w:r>
      <w:r w:rsidRPr="006E5260">
        <w:rPr>
          <w:rFonts w:cstheme="minorHAnsi"/>
          <w:noProof/>
        </w:rPr>
        <w:fldChar w:fldCharType="begin" w:fldLock="1"/>
      </w:r>
      <w:r>
        <w:rPr>
          <w:rFonts w:cstheme="minorHAnsi"/>
          <w:noProof/>
        </w:rPr>
        <w:instrText>ADDIN CSL_CITATION {"citationItems":[{"id":"ITEM-1","itemData":{"DOI":"10.1063/1.1722021","ISBN":"0031-899X","ISSN":"00218979","abstract":"A theoretical analysis of the cubic to orthorhombic transformation is presented which predicts for a partly transformed crystal, the interface plane, orientation relationships, and macroscopic distortions from a knowledge only of the lattice parameters of the initial and final phases. Arguments are advanced to show that in order to minimize the strain energy associated with the transformation, the interface plane must be one of zero average distortion. This leads directly to considerations of an inhomogeneous product phase. Experimental studies on an AuCd alloy are described and the observed crystallographic features of the transformation compared with values calculated using the theory. The agreement between calculated and observed results for this alloy system as well as others is strong evidence for the theory of diffusionless phase transformations presented.","author":[{"dropping-particle":"","family":"Lieberman","given":"D. S.","non-dropping-particle":"","parse-names":false,"suffix":""},{"dropping-particle":"","family":"Wechsler","given":"M. S.","non-dropping-particle":"","parse-names":false,"suffix":""},{"dropping-particle":"","family":"Read","given":"T. A.","non-dropping-particle":"","parse-names":false,"suffix":""}],"container-title":"Journal of Applied Physics","id":"ITEM-1","issued":{"date-parts":[["1955"]]},"title":"Cubic to orthorhombic diffusionless phase change - Experimental and theoretical studies of AuCd","type":"article-journal"},"uris":["http://www.mendeley.com/documents/?uuid=ffa487d2-1350-410a-a4eb-4efeac525df5"]}],"mendeley":{"formattedCitation":"[13]","plainTextFormattedCitation":"[13]","previouslyFormattedCitation":"[15]"},"properties":{"noteIndex":0},"schema":"https://github.com/citation-style-language/schema/raw/master/csl-citation.json"}</w:instrText>
      </w:r>
      <w:r w:rsidRPr="006E5260">
        <w:rPr>
          <w:rFonts w:cstheme="minorHAnsi"/>
          <w:noProof/>
        </w:rPr>
        <w:fldChar w:fldCharType="separate"/>
      </w:r>
      <w:r w:rsidRPr="008F7036">
        <w:rPr>
          <w:rFonts w:cstheme="minorHAnsi"/>
          <w:noProof/>
        </w:rPr>
        <w:t>[13]</w:t>
      </w:r>
      <w:r w:rsidRPr="006E5260">
        <w:rPr>
          <w:rFonts w:cstheme="minorHAnsi"/>
          <w:noProof/>
        </w:rPr>
        <w:fldChar w:fldCharType="end"/>
      </w:r>
      <w:r w:rsidRPr="006E5260">
        <w:rPr>
          <w:rFonts w:cstheme="minorHAnsi"/>
          <w:noProof/>
        </w:rPr>
        <w:t xml:space="preserve"> </w:t>
      </w:r>
      <w:r>
        <w:rPr>
          <w:rFonts w:cstheme="minorHAnsi"/>
          <w:noProof/>
        </w:rPr>
        <w:t>as</w:t>
      </w:r>
      <w:r w:rsidRPr="006E5260">
        <w:rPr>
          <w:rFonts w:cstheme="minorHAnsi"/>
          <w:noProof/>
        </w:rPr>
        <w:t xml:space="preserve"> shown in </w:t>
      </w:r>
      <w:r>
        <w:rPr>
          <w:rFonts w:cstheme="minorHAnsi"/>
          <w:noProof/>
        </w:rPr>
        <w:t>F</w:t>
      </w:r>
      <w:r w:rsidRPr="006E5260">
        <w:rPr>
          <w:rFonts w:cstheme="minorHAnsi"/>
          <w:noProof/>
        </w:rPr>
        <w:t xml:space="preserve">ig. </w:t>
      </w:r>
      <w:r>
        <w:rPr>
          <w:rFonts w:cstheme="minorHAnsi"/>
          <w:noProof/>
        </w:rPr>
        <w:t>6-</w:t>
      </w:r>
      <w:r w:rsidRPr="006E5260">
        <w:rPr>
          <w:rFonts w:cstheme="minorHAnsi"/>
          <w:noProof/>
        </w:rPr>
        <w:t xml:space="preserve">1. The main transformation (in martensite coordinates) strain </w:t>
      </w:r>
      <w:r>
        <w:rPr>
          <w:rFonts w:cstheme="minorHAnsi"/>
          <w:noProof/>
        </w:rPr>
        <w:t xml:space="preserve">is </w:t>
      </w:r>
      <w:r w:rsidRPr="006E5260">
        <w:rPr>
          <w:rFonts w:cstheme="minorHAnsi"/>
          <w:noProof/>
        </w:rPr>
        <w:t>given as :</w:t>
      </w:r>
    </w:p>
    <w:p w14:paraId="527B7B3A" w14:textId="77777777" w:rsidR="00B145BE" w:rsidRPr="006E5260" w:rsidRDefault="00077961" w:rsidP="00B145BE">
      <w:pPr>
        <w:spacing w:afterLines="60" w:after="144" w:line="360" w:lineRule="auto"/>
        <w:jc w:val="right"/>
        <w:rPr>
          <w:rFonts w:cstheme="minorHAnsi"/>
          <w:noProof/>
        </w:rPr>
      </w:pPr>
      <m:oMath>
        <m:sSub>
          <m:sSubPr>
            <m:ctrlPr>
              <w:rPr>
                <w:rFonts w:ascii="Cambria Math" w:hAnsi="Cambria Math" w:cstheme="minorHAnsi"/>
                <w:i/>
                <w:noProof/>
                <w:sz w:val="28"/>
              </w:rPr>
            </m:ctrlPr>
          </m:sSubPr>
          <m:e>
            <m:r>
              <w:rPr>
                <w:rFonts w:ascii="Cambria Math" w:hAnsi="Cambria Math" w:cstheme="minorHAnsi"/>
                <w:noProof/>
              </w:rPr>
              <m:t>μ</m:t>
            </m:r>
          </m:e>
          <m:sub>
            <m:r>
              <w:rPr>
                <w:rFonts w:ascii="Cambria Math" w:hAnsi="Cambria Math" w:cstheme="minorHAnsi"/>
                <w:noProof/>
                <w:sz w:val="28"/>
              </w:rPr>
              <m:t>1</m:t>
            </m:r>
          </m:sub>
        </m:sSub>
        <m:r>
          <w:rPr>
            <w:rFonts w:ascii="Cambria Math" w:hAnsi="Cambria Math" w:cstheme="minorHAnsi"/>
            <w:noProof/>
            <w:sz w:val="28"/>
          </w:rPr>
          <m:t>=</m:t>
        </m:r>
        <m:f>
          <m:fPr>
            <m:ctrlPr>
              <w:rPr>
                <w:rFonts w:ascii="Cambria Math" w:hAnsi="Cambria Math" w:cstheme="minorHAnsi"/>
                <w:i/>
                <w:noProof/>
                <w:sz w:val="28"/>
              </w:rPr>
            </m:ctrlPr>
          </m:fPr>
          <m:num>
            <m:sSub>
              <m:sSubPr>
                <m:ctrlPr>
                  <w:rPr>
                    <w:rFonts w:ascii="Cambria Math" w:hAnsi="Cambria Math" w:cstheme="minorHAnsi"/>
                    <w:i/>
                    <w:noProof/>
                    <w:sz w:val="28"/>
                  </w:rPr>
                </m:ctrlPr>
              </m:sSubPr>
              <m:e>
                <m:r>
                  <w:rPr>
                    <w:rFonts w:ascii="Cambria Math" w:hAnsi="Cambria Math" w:cstheme="minorHAnsi"/>
                    <w:noProof/>
                    <w:sz w:val="28"/>
                  </w:rPr>
                  <m:t>a</m:t>
                </m:r>
              </m:e>
              <m:sub>
                <m:r>
                  <w:rPr>
                    <w:rFonts w:ascii="Cambria Math" w:hAnsi="Cambria Math" w:cstheme="minorHAnsi"/>
                    <w:noProof/>
                    <w:sz w:val="28"/>
                  </w:rPr>
                  <m:t>0</m:t>
                </m:r>
              </m:sub>
            </m:sSub>
            <m:r>
              <w:rPr>
                <w:rFonts w:ascii="Cambria Math" w:hAnsi="Cambria Math" w:cstheme="minorHAnsi"/>
                <w:noProof/>
                <w:sz w:val="28"/>
              </w:rPr>
              <m:t>-a</m:t>
            </m:r>
          </m:num>
          <m:den>
            <m:r>
              <w:rPr>
                <w:rFonts w:ascii="Cambria Math" w:hAnsi="Cambria Math" w:cstheme="minorHAnsi"/>
                <w:noProof/>
                <w:sz w:val="28"/>
              </w:rPr>
              <m:t>a</m:t>
            </m:r>
          </m:den>
        </m:f>
      </m:oMath>
      <w:r w:rsidR="00B145BE" w:rsidRPr="006E5260">
        <w:rPr>
          <w:rFonts w:cstheme="minorHAnsi"/>
          <w:noProof/>
        </w:rPr>
        <w:t xml:space="preserve">                 </w:t>
      </w:r>
      <w:r w:rsidR="00B145BE">
        <w:rPr>
          <w:rFonts w:cstheme="minorHAnsi"/>
          <w:noProof/>
        </w:rPr>
        <w:t xml:space="preserve">                                                    </w:t>
      </w:r>
      <w:r w:rsidR="00B145BE" w:rsidRPr="006E5260">
        <w:rPr>
          <w:rFonts w:cstheme="minorHAnsi"/>
          <w:noProof/>
        </w:rPr>
        <w:t xml:space="preserve">            (1)                                                   </w:t>
      </w:r>
    </w:p>
    <w:p w14:paraId="66334A05" w14:textId="77777777" w:rsidR="00B145BE" w:rsidRPr="006E5260" w:rsidRDefault="00077961" w:rsidP="00B145BE">
      <w:pPr>
        <w:spacing w:afterLines="60" w:after="144" w:line="360" w:lineRule="auto"/>
        <w:jc w:val="right"/>
        <w:rPr>
          <w:rFonts w:cstheme="minorHAnsi"/>
          <w:noProof/>
        </w:rPr>
      </w:pPr>
      <m:oMath>
        <m:sSub>
          <m:sSubPr>
            <m:ctrlPr>
              <w:rPr>
                <w:rFonts w:ascii="Cambria Math" w:hAnsi="Cambria Math" w:cstheme="minorHAnsi"/>
                <w:i/>
                <w:noProof/>
                <w:sz w:val="28"/>
              </w:rPr>
            </m:ctrlPr>
          </m:sSubPr>
          <m:e>
            <m:r>
              <w:rPr>
                <w:rFonts w:ascii="Cambria Math" w:hAnsi="Cambria Math" w:cstheme="minorHAnsi"/>
                <w:noProof/>
              </w:rPr>
              <m:t>μ</m:t>
            </m:r>
          </m:e>
          <m:sub>
            <m:r>
              <w:rPr>
                <w:rFonts w:ascii="Cambria Math" w:hAnsi="Cambria Math" w:cstheme="minorHAnsi"/>
                <w:noProof/>
                <w:sz w:val="28"/>
              </w:rPr>
              <m:t>2</m:t>
            </m:r>
          </m:sub>
        </m:sSub>
        <m:r>
          <w:rPr>
            <w:rFonts w:ascii="Cambria Math" w:hAnsi="Cambria Math" w:cstheme="minorHAnsi"/>
            <w:noProof/>
            <w:sz w:val="28"/>
          </w:rPr>
          <m:t>=</m:t>
        </m:r>
        <m:f>
          <m:fPr>
            <m:ctrlPr>
              <w:rPr>
                <w:rFonts w:ascii="Cambria Math" w:hAnsi="Cambria Math" w:cstheme="minorHAnsi"/>
                <w:i/>
                <w:noProof/>
                <w:sz w:val="28"/>
              </w:rPr>
            </m:ctrlPr>
          </m:fPr>
          <m:num>
            <m:sSub>
              <m:sSubPr>
                <m:ctrlPr>
                  <w:rPr>
                    <w:rFonts w:ascii="Cambria Math" w:hAnsi="Cambria Math" w:cstheme="minorHAnsi"/>
                    <w:i/>
                    <w:noProof/>
                    <w:sz w:val="28"/>
                  </w:rPr>
                </m:ctrlPr>
              </m:sSubPr>
              <m:e>
                <m:r>
                  <w:rPr>
                    <w:rFonts w:ascii="Cambria Math" w:hAnsi="Cambria Math" w:cstheme="minorHAnsi"/>
                    <w:noProof/>
                    <w:sz w:val="28"/>
                  </w:rPr>
                  <m:t>b</m:t>
                </m:r>
              </m:e>
              <m:sub>
                <m:r>
                  <w:rPr>
                    <w:rFonts w:ascii="Cambria Math" w:hAnsi="Cambria Math" w:cstheme="minorHAnsi"/>
                    <w:noProof/>
                    <w:sz w:val="28"/>
                  </w:rPr>
                  <m:t>0</m:t>
                </m:r>
              </m:sub>
            </m:sSub>
            <m:r>
              <w:rPr>
                <w:rFonts w:ascii="Cambria Math" w:hAnsi="Cambria Math" w:cstheme="minorHAnsi"/>
                <w:noProof/>
                <w:sz w:val="28"/>
              </w:rPr>
              <m:t>-</m:t>
            </m:r>
            <m:rad>
              <m:radPr>
                <m:degHide m:val="1"/>
                <m:ctrlPr>
                  <w:rPr>
                    <w:rFonts w:ascii="Cambria Math" w:hAnsi="Cambria Math" w:cstheme="minorHAnsi"/>
                    <w:i/>
                    <w:noProof/>
                    <w:sz w:val="28"/>
                  </w:rPr>
                </m:ctrlPr>
              </m:radPr>
              <m:deg/>
              <m:e>
                <m:r>
                  <w:rPr>
                    <w:rFonts w:ascii="Cambria Math" w:hAnsi="Cambria Math" w:cstheme="minorHAnsi"/>
                    <w:noProof/>
                    <w:sz w:val="28"/>
                  </w:rPr>
                  <m:t>2</m:t>
                </m:r>
              </m:e>
            </m:rad>
            <m:r>
              <w:rPr>
                <w:rFonts w:ascii="Cambria Math" w:hAnsi="Cambria Math" w:cstheme="minorHAnsi"/>
                <w:noProof/>
                <w:sz w:val="28"/>
              </w:rPr>
              <m:t>a</m:t>
            </m:r>
          </m:num>
          <m:den>
            <m:rad>
              <m:radPr>
                <m:degHide m:val="1"/>
                <m:ctrlPr>
                  <w:rPr>
                    <w:rFonts w:ascii="Cambria Math" w:hAnsi="Cambria Math" w:cstheme="minorHAnsi"/>
                    <w:i/>
                    <w:noProof/>
                    <w:sz w:val="28"/>
                  </w:rPr>
                </m:ctrlPr>
              </m:radPr>
              <m:deg/>
              <m:e>
                <m:r>
                  <w:rPr>
                    <w:rFonts w:ascii="Cambria Math" w:hAnsi="Cambria Math" w:cstheme="minorHAnsi"/>
                    <w:noProof/>
                    <w:sz w:val="28"/>
                  </w:rPr>
                  <m:t>2</m:t>
                </m:r>
              </m:e>
            </m:rad>
            <m:r>
              <w:rPr>
                <w:rFonts w:ascii="Cambria Math" w:hAnsi="Cambria Math" w:cstheme="minorHAnsi"/>
                <w:noProof/>
                <w:sz w:val="28"/>
              </w:rPr>
              <m:t>a</m:t>
            </m:r>
          </m:den>
        </m:f>
      </m:oMath>
      <w:r w:rsidR="00B145BE" w:rsidRPr="006E5260">
        <w:rPr>
          <w:rFonts w:cstheme="minorHAnsi"/>
          <w:noProof/>
        </w:rPr>
        <w:t xml:space="preserve">             </w:t>
      </w:r>
      <w:r w:rsidR="00B145BE">
        <w:rPr>
          <w:rFonts w:cstheme="minorHAnsi"/>
          <w:noProof/>
        </w:rPr>
        <w:t xml:space="preserve">                                                  </w:t>
      </w:r>
      <w:r w:rsidR="00B145BE" w:rsidRPr="006E5260">
        <w:rPr>
          <w:rFonts w:cstheme="minorHAnsi"/>
          <w:noProof/>
        </w:rPr>
        <w:t xml:space="preserve">              (2)                                                </w:t>
      </w:r>
    </w:p>
    <w:p w14:paraId="58AB83E5" w14:textId="77777777" w:rsidR="00B145BE" w:rsidRPr="006E5260" w:rsidRDefault="00077961" w:rsidP="00B145BE">
      <w:pPr>
        <w:spacing w:afterLines="60" w:after="144" w:line="360" w:lineRule="auto"/>
        <w:jc w:val="right"/>
        <w:rPr>
          <w:rFonts w:cstheme="minorHAnsi"/>
          <w:noProof/>
        </w:rPr>
      </w:pPr>
      <m:oMath>
        <m:sSub>
          <m:sSubPr>
            <m:ctrlPr>
              <w:rPr>
                <w:rFonts w:ascii="Cambria Math" w:hAnsi="Cambria Math" w:cstheme="minorHAnsi"/>
                <w:i/>
                <w:noProof/>
                <w:sz w:val="28"/>
              </w:rPr>
            </m:ctrlPr>
          </m:sSubPr>
          <m:e>
            <m:r>
              <w:rPr>
                <w:rFonts w:ascii="Cambria Math" w:hAnsi="Cambria Math" w:cstheme="minorHAnsi"/>
                <w:noProof/>
              </w:rPr>
              <m:t>μ</m:t>
            </m:r>
          </m:e>
          <m:sub>
            <m:r>
              <w:rPr>
                <w:rFonts w:ascii="Cambria Math" w:hAnsi="Cambria Math" w:cstheme="minorHAnsi"/>
                <w:noProof/>
                <w:sz w:val="28"/>
              </w:rPr>
              <m:t>3</m:t>
            </m:r>
          </m:sub>
        </m:sSub>
        <m:r>
          <w:rPr>
            <w:rFonts w:ascii="Cambria Math" w:hAnsi="Cambria Math" w:cstheme="minorHAnsi"/>
            <w:noProof/>
            <w:sz w:val="28"/>
          </w:rPr>
          <m:t>=</m:t>
        </m:r>
        <m:f>
          <m:fPr>
            <m:ctrlPr>
              <w:rPr>
                <w:rFonts w:ascii="Cambria Math" w:hAnsi="Cambria Math" w:cstheme="minorHAnsi"/>
                <w:i/>
                <w:noProof/>
                <w:sz w:val="28"/>
              </w:rPr>
            </m:ctrlPr>
          </m:fPr>
          <m:num>
            <m:sSub>
              <m:sSubPr>
                <m:ctrlPr>
                  <w:rPr>
                    <w:rFonts w:ascii="Cambria Math" w:hAnsi="Cambria Math" w:cstheme="minorHAnsi"/>
                    <w:i/>
                    <w:noProof/>
                    <w:sz w:val="28"/>
                  </w:rPr>
                </m:ctrlPr>
              </m:sSubPr>
              <m:e>
                <m:r>
                  <w:rPr>
                    <w:rFonts w:ascii="Cambria Math" w:hAnsi="Cambria Math" w:cstheme="minorHAnsi"/>
                    <w:noProof/>
                    <w:sz w:val="28"/>
                  </w:rPr>
                  <m:t>c</m:t>
                </m:r>
              </m:e>
              <m:sub>
                <m:r>
                  <w:rPr>
                    <w:rFonts w:ascii="Cambria Math" w:hAnsi="Cambria Math" w:cstheme="minorHAnsi"/>
                    <w:noProof/>
                    <w:sz w:val="28"/>
                  </w:rPr>
                  <m:t>0</m:t>
                </m:r>
              </m:sub>
            </m:sSub>
            <m:r>
              <w:rPr>
                <w:rFonts w:ascii="Cambria Math" w:hAnsi="Cambria Math" w:cstheme="minorHAnsi"/>
                <w:noProof/>
                <w:sz w:val="28"/>
              </w:rPr>
              <m:t>-</m:t>
            </m:r>
            <m:rad>
              <m:radPr>
                <m:degHide m:val="1"/>
                <m:ctrlPr>
                  <w:rPr>
                    <w:rFonts w:ascii="Cambria Math" w:hAnsi="Cambria Math" w:cstheme="minorHAnsi"/>
                    <w:i/>
                    <w:noProof/>
                    <w:sz w:val="28"/>
                  </w:rPr>
                </m:ctrlPr>
              </m:radPr>
              <m:deg/>
              <m:e>
                <m:r>
                  <w:rPr>
                    <w:rFonts w:ascii="Cambria Math" w:hAnsi="Cambria Math" w:cstheme="minorHAnsi"/>
                    <w:noProof/>
                    <w:sz w:val="28"/>
                  </w:rPr>
                  <m:t>2</m:t>
                </m:r>
              </m:e>
            </m:rad>
            <m:r>
              <w:rPr>
                <w:rFonts w:ascii="Cambria Math" w:hAnsi="Cambria Math" w:cstheme="minorHAnsi"/>
                <w:noProof/>
                <w:sz w:val="28"/>
              </w:rPr>
              <m:t>a</m:t>
            </m:r>
          </m:num>
          <m:den>
            <m:rad>
              <m:radPr>
                <m:degHide m:val="1"/>
                <m:ctrlPr>
                  <w:rPr>
                    <w:rFonts w:ascii="Cambria Math" w:hAnsi="Cambria Math" w:cstheme="minorHAnsi"/>
                    <w:i/>
                    <w:noProof/>
                    <w:sz w:val="28"/>
                  </w:rPr>
                </m:ctrlPr>
              </m:radPr>
              <m:deg/>
              <m:e>
                <m:r>
                  <w:rPr>
                    <w:rFonts w:ascii="Cambria Math" w:hAnsi="Cambria Math" w:cstheme="minorHAnsi"/>
                    <w:noProof/>
                    <w:sz w:val="28"/>
                  </w:rPr>
                  <m:t>2</m:t>
                </m:r>
              </m:e>
            </m:rad>
            <m:r>
              <w:rPr>
                <w:rFonts w:ascii="Cambria Math" w:hAnsi="Cambria Math" w:cstheme="minorHAnsi"/>
                <w:noProof/>
                <w:sz w:val="28"/>
              </w:rPr>
              <m:t>a</m:t>
            </m:r>
          </m:den>
        </m:f>
      </m:oMath>
      <w:r w:rsidR="00B145BE" w:rsidRPr="006E5260">
        <w:rPr>
          <w:rFonts w:cstheme="minorHAnsi"/>
          <w:noProof/>
        </w:rPr>
        <w:t xml:space="preserve">                </w:t>
      </w:r>
      <w:r w:rsidR="00B145BE">
        <w:rPr>
          <w:rFonts w:cstheme="minorHAnsi"/>
          <w:noProof/>
        </w:rPr>
        <w:t xml:space="preserve">                                                </w:t>
      </w:r>
      <w:r w:rsidR="00B145BE" w:rsidRPr="006E5260">
        <w:rPr>
          <w:rFonts w:cstheme="minorHAnsi"/>
          <w:noProof/>
        </w:rPr>
        <w:t xml:space="preserve">           (3)</w:t>
      </w:r>
    </w:p>
    <w:p w14:paraId="46EFDF7A" w14:textId="77777777" w:rsidR="00B145BE" w:rsidRPr="006E5260" w:rsidRDefault="00B145BE" w:rsidP="00B145BE">
      <w:pPr>
        <w:spacing w:afterLines="60" w:after="144" w:line="360" w:lineRule="auto"/>
        <w:ind w:right="110"/>
        <w:jc w:val="both"/>
        <w:rPr>
          <w:rFonts w:cstheme="minorHAnsi"/>
          <w:noProof/>
        </w:rPr>
      </w:pPr>
      <w:r w:rsidRPr="006E5260">
        <w:rPr>
          <w:rFonts w:cstheme="minorHAnsi"/>
          <w:noProof/>
        </w:rPr>
        <w:t xml:space="preserve">The lattice parameter of the β matrix is </w:t>
      </w:r>
      <m:oMath>
        <m:r>
          <w:rPr>
            <w:rFonts w:ascii="Cambria Math" w:hAnsi="Cambria Math" w:cstheme="minorHAnsi"/>
            <w:noProof/>
          </w:rPr>
          <m:t>a</m:t>
        </m:r>
      </m:oMath>
      <w:r w:rsidRPr="006E5260">
        <w:rPr>
          <w:rFonts w:cstheme="minorHAnsi"/>
          <w:noProof/>
        </w:rPr>
        <w:t xml:space="preserve"> and for the α’’ martensite are </w:t>
      </w:r>
      <m:oMath>
        <m:sSub>
          <m:sSubPr>
            <m:ctrlPr>
              <w:rPr>
                <w:rFonts w:ascii="Cambria Math" w:hAnsi="Cambria Math" w:cstheme="minorHAnsi"/>
                <w:i/>
                <w:noProof/>
              </w:rPr>
            </m:ctrlPr>
          </m:sSubPr>
          <m:e>
            <m:r>
              <w:rPr>
                <w:rFonts w:ascii="Cambria Math" w:hAnsi="Cambria Math" w:cstheme="minorHAnsi"/>
                <w:noProof/>
              </w:rPr>
              <m:t>a</m:t>
            </m:r>
          </m:e>
          <m:sub>
            <m:r>
              <w:rPr>
                <w:rFonts w:ascii="Cambria Math" w:hAnsi="Cambria Math" w:cstheme="minorHAnsi"/>
                <w:noProof/>
              </w:rPr>
              <m:t>0</m:t>
            </m:r>
          </m:sub>
        </m:sSub>
      </m:oMath>
      <w:r w:rsidRPr="006E5260">
        <w:rPr>
          <w:rFonts w:cstheme="minorHAnsi"/>
          <w:noProof/>
        </w:rPr>
        <w:t>,</w:t>
      </w:r>
      <m:oMath>
        <m:r>
          <w:rPr>
            <w:rFonts w:ascii="Cambria Math" w:hAnsi="Cambria Math" w:cstheme="minorHAnsi"/>
            <w:noProof/>
          </w:rPr>
          <m:t xml:space="preserve"> </m:t>
        </m:r>
        <m:sSub>
          <m:sSubPr>
            <m:ctrlPr>
              <w:rPr>
                <w:rFonts w:ascii="Cambria Math" w:hAnsi="Cambria Math" w:cstheme="minorHAnsi"/>
                <w:i/>
                <w:noProof/>
              </w:rPr>
            </m:ctrlPr>
          </m:sSubPr>
          <m:e>
            <m:r>
              <w:rPr>
                <w:rFonts w:ascii="Cambria Math" w:hAnsi="Cambria Math" w:cstheme="minorHAnsi"/>
                <w:noProof/>
              </w:rPr>
              <m:t>b</m:t>
            </m:r>
          </m:e>
          <m:sub>
            <m:r>
              <w:rPr>
                <w:rFonts w:ascii="Cambria Math" w:hAnsi="Cambria Math" w:cstheme="minorHAnsi"/>
                <w:noProof/>
              </w:rPr>
              <m:t>0</m:t>
            </m:r>
          </m:sub>
        </m:sSub>
      </m:oMath>
      <w:r w:rsidRPr="006E5260">
        <w:rPr>
          <w:rFonts w:cstheme="minorHAnsi"/>
          <w:noProof/>
        </w:rPr>
        <w:t xml:space="preserve"> and </w:t>
      </w:r>
      <m:oMath>
        <m:sSub>
          <m:sSubPr>
            <m:ctrlPr>
              <w:rPr>
                <w:rFonts w:ascii="Cambria Math" w:hAnsi="Cambria Math" w:cstheme="minorHAnsi"/>
                <w:i/>
                <w:noProof/>
              </w:rPr>
            </m:ctrlPr>
          </m:sSubPr>
          <m:e>
            <m:r>
              <w:rPr>
                <w:rFonts w:ascii="Cambria Math" w:hAnsi="Cambria Math" w:cstheme="minorHAnsi"/>
                <w:noProof/>
              </w:rPr>
              <m:t>c</m:t>
            </m:r>
          </m:e>
          <m:sub>
            <m:r>
              <w:rPr>
                <w:rFonts w:ascii="Cambria Math" w:hAnsi="Cambria Math" w:cstheme="minorHAnsi"/>
                <w:noProof/>
              </w:rPr>
              <m:t>0</m:t>
            </m:r>
          </m:sub>
        </m:sSub>
      </m:oMath>
      <w:r>
        <w:rPr>
          <w:rFonts w:cstheme="minorHAnsi"/>
          <w:noProof/>
        </w:rPr>
        <w:t xml:space="preserve">, where </w:t>
      </w:r>
      <w:r w:rsidRPr="006E5260">
        <w:rPr>
          <w:rFonts w:cstheme="minorHAnsi"/>
          <w:noProof/>
        </w:rPr>
        <w:t>(</w:t>
      </w:r>
      <m:oMath>
        <m:sSub>
          <m:sSubPr>
            <m:ctrlPr>
              <w:rPr>
                <w:rFonts w:ascii="Cambria Math" w:hAnsi="Cambria Math" w:cstheme="minorHAnsi"/>
                <w:i/>
                <w:noProof/>
              </w:rPr>
            </m:ctrlPr>
          </m:sSubPr>
          <m:e>
            <m:r>
              <w:rPr>
                <w:rFonts w:ascii="Cambria Math" w:hAnsi="Cambria Math" w:cstheme="minorHAnsi"/>
                <w:noProof/>
              </w:rPr>
              <m:t>a</m:t>
            </m:r>
          </m:e>
          <m:sub>
            <m:r>
              <w:rPr>
                <w:rFonts w:ascii="Cambria Math" w:hAnsi="Cambria Math" w:cstheme="minorHAnsi"/>
                <w:noProof/>
              </w:rPr>
              <m:t>0</m:t>
            </m:r>
          </m:sub>
        </m:sSub>
      </m:oMath>
      <w:r w:rsidRPr="006E5260">
        <w:rPr>
          <w:rFonts w:cstheme="minorHAnsi"/>
          <w:noProof/>
        </w:rPr>
        <w:t>&lt;</w:t>
      </w:r>
      <m:oMath>
        <m:sSub>
          <m:sSubPr>
            <m:ctrlPr>
              <w:rPr>
                <w:rFonts w:ascii="Cambria Math" w:hAnsi="Cambria Math" w:cstheme="minorHAnsi"/>
                <w:i/>
                <w:noProof/>
              </w:rPr>
            </m:ctrlPr>
          </m:sSubPr>
          <m:e>
            <m:r>
              <w:rPr>
                <w:rFonts w:ascii="Cambria Math" w:hAnsi="Cambria Math" w:cstheme="minorHAnsi"/>
                <w:noProof/>
              </w:rPr>
              <m:t>c</m:t>
            </m:r>
          </m:e>
          <m:sub>
            <m:r>
              <w:rPr>
                <w:rFonts w:ascii="Cambria Math" w:hAnsi="Cambria Math" w:cstheme="minorHAnsi"/>
                <w:noProof/>
              </w:rPr>
              <m:t>0</m:t>
            </m:r>
          </m:sub>
        </m:sSub>
      </m:oMath>
      <w:r w:rsidRPr="006E5260">
        <w:rPr>
          <w:rFonts w:cstheme="minorHAnsi"/>
          <w:noProof/>
        </w:rPr>
        <w:t>&lt;</w:t>
      </w:r>
      <m:oMath>
        <m:sSub>
          <m:sSubPr>
            <m:ctrlPr>
              <w:rPr>
                <w:rFonts w:ascii="Cambria Math" w:hAnsi="Cambria Math" w:cstheme="minorHAnsi"/>
                <w:i/>
                <w:noProof/>
              </w:rPr>
            </m:ctrlPr>
          </m:sSubPr>
          <m:e>
            <m:r>
              <w:rPr>
                <w:rFonts w:ascii="Cambria Math" w:hAnsi="Cambria Math" w:cstheme="minorHAnsi"/>
                <w:noProof/>
              </w:rPr>
              <m:t>b</m:t>
            </m:r>
          </m:e>
          <m:sub>
            <m:r>
              <w:rPr>
                <w:rFonts w:ascii="Cambria Math" w:hAnsi="Cambria Math" w:cstheme="minorHAnsi"/>
                <w:noProof/>
              </w:rPr>
              <m:t>0</m:t>
            </m:r>
          </m:sub>
        </m:sSub>
      </m:oMath>
      <w:r w:rsidRPr="006E5260">
        <w:rPr>
          <w:rFonts w:cstheme="minorHAnsi"/>
          <w:noProof/>
        </w:rPr>
        <w:t>). The relationship of the deformation matrix between the martenstic variants and β matrix can be represented as:</w:t>
      </w:r>
    </w:p>
    <w:p w14:paraId="7B5D2BC0" w14:textId="77777777" w:rsidR="00B145BE" w:rsidRPr="006E5260" w:rsidRDefault="00077961" w:rsidP="00B145BE">
      <w:pPr>
        <w:spacing w:afterLines="60" w:after="144" w:line="360" w:lineRule="auto"/>
        <w:jc w:val="right"/>
        <w:rPr>
          <w:rFonts w:cstheme="minorHAnsi"/>
          <w:noProof/>
        </w:rPr>
      </w:pPr>
      <m:oMath>
        <m:sSup>
          <m:sSupPr>
            <m:ctrlPr>
              <w:rPr>
                <w:rFonts w:ascii="Cambria Math" w:hAnsi="Cambria Math" w:cstheme="minorHAnsi"/>
                <w:i/>
                <w:noProof/>
              </w:rPr>
            </m:ctrlPr>
          </m:sSupPr>
          <m:e>
            <m:r>
              <w:rPr>
                <w:rFonts w:ascii="Cambria Math" w:hAnsi="Cambria Math" w:cstheme="minorHAnsi"/>
                <w:noProof/>
              </w:rPr>
              <m:t>ε</m:t>
            </m:r>
          </m:e>
          <m:sup>
            <m:r>
              <w:rPr>
                <w:rFonts w:ascii="Cambria Math" w:hAnsi="Cambria Math" w:cstheme="minorHAnsi"/>
                <w:noProof/>
              </w:rPr>
              <m:t>(1)</m:t>
            </m:r>
          </m:sup>
        </m:sSup>
        <m:r>
          <w:rPr>
            <w:rFonts w:ascii="Cambria Math" w:hAnsi="Cambria Math" w:cstheme="minorHAnsi"/>
            <w:noProof/>
          </w:rPr>
          <m:t>=</m:t>
        </m:r>
        <m:d>
          <m:dPr>
            <m:ctrlPr>
              <w:rPr>
                <w:rFonts w:ascii="Cambria Math" w:hAnsi="Cambria Math" w:cstheme="minorHAnsi"/>
                <w:i/>
                <w:noProof/>
              </w:rPr>
            </m:ctrlPr>
          </m:dPr>
          <m:e>
            <m:m>
              <m:mPr>
                <m:mcs>
                  <m:mc>
                    <m:mcPr>
                      <m:count m:val="3"/>
                      <m:mcJc m:val="center"/>
                    </m:mcPr>
                  </m:mc>
                </m:mcs>
                <m:ctrlPr>
                  <w:rPr>
                    <w:rFonts w:ascii="Cambria Math" w:hAnsi="Cambria Math" w:cstheme="minorHAnsi"/>
                    <w:i/>
                    <w:noProof/>
                  </w:rPr>
                </m:ctrlPr>
              </m:mPr>
              <m:mr>
                <m:e>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1</m:t>
                      </m:r>
                    </m:sub>
                  </m:sSub>
                </m:e>
                <m:e>
                  <m:r>
                    <w:rPr>
                      <w:rFonts w:ascii="Cambria Math" w:hAnsi="Cambria Math" w:cstheme="minorHAnsi"/>
                      <w:noProof/>
                    </w:rPr>
                    <m:t>0</m:t>
                  </m:r>
                </m:e>
                <m:e>
                  <m:r>
                    <w:rPr>
                      <w:rFonts w:ascii="Cambria Math" w:hAnsi="Cambria Math" w:cstheme="minorHAnsi"/>
                      <w:noProof/>
                    </w:rPr>
                    <m:t>0</m:t>
                  </m:r>
                </m:e>
              </m:mr>
              <m:mr>
                <m:e>
                  <m:r>
                    <w:rPr>
                      <w:rFonts w:ascii="Cambria Math" w:hAnsi="Cambria Math" w:cstheme="minorHAnsi"/>
                      <w:noProof/>
                    </w:rPr>
                    <m:t>0</m:t>
                  </m:r>
                </m:e>
                <m:e>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e>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mr>
              <m:mr>
                <m:e>
                  <m:r>
                    <w:rPr>
                      <w:rFonts w:ascii="Cambria Math" w:hAnsi="Cambria Math" w:cstheme="minorHAnsi"/>
                      <w:noProof/>
                    </w:rPr>
                    <m:t>0</m:t>
                  </m:r>
                </m:e>
                <m:e>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e>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mr>
            </m:m>
          </m:e>
        </m:d>
      </m:oMath>
      <w:r w:rsidR="00B145BE" w:rsidRPr="006E5260">
        <w:rPr>
          <w:rFonts w:cstheme="minorHAnsi"/>
          <w:noProof/>
        </w:rPr>
        <w:t xml:space="preserve">      </w:t>
      </w:r>
      <m:oMath>
        <m:sSup>
          <m:sSupPr>
            <m:ctrlPr>
              <w:rPr>
                <w:rFonts w:ascii="Cambria Math" w:hAnsi="Cambria Math" w:cstheme="minorHAnsi"/>
                <w:i/>
                <w:noProof/>
              </w:rPr>
            </m:ctrlPr>
          </m:sSupPr>
          <m:e>
            <m:r>
              <w:rPr>
                <w:rFonts w:ascii="Cambria Math" w:hAnsi="Cambria Math" w:cstheme="minorHAnsi"/>
                <w:noProof/>
              </w:rPr>
              <m:t>T</m:t>
            </m:r>
          </m:e>
          <m:sup>
            <m:r>
              <w:rPr>
                <w:rFonts w:ascii="Cambria Math" w:hAnsi="Cambria Math" w:cstheme="minorHAnsi"/>
                <w:noProof/>
              </w:rPr>
              <m:t>(1)</m:t>
            </m:r>
          </m:sup>
        </m:sSup>
      </m:oMath>
      <w:r w:rsidR="00B145BE" w:rsidRPr="006E5260">
        <w:rPr>
          <w:rFonts w:cstheme="minorHAnsi"/>
          <w:noProof/>
        </w:rPr>
        <w:t>=</w:t>
      </w:r>
      <m:oMath>
        <m:r>
          <w:rPr>
            <w:rFonts w:ascii="Cambria Math" w:hAnsi="Cambria Math" w:cstheme="minorHAnsi"/>
            <w:noProof/>
          </w:rPr>
          <m:t xml:space="preserve"> </m:t>
        </m:r>
        <m:d>
          <m:dPr>
            <m:ctrlPr>
              <w:rPr>
                <w:rFonts w:ascii="Cambria Math" w:hAnsi="Cambria Math" w:cstheme="minorHAnsi"/>
                <w:i/>
                <w:noProof/>
              </w:rPr>
            </m:ctrlPr>
          </m:dPr>
          <m:e>
            <m:m>
              <m:mPr>
                <m:mcs>
                  <m:mc>
                    <m:mcPr>
                      <m:count m:val="3"/>
                      <m:mcJc m:val="center"/>
                    </m:mcPr>
                  </m:mc>
                </m:mcs>
                <m:ctrlPr>
                  <w:rPr>
                    <w:rFonts w:ascii="Cambria Math" w:hAnsi="Cambria Math" w:cstheme="minorHAnsi"/>
                    <w:i/>
                    <w:noProof/>
                  </w:rPr>
                </m:ctrlPr>
              </m:mPr>
              <m:mr>
                <m:e>
                  <m:r>
                    <w:rPr>
                      <w:rFonts w:ascii="Cambria Math" w:hAnsi="Cambria Math" w:cstheme="minorHAnsi"/>
                      <w:noProof/>
                    </w:rPr>
                    <m:t>1</m:t>
                  </m:r>
                </m:e>
                <m:e>
                  <m:r>
                    <w:rPr>
                      <w:rFonts w:ascii="Cambria Math" w:hAnsi="Cambria Math" w:cstheme="minorHAnsi"/>
                      <w:noProof/>
                    </w:rPr>
                    <m:t>0</m:t>
                  </m:r>
                </m:e>
                <m:e>
                  <m:r>
                    <w:rPr>
                      <w:rFonts w:ascii="Cambria Math" w:hAnsi="Cambria Math" w:cstheme="minorHAnsi"/>
                      <w:noProof/>
                    </w:rPr>
                    <m:t>0</m:t>
                  </m:r>
                </m:e>
              </m:mr>
              <m:mr>
                <m:e>
                  <m:r>
                    <w:rPr>
                      <w:rFonts w:ascii="Cambria Math" w:hAnsi="Cambria Math" w:cstheme="minorHAnsi"/>
                      <w:noProof/>
                    </w:rPr>
                    <m:t>0</m:t>
                  </m:r>
                </m:e>
                <m:e>
                  <m:r>
                    <w:rPr>
                      <w:rFonts w:ascii="Cambria Math" w:hAnsi="Cambria Math" w:cstheme="minorHAnsi"/>
                      <w:noProof/>
                    </w:rPr>
                    <m:t>1</m:t>
                  </m:r>
                </m:e>
                <m:e>
                  <m:r>
                    <w:rPr>
                      <w:rFonts w:ascii="Cambria Math" w:hAnsi="Cambria Math" w:cstheme="minorHAnsi"/>
                      <w:noProof/>
                    </w:rPr>
                    <m:t>-1</m:t>
                  </m:r>
                </m:e>
              </m:mr>
              <m:mr>
                <m:e>
                  <m:r>
                    <w:rPr>
                      <w:rFonts w:ascii="Cambria Math" w:hAnsi="Cambria Math" w:cstheme="minorHAnsi"/>
                      <w:noProof/>
                    </w:rPr>
                    <m:t>0</m:t>
                  </m:r>
                </m:e>
                <m:e>
                  <m:r>
                    <w:rPr>
                      <w:rFonts w:ascii="Cambria Math" w:hAnsi="Cambria Math" w:cstheme="minorHAnsi"/>
                      <w:noProof/>
                    </w:rPr>
                    <m:t>1</m:t>
                  </m:r>
                </m:e>
                <m:e>
                  <m:r>
                    <w:rPr>
                      <w:rFonts w:ascii="Cambria Math" w:hAnsi="Cambria Math" w:cstheme="minorHAnsi"/>
                      <w:noProof/>
                    </w:rPr>
                    <m:t>1</m:t>
                  </m:r>
                </m:e>
              </m:mr>
            </m:m>
          </m:e>
        </m:d>
      </m:oMath>
      <w:r w:rsidR="00B145BE" w:rsidRPr="006E5260">
        <w:rPr>
          <w:rFonts w:cstheme="minorHAnsi"/>
          <w:noProof/>
        </w:rPr>
        <w:t xml:space="preserve">         </w:t>
      </w:r>
      <w:r w:rsidR="00B145BE">
        <w:rPr>
          <w:rFonts w:cstheme="minorHAnsi"/>
          <w:noProof/>
        </w:rPr>
        <w:t xml:space="preserve">                                 </w:t>
      </w:r>
      <w:r w:rsidR="00B145BE" w:rsidRPr="006E5260">
        <w:rPr>
          <w:rFonts w:cstheme="minorHAnsi"/>
          <w:noProof/>
        </w:rPr>
        <w:t xml:space="preserve">     (4)</w:t>
      </w:r>
    </w:p>
    <w:p w14:paraId="40645C30" w14:textId="77777777" w:rsidR="00B145BE" w:rsidRPr="006E5260" w:rsidRDefault="00077961" w:rsidP="00B145BE">
      <w:pPr>
        <w:spacing w:afterLines="60" w:after="144" w:line="360" w:lineRule="auto"/>
        <w:jc w:val="right"/>
        <w:rPr>
          <w:rFonts w:cstheme="minorHAnsi"/>
          <w:noProof/>
        </w:rPr>
      </w:pPr>
      <m:oMath>
        <m:sSup>
          <m:sSupPr>
            <m:ctrlPr>
              <w:rPr>
                <w:rFonts w:ascii="Cambria Math" w:hAnsi="Cambria Math" w:cstheme="minorHAnsi"/>
                <w:i/>
                <w:noProof/>
              </w:rPr>
            </m:ctrlPr>
          </m:sSupPr>
          <m:e>
            <m:r>
              <w:rPr>
                <w:rFonts w:ascii="Cambria Math" w:hAnsi="Cambria Math" w:cstheme="minorHAnsi"/>
                <w:noProof/>
              </w:rPr>
              <m:t>ε</m:t>
            </m:r>
          </m:e>
          <m:sup>
            <m:r>
              <w:rPr>
                <w:rFonts w:ascii="Cambria Math" w:hAnsi="Cambria Math" w:cstheme="minorHAnsi"/>
                <w:noProof/>
              </w:rPr>
              <m:t>(2)</m:t>
            </m:r>
          </m:sup>
        </m:sSup>
        <m:r>
          <w:rPr>
            <w:rFonts w:ascii="Cambria Math" w:hAnsi="Cambria Math" w:cstheme="minorHAnsi"/>
            <w:noProof/>
          </w:rPr>
          <m:t>=</m:t>
        </m:r>
        <m:d>
          <m:dPr>
            <m:ctrlPr>
              <w:rPr>
                <w:rFonts w:ascii="Cambria Math" w:hAnsi="Cambria Math" w:cstheme="minorHAnsi"/>
                <w:i/>
                <w:noProof/>
              </w:rPr>
            </m:ctrlPr>
          </m:dPr>
          <m:e>
            <m:m>
              <m:mPr>
                <m:mcs>
                  <m:mc>
                    <m:mcPr>
                      <m:count m:val="3"/>
                      <m:mcJc m:val="center"/>
                    </m:mcPr>
                  </m:mc>
                </m:mcs>
                <m:ctrlPr>
                  <w:rPr>
                    <w:rFonts w:ascii="Cambria Math" w:hAnsi="Cambria Math" w:cstheme="minorHAnsi"/>
                    <w:i/>
                    <w:noProof/>
                  </w:rPr>
                </m:ctrlPr>
              </m:mPr>
              <m:mr>
                <m:e>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1</m:t>
                      </m:r>
                    </m:sub>
                  </m:sSub>
                </m:e>
                <m:e>
                  <m:r>
                    <w:rPr>
                      <w:rFonts w:ascii="Cambria Math" w:hAnsi="Cambria Math" w:cstheme="minorHAnsi"/>
                      <w:noProof/>
                    </w:rPr>
                    <m:t>0</m:t>
                  </m:r>
                </m:e>
                <m:e>
                  <m:r>
                    <w:rPr>
                      <w:rFonts w:ascii="Cambria Math" w:hAnsi="Cambria Math" w:cstheme="minorHAnsi"/>
                      <w:noProof/>
                    </w:rPr>
                    <m:t>0</m:t>
                  </m:r>
                </m:e>
              </m:mr>
              <m:mr>
                <m:e>
                  <m:r>
                    <w:rPr>
                      <w:rFonts w:ascii="Cambria Math" w:hAnsi="Cambria Math" w:cstheme="minorHAnsi"/>
                      <w:noProof/>
                    </w:rPr>
                    <m:t>0</m:t>
                  </m:r>
                </m:e>
                <m:e>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e>
                  <m:r>
                    <w:rPr>
                      <w:rFonts w:ascii="Cambria Math" w:hAnsi="Cambria Math" w:cstheme="minorHAnsi"/>
                      <w:noProof/>
                    </w:rPr>
                    <m:t>-</m:t>
                  </m:r>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mr>
              <m:mr>
                <m:e>
                  <m:r>
                    <w:rPr>
                      <w:rFonts w:ascii="Cambria Math" w:hAnsi="Cambria Math" w:cstheme="minorHAnsi"/>
                      <w:noProof/>
                    </w:rPr>
                    <m:t>0</m:t>
                  </m:r>
                </m:e>
                <m:e>
                  <m:r>
                    <w:rPr>
                      <w:rFonts w:ascii="Cambria Math" w:hAnsi="Cambria Math" w:cstheme="minorHAnsi"/>
                      <w:noProof/>
                    </w:rPr>
                    <m:t>-</m:t>
                  </m:r>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e>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mr>
            </m:m>
          </m:e>
        </m:d>
      </m:oMath>
      <w:r w:rsidR="00B145BE" w:rsidRPr="006E5260">
        <w:rPr>
          <w:rFonts w:cstheme="minorHAnsi"/>
          <w:noProof/>
        </w:rPr>
        <w:t xml:space="preserve">   </w:t>
      </w:r>
      <m:oMath>
        <m:sSup>
          <m:sSupPr>
            <m:ctrlPr>
              <w:rPr>
                <w:rFonts w:ascii="Cambria Math" w:hAnsi="Cambria Math" w:cstheme="minorHAnsi"/>
                <w:i/>
                <w:noProof/>
              </w:rPr>
            </m:ctrlPr>
          </m:sSupPr>
          <m:e>
            <m:r>
              <w:rPr>
                <w:rFonts w:ascii="Cambria Math" w:hAnsi="Cambria Math" w:cstheme="minorHAnsi"/>
                <w:noProof/>
              </w:rPr>
              <m:t>T</m:t>
            </m:r>
          </m:e>
          <m:sup>
            <m:r>
              <w:rPr>
                <w:rFonts w:ascii="Cambria Math" w:hAnsi="Cambria Math" w:cstheme="minorHAnsi"/>
                <w:noProof/>
              </w:rPr>
              <m:t>(2)</m:t>
            </m:r>
          </m:sup>
        </m:sSup>
      </m:oMath>
      <w:r w:rsidR="00B145BE" w:rsidRPr="006E5260">
        <w:rPr>
          <w:rFonts w:cstheme="minorHAnsi"/>
          <w:noProof/>
        </w:rPr>
        <w:t>=</w:t>
      </w:r>
      <m:oMath>
        <m:r>
          <w:rPr>
            <w:rFonts w:ascii="Cambria Math" w:hAnsi="Cambria Math" w:cstheme="minorHAnsi"/>
            <w:noProof/>
          </w:rPr>
          <m:t xml:space="preserve"> </m:t>
        </m:r>
        <m:d>
          <m:dPr>
            <m:ctrlPr>
              <w:rPr>
                <w:rFonts w:ascii="Cambria Math" w:hAnsi="Cambria Math" w:cstheme="minorHAnsi"/>
                <w:i/>
                <w:noProof/>
              </w:rPr>
            </m:ctrlPr>
          </m:dPr>
          <m:e>
            <m:m>
              <m:mPr>
                <m:mcs>
                  <m:mc>
                    <m:mcPr>
                      <m:count m:val="3"/>
                      <m:mcJc m:val="center"/>
                    </m:mcPr>
                  </m:mc>
                </m:mcs>
                <m:ctrlPr>
                  <w:rPr>
                    <w:rFonts w:ascii="Cambria Math" w:hAnsi="Cambria Math" w:cstheme="minorHAnsi"/>
                    <w:i/>
                    <w:noProof/>
                  </w:rPr>
                </m:ctrlPr>
              </m:mPr>
              <m:mr>
                <m:e>
                  <m:r>
                    <w:rPr>
                      <w:rFonts w:ascii="Cambria Math" w:hAnsi="Cambria Math" w:cstheme="minorHAnsi"/>
                      <w:noProof/>
                    </w:rPr>
                    <m:t>-1</m:t>
                  </m:r>
                </m:e>
                <m:e>
                  <m:r>
                    <w:rPr>
                      <w:rFonts w:ascii="Cambria Math" w:hAnsi="Cambria Math" w:cstheme="minorHAnsi"/>
                      <w:noProof/>
                    </w:rPr>
                    <m:t>0</m:t>
                  </m:r>
                </m:e>
                <m:e>
                  <m:r>
                    <w:rPr>
                      <w:rFonts w:ascii="Cambria Math" w:hAnsi="Cambria Math" w:cstheme="minorHAnsi"/>
                      <w:noProof/>
                    </w:rPr>
                    <m:t>0</m:t>
                  </m:r>
                </m:e>
              </m:mr>
              <m:mr>
                <m:e>
                  <m:r>
                    <w:rPr>
                      <w:rFonts w:ascii="Cambria Math" w:hAnsi="Cambria Math" w:cstheme="minorHAnsi"/>
                      <w:noProof/>
                    </w:rPr>
                    <m:t>0</m:t>
                  </m:r>
                </m:e>
                <m:e>
                  <m:r>
                    <w:rPr>
                      <w:rFonts w:ascii="Cambria Math" w:hAnsi="Cambria Math" w:cstheme="minorHAnsi"/>
                      <w:noProof/>
                    </w:rPr>
                    <m:t>-1</m:t>
                  </m:r>
                </m:e>
                <m:e>
                  <m:r>
                    <w:rPr>
                      <w:rFonts w:ascii="Cambria Math" w:hAnsi="Cambria Math" w:cstheme="minorHAnsi"/>
                      <w:noProof/>
                    </w:rPr>
                    <m:t>1</m:t>
                  </m:r>
                </m:e>
              </m:mr>
              <m:mr>
                <m:e>
                  <m:r>
                    <w:rPr>
                      <w:rFonts w:ascii="Cambria Math" w:hAnsi="Cambria Math" w:cstheme="minorHAnsi"/>
                      <w:noProof/>
                    </w:rPr>
                    <m:t>0</m:t>
                  </m:r>
                </m:e>
                <m:e>
                  <m:r>
                    <w:rPr>
                      <w:rFonts w:ascii="Cambria Math" w:hAnsi="Cambria Math" w:cstheme="minorHAnsi"/>
                      <w:noProof/>
                    </w:rPr>
                    <m:t>1</m:t>
                  </m:r>
                </m:e>
                <m:e>
                  <m:r>
                    <w:rPr>
                      <w:rFonts w:ascii="Cambria Math" w:hAnsi="Cambria Math" w:cstheme="minorHAnsi"/>
                      <w:noProof/>
                    </w:rPr>
                    <m:t>1</m:t>
                  </m:r>
                </m:e>
              </m:mr>
            </m:m>
          </m:e>
        </m:d>
      </m:oMath>
      <w:r w:rsidR="00B145BE" w:rsidRPr="006E5260">
        <w:rPr>
          <w:rFonts w:cstheme="minorHAnsi"/>
          <w:noProof/>
        </w:rPr>
        <w:t xml:space="preserve">    </w:t>
      </w:r>
      <w:r w:rsidR="00B145BE">
        <w:rPr>
          <w:rFonts w:cstheme="minorHAnsi"/>
          <w:noProof/>
        </w:rPr>
        <w:t xml:space="preserve">                           </w:t>
      </w:r>
      <w:r w:rsidR="00B145BE" w:rsidRPr="006E5260">
        <w:rPr>
          <w:rFonts w:cstheme="minorHAnsi"/>
          <w:noProof/>
        </w:rPr>
        <w:t xml:space="preserve">        (5)                                 </w:t>
      </w:r>
    </w:p>
    <w:p w14:paraId="65316597" w14:textId="77777777" w:rsidR="00B145BE" w:rsidRPr="006E5260" w:rsidRDefault="00077961" w:rsidP="00B145BE">
      <w:pPr>
        <w:spacing w:afterLines="60" w:after="144" w:line="360" w:lineRule="auto"/>
        <w:jc w:val="right"/>
        <w:rPr>
          <w:rFonts w:cstheme="minorHAnsi"/>
          <w:noProof/>
        </w:rPr>
      </w:pPr>
      <m:oMath>
        <m:sSup>
          <m:sSupPr>
            <m:ctrlPr>
              <w:rPr>
                <w:rFonts w:ascii="Cambria Math" w:hAnsi="Cambria Math" w:cstheme="minorHAnsi"/>
                <w:i/>
                <w:noProof/>
              </w:rPr>
            </m:ctrlPr>
          </m:sSupPr>
          <m:e>
            <m:r>
              <w:rPr>
                <w:rFonts w:ascii="Cambria Math" w:hAnsi="Cambria Math" w:cstheme="minorHAnsi"/>
                <w:noProof/>
              </w:rPr>
              <m:t>ε</m:t>
            </m:r>
          </m:e>
          <m:sup>
            <m:r>
              <w:rPr>
                <w:rFonts w:ascii="Cambria Math" w:hAnsi="Cambria Math" w:cstheme="minorHAnsi"/>
                <w:noProof/>
              </w:rPr>
              <m:t>(3)</m:t>
            </m:r>
          </m:sup>
        </m:sSup>
        <m:r>
          <w:rPr>
            <w:rFonts w:ascii="Cambria Math" w:hAnsi="Cambria Math" w:cstheme="minorHAnsi"/>
            <w:noProof/>
          </w:rPr>
          <m:t>=</m:t>
        </m:r>
        <m:d>
          <m:dPr>
            <m:ctrlPr>
              <w:rPr>
                <w:rFonts w:ascii="Cambria Math" w:hAnsi="Cambria Math" w:cstheme="minorHAnsi"/>
                <w:i/>
                <w:noProof/>
              </w:rPr>
            </m:ctrlPr>
          </m:dPr>
          <m:e>
            <m:m>
              <m:mPr>
                <m:mcs>
                  <m:mc>
                    <m:mcPr>
                      <m:count m:val="3"/>
                      <m:mcJc m:val="center"/>
                    </m:mcPr>
                  </m:mc>
                </m:mcs>
                <m:ctrlPr>
                  <w:rPr>
                    <w:rFonts w:ascii="Cambria Math" w:hAnsi="Cambria Math" w:cstheme="minorHAnsi"/>
                    <w:i/>
                    <w:noProof/>
                  </w:rPr>
                </m:ctrlPr>
              </m:mPr>
              <m:mr>
                <m:e>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e>
                  <m:r>
                    <w:rPr>
                      <w:rFonts w:ascii="Cambria Math" w:hAnsi="Cambria Math" w:cstheme="minorHAnsi"/>
                      <w:noProof/>
                    </w:rPr>
                    <m:t>0</m:t>
                  </m:r>
                </m:e>
                <m:e>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mr>
              <m:mr>
                <m:e>
                  <m:r>
                    <w:rPr>
                      <w:rFonts w:ascii="Cambria Math" w:hAnsi="Cambria Math" w:cstheme="minorHAnsi"/>
                      <w:noProof/>
                    </w:rPr>
                    <m:t>0</m:t>
                  </m:r>
                </m:e>
                <m:e>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1</m:t>
                      </m:r>
                    </m:sub>
                  </m:sSub>
                </m:e>
                <m:e>
                  <m:r>
                    <w:rPr>
                      <w:rFonts w:ascii="Cambria Math" w:hAnsi="Cambria Math" w:cstheme="minorHAnsi"/>
                      <w:noProof/>
                    </w:rPr>
                    <m:t>0</m:t>
                  </m:r>
                </m:e>
              </m:mr>
              <m:mr>
                <m:e>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e>
                  <m:r>
                    <w:rPr>
                      <w:rFonts w:ascii="Cambria Math" w:hAnsi="Cambria Math" w:cstheme="minorHAnsi"/>
                      <w:noProof/>
                    </w:rPr>
                    <m:t>0</m:t>
                  </m:r>
                </m:e>
                <m:e>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mr>
            </m:m>
          </m:e>
        </m:d>
      </m:oMath>
      <w:r w:rsidR="00B145BE" w:rsidRPr="006E5260">
        <w:rPr>
          <w:rFonts w:cstheme="minorHAnsi"/>
          <w:noProof/>
        </w:rPr>
        <w:t xml:space="preserve">       </w:t>
      </w:r>
      <m:oMath>
        <m:sSup>
          <m:sSupPr>
            <m:ctrlPr>
              <w:rPr>
                <w:rFonts w:ascii="Cambria Math" w:hAnsi="Cambria Math" w:cstheme="minorHAnsi"/>
                <w:i/>
                <w:noProof/>
              </w:rPr>
            </m:ctrlPr>
          </m:sSupPr>
          <m:e>
            <m:r>
              <w:rPr>
                <w:rFonts w:ascii="Cambria Math" w:hAnsi="Cambria Math" w:cstheme="minorHAnsi"/>
                <w:noProof/>
              </w:rPr>
              <m:t>T</m:t>
            </m:r>
          </m:e>
          <m:sup>
            <m:r>
              <w:rPr>
                <w:rFonts w:ascii="Cambria Math" w:hAnsi="Cambria Math" w:cstheme="minorHAnsi"/>
                <w:noProof/>
              </w:rPr>
              <m:t>(3)</m:t>
            </m:r>
          </m:sup>
        </m:sSup>
      </m:oMath>
      <w:r w:rsidR="00B145BE" w:rsidRPr="006E5260">
        <w:rPr>
          <w:rFonts w:cstheme="minorHAnsi"/>
          <w:noProof/>
        </w:rPr>
        <w:t>=</w:t>
      </w:r>
      <m:oMath>
        <m:r>
          <w:rPr>
            <w:rFonts w:ascii="Cambria Math" w:hAnsi="Cambria Math" w:cstheme="minorHAnsi"/>
            <w:noProof/>
          </w:rPr>
          <m:t xml:space="preserve"> </m:t>
        </m:r>
        <m:d>
          <m:dPr>
            <m:ctrlPr>
              <w:rPr>
                <w:rFonts w:ascii="Cambria Math" w:hAnsi="Cambria Math" w:cstheme="minorHAnsi"/>
                <w:i/>
                <w:noProof/>
              </w:rPr>
            </m:ctrlPr>
          </m:dPr>
          <m:e>
            <m:m>
              <m:mPr>
                <m:mcs>
                  <m:mc>
                    <m:mcPr>
                      <m:count m:val="3"/>
                      <m:mcJc m:val="center"/>
                    </m:mcPr>
                  </m:mc>
                </m:mcs>
                <m:ctrlPr>
                  <w:rPr>
                    <w:rFonts w:ascii="Cambria Math" w:hAnsi="Cambria Math" w:cstheme="minorHAnsi"/>
                    <w:i/>
                    <w:noProof/>
                  </w:rPr>
                </m:ctrlPr>
              </m:mPr>
              <m:mr>
                <m:e>
                  <m:r>
                    <w:rPr>
                      <w:rFonts w:ascii="Cambria Math" w:hAnsi="Cambria Math" w:cstheme="minorHAnsi"/>
                      <w:noProof/>
                    </w:rPr>
                    <m:t>0</m:t>
                  </m:r>
                </m:e>
                <m:e>
                  <m:r>
                    <w:rPr>
                      <w:rFonts w:ascii="Cambria Math" w:hAnsi="Cambria Math" w:cstheme="minorHAnsi"/>
                      <w:noProof/>
                    </w:rPr>
                    <m:t>1</m:t>
                  </m:r>
                </m:e>
                <m:e>
                  <m:r>
                    <w:rPr>
                      <w:rFonts w:ascii="Cambria Math" w:hAnsi="Cambria Math" w:cstheme="minorHAnsi"/>
                      <w:noProof/>
                    </w:rPr>
                    <m:t>1</m:t>
                  </m:r>
                </m:e>
              </m:mr>
              <m:mr>
                <m:e>
                  <m:r>
                    <w:rPr>
                      <w:rFonts w:ascii="Cambria Math" w:hAnsi="Cambria Math" w:cstheme="minorHAnsi"/>
                      <w:noProof/>
                    </w:rPr>
                    <m:t>1</m:t>
                  </m:r>
                </m:e>
                <m:e>
                  <m:r>
                    <w:rPr>
                      <w:rFonts w:ascii="Cambria Math" w:hAnsi="Cambria Math" w:cstheme="minorHAnsi"/>
                      <w:noProof/>
                    </w:rPr>
                    <m:t>0</m:t>
                  </m:r>
                </m:e>
                <m:e>
                  <m:r>
                    <w:rPr>
                      <w:rFonts w:ascii="Cambria Math" w:hAnsi="Cambria Math" w:cstheme="minorHAnsi"/>
                      <w:noProof/>
                    </w:rPr>
                    <m:t>0</m:t>
                  </m:r>
                </m:e>
              </m:mr>
              <m:mr>
                <m:e>
                  <m:r>
                    <w:rPr>
                      <w:rFonts w:ascii="Cambria Math" w:hAnsi="Cambria Math" w:cstheme="minorHAnsi"/>
                      <w:noProof/>
                    </w:rPr>
                    <m:t>0</m:t>
                  </m:r>
                </m:e>
                <m:e>
                  <m:r>
                    <w:rPr>
                      <w:rFonts w:ascii="Cambria Math" w:hAnsi="Cambria Math" w:cstheme="minorHAnsi"/>
                      <w:noProof/>
                    </w:rPr>
                    <m:t>1</m:t>
                  </m:r>
                </m:e>
                <m:e>
                  <m:r>
                    <w:rPr>
                      <w:rFonts w:ascii="Cambria Math" w:hAnsi="Cambria Math" w:cstheme="minorHAnsi"/>
                      <w:noProof/>
                    </w:rPr>
                    <m:t>-1</m:t>
                  </m:r>
                </m:e>
              </m:mr>
            </m:m>
          </m:e>
        </m:d>
      </m:oMath>
      <w:r w:rsidR="00B145BE" w:rsidRPr="006E5260">
        <w:rPr>
          <w:rFonts w:cstheme="minorHAnsi"/>
          <w:noProof/>
        </w:rPr>
        <w:t xml:space="preserve">          </w:t>
      </w:r>
      <w:r w:rsidR="00B145BE">
        <w:rPr>
          <w:rFonts w:cstheme="minorHAnsi"/>
          <w:noProof/>
        </w:rPr>
        <w:t xml:space="preserve">                                 </w:t>
      </w:r>
      <w:r w:rsidR="00B145BE" w:rsidRPr="006E5260">
        <w:rPr>
          <w:rFonts w:cstheme="minorHAnsi"/>
          <w:noProof/>
        </w:rPr>
        <w:t xml:space="preserve">   (6)                                      </w:t>
      </w:r>
    </w:p>
    <w:p w14:paraId="33134EFD" w14:textId="77777777" w:rsidR="00B145BE" w:rsidRPr="006E5260" w:rsidRDefault="00077961" w:rsidP="00B145BE">
      <w:pPr>
        <w:spacing w:afterLines="60" w:after="144" w:line="360" w:lineRule="auto"/>
        <w:jc w:val="right"/>
        <w:rPr>
          <w:rFonts w:cstheme="minorHAnsi"/>
          <w:noProof/>
        </w:rPr>
      </w:pPr>
      <m:oMath>
        <m:sSup>
          <m:sSupPr>
            <m:ctrlPr>
              <w:rPr>
                <w:rFonts w:ascii="Cambria Math" w:hAnsi="Cambria Math" w:cstheme="minorHAnsi"/>
                <w:i/>
                <w:noProof/>
              </w:rPr>
            </m:ctrlPr>
          </m:sSupPr>
          <m:e>
            <m:r>
              <w:rPr>
                <w:rFonts w:ascii="Cambria Math" w:hAnsi="Cambria Math" w:cstheme="minorHAnsi"/>
                <w:noProof/>
              </w:rPr>
              <m:t>ε</m:t>
            </m:r>
          </m:e>
          <m:sup>
            <m:r>
              <w:rPr>
                <w:rFonts w:ascii="Cambria Math" w:hAnsi="Cambria Math" w:cstheme="minorHAnsi"/>
                <w:noProof/>
              </w:rPr>
              <m:t>(4)</m:t>
            </m:r>
          </m:sup>
        </m:sSup>
        <m:r>
          <w:rPr>
            <w:rFonts w:ascii="Cambria Math" w:hAnsi="Cambria Math" w:cstheme="minorHAnsi"/>
            <w:noProof/>
          </w:rPr>
          <m:t>=</m:t>
        </m:r>
        <m:d>
          <m:dPr>
            <m:ctrlPr>
              <w:rPr>
                <w:rFonts w:ascii="Cambria Math" w:hAnsi="Cambria Math" w:cstheme="minorHAnsi"/>
                <w:i/>
                <w:noProof/>
              </w:rPr>
            </m:ctrlPr>
          </m:dPr>
          <m:e>
            <m:m>
              <m:mPr>
                <m:mcs>
                  <m:mc>
                    <m:mcPr>
                      <m:count m:val="3"/>
                      <m:mcJc m:val="center"/>
                    </m:mcPr>
                  </m:mc>
                </m:mcs>
                <m:ctrlPr>
                  <w:rPr>
                    <w:rFonts w:ascii="Cambria Math" w:hAnsi="Cambria Math" w:cstheme="minorHAnsi"/>
                    <w:i/>
                    <w:noProof/>
                  </w:rPr>
                </m:ctrlPr>
              </m:mPr>
              <m:mr>
                <m:e>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e>
                  <m:r>
                    <w:rPr>
                      <w:rFonts w:ascii="Cambria Math" w:hAnsi="Cambria Math" w:cstheme="minorHAnsi"/>
                      <w:noProof/>
                    </w:rPr>
                    <m:t>0</m:t>
                  </m:r>
                </m:e>
                <m:e>
                  <m:r>
                    <w:rPr>
                      <w:rFonts w:ascii="Cambria Math" w:hAnsi="Cambria Math" w:cstheme="minorHAnsi"/>
                      <w:noProof/>
                    </w:rPr>
                    <m:t>-</m:t>
                  </m:r>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mr>
              <m:mr>
                <m:e>
                  <m:r>
                    <w:rPr>
                      <w:rFonts w:ascii="Cambria Math" w:hAnsi="Cambria Math" w:cstheme="minorHAnsi"/>
                      <w:noProof/>
                    </w:rPr>
                    <m:t>0</m:t>
                  </m:r>
                </m:e>
                <m:e>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1</m:t>
                      </m:r>
                    </m:sub>
                  </m:sSub>
                </m:e>
                <m:e>
                  <m:r>
                    <w:rPr>
                      <w:rFonts w:ascii="Cambria Math" w:hAnsi="Cambria Math" w:cstheme="minorHAnsi"/>
                      <w:noProof/>
                    </w:rPr>
                    <m:t>0</m:t>
                  </m:r>
                </m:e>
              </m:mr>
              <m:mr>
                <m:e>
                  <m:r>
                    <w:rPr>
                      <w:rFonts w:ascii="Cambria Math" w:hAnsi="Cambria Math" w:cstheme="minorHAnsi"/>
                      <w:noProof/>
                    </w:rPr>
                    <m:t>-</m:t>
                  </m:r>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e>
                  <m:r>
                    <w:rPr>
                      <w:rFonts w:ascii="Cambria Math" w:hAnsi="Cambria Math" w:cstheme="minorHAnsi"/>
                      <w:noProof/>
                    </w:rPr>
                    <m:t>0</m:t>
                  </m:r>
                </m:e>
                <m:e>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mr>
            </m:m>
          </m:e>
        </m:d>
      </m:oMath>
      <w:r w:rsidR="00B145BE" w:rsidRPr="006E5260">
        <w:rPr>
          <w:rFonts w:cstheme="minorHAnsi"/>
          <w:noProof/>
        </w:rPr>
        <w:t xml:space="preserve">    </w:t>
      </w:r>
      <m:oMath>
        <m:sSup>
          <m:sSupPr>
            <m:ctrlPr>
              <w:rPr>
                <w:rFonts w:ascii="Cambria Math" w:hAnsi="Cambria Math" w:cstheme="minorHAnsi"/>
                <w:i/>
                <w:noProof/>
              </w:rPr>
            </m:ctrlPr>
          </m:sSupPr>
          <m:e>
            <m:r>
              <w:rPr>
                <w:rFonts w:ascii="Cambria Math" w:hAnsi="Cambria Math" w:cstheme="minorHAnsi"/>
                <w:noProof/>
              </w:rPr>
              <m:t>T</m:t>
            </m:r>
          </m:e>
          <m:sup>
            <m:r>
              <w:rPr>
                <w:rFonts w:ascii="Cambria Math" w:hAnsi="Cambria Math" w:cstheme="minorHAnsi"/>
                <w:noProof/>
              </w:rPr>
              <m:t>(4)</m:t>
            </m:r>
          </m:sup>
        </m:sSup>
      </m:oMath>
      <w:r w:rsidR="00B145BE" w:rsidRPr="006E5260">
        <w:rPr>
          <w:rFonts w:cstheme="minorHAnsi"/>
          <w:noProof/>
        </w:rPr>
        <w:t>=</w:t>
      </w:r>
      <m:oMath>
        <m:r>
          <w:rPr>
            <w:rFonts w:ascii="Cambria Math" w:hAnsi="Cambria Math" w:cstheme="minorHAnsi"/>
            <w:noProof/>
          </w:rPr>
          <m:t xml:space="preserve"> </m:t>
        </m:r>
        <m:d>
          <m:dPr>
            <m:ctrlPr>
              <w:rPr>
                <w:rFonts w:ascii="Cambria Math" w:hAnsi="Cambria Math" w:cstheme="minorHAnsi"/>
                <w:i/>
                <w:noProof/>
              </w:rPr>
            </m:ctrlPr>
          </m:dPr>
          <m:e>
            <m:m>
              <m:mPr>
                <m:mcs>
                  <m:mc>
                    <m:mcPr>
                      <m:count m:val="3"/>
                      <m:mcJc m:val="center"/>
                    </m:mcPr>
                  </m:mc>
                </m:mcs>
                <m:ctrlPr>
                  <w:rPr>
                    <w:rFonts w:ascii="Cambria Math" w:hAnsi="Cambria Math" w:cstheme="minorHAnsi"/>
                    <w:i/>
                    <w:noProof/>
                  </w:rPr>
                </m:ctrlPr>
              </m:mPr>
              <m:mr>
                <m:e>
                  <m:r>
                    <w:rPr>
                      <w:rFonts w:ascii="Cambria Math" w:hAnsi="Cambria Math" w:cstheme="minorHAnsi"/>
                      <w:noProof/>
                    </w:rPr>
                    <m:t>0</m:t>
                  </m:r>
                </m:e>
                <m:e>
                  <m:r>
                    <w:rPr>
                      <w:rFonts w:ascii="Cambria Math" w:hAnsi="Cambria Math" w:cstheme="minorHAnsi"/>
                      <w:noProof/>
                    </w:rPr>
                    <m:t>1</m:t>
                  </m:r>
                </m:e>
                <m:e>
                  <m:r>
                    <w:rPr>
                      <w:rFonts w:ascii="Cambria Math" w:hAnsi="Cambria Math" w:cstheme="minorHAnsi"/>
                      <w:noProof/>
                    </w:rPr>
                    <m:t>1</m:t>
                  </m:r>
                </m:e>
              </m:mr>
              <m:mr>
                <m:e>
                  <m:r>
                    <w:rPr>
                      <w:rFonts w:ascii="Cambria Math" w:hAnsi="Cambria Math" w:cstheme="minorHAnsi"/>
                      <w:noProof/>
                    </w:rPr>
                    <m:t>-1</m:t>
                  </m:r>
                </m:e>
                <m:e>
                  <m:r>
                    <w:rPr>
                      <w:rFonts w:ascii="Cambria Math" w:hAnsi="Cambria Math" w:cstheme="minorHAnsi"/>
                      <w:noProof/>
                    </w:rPr>
                    <m:t>0</m:t>
                  </m:r>
                </m:e>
                <m:e>
                  <m:r>
                    <w:rPr>
                      <w:rFonts w:ascii="Cambria Math" w:hAnsi="Cambria Math" w:cstheme="minorHAnsi"/>
                      <w:noProof/>
                    </w:rPr>
                    <m:t>0</m:t>
                  </m:r>
                </m:e>
              </m:mr>
              <m:mr>
                <m:e>
                  <m:r>
                    <w:rPr>
                      <w:rFonts w:ascii="Cambria Math" w:hAnsi="Cambria Math" w:cstheme="minorHAnsi"/>
                      <w:noProof/>
                    </w:rPr>
                    <m:t>0</m:t>
                  </m:r>
                </m:e>
                <m:e>
                  <m:r>
                    <w:rPr>
                      <w:rFonts w:ascii="Cambria Math" w:hAnsi="Cambria Math" w:cstheme="minorHAnsi"/>
                      <w:noProof/>
                    </w:rPr>
                    <m:t>-1</m:t>
                  </m:r>
                </m:e>
                <m:e>
                  <m:r>
                    <w:rPr>
                      <w:rFonts w:ascii="Cambria Math" w:hAnsi="Cambria Math" w:cstheme="minorHAnsi"/>
                      <w:noProof/>
                    </w:rPr>
                    <m:t>1</m:t>
                  </m:r>
                </m:e>
              </m:mr>
            </m:m>
          </m:e>
        </m:d>
      </m:oMath>
      <w:r w:rsidR="00B145BE" w:rsidRPr="006E5260">
        <w:rPr>
          <w:rFonts w:cstheme="minorHAnsi"/>
          <w:noProof/>
        </w:rPr>
        <w:t xml:space="preserve">  </w:t>
      </w:r>
      <w:r w:rsidR="00B145BE">
        <w:rPr>
          <w:rFonts w:cstheme="minorHAnsi"/>
          <w:noProof/>
        </w:rPr>
        <w:t xml:space="preserve">                            </w:t>
      </w:r>
      <w:r w:rsidR="00B145BE" w:rsidRPr="006E5260">
        <w:rPr>
          <w:rFonts w:cstheme="minorHAnsi"/>
          <w:noProof/>
        </w:rPr>
        <w:t xml:space="preserve">         (7)                               </w:t>
      </w:r>
    </w:p>
    <w:p w14:paraId="06CA006D" w14:textId="77777777" w:rsidR="00B145BE" w:rsidRPr="006E5260" w:rsidRDefault="00077961" w:rsidP="00B145BE">
      <w:pPr>
        <w:spacing w:afterLines="60" w:after="144" w:line="360" w:lineRule="auto"/>
        <w:jc w:val="right"/>
        <w:rPr>
          <w:rFonts w:cstheme="minorHAnsi"/>
          <w:noProof/>
        </w:rPr>
      </w:pPr>
      <m:oMath>
        <m:sSup>
          <m:sSupPr>
            <m:ctrlPr>
              <w:rPr>
                <w:rFonts w:ascii="Cambria Math" w:hAnsi="Cambria Math" w:cstheme="minorHAnsi"/>
                <w:i/>
                <w:noProof/>
              </w:rPr>
            </m:ctrlPr>
          </m:sSupPr>
          <m:e>
            <m:r>
              <w:rPr>
                <w:rFonts w:ascii="Cambria Math" w:hAnsi="Cambria Math" w:cstheme="minorHAnsi"/>
                <w:noProof/>
              </w:rPr>
              <m:t>ε</m:t>
            </m:r>
          </m:e>
          <m:sup>
            <m:r>
              <w:rPr>
                <w:rFonts w:ascii="Cambria Math" w:hAnsi="Cambria Math" w:cstheme="minorHAnsi"/>
                <w:noProof/>
              </w:rPr>
              <m:t>(5)</m:t>
            </m:r>
          </m:sup>
        </m:sSup>
        <m:r>
          <w:rPr>
            <w:rFonts w:ascii="Cambria Math" w:hAnsi="Cambria Math" w:cstheme="minorHAnsi"/>
            <w:noProof/>
          </w:rPr>
          <m:t>=</m:t>
        </m:r>
        <m:d>
          <m:dPr>
            <m:ctrlPr>
              <w:rPr>
                <w:rFonts w:ascii="Cambria Math" w:hAnsi="Cambria Math" w:cstheme="minorHAnsi"/>
                <w:i/>
                <w:noProof/>
              </w:rPr>
            </m:ctrlPr>
          </m:dPr>
          <m:e>
            <m:m>
              <m:mPr>
                <m:mcs>
                  <m:mc>
                    <m:mcPr>
                      <m:count m:val="3"/>
                      <m:mcJc m:val="center"/>
                    </m:mcPr>
                  </m:mc>
                </m:mcs>
                <m:ctrlPr>
                  <w:rPr>
                    <w:rFonts w:ascii="Cambria Math" w:hAnsi="Cambria Math" w:cstheme="minorHAnsi"/>
                    <w:i/>
                    <w:noProof/>
                  </w:rPr>
                </m:ctrlPr>
              </m:mPr>
              <m:mr>
                <m:e>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e>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e>
                  <m:r>
                    <w:rPr>
                      <w:rFonts w:ascii="Cambria Math" w:hAnsi="Cambria Math" w:cstheme="minorHAnsi"/>
                      <w:noProof/>
                    </w:rPr>
                    <m:t>0</m:t>
                  </m:r>
                </m:e>
              </m:mr>
              <m:mr>
                <m:e>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e>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e>
                  <m:r>
                    <w:rPr>
                      <w:rFonts w:ascii="Cambria Math" w:hAnsi="Cambria Math" w:cstheme="minorHAnsi"/>
                      <w:noProof/>
                    </w:rPr>
                    <m:t>0</m:t>
                  </m:r>
                </m:e>
              </m:mr>
              <m:mr>
                <m:e>
                  <m:r>
                    <w:rPr>
                      <w:rFonts w:ascii="Cambria Math" w:hAnsi="Cambria Math" w:cstheme="minorHAnsi"/>
                      <w:noProof/>
                    </w:rPr>
                    <m:t>0</m:t>
                  </m:r>
                </m:e>
                <m:e>
                  <m:r>
                    <w:rPr>
                      <w:rFonts w:ascii="Cambria Math" w:hAnsi="Cambria Math" w:cstheme="minorHAnsi"/>
                      <w:noProof/>
                    </w:rPr>
                    <m:t>0</m:t>
                  </m:r>
                </m:e>
                <m:e>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1</m:t>
                      </m:r>
                    </m:sub>
                  </m:sSub>
                </m:e>
              </m:mr>
            </m:m>
          </m:e>
        </m:d>
      </m:oMath>
      <w:r w:rsidR="00B145BE" w:rsidRPr="006E5260">
        <w:rPr>
          <w:rFonts w:cstheme="minorHAnsi"/>
          <w:noProof/>
        </w:rPr>
        <w:t xml:space="preserve">        </w:t>
      </w:r>
      <m:oMath>
        <m:sSup>
          <m:sSupPr>
            <m:ctrlPr>
              <w:rPr>
                <w:rFonts w:ascii="Cambria Math" w:hAnsi="Cambria Math" w:cstheme="minorHAnsi"/>
                <w:i/>
                <w:noProof/>
              </w:rPr>
            </m:ctrlPr>
          </m:sSupPr>
          <m:e>
            <m:r>
              <w:rPr>
                <w:rFonts w:ascii="Cambria Math" w:hAnsi="Cambria Math" w:cstheme="minorHAnsi"/>
                <w:noProof/>
              </w:rPr>
              <m:t>T</m:t>
            </m:r>
          </m:e>
          <m:sup>
            <m:r>
              <w:rPr>
                <w:rFonts w:ascii="Cambria Math" w:hAnsi="Cambria Math" w:cstheme="minorHAnsi"/>
                <w:noProof/>
              </w:rPr>
              <m:t>(5)</m:t>
            </m:r>
          </m:sup>
        </m:sSup>
      </m:oMath>
      <w:r w:rsidR="00B145BE" w:rsidRPr="006E5260">
        <w:rPr>
          <w:rFonts w:cstheme="minorHAnsi"/>
          <w:noProof/>
        </w:rPr>
        <w:t>=</w:t>
      </w:r>
      <m:oMath>
        <m:r>
          <w:rPr>
            <w:rFonts w:ascii="Cambria Math" w:hAnsi="Cambria Math" w:cstheme="minorHAnsi"/>
            <w:noProof/>
          </w:rPr>
          <m:t xml:space="preserve"> </m:t>
        </m:r>
        <m:d>
          <m:dPr>
            <m:ctrlPr>
              <w:rPr>
                <w:rFonts w:ascii="Cambria Math" w:hAnsi="Cambria Math" w:cstheme="minorHAnsi"/>
                <w:i/>
                <w:noProof/>
              </w:rPr>
            </m:ctrlPr>
          </m:dPr>
          <m:e>
            <m:m>
              <m:mPr>
                <m:mcs>
                  <m:mc>
                    <m:mcPr>
                      <m:count m:val="3"/>
                      <m:mcJc m:val="center"/>
                    </m:mcPr>
                  </m:mc>
                </m:mcs>
                <m:ctrlPr>
                  <w:rPr>
                    <w:rFonts w:ascii="Cambria Math" w:hAnsi="Cambria Math" w:cstheme="minorHAnsi"/>
                    <w:i/>
                    <w:noProof/>
                  </w:rPr>
                </m:ctrlPr>
              </m:mPr>
              <m:mr>
                <m:e>
                  <m:r>
                    <w:rPr>
                      <w:rFonts w:ascii="Cambria Math" w:hAnsi="Cambria Math" w:cstheme="minorHAnsi"/>
                      <w:noProof/>
                    </w:rPr>
                    <m:t>0</m:t>
                  </m:r>
                </m:e>
                <m:e>
                  <m:r>
                    <w:rPr>
                      <w:rFonts w:ascii="Cambria Math" w:hAnsi="Cambria Math" w:cstheme="minorHAnsi"/>
                      <w:noProof/>
                    </w:rPr>
                    <m:t>1</m:t>
                  </m:r>
                </m:e>
                <m:e>
                  <m:r>
                    <w:rPr>
                      <w:rFonts w:ascii="Cambria Math" w:hAnsi="Cambria Math" w:cstheme="minorHAnsi"/>
                      <w:noProof/>
                    </w:rPr>
                    <m:t>-1</m:t>
                  </m:r>
                </m:e>
              </m:mr>
              <m:mr>
                <m:e>
                  <m:r>
                    <w:rPr>
                      <w:rFonts w:ascii="Cambria Math" w:hAnsi="Cambria Math" w:cstheme="minorHAnsi"/>
                      <w:noProof/>
                    </w:rPr>
                    <m:t>0</m:t>
                  </m:r>
                </m:e>
                <m:e>
                  <m:r>
                    <w:rPr>
                      <w:rFonts w:ascii="Cambria Math" w:hAnsi="Cambria Math" w:cstheme="minorHAnsi"/>
                      <w:noProof/>
                    </w:rPr>
                    <m:t>1</m:t>
                  </m:r>
                </m:e>
                <m:e>
                  <m:r>
                    <w:rPr>
                      <w:rFonts w:ascii="Cambria Math" w:hAnsi="Cambria Math" w:cstheme="minorHAnsi"/>
                      <w:noProof/>
                    </w:rPr>
                    <m:t>1</m:t>
                  </m:r>
                </m:e>
              </m:mr>
              <m:mr>
                <m:e>
                  <m:r>
                    <w:rPr>
                      <w:rFonts w:ascii="Cambria Math" w:hAnsi="Cambria Math" w:cstheme="minorHAnsi"/>
                      <w:noProof/>
                    </w:rPr>
                    <m:t>1</m:t>
                  </m:r>
                </m:e>
                <m:e>
                  <m:r>
                    <w:rPr>
                      <w:rFonts w:ascii="Cambria Math" w:hAnsi="Cambria Math" w:cstheme="minorHAnsi"/>
                      <w:noProof/>
                    </w:rPr>
                    <m:t>0</m:t>
                  </m:r>
                </m:e>
                <m:e>
                  <m:r>
                    <w:rPr>
                      <w:rFonts w:ascii="Cambria Math" w:hAnsi="Cambria Math" w:cstheme="minorHAnsi"/>
                      <w:noProof/>
                    </w:rPr>
                    <m:t>0</m:t>
                  </m:r>
                </m:e>
              </m:mr>
            </m:m>
          </m:e>
        </m:d>
      </m:oMath>
      <w:r w:rsidR="00B145BE" w:rsidRPr="006E5260">
        <w:rPr>
          <w:rFonts w:cstheme="minorHAnsi"/>
          <w:noProof/>
        </w:rPr>
        <w:t xml:space="preserve">   </w:t>
      </w:r>
      <w:r w:rsidR="00B145BE">
        <w:rPr>
          <w:rFonts w:cstheme="minorHAnsi"/>
          <w:noProof/>
        </w:rPr>
        <w:t xml:space="preserve">                                 </w:t>
      </w:r>
      <w:r w:rsidR="00B145BE" w:rsidRPr="006E5260">
        <w:rPr>
          <w:rFonts w:cstheme="minorHAnsi"/>
          <w:noProof/>
        </w:rPr>
        <w:t xml:space="preserve">         (8)                                 </w:t>
      </w:r>
    </w:p>
    <w:p w14:paraId="0E7F1823" w14:textId="77777777" w:rsidR="00B145BE" w:rsidRPr="006E5260" w:rsidRDefault="00077961" w:rsidP="00B145BE">
      <w:pPr>
        <w:spacing w:afterLines="60" w:after="144" w:line="360" w:lineRule="auto"/>
        <w:jc w:val="right"/>
        <w:rPr>
          <w:rFonts w:cstheme="minorHAnsi"/>
          <w:noProof/>
        </w:rPr>
      </w:pPr>
      <m:oMath>
        <m:sSup>
          <m:sSupPr>
            <m:ctrlPr>
              <w:rPr>
                <w:rFonts w:ascii="Cambria Math" w:hAnsi="Cambria Math" w:cstheme="minorHAnsi"/>
                <w:i/>
                <w:noProof/>
              </w:rPr>
            </m:ctrlPr>
          </m:sSupPr>
          <m:e>
            <m:r>
              <w:rPr>
                <w:rFonts w:ascii="Cambria Math" w:hAnsi="Cambria Math" w:cstheme="minorHAnsi"/>
                <w:noProof/>
              </w:rPr>
              <m:t>ε</m:t>
            </m:r>
          </m:e>
          <m:sup>
            <m:r>
              <w:rPr>
                <w:rFonts w:ascii="Cambria Math" w:hAnsi="Cambria Math" w:cstheme="minorHAnsi"/>
                <w:noProof/>
              </w:rPr>
              <m:t>(6)</m:t>
            </m:r>
          </m:sup>
        </m:sSup>
        <m:r>
          <w:rPr>
            <w:rFonts w:ascii="Cambria Math" w:hAnsi="Cambria Math" w:cstheme="minorHAnsi"/>
            <w:noProof/>
          </w:rPr>
          <m:t>=</m:t>
        </m:r>
        <m:d>
          <m:dPr>
            <m:ctrlPr>
              <w:rPr>
                <w:rFonts w:ascii="Cambria Math" w:hAnsi="Cambria Math" w:cstheme="minorHAnsi"/>
                <w:i/>
                <w:noProof/>
              </w:rPr>
            </m:ctrlPr>
          </m:dPr>
          <m:e>
            <m:m>
              <m:mPr>
                <m:mcs>
                  <m:mc>
                    <m:mcPr>
                      <m:count m:val="3"/>
                      <m:mcJc m:val="center"/>
                    </m:mcPr>
                  </m:mc>
                </m:mcs>
                <m:ctrlPr>
                  <w:rPr>
                    <w:rFonts w:ascii="Cambria Math" w:hAnsi="Cambria Math" w:cstheme="minorHAnsi"/>
                    <w:i/>
                    <w:noProof/>
                  </w:rPr>
                </m:ctrlPr>
              </m:mPr>
              <m:mr>
                <m:e>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e>
                  <m:r>
                    <w:rPr>
                      <w:rFonts w:ascii="Cambria Math" w:hAnsi="Cambria Math" w:cstheme="minorHAnsi"/>
                      <w:noProof/>
                    </w:rPr>
                    <m:t>-</m:t>
                  </m:r>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e>
                  <m:r>
                    <w:rPr>
                      <w:rFonts w:ascii="Cambria Math" w:hAnsi="Cambria Math" w:cstheme="minorHAnsi"/>
                      <w:noProof/>
                    </w:rPr>
                    <m:t>0</m:t>
                  </m:r>
                </m:e>
              </m:mr>
              <m:mr>
                <m:e>
                  <m:r>
                    <w:rPr>
                      <w:rFonts w:ascii="Cambria Math" w:hAnsi="Cambria Math" w:cstheme="minorHAnsi"/>
                      <w:noProof/>
                    </w:rPr>
                    <m:t>-</m:t>
                  </m:r>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e>
                  <m:f>
                    <m:fPr>
                      <m:ctrlPr>
                        <w:rPr>
                          <w:rFonts w:ascii="Cambria Math" w:hAnsi="Cambria Math" w:cstheme="minorHAnsi"/>
                          <w:i/>
                          <w:noProof/>
                        </w:rPr>
                      </m:ctrlPr>
                    </m:fPr>
                    <m:num>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3</m:t>
                          </m:r>
                        </m:sub>
                      </m:sSub>
                    </m:num>
                    <m:den>
                      <m:r>
                        <w:rPr>
                          <w:rFonts w:ascii="Cambria Math" w:hAnsi="Cambria Math" w:cstheme="minorHAnsi"/>
                          <w:noProof/>
                        </w:rPr>
                        <m:t>2</m:t>
                      </m:r>
                    </m:den>
                  </m:f>
                </m:e>
                <m:e>
                  <m:r>
                    <w:rPr>
                      <w:rFonts w:ascii="Cambria Math" w:hAnsi="Cambria Math" w:cstheme="minorHAnsi"/>
                      <w:noProof/>
                    </w:rPr>
                    <m:t>0</m:t>
                  </m:r>
                </m:e>
              </m:mr>
              <m:mr>
                <m:e>
                  <m:r>
                    <w:rPr>
                      <w:rFonts w:ascii="Cambria Math" w:hAnsi="Cambria Math" w:cstheme="minorHAnsi"/>
                      <w:noProof/>
                    </w:rPr>
                    <m:t>0</m:t>
                  </m:r>
                </m:e>
                <m:e>
                  <m:r>
                    <w:rPr>
                      <w:rFonts w:ascii="Cambria Math" w:hAnsi="Cambria Math" w:cstheme="minorHAnsi"/>
                      <w:noProof/>
                    </w:rPr>
                    <m:t>0</m:t>
                  </m:r>
                </m:e>
                <m:e>
                  <m:sSub>
                    <m:sSubPr>
                      <m:ctrlPr>
                        <w:rPr>
                          <w:rFonts w:ascii="Cambria Math" w:hAnsi="Cambria Math" w:cstheme="minorHAnsi"/>
                          <w:i/>
                          <w:noProof/>
                        </w:rPr>
                      </m:ctrlPr>
                    </m:sSubPr>
                    <m:e>
                      <m:r>
                        <w:rPr>
                          <w:rFonts w:ascii="Cambria Math" w:hAnsi="Cambria Math" w:cstheme="minorHAnsi"/>
                          <w:noProof/>
                        </w:rPr>
                        <m:t>μ</m:t>
                      </m:r>
                    </m:e>
                    <m:sub>
                      <m:r>
                        <w:rPr>
                          <w:rFonts w:ascii="Cambria Math" w:hAnsi="Cambria Math" w:cstheme="minorHAnsi"/>
                          <w:noProof/>
                        </w:rPr>
                        <m:t>1</m:t>
                      </m:r>
                    </m:sub>
                  </m:sSub>
                </m:e>
              </m:mr>
            </m:m>
          </m:e>
        </m:d>
      </m:oMath>
      <w:r w:rsidR="00B145BE" w:rsidRPr="006E5260">
        <w:rPr>
          <w:rFonts w:cstheme="minorHAnsi"/>
          <w:noProof/>
        </w:rPr>
        <w:t xml:space="preserve">     </w:t>
      </w:r>
      <m:oMath>
        <m:sSup>
          <m:sSupPr>
            <m:ctrlPr>
              <w:rPr>
                <w:rFonts w:ascii="Cambria Math" w:hAnsi="Cambria Math" w:cstheme="minorHAnsi"/>
                <w:i/>
                <w:noProof/>
              </w:rPr>
            </m:ctrlPr>
          </m:sSupPr>
          <m:e>
            <m:r>
              <w:rPr>
                <w:rFonts w:ascii="Cambria Math" w:hAnsi="Cambria Math" w:cstheme="minorHAnsi"/>
                <w:noProof/>
              </w:rPr>
              <m:t>T</m:t>
            </m:r>
          </m:e>
          <m:sup>
            <m:r>
              <w:rPr>
                <w:rFonts w:ascii="Cambria Math" w:hAnsi="Cambria Math" w:cstheme="minorHAnsi"/>
                <w:noProof/>
              </w:rPr>
              <m:t>(6)</m:t>
            </m:r>
          </m:sup>
        </m:sSup>
      </m:oMath>
      <w:r w:rsidR="00B145BE" w:rsidRPr="006E5260">
        <w:rPr>
          <w:rFonts w:cstheme="minorHAnsi"/>
          <w:noProof/>
        </w:rPr>
        <w:t>=</w:t>
      </w:r>
      <m:oMath>
        <m:r>
          <w:rPr>
            <w:rFonts w:ascii="Cambria Math" w:hAnsi="Cambria Math" w:cstheme="minorHAnsi"/>
            <w:noProof/>
          </w:rPr>
          <m:t xml:space="preserve"> </m:t>
        </m:r>
        <m:d>
          <m:dPr>
            <m:ctrlPr>
              <w:rPr>
                <w:rFonts w:ascii="Cambria Math" w:hAnsi="Cambria Math" w:cstheme="minorHAnsi"/>
                <w:i/>
                <w:noProof/>
              </w:rPr>
            </m:ctrlPr>
          </m:dPr>
          <m:e>
            <m:m>
              <m:mPr>
                <m:mcs>
                  <m:mc>
                    <m:mcPr>
                      <m:count m:val="3"/>
                      <m:mcJc m:val="center"/>
                    </m:mcPr>
                  </m:mc>
                </m:mcs>
                <m:ctrlPr>
                  <w:rPr>
                    <w:rFonts w:ascii="Cambria Math" w:hAnsi="Cambria Math" w:cstheme="minorHAnsi"/>
                    <w:i/>
                    <w:noProof/>
                  </w:rPr>
                </m:ctrlPr>
              </m:mPr>
              <m:mr>
                <m:e>
                  <m:r>
                    <w:rPr>
                      <w:rFonts w:ascii="Cambria Math" w:hAnsi="Cambria Math" w:cstheme="minorHAnsi"/>
                      <w:noProof/>
                    </w:rPr>
                    <m:t>0</m:t>
                  </m:r>
                </m:e>
                <m:e>
                  <m:r>
                    <w:rPr>
                      <w:rFonts w:ascii="Cambria Math" w:hAnsi="Cambria Math" w:cstheme="minorHAnsi"/>
                      <w:noProof/>
                    </w:rPr>
                    <m:t>-1</m:t>
                  </m:r>
                </m:e>
                <m:e>
                  <m:r>
                    <w:rPr>
                      <w:rFonts w:ascii="Cambria Math" w:hAnsi="Cambria Math" w:cstheme="minorHAnsi"/>
                      <w:noProof/>
                    </w:rPr>
                    <m:t>1</m:t>
                  </m:r>
                </m:e>
              </m:mr>
              <m:mr>
                <m:e>
                  <m:r>
                    <w:rPr>
                      <w:rFonts w:ascii="Cambria Math" w:hAnsi="Cambria Math" w:cstheme="minorHAnsi"/>
                      <w:noProof/>
                    </w:rPr>
                    <m:t>0</m:t>
                  </m:r>
                </m:e>
                <m:e>
                  <m:r>
                    <w:rPr>
                      <w:rFonts w:ascii="Cambria Math" w:hAnsi="Cambria Math" w:cstheme="minorHAnsi"/>
                      <w:noProof/>
                    </w:rPr>
                    <m:t>1</m:t>
                  </m:r>
                </m:e>
                <m:e>
                  <m:r>
                    <w:rPr>
                      <w:rFonts w:ascii="Cambria Math" w:hAnsi="Cambria Math" w:cstheme="minorHAnsi"/>
                      <w:noProof/>
                    </w:rPr>
                    <m:t>1</m:t>
                  </m:r>
                </m:e>
              </m:mr>
              <m:mr>
                <m:e>
                  <m:r>
                    <w:rPr>
                      <w:rFonts w:ascii="Cambria Math" w:hAnsi="Cambria Math" w:cstheme="minorHAnsi"/>
                      <w:noProof/>
                    </w:rPr>
                    <m:t>-1</m:t>
                  </m:r>
                </m:e>
                <m:e>
                  <m:r>
                    <w:rPr>
                      <w:rFonts w:ascii="Cambria Math" w:hAnsi="Cambria Math" w:cstheme="minorHAnsi"/>
                      <w:noProof/>
                    </w:rPr>
                    <m:t>0</m:t>
                  </m:r>
                </m:e>
                <m:e>
                  <m:r>
                    <w:rPr>
                      <w:rFonts w:ascii="Cambria Math" w:hAnsi="Cambria Math" w:cstheme="minorHAnsi"/>
                      <w:noProof/>
                    </w:rPr>
                    <m:t>0</m:t>
                  </m:r>
                </m:e>
              </m:mr>
            </m:m>
          </m:e>
        </m:d>
      </m:oMath>
      <w:r w:rsidR="00B145BE" w:rsidRPr="006E5260">
        <w:rPr>
          <w:rFonts w:cstheme="minorHAnsi"/>
          <w:noProof/>
        </w:rPr>
        <w:t xml:space="preserve">    </w:t>
      </w:r>
      <w:r w:rsidR="00B145BE">
        <w:rPr>
          <w:rFonts w:cstheme="minorHAnsi"/>
          <w:noProof/>
        </w:rPr>
        <w:t xml:space="preserve">                          </w:t>
      </w:r>
      <w:r w:rsidR="00B145BE" w:rsidRPr="006E5260">
        <w:rPr>
          <w:rFonts w:cstheme="minorHAnsi"/>
          <w:noProof/>
        </w:rPr>
        <w:t xml:space="preserve">      (9)                             </w:t>
      </w:r>
    </w:p>
    <w:p w14:paraId="3CCDB595" w14:textId="77777777" w:rsidR="00B145BE" w:rsidRPr="006E5260" w:rsidRDefault="00077961" w:rsidP="00B145BE">
      <w:pPr>
        <w:spacing w:afterLines="60" w:after="144" w:line="360" w:lineRule="auto"/>
        <w:jc w:val="both"/>
        <w:rPr>
          <w:rFonts w:cstheme="minorHAnsi"/>
          <w:noProof/>
        </w:rPr>
      </w:pPr>
      <m:oMath>
        <m:sSup>
          <m:sSupPr>
            <m:ctrlPr>
              <w:rPr>
                <w:rFonts w:ascii="Cambria Math" w:hAnsi="Cambria Math" w:cstheme="minorHAnsi"/>
                <w:i/>
                <w:noProof/>
              </w:rPr>
            </m:ctrlPr>
          </m:sSupPr>
          <m:e>
            <m:r>
              <w:rPr>
                <w:rFonts w:ascii="Cambria Math" w:hAnsi="Cambria Math" w:cstheme="minorHAnsi"/>
                <w:noProof/>
              </w:rPr>
              <m:t>ε</m:t>
            </m:r>
          </m:e>
          <m:sup>
            <m:r>
              <w:rPr>
                <w:rFonts w:ascii="Cambria Math" w:hAnsi="Cambria Math" w:cstheme="minorHAnsi"/>
                <w:noProof/>
              </w:rPr>
              <m:t>(i)</m:t>
            </m:r>
          </m:sup>
        </m:sSup>
      </m:oMath>
      <w:r w:rsidR="00B145BE" w:rsidRPr="006E5260">
        <w:rPr>
          <w:rFonts w:cstheme="minorHAnsi"/>
          <w:noProof/>
        </w:rPr>
        <w:t xml:space="preserve"> repre</w:t>
      </w:r>
      <w:r w:rsidR="00B145BE">
        <w:rPr>
          <w:rFonts w:cstheme="minorHAnsi"/>
          <w:noProof/>
        </w:rPr>
        <w:t>se</w:t>
      </w:r>
      <w:r w:rsidR="00B145BE" w:rsidRPr="006E5260">
        <w:rPr>
          <w:rFonts w:cstheme="minorHAnsi"/>
          <w:noProof/>
        </w:rPr>
        <w:t xml:space="preserve">nts </w:t>
      </w:r>
      <w:r w:rsidR="00B145BE">
        <w:rPr>
          <w:rFonts w:cstheme="minorHAnsi"/>
          <w:noProof/>
        </w:rPr>
        <w:t xml:space="preserve">the deformation matrix of </w:t>
      </w:r>
      <w:r w:rsidR="00B145BE" w:rsidRPr="006E5260">
        <w:rPr>
          <w:rFonts w:cstheme="minorHAnsi"/>
          <w:noProof/>
        </w:rPr>
        <w:t xml:space="preserve">the </w:t>
      </w:r>
      <w:r w:rsidR="00B145BE" w:rsidRPr="006E5260">
        <w:rPr>
          <w:rFonts w:cstheme="minorHAnsi"/>
          <w:b/>
          <w:i/>
          <w:noProof/>
        </w:rPr>
        <w:t xml:space="preserve">i </w:t>
      </w:r>
      <w:r w:rsidR="00B145BE" w:rsidRPr="006E5260">
        <w:rPr>
          <w:rFonts w:cstheme="minorHAnsi"/>
          <w:noProof/>
        </w:rPr>
        <w:t>th variant’s with respect to the standard coordinate of</w:t>
      </w:r>
      <w:r w:rsidR="00B145BE">
        <w:rPr>
          <w:rFonts w:cstheme="minorHAnsi"/>
          <w:noProof/>
        </w:rPr>
        <w:t xml:space="preserve"> the</w:t>
      </w:r>
      <w:r w:rsidR="00B145BE" w:rsidRPr="006E5260">
        <w:rPr>
          <w:rFonts w:cstheme="minorHAnsi"/>
          <w:noProof/>
        </w:rPr>
        <w:t xml:space="preserve"> β matrix. While T</w:t>
      </w:r>
      <w:r w:rsidR="00B145BE" w:rsidRPr="006E5260">
        <w:rPr>
          <w:rFonts w:cstheme="minorHAnsi"/>
          <w:noProof/>
          <w:vertAlign w:val="superscript"/>
        </w:rPr>
        <w:t>(</w:t>
      </w:r>
      <w:r w:rsidR="00B145BE" w:rsidRPr="006E5260">
        <w:rPr>
          <w:rFonts w:cstheme="minorHAnsi"/>
          <w:i/>
          <w:noProof/>
          <w:vertAlign w:val="superscript"/>
        </w:rPr>
        <w:t>i</w:t>
      </w:r>
      <w:r w:rsidR="00B145BE" w:rsidRPr="006E5260">
        <w:rPr>
          <w:rFonts w:cstheme="minorHAnsi"/>
          <w:noProof/>
          <w:vertAlign w:val="superscript"/>
        </w:rPr>
        <w:t>)</w:t>
      </w:r>
      <w:r w:rsidR="00B145BE" w:rsidRPr="006E5260">
        <w:rPr>
          <w:rFonts w:cstheme="minorHAnsi"/>
          <w:noProof/>
        </w:rPr>
        <w:t xml:space="preserve"> is the concise representation of the</w:t>
      </w:r>
      <w:r w:rsidR="00B145BE">
        <w:rPr>
          <w:rFonts w:cstheme="minorHAnsi"/>
          <w:noProof/>
        </w:rPr>
        <w:t xml:space="preserve"> corresponding </w:t>
      </w:r>
      <w:r w:rsidR="00B145BE" w:rsidRPr="006E5260">
        <w:rPr>
          <w:rFonts w:cstheme="minorHAnsi"/>
          <w:noProof/>
        </w:rPr>
        <w:t xml:space="preserve">lattice axis direction for the </w:t>
      </w:r>
      <w:r w:rsidR="00B145BE">
        <w:rPr>
          <w:rFonts w:cstheme="minorHAnsi"/>
          <w:noProof/>
        </w:rPr>
        <w:br/>
      </w:r>
      <w:r w:rsidR="00B145BE" w:rsidRPr="006E5260">
        <w:rPr>
          <w:rFonts w:cstheme="minorHAnsi"/>
          <w:b/>
          <w:i/>
          <w:noProof/>
        </w:rPr>
        <w:t xml:space="preserve">i </w:t>
      </w:r>
      <w:r w:rsidR="00B145BE" w:rsidRPr="006E5260">
        <w:rPr>
          <w:rFonts w:cstheme="minorHAnsi"/>
          <w:noProof/>
        </w:rPr>
        <w:t xml:space="preserve">th martenstic variant in </w:t>
      </w:r>
      <w:r w:rsidR="00B145BE">
        <w:rPr>
          <w:rFonts w:cstheme="minorHAnsi"/>
          <w:noProof/>
        </w:rPr>
        <w:t xml:space="preserve">the </w:t>
      </w:r>
      <w:r w:rsidR="00B145BE" w:rsidRPr="006E5260">
        <w:rPr>
          <w:rFonts w:cstheme="minorHAnsi"/>
          <w:noProof/>
        </w:rPr>
        <w:t xml:space="preserve">β matrix. </w:t>
      </w:r>
      <w:r w:rsidR="00B145BE">
        <w:rPr>
          <w:rFonts w:cstheme="minorHAnsi"/>
          <w:noProof/>
        </w:rPr>
        <w:t>The</w:t>
      </w:r>
      <w:r w:rsidR="00B145BE" w:rsidRPr="006E5260">
        <w:rPr>
          <w:rFonts w:cstheme="minorHAnsi"/>
          <w:noProof/>
        </w:rPr>
        <w:t xml:space="preserve"> </w:t>
      </w:r>
      <w:r w:rsidR="00B145BE" w:rsidRPr="006E5260">
        <w:rPr>
          <w:rFonts w:cstheme="minorHAnsi"/>
          <w:i/>
          <w:noProof/>
        </w:rPr>
        <w:t>n</w:t>
      </w:r>
      <w:r w:rsidR="00B145BE" w:rsidRPr="006E5260">
        <w:rPr>
          <w:rFonts w:cstheme="minorHAnsi"/>
          <w:noProof/>
        </w:rPr>
        <w:t>th (</w:t>
      </w:r>
      <w:r w:rsidR="00B145BE" w:rsidRPr="006E5260">
        <w:rPr>
          <w:rFonts w:cstheme="minorHAnsi"/>
          <w:i/>
          <w:noProof/>
        </w:rPr>
        <w:t>n</w:t>
      </w:r>
      <w:r w:rsidR="00B145BE" w:rsidRPr="006E5260">
        <w:rPr>
          <w:rFonts w:cstheme="minorHAnsi"/>
          <w:noProof/>
        </w:rPr>
        <w:t xml:space="preserve">=1,2,3) column of </w:t>
      </w:r>
      <m:oMath>
        <m:sSup>
          <m:sSupPr>
            <m:ctrlPr>
              <w:rPr>
                <w:rFonts w:ascii="Cambria Math" w:hAnsi="Cambria Math" w:cstheme="minorHAnsi"/>
                <w:i/>
                <w:noProof/>
              </w:rPr>
            </m:ctrlPr>
          </m:sSupPr>
          <m:e>
            <m:r>
              <w:rPr>
                <w:rFonts w:ascii="Cambria Math" w:hAnsi="Cambria Math" w:cstheme="minorHAnsi"/>
                <w:noProof/>
              </w:rPr>
              <m:t>T</m:t>
            </m:r>
          </m:e>
          <m:sup>
            <m:r>
              <w:rPr>
                <w:rFonts w:ascii="Cambria Math" w:hAnsi="Cambria Math" w:cstheme="minorHAnsi"/>
                <w:noProof/>
              </w:rPr>
              <m:t>(i)</m:t>
            </m:r>
          </m:sup>
        </m:sSup>
      </m:oMath>
      <w:r w:rsidR="00B145BE" w:rsidRPr="006E5260">
        <w:rPr>
          <w:rFonts w:cstheme="minorHAnsi"/>
          <w:noProof/>
        </w:rPr>
        <w:t xml:space="preserve"> represents the correspondance </w:t>
      </w:r>
      <w:r w:rsidR="00B145BE" w:rsidRPr="006E5260">
        <w:rPr>
          <w:rFonts w:cstheme="minorHAnsi"/>
          <w:noProof/>
        </w:rPr>
        <w:lastRenderedPageBreak/>
        <w:t>axis direction in</w:t>
      </w:r>
      <w:r w:rsidR="00B145BE">
        <w:rPr>
          <w:rFonts w:cstheme="minorHAnsi"/>
          <w:noProof/>
        </w:rPr>
        <w:t xml:space="preserve"> the</w:t>
      </w:r>
      <w:r w:rsidR="00B145BE" w:rsidRPr="006E5260">
        <w:rPr>
          <w:rFonts w:cstheme="minorHAnsi"/>
          <w:noProof/>
        </w:rPr>
        <w:t xml:space="preserve"> orthohombic lattice through cubic coordinate. The twin relationship among SA martensite variants has been explored by Liang </w:t>
      </w:r>
      <w:r w:rsidR="00B145BE" w:rsidRPr="006E5260">
        <w:rPr>
          <w:rFonts w:cstheme="minorHAnsi"/>
          <w:noProof/>
        </w:rPr>
        <w:fldChar w:fldCharType="begin" w:fldLock="1"/>
      </w:r>
      <w:r w:rsidR="00B145BE">
        <w:rPr>
          <w:rFonts w:cstheme="minorHAnsi"/>
          <w:noProof/>
        </w:rPr>
        <w:instrText>ADDIN CSL_CITATION {"citationItems":[{"id":"ITEM-1","itemData":{"DOI":"10.1016/S1359-6462(00)00465-6","ISSN":"13596462","abstract":"A study was carried out to complete the analysis of the deformation of a group B combined variant (f=0.3012). By taking into account the average transformation strains of groups A and B, it was found that group B cannot be ignored, when the preferential formation of a particular variant is examined under stress.","author":[{"dropping-particle":"","family":"Liang","given":"Yuanchang","non-dropping-particle":"","parse-names":false,"suffix":""},{"dropping-particle":"","family":"Kato","given":"Hiroyuki","non-dropping-particle":"","parse-names":false,"suffix":""},{"dropping-particle":"","family":"Taya","given":"Minoru","non-dropping-particle":"","parse-names":false,"suffix":""},{"dropping-particle":"","family":"Mori","given":"T.","non-dropping-particle":"","parse-names":false,"suffix":""}],"container-title":"Scripta Materialia","id":"ITEM-1","issued":{"date-parts":[["2000"]]},"title":"Infinitesimal approach to the crystallography of martensitic transformation: application to Ni-Ti","type":"article-journal"},"uris":["http://www.mendeley.com/documents/?uuid=2f7d6ac6-37d0-436a-aa83-63c26c3f4e6f"]}],"mendeley":{"formattedCitation":"[21]","plainTextFormattedCitation":"[21]","previouslyFormattedCitation":"[23]"},"properties":{"noteIndex":0},"schema":"https://github.com/citation-style-language/schema/raw/master/csl-citation.json"}</w:instrText>
      </w:r>
      <w:r w:rsidR="00B145BE" w:rsidRPr="006E5260">
        <w:rPr>
          <w:rFonts w:cstheme="minorHAnsi"/>
          <w:noProof/>
        </w:rPr>
        <w:fldChar w:fldCharType="separate"/>
      </w:r>
      <w:r w:rsidR="00B145BE" w:rsidRPr="008F7036">
        <w:rPr>
          <w:rFonts w:cstheme="minorHAnsi"/>
          <w:noProof/>
        </w:rPr>
        <w:t>[21]</w:t>
      </w:r>
      <w:r w:rsidR="00B145BE" w:rsidRPr="006E5260">
        <w:rPr>
          <w:rFonts w:cstheme="minorHAnsi"/>
          <w:noProof/>
        </w:rPr>
        <w:fldChar w:fldCharType="end"/>
      </w:r>
      <w:r w:rsidR="00B145BE">
        <w:rPr>
          <w:rFonts w:cstheme="minorHAnsi"/>
          <w:noProof/>
        </w:rPr>
        <w:t xml:space="preserve"> </w:t>
      </w:r>
      <w:r w:rsidR="00B145BE" w:rsidRPr="006E5260">
        <w:rPr>
          <w:rFonts w:cstheme="minorHAnsi"/>
          <w:noProof/>
        </w:rPr>
        <w:t>for a cubic-monoclinic transformation</w:t>
      </w:r>
      <w:r w:rsidR="00B145BE">
        <w:rPr>
          <w:rFonts w:cstheme="minorHAnsi"/>
          <w:noProof/>
        </w:rPr>
        <w:t>,</w:t>
      </w:r>
      <w:r w:rsidR="00B145BE" w:rsidRPr="006E5260">
        <w:rPr>
          <w:rFonts w:cstheme="minorHAnsi"/>
        </w:rPr>
        <w:t xml:space="preserve"> </w:t>
      </w:r>
      <w:r w:rsidR="00B145BE" w:rsidRPr="006E5260">
        <w:rPr>
          <w:rFonts w:cstheme="minorHAnsi"/>
          <w:noProof/>
        </w:rPr>
        <w:t xml:space="preserve">by calculating the compensation of the orthorhombic α″ martensite transformation induced local strain through </w:t>
      </w:r>
      <w:r w:rsidR="00B145BE">
        <w:rPr>
          <w:rFonts w:cstheme="minorHAnsi"/>
          <w:noProof/>
        </w:rPr>
        <w:t xml:space="preserve">the </w:t>
      </w:r>
      <w:r w:rsidR="00B145BE" w:rsidRPr="006E5260">
        <w:rPr>
          <w:rFonts w:cstheme="minorHAnsi"/>
          <w:noProof/>
        </w:rPr>
        <w:t>generat</w:t>
      </w:r>
      <w:r w:rsidR="00B145BE">
        <w:rPr>
          <w:rFonts w:cstheme="minorHAnsi"/>
          <w:noProof/>
        </w:rPr>
        <w:t>ion of</w:t>
      </w:r>
      <w:r w:rsidR="00B145BE" w:rsidRPr="006E5260">
        <w:rPr>
          <w:rFonts w:cstheme="minorHAnsi"/>
          <w:noProof/>
        </w:rPr>
        <w:t xml:space="preserve"> different self-accommodation twined martensite along lattice invariant plane. Similarly, for </w:t>
      </w:r>
      <w:r w:rsidR="00B145BE">
        <w:rPr>
          <w:rFonts w:cstheme="minorHAnsi"/>
          <w:noProof/>
        </w:rPr>
        <w:t xml:space="preserve">the </w:t>
      </w:r>
      <w:r w:rsidR="00B145BE" w:rsidRPr="006E5260">
        <w:rPr>
          <w:rFonts w:cstheme="minorHAnsi"/>
          <w:noProof/>
        </w:rPr>
        <w:t>current orthorhomobic structure, the dist</w:t>
      </w:r>
      <w:r w:rsidR="00B145BE">
        <w:rPr>
          <w:rFonts w:cstheme="minorHAnsi"/>
          <w:noProof/>
        </w:rPr>
        <w:t>or</w:t>
      </w:r>
      <w:r w:rsidR="00B145BE" w:rsidRPr="006E5260">
        <w:rPr>
          <w:rFonts w:cstheme="minorHAnsi"/>
          <w:noProof/>
        </w:rPr>
        <w:t>tion of an invariant plane strain</w:t>
      </w:r>
      <w:r w:rsidR="00B145BE">
        <w:rPr>
          <w:rFonts w:cstheme="minorHAnsi"/>
          <w:noProof/>
        </w:rPr>
        <w:t xml:space="preserve"> </w:t>
      </w:r>
      <w:r w:rsidR="00B145BE" w:rsidRPr="006E5260">
        <w:rPr>
          <w:rFonts w:cstheme="minorHAnsi"/>
          <w:noProof/>
        </w:rPr>
        <w:t xml:space="preserve">(IPS) </w:t>
      </w:r>
      <m:oMath>
        <m:r>
          <m:rPr>
            <m:sty m:val="bi"/>
          </m:rPr>
          <w:rPr>
            <w:rFonts w:ascii="Cambria Math" w:hAnsi="Cambria Math" w:cstheme="minorHAnsi"/>
            <w:noProof/>
          </w:rPr>
          <m:t>γ</m:t>
        </m:r>
      </m:oMath>
      <w:r w:rsidR="00B145BE" w:rsidRPr="006E5260">
        <w:rPr>
          <w:rFonts w:cstheme="minorHAnsi"/>
          <w:noProof/>
        </w:rPr>
        <w:t xml:space="preserve"> was represented via the cross product of the invariant plane </w:t>
      </w:r>
      <m:oMath>
        <m:r>
          <m:rPr>
            <m:sty m:val="bi"/>
          </m:rPr>
          <w:rPr>
            <w:rFonts w:ascii="Cambria Math" w:hAnsi="Cambria Math" w:cstheme="minorHAnsi"/>
            <w:noProof/>
          </w:rPr>
          <m:t>n</m:t>
        </m:r>
      </m:oMath>
      <w:r w:rsidR="00B145BE" w:rsidRPr="006E5260">
        <w:rPr>
          <w:rFonts w:cstheme="minorHAnsi"/>
          <w:b/>
          <w:noProof/>
        </w:rPr>
        <w:t xml:space="preserve"> </w:t>
      </w:r>
      <w:r w:rsidR="00B145BE" w:rsidRPr="006E5260">
        <w:rPr>
          <w:rFonts w:cstheme="minorHAnsi"/>
          <w:noProof/>
        </w:rPr>
        <w:t xml:space="preserve">and displacement </w:t>
      </w:r>
      <w:r w:rsidR="00B145BE" w:rsidRPr="006E5260">
        <w:rPr>
          <w:rFonts w:cstheme="minorHAnsi"/>
          <w:b/>
          <w:i/>
          <w:noProof/>
        </w:rPr>
        <w:t>b</w:t>
      </w:r>
      <w:r w:rsidR="00B145BE" w:rsidRPr="006E5260">
        <w:rPr>
          <w:rFonts w:cstheme="minorHAnsi"/>
          <w:b/>
          <w:noProof/>
        </w:rPr>
        <w:t xml:space="preserve"> </w:t>
      </w:r>
      <w:r w:rsidR="00B145BE" w:rsidRPr="006E5260">
        <w:rPr>
          <w:rFonts w:cstheme="minorHAnsi"/>
          <w:noProof/>
        </w:rPr>
        <w:t xml:space="preserve">vector as: </w:t>
      </w:r>
    </w:p>
    <w:p w14:paraId="3ABBD7D1" w14:textId="77777777" w:rsidR="00B145BE" w:rsidRPr="006E5260" w:rsidRDefault="00077961" w:rsidP="00B145BE">
      <w:pPr>
        <w:spacing w:afterLines="60" w:after="144" w:line="360" w:lineRule="auto"/>
        <w:jc w:val="right"/>
        <w:rPr>
          <w:rFonts w:cstheme="minorHAnsi"/>
          <w:noProof/>
        </w:rPr>
      </w:pPr>
      <m:oMath>
        <m:sSub>
          <m:sSubPr>
            <m:ctrlPr>
              <w:rPr>
                <w:rFonts w:ascii="Cambria Math" w:hAnsi="Cambria Math" w:cstheme="minorHAnsi"/>
                <w:i/>
                <w:noProof/>
              </w:rPr>
            </m:ctrlPr>
          </m:sSubPr>
          <m:e>
            <m:r>
              <m:rPr>
                <m:sty m:val="bi"/>
              </m:rPr>
              <w:rPr>
                <w:rFonts w:ascii="Cambria Math" w:hAnsi="Cambria Math" w:cstheme="minorHAnsi"/>
                <w:noProof/>
              </w:rPr>
              <m:t>γ</m:t>
            </m:r>
          </m:e>
          <m:sub>
            <m:r>
              <w:rPr>
                <w:rFonts w:ascii="Cambria Math" w:hAnsi="Cambria Math" w:cstheme="minorHAnsi"/>
                <w:noProof/>
              </w:rPr>
              <m:t>ij</m:t>
            </m:r>
          </m:sub>
        </m:sSub>
        <m:r>
          <w:rPr>
            <w:rFonts w:ascii="Cambria Math" w:hAnsi="Cambria Math" w:cstheme="minorHAnsi"/>
            <w:noProof/>
          </w:rPr>
          <m:t>=</m:t>
        </m:r>
        <m:sSub>
          <m:sSubPr>
            <m:ctrlPr>
              <w:rPr>
                <w:rFonts w:ascii="Cambria Math" w:hAnsi="Cambria Math" w:cstheme="minorHAnsi"/>
                <w:i/>
                <w:noProof/>
              </w:rPr>
            </m:ctrlPr>
          </m:sSubPr>
          <m:e>
            <m:r>
              <m:rPr>
                <m:sty m:val="bi"/>
              </m:rPr>
              <w:rPr>
                <w:rFonts w:ascii="Cambria Math" w:hAnsi="Cambria Math" w:cstheme="minorHAnsi"/>
                <w:noProof/>
              </w:rPr>
              <m:t>b</m:t>
            </m:r>
          </m:e>
          <m:sub>
            <m:r>
              <w:rPr>
                <w:rFonts w:ascii="Cambria Math" w:hAnsi="Cambria Math" w:cstheme="minorHAnsi"/>
                <w:noProof/>
              </w:rPr>
              <m:t>i</m:t>
            </m:r>
          </m:sub>
        </m:sSub>
        <m:sSub>
          <m:sSubPr>
            <m:ctrlPr>
              <w:rPr>
                <w:rFonts w:ascii="Cambria Math" w:hAnsi="Cambria Math" w:cstheme="minorHAnsi"/>
                <w:i/>
                <w:noProof/>
              </w:rPr>
            </m:ctrlPr>
          </m:sSubPr>
          <m:e>
            <m:r>
              <m:rPr>
                <m:sty m:val="bi"/>
              </m:rPr>
              <w:rPr>
                <w:rFonts w:ascii="Cambria Math" w:hAnsi="Cambria Math" w:cstheme="minorHAnsi"/>
                <w:noProof/>
              </w:rPr>
              <m:t>n</m:t>
            </m:r>
          </m:e>
          <m:sub>
            <m:r>
              <w:rPr>
                <w:rFonts w:ascii="Cambria Math" w:hAnsi="Cambria Math" w:cstheme="minorHAnsi"/>
                <w:noProof/>
              </w:rPr>
              <m:t>j</m:t>
            </m:r>
          </m:sub>
        </m:sSub>
      </m:oMath>
      <w:r w:rsidR="00B145BE" w:rsidRPr="006E5260">
        <w:rPr>
          <w:rFonts w:cstheme="minorHAnsi"/>
          <w:noProof/>
        </w:rPr>
        <w:t xml:space="preserve">              </w:t>
      </w:r>
      <w:r w:rsidR="00B145BE">
        <w:rPr>
          <w:rFonts w:cstheme="minorHAnsi"/>
          <w:noProof/>
        </w:rPr>
        <w:t xml:space="preserve">                                              </w:t>
      </w:r>
      <w:r w:rsidR="00B145BE" w:rsidRPr="006E5260">
        <w:rPr>
          <w:rFonts w:cstheme="minorHAnsi"/>
          <w:noProof/>
        </w:rPr>
        <w:t xml:space="preserve">               (10)                                                                      </w:t>
      </w:r>
    </w:p>
    <w:p w14:paraId="535339BA" w14:textId="77777777" w:rsidR="00B145BE" w:rsidRPr="006E5260" w:rsidRDefault="00B145BE" w:rsidP="00B145BE">
      <w:pPr>
        <w:spacing w:afterLines="60" w:after="144" w:line="360" w:lineRule="auto"/>
        <w:ind w:right="110"/>
        <w:rPr>
          <w:rFonts w:cstheme="minorHAnsi"/>
          <w:noProof/>
        </w:rPr>
      </w:pPr>
      <w:r>
        <w:rPr>
          <w:rFonts w:cstheme="minorHAnsi"/>
          <w:noProof/>
        </w:rPr>
        <w:t>Then,</w:t>
      </w:r>
      <w:r w:rsidRPr="006E5260">
        <w:rPr>
          <w:rFonts w:cstheme="minorHAnsi"/>
          <w:noProof/>
        </w:rPr>
        <w:t xml:space="preserve"> considering</w:t>
      </w:r>
      <w:r>
        <w:rPr>
          <w:rFonts w:cstheme="minorHAnsi"/>
          <w:noProof/>
        </w:rPr>
        <w:t xml:space="preserve"> the</w:t>
      </w:r>
      <w:r w:rsidRPr="006E5260">
        <w:rPr>
          <w:rFonts w:cstheme="minorHAnsi"/>
          <w:noProof/>
        </w:rPr>
        <w:t xml:space="preserve"> symmetric part of the distortion, </w:t>
      </w:r>
      <m:oMath>
        <m:sSubSup>
          <m:sSubSupPr>
            <m:ctrlPr>
              <w:rPr>
                <w:rFonts w:ascii="Cambria Math" w:hAnsi="Cambria Math" w:cstheme="minorHAnsi"/>
                <w:i/>
                <w:noProof/>
              </w:rPr>
            </m:ctrlPr>
          </m:sSubSupPr>
          <m:e>
            <m:r>
              <w:rPr>
                <w:rFonts w:ascii="Cambria Math" w:hAnsi="Cambria Math" w:cstheme="minorHAnsi"/>
                <w:noProof/>
              </w:rPr>
              <m:t>ε</m:t>
            </m:r>
          </m:e>
          <m:sub>
            <m:r>
              <w:rPr>
                <w:rFonts w:ascii="Cambria Math" w:hAnsi="Cambria Math" w:cstheme="minorHAnsi"/>
                <w:noProof/>
              </w:rPr>
              <m:t>ij</m:t>
            </m:r>
          </m:sub>
          <m:sup>
            <m:r>
              <w:rPr>
                <w:rFonts w:ascii="Cambria Math" w:hAnsi="Cambria Math" w:cstheme="minorHAnsi"/>
                <w:noProof/>
              </w:rPr>
              <m:t>(twin)</m:t>
            </m:r>
          </m:sup>
        </m:sSubSup>
      </m:oMath>
      <w:r w:rsidRPr="006E5260">
        <w:rPr>
          <w:rFonts w:cstheme="minorHAnsi"/>
          <w:noProof/>
        </w:rPr>
        <w:t>as:</w:t>
      </w:r>
    </w:p>
    <w:p w14:paraId="3ADA7561" w14:textId="77777777" w:rsidR="00B145BE" w:rsidRPr="006E5260" w:rsidRDefault="00077961" w:rsidP="00B145BE">
      <w:pPr>
        <w:spacing w:afterLines="60" w:after="144" w:line="360" w:lineRule="auto"/>
        <w:jc w:val="right"/>
        <w:rPr>
          <w:rFonts w:cstheme="minorHAnsi"/>
          <w:i/>
          <w:noProof/>
        </w:rPr>
      </w:pPr>
      <m:oMath>
        <m:sSubSup>
          <m:sSubSupPr>
            <m:ctrlPr>
              <w:rPr>
                <w:rFonts w:ascii="Cambria Math" w:hAnsi="Cambria Math" w:cstheme="minorHAnsi"/>
                <w:i/>
                <w:noProof/>
              </w:rPr>
            </m:ctrlPr>
          </m:sSubSupPr>
          <m:e>
            <m:r>
              <w:rPr>
                <w:rFonts w:ascii="Cambria Math" w:hAnsi="Cambria Math" w:cstheme="minorHAnsi"/>
                <w:noProof/>
              </w:rPr>
              <m:t>ε</m:t>
            </m:r>
          </m:e>
          <m:sub>
            <m:r>
              <w:rPr>
                <w:rFonts w:ascii="Cambria Math" w:hAnsi="Cambria Math" w:cstheme="minorHAnsi"/>
                <w:noProof/>
              </w:rPr>
              <m:t>ij</m:t>
            </m:r>
          </m:sub>
          <m:sup>
            <m:r>
              <w:rPr>
                <w:rFonts w:ascii="Cambria Math" w:hAnsi="Cambria Math" w:cstheme="minorHAnsi"/>
                <w:noProof/>
              </w:rPr>
              <m:t>(twin)</m:t>
            </m:r>
          </m:sup>
        </m:sSubSup>
        <m:r>
          <w:rPr>
            <w:rFonts w:ascii="Cambria Math" w:hAnsi="Cambria Math" w:cstheme="minorHAnsi"/>
            <w:noProof/>
          </w:rPr>
          <m:t>=</m:t>
        </m:r>
        <m:f>
          <m:fPr>
            <m:ctrlPr>
              <w:rPr>
                <w:rFonts w:ascii="Cambria Math" w:hAnsi="Cambria Math" w:cstheme="minorHAnsi"/>
                <w:noProof/>
              </w:rPr>
            </m:ctrlPr>
          </m:fPr>
          <m:num>
            <m:r>
              <m:rPr>
                <m:sty m:val="p"/>
              </m:rPr>
              <w:rPr>
                <w:rFonts w:ascii="Cambria Math" w:hAnsi="Cambria Math" w:cstheme="minorHAnsi"/>
                <w:noProof/>
              </w:rPr>
              <m:t>(</m:t>
            </m:r>
            <m:sSub>
              <m:sSubPr>
                <m:ctrlPr>
                  <w:rPr>
                    <w:rFonts w:ascii="Cambria Math" w:hAnsi="Cambria Math" w:cstheme="minorHAnsi"/>
                    <w:noProof/>
                  </w:rPr>
                </m:ctrlPr>
              </m:sSubPr>
              <m:e>
                <m:r>
                  <m:rPr>
                    <m:sty m:val="bi"/>
                  </m:rPr>
                  <w:rPr>
                    <w:rFonts w:ascii="Cambria Math" w:hAnsi="Cambria Math" w:cstheme="minorHAnsi"/>
                    <w:noProof/>
                  </w:rPr>
                  <m:t>b</m:t>
                </m:r>
              </m:e>
              <m:sub>
                <m:r>
                  <w:rPr>
                    <w:rFonts w:ascii="Cambria Math" w:hAnsi="Cambria Math" w:cstheme="minorHAnsi"/>
                    <w:noProof/>
                  </w:rPr>
                  <m:t>i</m:t>
                </m:r>
              </m:sub>
            </m:sSub>
            <m:sSub>
              <m:sSubPr>
                <m:ctrlPr>
                  <w:rPr>
                    <w:rFonts w:ascii="Cambria Math" w:hAnsi="Cambria Math" w:cstheme="minorHAnsi"/>
                    <w:noProof/>
                  </w:rPr>
                </m:ctrlPr>
              </m:sSubPr>
              <m:e>
                <m:r>
                  <m:rPr>
                    <m:sty m:val="bi"/>
                  </m:rPr>
                  <w:rPr>
                    <w:rFonts w:ascii="Cambria Math" w:hAnsi="Cambria Math" w:cstheme="minorHAnsi"/>
                    <w:noProof/>
                  </w:rPr>
                  <m:t>n</m:t>
                </m:r>
              </m:e>
              <m:sub>
                <m:r>
                  <w:rPr>
                    <w:rFonts w:ascii="Cambria Math" w:hAnsi="Cambria Math" w:cstheme="minorHAnsi"/>
                    <w:noProof/>
                  </w:rPr>
                  <m:t>j</m:t>
                </m:r>
              </m:sub>
            </m:sSub>
            <m:r>
              <m:rPr>
                <m:sty m:val="p"/>
              </m:rPr>
              <w:rPr>
                <w:rFonts w:ascii="Cambria Math" w:hAnsi="Cambria Math" w:cstheme="minorHAnsi"/>
                <w:noProof/>
              </w:rPr>
              <m:t>+</m:t>
            </m:r>
            <m:sSub>
              <m:sSubPr>
                <m:ctrlPr>
                  <w:rPr>
                    <w:rFonts w:ascii="Cambria Math" w:hAnsi="Cambria Math" w:cstheme="minorHAnsi"/>
                    <w:noProof/>
                  </w:rPr>
                </m:ctrlPr>
              </m:sSubPr>
              <m:e>
                <m:r>
                  <m:rPr>
                    <m:sty m:val="bi"/>
                  </m:rPr>
                  <w:rPr>
                    <w:rFonts w:ascii="Cambria Math" w:hAnsi="Cambria Math" w:cstheme="minorHAnsi"/>
                    <w:noProof/>
                  </w:rPr>
                  <m:t>b</m:t>
                </m:r>
              </m:e>
              <m:sub>
                <m:r>
                  <w:rPr>
                    <w:rFonts w:ascii="Cambria Math" w:hAnsi="Cambria Math" w:cstheme="minorHAnsi"/>
                    <w:noProof/>
                  </w:rPr>
                  <m:t>j</m:t>
                </m:r>
              </m:sub>
            </m:sSub>
            <m:sSub>
              <m:sSubPr>
                <m:ctrlPr>
                  <w:rPr>
                    <w:rFonts w:ascii="Cambria Math" w:hAnsi="Cambria Math" w:cstheme="minorHAnsi"/>
                    <w:b/>
                    <w:noProof/>
                  </w:rPr>
                </m:ctrlPr>
              </m:sSubPr>
              <m:e>
                <m:r>
                  <m:rPr>
                    <m:sty m:val="bi"/>
                  </m:rPr>
                  <w:rPr>
                    <w:rFonts w:ascii="Cambria Math" w:hAnsi="Cambria Math" w:cstheme="minorHAnsi"/>
                    <w:noProof/>
                  </w:rPr>
                  <m:t>n</m:t>
                </m:r>
              </m:e>
              <m:sub>
                <m:r>
                  <m:rPr>
                    <m:sty m:val="bi"/>
                  </m:rPr>
                  <w:rPr>
                    <w:rFonts w:ascii="Cambria Math" w:hAnsi="Cambria Math" w:cstheme="minorHAnsi"/>
                    <w:noProof/>
                  </w:rPr>
                  <m:t>i</m:t>
                </m:r>
              </m:sub>
            </m:sSub>
            <m:r>
              <m:rPr>
                <m:sty m:val="p"/>
              </m:rPr>
              <w:rPr>
                <w:rFonts w:ascii="Cambria Math" w:hAnsi="Cambria Math" w:cstheme="minorHAnsi"/>
                <w:noProof/>
              </w:rPr>
              <m:t>)</m:t>
            </m:r>
          </m:num>
          <m:den>
            <m:r>
              <m:rPr>
                <m:sty m:val="p"/>
              </m:rPr>
              <w:rPr>
                <w:rFonts w:ascii="Cambria Math" w:hAnsi="Cambria Math" w:cstheme="minorHAnsi"/>
                <w:noProof/>
              </w:rPr>
              <m:t>2</m:t>
            </m:r>
          </m:den>
        </m:f>
      </m:oMath>
      <w:r w:rsidR="00B145BE" w:rsidRPr="006E5260">
        <w:rPr>
          <w:rFonts w:cstheme="minorHAnsi"/>
          <w:noProof/>
        </w:rPr>
        <w:t xml:space="preserve">               </w:t>
      </w:r>
      <w:r w:rsidR="00B145BE">
        <w:rPr>
          <w:rFonts w:cstheme="minorHAnsi"/>
          <w:noProof/>
        </w:rPr>
        <w:t xml:space="preserve">                                      </w:t>
      </w:r>
      <w:r w:rsidR="00B145BE" w:rsidRPr="006E5260">
        <w:rPr>
          <w:rFonts w:cstheme="minorHAnsi"/>
          <w:noProof/>
        </w:rPr>
        <w:t xml:space="preserve">           (11)                                                                </w:t>
      </w:r>
    </w:p>
    <w:p w14:paraId="69D5D7C9" w14:textId="77777777" w:rsidR="00B145BE" w:rsidRPr="006E5260" w:rsidRDefault="00B145BE" w:rsidP="00B145BE">
      <w:pPr>
        <w:spacing w:afterLines="60" w:after="144" w:line="360" w:lineRule="auto"/>
        <w:ind w:right="440"/>
        <w:jc w:val="both"/>
        <w:rPr>
          <w:rFonts w:cstheme="minorHAnsi"/>
          <w:noProof/>
        </w:rPr>
      </w:pPr>
      <w:r w:rsidRPr="006E5260">
        <w:rPr>
          <w:rFonts w:cstheme="minorHAnsi"/>
          <w:noProof/>
        </w:rPr>
        <w:t>The distortion strain between the</w:t>
      </w:r>
      <m:oMath>
        <m:r>
          <m:rPr>
            <m:sty m:val="bi"/>
          </m:rPr>
          <w:rPr>
            <w:rFonts w:ascii="Cambria Math" w:hAnsi="Cambria Math" w:cstheme="minorHAnsi"/>
            <w:noProof/>
          </w:rPr>
          <m:t xml:space="preserve"> </m:t>
        </m:r>
        <m:r>
          <w:rPr>
            <w:rFonts w:ascii="Cambria Math" w:hAnsi="Cambria Math" w:cstheme="minorHAnsi"/>
            <w:noProof/>
          </w:rPr>
          <m:t>n</m:t>
        </m:r>
      </m:oMath>
      <w:r w:rsidRPr="006E5260">
        <w:rPr>
          <w:rFonts w:cstheme="minorHAnsi"/>
          <w:noProof/>
        </w:rPr>
        <w:t>th variant and</w:t>
      </w:r>
      <m:oMath>
        <m:r>
          <w:rPr>
            <w:rFonts w:ascii="Cambria Math" w:hAnsi="Cambria Math" w:cstheme="minorHAnsi"/>
            <w:noProof/>
          </w:rPr>
          <m:t xml:space="preserve"> m</m:t>
        </m:r>
      </m:oMath>
      <w:r w:rsidRPr="006E5260">
        <w:rPr>
          <w:rFonts w:cstheme="minorHAnsi"/>
          <w:noProof/>
        </w:rPr>
        <w:t xml:space="preserve">th variant was represented by the difference between </w:t>
      </w:r>
      <m:oMath>
        <m:sSup>
          <m:sSupPr>
            <m:ctrlPr>
              <w:rPr>
                <w:rFonts w:ascii="Cambria Math" w:hAnsi="Cambria Math" w:cstheme="minorHAnsi"/>
                <w:i/>
                <w:noProof/>
              </w:rPr>
            </m:ctrlPr>
          </m:sSupPr>
          <m:e>
            <m:r>
              <w:rPr>
                <w:rFonts w:ascii="Cambria Math" w:hAnsi="Cambria Math" w:cstheme="minorHAnsi"/>
                <w:noProof/>
              </w:rPr>
              <m:t>ε</m:t>
            </m:r>
          </m:e>
          <m:sup>
            <m:r>
              <w:rPr>
                <w:rFonts w:ascii="Cambria Math" w:hAnsi="Cambria Math" w:cstheme="minorHAnsi"/>
                <w:noProof/>
              </w:rPr>
              <m:t>(n)</m:t>
            </m:r>
          </m:sup>
        </m:sSup>
      </m:oMath>
      <w:r w:rsidRPr="006E5260">
        <w:rPr>
          <w:rFonts w:cstheme="minorHAnsi"/>
          <w:noProof/>
        </w:rPr>
        <w:t xml:space="preserve"> and </w:t>
      </w:r>
      <m:oMath>
        <m:sSup>
          <m:sSupPr>
            <m:ctrlPr>
              <w:rPr>
                <w:rFonts w:ascii="Cambria Math" w:hAnsi="Cambria Math" w:cstheme="minorHAnsi"/>
                <w:i/>
                <w:noProof/>
              </w:rPr>
            </m:ctrlPr>
          </m:sSupPr>
          <m:e>
            <m:r>
              <w:rPr>
                <w:rFonts w:ascii="Cambria Math" w:hAnsi="Cambria Math" w:cstheme="minorHAnsi"/>
                <w:noProof/>
              </w:rPr>
              <m:t>ε</m:t>
            </m:r>
          </m:e>
          <m:sup>
            <m:r>
              <w:rPr>
                <w:rFonts w:ascii="Cambria Math" w:hAnsi="Cambria Math" w:cstheme="minorHAnsi"/>
                <w:noProof/>
              </w:rPr>
              <m:t>(m)</m:t>
            </m:r>
          </m:sup>
        </m:sSup>
      </m:oMath>
      <w:r w:rsidRPr="006E5260">
        <w:rPr>
          <w:rFonts w:cstheme="minorHAnsi"/>
          <w:noProof/>
        </w:rPr>
        <w:t>:</w:t>
      </w:r>
      <m:oMath>
        <m:r>
          <w:rPr>
            <w:rFonts w:ascii="Cambria Math" w:hAnsi="Cambria Math" w:cstheme="minorHAnsi"/>
            <w:noProof/>
          </w:rPr>
          <m:t>∆</m:t>
        </m:r>
        <m:sSup>
          <m:sSupPr>
            <m:ctrlPr>
              <w:rPr>
                <w:rFonts w:ascii="Cambria Math" w:hAnsi="Cambria Math" w:cstheme="minorHAnsi"/>
                <w:i/>
                <w:noProof/>
              </w:rPr>
            </m:ctrlPr>
          </m:sSupPr>
          <m:e>
            <m:r>
              <w:rPr>
                <w:rFonts w:ascii="Cambria Math" w:hAnsi="Cambria Math" w:cstheme="minorHAnsi"/>
                <w:noProof/>
              </w:rPr>
              <m:t>ε</m:t>
            </m:r>
          </m:e>
          <m:sup>
            <m:r>
              <w:rPr>
                <w:rFonts w:ascii="Cambria Math" w:hAnsi="Cambria Math" w:cstheme="minorHAnsi"/>
                <w:noProof/>
              </w:rPr>
              <m:t>(m-n)</m:t>
            </m:r>
          </m:sup>
        </m:sSup>
      </m:oMath>
      <w:r w:rsidRPr="006E5260">
        <w:rPr>
          <w:rFonts w:cstheme="minorHAnsi"/>
          <w:noProof/>
        </w:rPr>
        <w:t xml:space="preserve">. </w:t>
      </w:r>
      <w:r>
        <w:rPr>
          <w:rFonts w:cstheme="minorHAnsi"/>
          <w:noProof/>
        </w:rPr>
        <w:t>By subsitituting</w:t>
      </w:r>
      <w:r w:rsidRPr="006E5260">
        <w:rPr>
          <w:rFonts w:cstheme="minorHAnsi"/>
          <w:noProof/>
        </w:rPr>
        <w:t xml:space="preserve"> the </w:t>
      </w:r>
      <m:oMath>
        <m:sSup>
          <m:sSupPr>
            <m:ctrlPr>
              <w:rPr>
                <w:rFonts w:ascii="Cambria Math" w:hAnsi="Cambria Math" w:cstheme="minorHAnsi"/>
                <w:i/>
                <w:noProof/>
              </w:rPr>
            </m:ctrlPr>
          </m:sSupPr>
          <m:e>
            <m:r>
              <w:rPr>
                <w:rFonts w:ascii="Cambria Math" w:hAnsi="Cambria Math" w:cstheme="minorHAnsi"/>
                <w:noProof/>
              </w:rPr>
              <m:t>ε</m:t>
            </m:r>
          </m:e>
          <m:sup>
            <m:r>
              <w:rPr>
                <w:rFonts w:ascii="Cambria Math" w:hAnsi="Cambria Math" w:cstheme="minorHAnsi"/>
                <w:noProof/>
              </w:rPr>
              <m:t>(m-n)</m:t>
            </m:r>
          </m:sup>
        </m:sSup>
      </m:oMath>
      <w:r w:rsidRPr="006E5260">
        <w:rPr>
          <w:rFonts w:cstheme="minorHAnsi"/>
          <w:noProof/>
        </w:rPr>
        <w:t xml:space="preserve"> </w:t>
      </w:r>
      <w:r>
        <w:rPr>
          <w:rFonts w:cstheme="minorHAnsi"/>
          <w:noProof/>
        </w:rPr>
        <w:t>through</w:t>
      </w:r>
      <w:r w:rsidRPr="006E5260">
        <w:rPr>
          <w:rFonts w:cstheme="minorHAnsi"/>
          <w:noProof/>
        </w:rPr>
        <w:t xml:space="preserve"> twinning deformation </w:t>
      </w:r>
      <w:r>
        <w:rPr>
          <w:rFonts w:cstheme="minorHAnsi"/>
          <w:noProof/>
        </w:rPr>
        <w:t>along</w:t>
      </w:r>
      <w:r w:rsidRPr="006E5260">
        <w:rPr>
          <w:rFonts w:cstheme="minorHAnsi"/>
          <w:noProof/>
        </w:rPr>
        <w:t xml:space="preserve"> twining plane </w:t>
      </w:r>
      <m:oMath>
        <m:r>
          <m:rPr>
            <m:sty m:val="bi"/>
          </m:rPr>
          <w:rPr>
            <w:rFonts w:ascii="Cambria Math" w:hAnsi="Cambria Math" w:cstheme="minorHAnsi"/>
            <w:noProof/>
          </w:rPr>
          <m:t>n</m:t>
        </m:r>
      </m:oMath>
      <w:r w:rsidRPr="006E5260">
        <w:rPr>
          <w:rFonts w:cstheme="minorHAnsi"/>
          <w:noProof/>
        </w:rPr>
        <w:t xml:space="preserve"> and twinning direction </w:t>
      </w:r>
      <m:oMath>
        <m:r>
          <m:rPr>
            <m:sty m:val="bi"/>
          </m:rPr>
          <w:rPr>
            <w:rFonts w:ascii="Cambria Math" w:hAnsi="Cambria Math" w:cstheme="minorHAnsi"/>
            <w:noProof/>
          </w:rPr>
          <m:t>b</m:t>
        </m:r>
      </m:oMath>
      <w:r w:rsidRPr="006E5260">
        <w:rPr>
          <w:rFonts w:cstheme="minorHAnsi"/>
          <w:noProof/>
        </w:rPr>
        <w:t>, the twinning elements for the possible SA twin modes can be derived. First, the trasnformation strain between 1</w:t>
      </w:r>
      <w:r w:rsidRPr="006E5260">
        <w:rPr>
          <w:rFonts w:cstheme="minorHAnsi"/>
          <w:noProof/>
          <w:vertAlign w:val="superscript"/>
        </w:rPr>
        <w:t>st</w:t>
      </w:r>
      <w:r w:rsidRPr="006E5260">
        <w:rPr>
          <w:rFonts w:cstheme="minorHAnsi"/>
          <w:noProof/>
        </w:rPr>
        <w:t xml:space="preserve"> and 2</w:t>
      </w:r>
      <w:r w:rsidRPr="006E5260">
        <w:rPr>
          <w:rFonts w:cstheme="minorHAnsi"/>
          <w:noProof/>
          <w:vertAlign w:val="superscript"/>
        </w:rPr>
        <w:t>ed</w:t>
      </w:r>
      <w:r w:rsidRPr="006E5260">
        <w:rPr>
          <w:rFonts w:cstheme="minorHAnsi"/>
          <w:noProof/>
        </w:rPr>
        <w:t xml:space="preserve"> SA martensite variants , </w:t>
      </w:r>
      <m:oMath>
        <m:r>
          <w:rPr>
            <w:rFonts w:ascii="Cambria Math" w:hAnsi="Cambria Math" w:cstheme="minorHAnsi"/>
            <w:noProof/>
          </w:rPr>
          <m:t>∆</m:t>
        </m:r>
        <m:sSup>
          <m:sSupPr>
            <m:ctrlPr>
              <w:rPr>
                <w:rFonts w:ascii="Cambria Math" w:hAnsi="Cambria Math" w:cstheme="minorHAnsi"/>
                <w:i/>
                <w:noProof/>
              </w:rPr>
            </m:ctrlPr>
          </m:sSupPr>
          <m:e>
            <m:r>
              <w:rPr>
                <w:rFonts w:ascii="Cambria Math" w:hAnsi="Cambria Math" w:cstheme="minorHAnsi"/>
                <w:noProof/>
              </w:rPr>
              <m:t>ε</m:t>
            </m:r>
          </m:e>
          <m:sup>
            <m:r>
              <w:rPr>
                <w:rFonts w:ascii="Cambria Math" w:hAnsi="Cambria Math" w:cstheme="minorHAnsi"/>
                <w:noProof/>
              </w:rPr>
              <m:t>(2-1)</m:t>
            </m:r>
          </m:sup>
        </m:sSup>
      </m:oMath>
      <w:r w:rsidRPr="006E5260">
        <w:rPr>
          <w:rFonts w:cstheme="minorHAnsi"/>
          <w:noProof/>
        </w:rPr>
        <w:t xml:space="preserve"> is shown as:</w:t>
      </w:r>
    </w:p>
    <w:p w14:paraId="4BC43A26" w14:textId="77777777" w:rsidR="00B145BE" w:rsidRPr="006E5260" w:rsidRDefault="00B145BE" w:rsidP="00B145BE">
      <w:pPr>
        <w:spacing w:afterLines="60" w:after="144" w:line="360" w:lineRule="auto"/>
        <w:jc w:val="right"/>
        <w:rPr>
          <w:rFonts w:cstheme="minorHAnsi"/>
          <w:noProof/>
        </w:rPr>
      </w:pPr>
      <w:r w:rsidRPr="006E5260">
        <w:rPr>
          <w:rFonts w:cstheme="minorHAnsi"/>
          <w:i/>
          <w:noProof/>
        </w:rPr>
        <w:t xml:space="preserve"> </w:t>
      </w:r>
      <m:oMath>
        <m:r>
          <w:rPr>
            <w:rFonts w:ascii="Cambria Math" w:hAnsi="Cambria Math" w:cstheme="minorHAnsi"/>
            <w:noProof/>
          </w:rPr>
          <m:t>∆</m:t>
        </m:r>
        <m:sSup>
          <m:sSupPr>
            <m:ctrlPr>
              <w:rPr>
                <w:rFonts w:ascii="Cambria Math" w:hAnsi="Cambria Math" w:cstheme="minorHAnsi"/>
                <w:i/>
                <w:noProof/>
              </w:rPr>
            </m:ctrlPr>
          </m:sSupPr>
          <m:e>
            <m:r>
              <w:rPr>
                <w:rFonts w:ascii="Cambria Math" w:hAnsi="Cambria Math" w:cstheme="minorHAnsi"/>
                <w:noProof/>
              </w:rPr>
              <m:t>ε</m:t>
            </m:r>
          </m:e>
          <m:sup>
            <m:r>
              <w:rPr>
                <w:rFonts w:ascii="Cambria Math" w:hAnsi="Cambria Math" w:cstheme="minorHAnsi"/>
                <w:noProof/>
              </w:rPr>
              <m:t>(2-1)</m:t>
            </m:r>
          </m:sup>
        </m:sSup>
        <m:r>
          <w:rPr>
            <w:rFonts w:ascii="Cambria Math" w:hAnsi="Cambria Math" w:cstheme="minorHAnsi"/>
            <w:noProof/>
          </w:rPr>
          <m:t>=</m:t>
        </m:r>
        <m:sSup>
          <m:sSupPr>
            <m:ctrlPr>
              <w:rPr>
                <w:rFonts w:ascii="Cambria Math" w:hAnsi="Cambria Math" w:cstheme="minorHAnsi"/>
                <w:i/>
                <w:noProof/>
              </w:rPr>
            </m:ctrlPr>
          </m:sSupPr>
          <m:e>
            <m:r>
              <w:rPr>
                <w:rFonts w:ascii="Cambria Math" w:hAnsi="Cambria Math" w:cstheme="minorHAnsi"/>
                <w:noProof/>
              </w:rPr>
              <m:t>ε</m:t>
            </m:r>
          </m:e>
          <m:sup>
            <m:r>
              <w:rPr>
                <w:rFonts w:ascii="Cambria Math" w:hAnsi="Cambria Math" w:cstheme="minorHAnsi"/>
                <w:noProof/>
              </w:rPr>
              <m:t>(2)</m:t>
            </m:r>
          </m:sup>
        </m:sSup>
        <m:r>
          <w:rPr>
            <w:rFonts w:ascii="Cambria Math" w:hAnsi="Cambria Math" w:cstheme="minorHAnsi"/>
            <w:noProof/>
          </w:rPr>
          <m:t>-</m:t>
        </m:r>
        <m:sSup>
          <m:sSupPr>
            <m:ctrlPr>
              <w:rPr>
                <w:rFonts w:ascii="Cambria Math" w:hAnsi="Cambria Math" w:cstheme="minorHAnsi"/>
                <w:i/>
                <w:noProof/>
              </w:rPr>
            </m:ctrlPr>
          </m:sSupPr>
          <m:e>
            <m:r>
              <w:rPr>
                <w:rFonts w:ascii="Cambria Math" w:hAnsi="Cambria Math" w:cstheme="minorHAnsi"/>
                <w:noProof/>
              </w:rPr>
              <m:t>ε</m:t>
            </m:r>
          </m:e>
          <m:sup>
            <m:d>
              <m:dPr>
                <m:ctrlPr>
                  <w:rPr>
                    <w:rFonts w:ascii="Cambria Math" w:hAnsi="Cambria Math" w:cstheme="minorHAnsi"/>
                    <w:i/>
                    <w:noProof/>
                  </w:rPr>
                </m:ctrlPr>
              </m:dPr>
              <m:e>
                <m:r>
                  <w:rPr>
                    <w:rFonts w:ascii="Cambria Math" w:hAnsi="Cambria Math" w:cstheme="minorHAnsi"/>
                    <w:noProof/>
                  </w:rPr>
                  <m:t>1</m:t>
                </m:r>
              </m:e>
            </m:d>
          </m:sup>
        </m:sSup>
        <m:r>
          <w:rPr>
            <w:rFonts w:ascii="Cambria Math" w:hAnsi="Cambria Math" w:cstheme="minorHAnsi"/>
            <w:noProof/>
          </w:rPr>
          <m:t>=</m:t>
        </m:r>
        <m:d>
          <m:dPr>
            <m:ctrlPr>
              <w:rPr>
                <w:rFonts w:ascii="Cambria Math" w:hAnsi="Cambria Math" w:cstheme="minorHAnsi"/>
                <w:noProof/>
              </w:rPr>
            </m:ctrlPr>
          </m:dPr>
          <m:e>
            <m:m>
              <m:mPr>
                <m:mcs>
                  <m:mc>
                    <m:mcPr>
                      <m:count m:val="3"/>
                      <m:mcJc m:val="center"/>
                    </m:mcPr>
                  </m:mc>
                </m:mcs>
                <m:ctrlPr>
                  <w:rPr>
                    <w:rFonts w:ascii="Cambria Math" w:hAnsi="Cambria Math" w:cstheme="minorHAnsi"/>
                    <w:noProof/>
                  </w:rPr>
                </m:ctrlPr>
              </m:mPr>
              <m:mr>
                <m:e>
                  <m:r>
                    <m:rPr>
                      <m:sty m:val="p"/>
                    </m:rPr>
                    <w:rPr>
                      <w:rFonts w:ascii="Cambria Math" w:hAnsi="Cambria Math" w:cstheme="minorHAnsi"/>
                      <w:noProof/>
                    </w:rPr>
                    <m:t>0</m:t>
                  </m:r>
                </m:e>
                <m:e>
                  <m:r>
                    <m:rPr>
                      <m:sty m:val="p"/>
                    </m:rPr>
                    <w:rPr>
                      <w:rFonts w:ascii="Cambria Math" w:hAnsi="Cambria Math" w:cstheme="minorHAnsi"/>
                      <w:noProof/>
                    </w:rPr>
                    <m:t>0</m:t>
                  </m:r>
                </m:e>
                <m:e>
                  <m:r>
                    <m:rPr>
                      <m:sty m:val="p"/>
                    </m:rPr>
                    <w:rPr>
                      <w:rFonts w:ascii="Cambria Math" w:hAnsi="Cambria Math" w:cstheme="minorHAnsi"/>
                      <w:noProof/>
                    </w:rPr>
                    <m:t>0</m:t>
                  </m:r>
                </m:e>
              </m:mr>
              <m:mr>
                <m:e>
                  <m:r>
                    <m:rPr>
                      <m:sty m:val="p"/>
                    </m:rPr>
                    <w:rPr>
                      <w:rFonts w:ascii="Cambria Math" w:hAnsi="Cambria Math" w:cstheme="minorHAnsi"/>
                      <w:noProof/>
                    </w:rPr>
                    <m:t>0</m:t>
                  </m:r>
                </m:e>
                <m:e>
                  <m:r>
                    <m:rPr>
                      <m:sty m:val="p"/>
                    </m:rPr>
                    <w:rPr>
                      <w:rFonts w:ascii="Cambria Math" w:hAnsi="Cambria Math" w:cstheme="minorHAnsi"/>
                      <w:noProof/>
                    </w:rPr>
                    <m:t>0</m:t>
                  </m:r>
                </m:e>
                <m:e>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3</m:t>
                      </m:r>
                    </m:sub>
                  </m:sSub>
                  <m:r>
                    <m:rPr>
                      <m:sty m:val="p"/>
                    </m:rP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2</m:t>
                      </m:r>
                    </m:sub>
                  </m:sSub>
                </m:e>
              </m:mr>
              <m:mr>
                <m:e>
                  <m:r>
                    <m:rPr>
                      <m:sty m:val="p"/>
                    </m:rPr>
                    <w:rPr>
                      <w:rFonts w:ascii="Cambria Math" w:hAnsi="Cambria Math" w:cstheme="minorHAnsi"/>
                      <w:noProof/>
                    </w:rPr>
                    <m:t>0</m:t>
                  </m:r>
                </m:e>
                <m:e>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3</m:t>
                      </m:r>
                    </m:sub>
                  </m:sSub>
                  <m:r>
                    <m:rPr>
                      <m:sty m:val="p"/>
                    </m:rP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2</m:t>
                      </m:r>
                    </m:sub>
                  </m:sSub>
                </m:e>
                <m:e>
                  <m:r>
                    <m:rPr>
                      <m:sty m:val="p"/>
                    </m:rPr>
                    <w:rPr>
                      <w:rFonts w:ascii="Cambria Math" w:hAnsi="Cambria Math" w:cstheme="minorHAnsi"/>
                      <w:noProof/>
                    </w:rPr>
                    <m:t>0</m:t>
                  </m:r>
                </m:e>
              </m:mr>
            </m:m>
          </m:e>
        </m:d>
      </m:oMath>
      <w:r w:rsidRPr="006E5260">
        <w:rPr>
          <w:rFonts w:cstheme="minorHAnsi"/>
          <w:i/>
          <w:noProof/>
        </w:rPr>
        <w:t xml:space="preserve">     </w:t>
      </w:r>
      <w:r w:rsidRPr="006E5260">
        <w:rPr>
          <w:rFonts w:cstheme="minorHAnsi"/>
          <w:noProof/>
        </w:rPr>
        <w:t xml:space="preserve">  </w:t>
      </w:r>
      <w:r w:rsidRPr="006E5260">
        <w:rPr>
          <w:rFonts w:cstheme="minorHAnsi"/>
          <w:i/>
          <w:noProof/>
        </w:rPr>
        <w:t xml:space="preserve">   </w:t>
      </w:r>
      <w:r>
        <w:rPr>
          <w:rFonts w:cstheme="minorHAnsi"/>
          <w:i/>
          <w:noProof/>
        </w:rPr>
        <w:t xml:space="preserve">                        </w:t>
      </w:r>
      <w:r w:rsidRPr="006E5260">
        <w:rPr>
          <w:rFonts w:cstheme="minorHAnsi"/>
          <w:i/>
          <w:noProof/>
        </w:rPr>
        <w:t xml:space="preserve">    </w:t>
      </w:r>
      <w:r w:rsidRPr="006E5260">
        <w:rPr>
          <w:rFonts w:cstheme="minorHAnsi"/>
          <w:noProof/>
        </w:rPr>
        <w:t xml:space="preserve"> (12)                              </w:t>
      </w:r>
    </w:p>
    <w:p w14:paraId="41F78E82" w14:textId="77777777" w:rsidR="00B145BE" w:rsidRPr="006E5260" w:rsidRDefault="00B145BE" w:rsidP="00B145BE">
      <w:pPr>
        <w:spacing w:afterLines="60" w:after="144" w:line="360" w:lineRule="auto"/>
        <w:rPr>
          <w:rFonts w:cstheme="minorHAnsi"/>
          <w:noProof/>
        </w:rPr>
      </w:pPr>
      <w:r w:rsidRPr="006E5260">
        <w:rPr>
          <w:rFonts w:cstheme="minorHAnsi"/>
          <w:noProof/>
        </w:rPr>
        <w:t xml:space="preserve">For </w:t>
      </w:r>
      <m:oMath>
        <m:r>
          <w:rPr>
            <w:rFonts w:ascii="Cambria Math" w:hAnsi="Cambria Math" w:cstheme="minorHAnsi"/>
            <w:noProof/>
          </w:rPr>
          <m:t>∆</m:t>
        </m:r>
        <m:sSubSup>
          <m:sSubSupPr>
            <m:ctrlPr>
              <w:rPr>
                <w:rFonts w:ascii="Cambria Math" w:hAnsi="Cambria Math" w:cstheme="minorHAnsi"/>
                <w:i/>
                <w:noProof/>
              </w:rPr>
            </m:ctrlPr>
          </m:sSubSupPr>
          <m:e>
            <m:r>
              <w:rPr>
                <w:rFonts w:ascii="Cambria Math" w:hAnsi="Cambria Math" w:cstheme="minorHAnsi"/>
                <w:noProof/>
              </w:rPr>
              <m:t>ε</m:t>
            </m:r>
          </m:e>
          <m:sub>
            <m:r>
              <w:rPr>
                <w:rFonts w:ascii="Cambria Math" w:hAnsi="Cambria Math" w:cstheme="minorHAnsi"/>
                <w:noProof/>
              </w:rPr>
              <m:t>ij</m:t>
            </m:r>
          </m:sub>
          <m:sup>
            <m:r>
              <w:rPr>
                <w:rFonts w:ascii="Cambria Math" w:hAnsi="Cambria Math" w:cstheme="minorHAnsi"/>
                <w:noProof/>
              </w:rPr>
              <m:t>(2-1)</m:t>
            </m:r>
          </m:sup>
        </m:sSubSup>
      </m:oMath>
      <w:r w:rsidRPr="006E5260">
        <w:rPr>
          <w:rFonts w:cstheme="minorHAnsi"/>
          <w:noProof/>
        </w:rPr>
        <w:t xml:space="preserve">, when identical to </w:t>
      </w:r>
      <w:r w:rsidRPr="006E5260">
        <w:rPr>
          <w:rFonts w:cstheme="minorHAnsi"/>
          <w:i/>
          <w:noProof/>
        </w:rPr>
        <w:t>eq</w:t>
      </w:r>
      <w:r w:rsidRPr="006E5260">
        <w:rPr>
          <w:rFonts w:cstheme="minorHAnsi"/>
          <w:noProof/>
        </w:rPr>
        <w:t>.11, to solve:</w:t>
      </w:r>
    </w:p>
    <w:p w14:paraId="5122EEBD" w14:textId="47CA1EDD" w:rsidR="00B145BE" w:rsidRPr="006E5260" w:rsidRDefault="00B145BE" w:rsidP="00B145BE">
      <w:pPr>
        <w:spacing w:afterLines="60" w:after="144" w:line="360" w:lineRule="auto"/>
        <w:jc w:val="right"/>
        <w:rPr>
          <w:rFonts w:cstheme="minorHAnsi"/>
          <w:noProof/>
        </w:rPr>
      </w:pPr>
      <w:r w:rsidRPr="006E5260">
        <w:rPr>
          <w:rFonts w:cstheme="minorHAnsi"/>
          <w:noProof/>
        </w:rPr>
        <w:t xml:space="preserve">  </w:t>
      </w:r>
      <m:oMath>
        <m:r>
          <w:rPr>
            <w:rFonts w:ascii="Cambria Math" w:hAnsi="Cambria Math" w:cstheme="minorHAnsi"/>
            <w:noProof/>
          </w:rPr>
          <m:t>∆</m:t>
        </m:r>
        <m:sSubSup>
          <m:sSubSupPr>
            <m:ctrlPr>
              <w:rPr>
                <w:rFonts w:ascii="Cambria Math" w:hAnsi="Cambria Math" w:cstheme="minorHAnsi"/>
                <w:i/>
                <w:noProof/>
              </w:rPr>
            </m:ctrlPr>
          </m:sSubSupPr>
          <m:e>
            <m:r>
              <w:rPr>
                <w:rFonts w:ascii="Cambria Math" w:hAnsi="Cambria Math" w:cstheme="minorHAnsi"/>
                <w:noProof/>
              </w:rPr>
              <m:t>ε</m:t>
            </m:r>
          </m:e>
          <m:sub>
            <m:r>
              <w:rPr>
                <w:rFonts w:ascii="Cambria Math" w:hAnsi="Cambria Math" w:cstheme="minorHAnsi"/>
                <w:noProof/>
              </w:rPr>
              <m:t>ij</m:t>
            </m:r>
          </m:sub>
          <m:sup>
            <m:r>
              <w:rPr>
                <w:rFonts w:ascii="Cambria Math" w:hAnsi="Cambria Math" w:cstheme="minorHAnsi"/>
                <w:noProof/>
              </w:rPr>
              <m:t>(2-1)</m:t>
            </m:r>
          </m:sup>
        </m:sSubSup>
        <m:r>
          <w:rPr>
            <w:rFonts w:ascii="Cambria Math" w:hAnsi="Cambria Math" w:cstheme="minorHAnsi"/>
            <w:noProof/>
          </w:rPr>
          <m:t>=</m:t>
        </m:r>
        <m:sSubSup>
          <m:sSubSupPr>
            <m:ctrlPr>
              <w:rPr>
                <w:rFonts w:ascii="Cambria Math" w:hAnsi="Cambria Math" w:cstheme="minorHAnsi"/>
                <w:i/>
                <w:noProof/>
              </w:rPr>
            </m:ctrlPr>
          </m:sSubSupPr>
          <m:e>
            <m:r>
              <w:rPr>
                <w:rFonts w:ascii="Cambria Math" w:hAnsi="Cambria Math" w:cstheme="minorHAnsi"/>
                <w:noProof/>
              </w:rPr>
              <m:t>ε</m:t>
            </m:r>
          </m:e>
          <m:sub>
            <m:r>
              <w:rPr>
                <w:rFonts w:ascii="Cambria Math" w:hAnsi="Cambria Math" w:cstheme="minorHAnsi"/>
                <w:noProof/>
              </w:rPr>
              <m:t>ij</m:t>
            </m:r>
          </m:sub>
          <m:sup>
            <m:r>
              <w:rPr>
                <w:rFonts w:ascii="Cambria Math" w:hAnsi="Cambria Math" w:cstheme="minorHAnsi"/>
                <w:noProof/>
              </w:rPr>
              <m:t>(twin)</m:t>
            </m:r>
          </m:sup>
        </m:sSubSup>
      </m:oMath>
      <w:r w:rsidRPr="006E5260">
        <w:rPr>
          <w:rFonts w:cstheme="minorHAnsi"/>
          <w:noProof/>
        </w:rPr>
        <w:t xml:space="preserve">           </w:t>
      </w:r>
      <w:r>
        <w:rPr>
          <w:rFonts w:cstheme="minorHAnsi"/>
          <w:noProof/>
        </w:rPr>
        <w:t xml:space="preserve">                                          </w:t>
      </w:r>
      <w:r w:rsidRPr="006E5260">
        <w:rPr>
          <w:rFonts w:cstheme="minorHAnsi"/>
          <w:noProof/>
        </w:rPr>
        <w:t xml:space="preserve">              (13)                                                                  </w:t>
      </w:r>
    </w:p>
    <w:p w14:paraId="442D9683" w14:textId="77777777" w:rsidR="00B145BE" w:rsidRPr="006E5260" w:rsidRDefault="00B145BE" w:rsidP="00B145BE">
      <w:pPr>
        <w:spacing w:afterLines="60" w:after="144" w:line="360" w:lineRule="auto"/>
        <w:ind w:right="110"/>
        <w:rPr>
          <w:rFonts w:cstheme="minorHAnsi"/>
          <w:noProof/>
        </w:rPr>
      </w:pPr>
      <w:r w:rsidRPr="006E5260">
        <w:rPr>
          <w:rFonts w:cstheme="minorHAnsi"/>
          <w:noProof/>
        </w:rPr>
        <w:t xml:space="preserve">Whereas, for </w:t>
      </w:r>
      <m:oMath>
        <m:sSub>
          <m:sSubPr>
            <m:ctrlPr>
              <w:rPr>
                <w:rFonts w:ascii="Cambria Math" w:hAnsi="Cambria Math" w:cstheme="minorHAnsi"/>
                <w:b/>
                <w:i/>
                <w:noProof/>
              </w:rPr>
            </m:ctrlPr>
          </m:sSubPr>
          <m:e>
            <m:r>
              <m:rPr>
                <m:sty m:val="bi"/>
              </m:rPr>
              <w:rPr>
                <w:rFonts w:ascii="Cambria Math" w:hAnsi="Cambria Math" w:cstheme="minorHAnsi"/>
                <w:noProof/>
              </w:rPr>
              <m:t>b</m:t>
            </m:r>
          </m:e>
          <m:sub>
            <m:r>
              <m:rPr>
                <m:sty m:val="bi"/>
              </m:rPr>
              <w:rPr>
                <w:rFonts w:ascii="Cambria Math" w:hAnsi="Cambria Math" w:cstheme="minorHAnsi"/>
                <w:noProof/>
              </w:rPr>
              <m:t>i</m:t>
            </m:r>
          </m:sub>
        </m:sSub>
      </m:oMath>
      <w:r w:rsidRPr="006E5260">
        <w:rPr>
          <w:rFonts w:cstheme="minorHAnsi"/>
          <w:b/>
          <w:noProof/>
        </w:rPr>
        <w:t xml:space="preserve"> </w:t>
      </w:r>
      <w:r w:rsidRPr="006E5260">
        <w:rPr>
          <w:rFonts w:cstheme="minorHAnsi"/>
          <w:noProof/>
        </w:rPr>
        <w:t>and</w:t>
      </w:r>
      <w:r w:rsidRPr="006E5260">
        <w:rPr>
          <w:rFonts w:cstheme="minorHAnsi"/>
          <w:b/>
          <w:noProof/>
        </w:rPr>
        <w:t xml:space="preserve"> </w:t>
      </w:r>
      <m:oMath>
        <m:sSub>
          <m:sSubPr>
            <m:ctrlPr>
              <w:rPr>
                <w:rFonts w:ascii="Cambria Math" w:hAnsi="Cambria Math" w:cstheme="minorHAnsi"/>
                <w:b/>
                <w:i/>
                <w:noProof/>
              </w:rPr>
            </m:ctrlPr>
          </m:sSubPr>
          <m:e>
            <m:r>
              <m:rPr>
                <m:sty m:val="bi"/>
              </m:rPr>
              <w:rPr>
                <w:rFonts w:ascii="Cambria Math" w:hAnsi="Cambria Math" w:cstheme="minorHAnsi"/>
                <w:noProof/>
              </w:rPr>
              <m:t>n</m:t>
            </m:r>
          </m:e>
          <m:sub>
            <m:r>
              <m:rPr>
                <m:sty m:val="bi"/>
              </m:rPr>
              <w:rPr>
                <w:rFonts w:ascii="Cambria Math" w:hAnsi="Cambria Math" w:cstheme="minorHAnsi"/>
                <w:noProof/>
              </w:rPr>
              <m:t>i</m:t>
            </m:r>
          </m:sub>
        </m:sSub>
      </m:oMath>
      <w:r w:rsidRPr="006E5260">
        <w:rPr>
          <w:rFonts w:cstheme="minorHAnsi"/>
          <w:noProof/>
        </w:rPr>
        <w:t xml:space="preserve">: </w:t>
      </w:r>
    </w:p>
    <w:p w14:paraId="23F3EEDE" w14:textId="77777777" w:rsidR="00B145BE" w:rsidRPr="006E5260" w:rsidRDefault="00077961" w:rsidP="00B145BE">
      <w:pPr>
        <w:spacing w:afterLines="60" w:after="144" w:line="360" w:lineRule="auto"/>
        <w:jc w:val="right"/>
        <w:rPr>
          <w:rFonts w:cstheme="minorHAnsi"/>
          <w:noProof/>
        </w:rPr>
      </w:pPr>
      <m:oMath>
        <m:sSub>
          <m:sSubPr>
            <m:ctrlPr>
              <w:rPr>
                <w:rFonts w:ascii="Cambria Math" w:hAnsi="Cambria Math" w:cstheme="minorHAnsi"/>
                <w:b/>
                <w:i/>
                <w:noProof/>
              </w:rPr>
            </m:ctrlPr>
          </m:sSubPr>
          <m:e>
            <m:r>
              <m:rPr>
                <m:sty m:val="bi"/>
              </m:rPr>
              <w:rPr>
                <w:rFonts w:ascii="Cambria Math" w:hAnsi="Cambria Math" w:cstheme="minorHAnsi"/>
                <w:noProof/>
              </w:rPr>
              <m:t>b</m:t>
            </m:r>
          </m:e>
          <m:sub>
            <m:r>
              <m:rPr>
                <m:sty m:val="bi"/>
              </m:rPr>
              <w:rPr>
                <w:rFonts w:ascii="Cambria Math" w:hAnsi="Cambria Math" w:cstheme="minorHAnsi"/>
                <w:noProof/>
              </w:rPr>
              <m:t>i</m:t>
            </m:r>
          </m:sub>
        </m:sSub>
      </m:oMath>
      <w:r w:rsidR="00B145BE" w:rsidRPr="006E5260">
        <w:rPr>
          <w:rFonts w:cstheme="minorHAnsi"/>
          <w:noProof/>
        </w:rPr>
        <w:t>=(</w:t>
      </w:r>
      <m:oMath>
        <m:sSub>
          <m:sSubPr>
            <m:ctrlPr>
              <w:rPr>
                <w:rFonts w:ascii="Cambria Math" w:hAnsi="Cambria Math" w:cstheme="minorHAnsi"/>
                <w:noProof/>
              </w:rPr>
            </m:ctrlPr>
          </m:sSubPr>
          <m:e>
            <m:r>
              <w:rPr>
                <w:rFonts w:ascii="Cambria Math" w:hAnsi="Cambria Math" w:cstheme="minorHAnsi"/>
                <w:noProof/>
              </w:rPr>
              <m:t>x</m:t>
            </m:r>
          </m:e>
          <m:sub>
            <m:r>
              <w:rPr>
                <w:rFonts w:ascii="Cambria Math" w:hAnsi="Cambria Math" w:cstheme="minorHAnsi"/>
                <w:noProof/>
              </w:rPr>
              <m:t>i</m:t>
            </m:r>
          </m:sub>
        </m:sSub>
      </m:oMath>
      <w:r w:rsidR="00B145BE" w:rsidRPr="006E5260">
        <w:rPr>
          <w:rFonts w:cstheme="minorHAnsi"/>
          <w:noProof/>
        </w:rPr>
        <w:t xml:space="preserve">, </w:t>
      </w:r>
      <m:oMath>
        <m:sSub>
          <m:sSubPr>
            <m:ctrlPr>
              <w:rPr>
                <w:rFonts w:ascii="Cambria Math" w:hAnsi="Cambria Math" w:cstheme="minorHAnsi"/>
                <w:noProof/>
              </w:rPr>
            </m:ctrlPr>
          </m:sSubPr>
          <m:e>
            <m:r>
              <w:rPr>
                <w:rFonts w:ascii="Cambria Math" w:hAnsi="Cambria Math" w:cstheme="minorHAnsi"/>
                <w:noProof/>
              </w:rPr>
              <m:t>y</m:t>
            </m:r>
          </m:e>
          <m:sub>
            <m:r>
              <w:rPr>
                <w:rFonts w:ascii="Cambria Math" w:hAnsi="Cambria Math" w:cstheme="minorHAnsi"/>
                <w:noProof/>
              </w:rPr>
              <m:t>i</m:t>
            </m:r>
          </m:sub>
        </m:sSub>
      </m:oMath>
      <w:r w:rsidR="00B145BE" w:rsidRPr="006E5260">
        <w:rPr>
          <w:rFonts w:cstheme="minorHAnsi"/>
          <w:noProof/>
        </w:rPr>
        <w:t xml:space="preserve">, </w:t>
      </w:r>
      <m:oMath>
        <m:sSub>
          <m:sSubPr>
            <m:ctrlPr>
              <w:rPr>
                <w:rFonts w:ascii="Cambria Math" w:hAnsi="Cambria Math" w:cstheme="minorHAnsi"/>
                <w:noProof/>
              </w:rPr>
            </m:ctrlPr>
          </m:sSubPr>
          <m:e>
            <m:r>
              <w:rPr>
                <w:rFonts w:ascii="Cambria Math" w:hAnsi="Cambria Math" w:cstheme="minorHAnsi"/>
                <w:noProof/>
              </w:rPr>
              <m:t>z</m:t>
            </m:r>
          </m:e>
          <m:sub>
            <m:r>
              <w:rPr>
                <w:rFonts w:ascii="Cambria Math" w:hAnsi="Cambria Math" w:cstheme="minorHAnsi"/>
                <w:noProof/>
              </w:rPr>
              <m:t>i</m:t>
            </m:r>
          </m:sub>
        </m:sSub>
      </m:oMath>
      <w:r w:rsidR="00B145BE" w:rsidRPr="006E5260">
        <w:rPr>
          <w:rFonts w:cstheme="minorHAnsi"/>
          <w:noProof/>
        </w:rPr>
        <w:t xml:space="preserve">) </w:t>
      </w:r>
      <m:oMath>
        <m:sSub>
          <m:sSubPr>
            <m:ctrlPr>
              <w:rPr>
                <w:rFonts w:ascii="Cambria Math" w:hAnsi="Cambria Math" w:cstheme="minorHAnsi"/>
                <w:b/>
                <w:i/>
                <w:noProof/>
              </w:rPr>
            </m:ctrlPr>
          </m:sSubPr>
          <m:e>
            <m:r>
              <m:rPr>
                <m:sty m:val="bi"/>
              </m:rPr>
              <w:rPr>
                <w:rFonts w:ascii="Cambria Math" w:hAnsi="Cambria Math" w:cstheme="minorHAnsi"/>
                <w:noProof/>
              </w:rPr>
              <m:t>n</m:t>
            </m:r>
          </m:e>
          <m:sub>
            <m:r>
              <m:rPr>
                <m:sty m:val="bi"/>
              </m:rPr>
              <w:rPr>
                <w:rFonts w:ascii="Cambria Math" w:hAnsi="Cambria Math" w:cstheme="minorHAnsi"/>
                <w:noProof/>
              </w:rPr>
              <m:t>i</m:t>
            </m:r>
          </m:sub>
        </m:sSub>
      </m:oMath>
      <w:r w:rsidR="00B145BE" w:rsidRPr="006E5260">
        <w:rPr>
          <w:rFonts w:cstheme="minorHAnsi"/>
          <w:noProof/>
        </w:rPr>
        <w:t>=(</w:t>
      </w:r>
      <m:oMath>
        <m:sSub>
          <m:sSubPr>
            <m:ctrlPr>
              <w:rPr>
                <w:rFonts w:ascii="Cambria Math" w:hAnsi="Cambria Math" w:cstheme="minorHAnsi"/>
                <w:noProof/>
              </w:rPr>
            </m:ctrlPr>
          </m:sSubPr>
          <m:e>
            <m:r>
              <w:rPr>
                <w:rFonts w:ascii="Cambria Math" w:hAnsi="Cambria Math" w:cstheme="minorHAnsi"/>
                <w:noProof/>
              </w:rPr>
              <m:t>h</m:t>
            </m:r>
          </m:e>
          <m:sub>
            <m:r>
              <w:rPr>
                <w:rFonts w:ascii="Cambria Math" w:hAnsi="Cambria Math" w:cstheme="minorHAnsi"/>
                <w:noProof/>
              </w:rPr>
              <m:t>i</m:t>
            </m:r>
          </m:sub>
        </m:sSub>
      </m:oMath>
      <w:r w:rsidR="00B145BE" w:rsidRPr="006E5260">
        <w:rPr>
          <w:rFonts w:cstheme="minorHAnsi"/>
          <w:noProof/>
        </w:rPr>
        <w:t xml:space="preserve"> </w:t>
      </w:r>
      <m:oMath>
        <m:sSub>
          <m:sSubPr>
            <m:ctrlPr>
              <w:rPr>
                <w:rFonts w:ascii="Cambria Math" w:hAnsi="Cambria Math" w:cstheme="minorHAnsi"/>
                <w:noProof/>
              </w:rPr>
            </m:ctrlPr>
          </m:sSubPr>
          <m:e>
            <m:r>
              <w:rPr>
                <w:rFonts w:ascii="Cambria Math" w:hAnsi="Cambria Math" w:cstheme="minorHAnsi"/>
                <w:noProof/>
              </w:rPr>
              <m:t>k</m:t>
            </m:r>
          </m:e>
          <m:sub>
            <m:r>
              <w:rPr>
                <w:rFonts w:ascii="Cambria Math" w:hAnsi="Cambria Math" w:cstheme="minorHAnsi"/>
                <w:noProof/>
              </w:rPr>
              <m:t>i</m:t>
            </m:r>
          </m:sub>
        </m:sSub>
      </m:oMath>
      <w:r w:rsidR="00B145BE" w:rsidRPr="006E5260">
        <w:rPr>
          <w:rFonts w:cstheme="minorHAnsi"/>
          <w:noProof/>
        </w:rPr>
        <w:t xml:space="preserve"> </w:t>
      </w:r>
      <m:oMath>
        <m:sSub>
          <m:sSubPr>
            <m:ctrlPr>
              <w:rPr>
                <w:rFonts w:ascii="Cambria Math" w:hAnsi="Cambria Math" w:cstheme="minorHAnsi"/>
                <w:noProof/>
              </w:rPr>
            </m:ctrlPr>
          </m:sSubPr>
          <m:e>
            <m:r>
              <w:rPr>
                <w:rFonts w:ascii="Cambria Math" w:hAnsi="Cambria Math" w:cstheme="minorHAnsi"/>
                <w:noProof/>
              </w:rPr>
              <m:t>l</m:t>
            </m:r>
          </m:e>
          <m:sub>
            <m:r>
              <w:rPr>
                <w:rFonts w:ascii="Cambria Math" w:hAnsi="Cambria Math" w:cstheme="minorHAnsi"/>
                <w:noProof/>
              </w:rPr>
              <m:t>i</m:t>
            </m:r>
          </m:sub>
        </m:sSub>
      </m:oMath>
      <w:r w:rsidR="00B145BE" w:rsidRPr="006E5260">
        <w:rPr>
          <w:rFonts w:cstheme="minorHAnsi"/>
          <w:noProof/>
        </w:rPr>
        <w:t xml:space="preserve">)    </w:t>
      </w:r>
      <w:r w:rsidR="00B145BE">
        <w:rPr>
          <w:rFonts w:cstheme="minorHAnsi"/>
          <w:noProof/>
        </w:rPr>
        <w:t xml:space="preserve">                                      </w:t>
      </w:r>
      <w:r w:rsidR="00B145BE" w:rsidRPr="006E5260">
        <w:rPr>
          <w:rFonts w:cstheme="minorHAnsi"/>
          <w:noProof/>
        </w:rPr>
        <w:t xml:space="preserve">               (14)</w:t>
      </w:r>
    </w:p>
    <w:p w14:paraId="601F74DE" w14:textId="77777777" w:rsidR="00B145BE" w:rsidRPr="006E5260" w:rsidRDefault="00B145BE" w:rsidP="00B145BE">
      <w:pPr>
        <w:spacing w:afterLines="60" w:after="144" w:line="360" w:lineRule="auto"/>
        <w:rPr>
          <w:rFonts w:cstheme="minorHAnsi"/>
          <w:noProof/>
        </w:rPr>
      </w:pPr>
      <w:r w:rsidRPr="006E5260">
        <w:rPr>
          <w:rFonts w:cstheme="minorHAnsi"/>
          <w:noProof/>
        </w:rPr>
        <w:t>Substitut</w:t>
      </w:r>
      <w:r>
        <w:rPr>
          <w:rFonts w:cstheme="minorHAnsi"/>
          <w:noProof/>
        </w:rPr>
        <w:t>ing</w:t>
      </w:r>
      <w:r w:rsidRPr="006E5260">
        <w:rPr>
          <w:rFonts w:cstheme="minorHAnsi"/>
          <w:noProof/>
        </w:rPr>
        <w:t xml:space="preserve"> </w:t>
      </w:r>
      <w:r w:rsidRPr="006E5260">
        <w:rPr>
          <w:rFonts w:cstheme="minorHAnsi"/>
          <w:i/>
          <w:noProof/>
        </w:rPr>
        <w:t>eq</w:t>
      </w:r>
      <w:r w:rsidRPr="006E5260">
        <w:rPr>
          <w:rFonts w:cstheme="minorHAnsi"/>
          <w:noProof/>
        </w:rPr>
        <w:t xml:space="preserve">.11 into </w:t>
      </w:r>
      <w:r w:rsidRPr="006E5260">
        <w:rPr>
          <w:rFonts w:cstheme="minorHAnsi"/>
          <w:i/>
          <w:noProof/>
        </w:rPr>
        <w:t>eq</w:t>
      </w:r>
      <w:r w:rsidRPr="006E5260">
        <w:rPr>
          <w:rFonts w:cstheme="minorHAnsi"/>
          <w:noProof/>
        </w:rPr>
        <w:t xml:space="preserve">.13 with the replacement of </w:t>
      </w:r>
      <m:oMath>
        <m:sSub>
          <m:sSubPr>
            <m:ctrlPr>
              <w:rPr>
                <w:rFonts w:ascii="Cambria Math" w:hAnsi="Cambria Math" w:cstheme="minorHAnsi"/>
                <w:b/>
                <w:i/>
                <w:noProof/>
              </w:rPr>
            </m:ctrlPr>
          </m:sSubPr>
          <m:e>
            <m:r>
              <m:rPr>
                <m:sty m:val="bi"/>
              </m:rPr>
              <w:rPr>
                <w:rFonts w:ascii="Cambria Math" w:hAnsi="Cambria Math" w:cstheme="minorHAnsi"/>
                <w:noProof/>
              </w:rPr>
              <m:t>b</m:t>
            </m:r>
          </m:e>
          <m:sub>
            <m:r>
              <m:rPr>
                <m:sty m:val="bi"/>
              </m:rPr>
              <w:rPr>
                <w:rFonts w:ascii="Cambria Math" w:hAnsi="Cambria Math" w:cstheme="minorHAnsi"/>
                <w:noProof/>
              </w:rPr>
              <m:t>i</m:t>
            </m:r>
          </m:sub>
        </m:sSub>
      </m:oMath>
      <w:r w:rsidRPr="006E5260">
        <w:rPr>
          <w:rFonts w:cstheme="minorHAnsi"/>
          <w:noProof/>
        </w:rPr>
        <w:t>,</w:t>
      </w:r>
      <w:r w:rsidRPr="006E5260">
        <w:rPr>
          <w:rFonts w:cstheme="minorHAnsi"/>
          <w:b/>
          <w:noProof/>
        </w:rPr>
        <w:t xml:space="preserve"> </w:t>
      </w:r>
      <m:oMath>
        <m:sSub>
          <m:sSubPr>
            <m:ctrlPr>
              <w:rPr>
                <w:rFonts w:ascii="Cambria Math" w:hAnsi="Cambria Math" w:cstheme="minorHAnsi"/>
                <w:b/>
                <w:i/>
                <w:noProof/>
              </w:rPr>
            </m:ctrlPr>
          </m:sSubPr>
          <m:e>
            <m:r>
              <m:rPr>
                <m:sty m:val="bi"/>
              </m:rPr>
              <w:rPr>
                <w:rFonts w:ascii="Cambria Math" w:hAnsi="Cambria Math" w:cstheme="minorHAnsi"/>
                <w:noProof/>
              </w:rPr>
              <m:t>n</m:t>
            </m:r>
          </m:e>
          <m:sub>
            <m:r>
              <m:rPr>
                <m:sty m:val="bi"/>
              </m:rPr>
              <w:rPr>
                <w:rFonts w:ascii="Cambria Math" w:hAnsi="Cambria Math" w:cstheme="minorHAnsi"/>
                <w:noProof/>
              </w:rPr>
              <m:t>i</m:t>
            </m:r>
          </m:sub>
        </m:sSub>
      </m:oMath>
      <w:r w:rsidRPr="006E5260">
        <w:rPr>
          <w:rFonts w:cstheme="minorHAnsi"/>
          <w:noProof/>
        </w:rPr>
        <w:t>,</w:t>
      </w:r>
      <w:r w:rsidRPr="006E5260">
        <w:rPr>
          <w:rFonts w:cstheme="minorHAnsi"/>
          <w:b/>
          <w:noProof/>
        </w:rPr>
        <w:t xml:space="preserve"> </w:t>
      </w:r>
      <m:oMath>
        <m:sSub>
          <m:sSubPr>
            <m:ctrlPr>
              <w:rPr>
                <w:rFonts w:ascii="Cambria Math" w:hAnsi="Cambria Math" w:cstheme="minorHAnsi"/>
                <w:b/>
                <w:i/>
                <w:noProof/>
              </w:rPr>
            </m:ctrlPr>
          </m:sSubPr>
          <m:e>
            <m:r>
              <m:rPr>
                <m:sty m:val="bi"/>
              </m:rPr>
              <w:rPr>
                <w:rFonts w:ascii="Cambria Math" w:hAnsi="Cambria Math" w:cstheme="minorHAnsi"/>
                <w:noProof/>
              </w:rPr>
              <m:t>b</m:t>
            </m:r>
          </m:e>
          <m:sub>
            <m:r>
              <m:rPr>
                <m:sty m:val="bi"/>
              </m:rPr>
              <w:rPr>
                <w:rFonts w:ascii="Cambria Math" w:hAnsi="Cambria Math" w:cstheme="minorHAnsi"/>
                <w:noProof/>
              </w:rPr>
              <m:t>j</m:t>
            </m:r>
          </m:sub>
        </m:sSub>
      </m:oMath>
      <w:r w:rsidRPr="006E5260">
        <w:rPr>
          <w:rFonts w:cstheme="minorHAnsi"/>
          <w:noProof/>
        </w:rPr>
        <w:t>,</w:t>
      </w:r>
      <w:r w:rsidRPr="006E5260">
        <w:rPr>
          <w:rFonts w:cstheme="minorHAnsi"/>
          <w:b/>
          <w:noProof/>
        </w:rPr>
        <w:t xml:space="preserve"> </w:t>
      </w:r>
      <m:oMath>
        <m:sSub>
          <m:sSubPr>
            <m:ctrlPr>
              <w:rPr>
                <w:rFonts w:ascii="Cambria Math" w:hAnsi="Cambria Math" w:cstheme="minorHAnsi"/>
                <w:b/>
                <w:i/>
                <w:noProof/>
              </w:rPr>
            </m:ctrlPr>
          </m:sSubPr>
          <m:e>
            <m:r>
              <m:rPr>
                <m:sty m:val="bi"/>
              </m:rPr>
              <w:rPr>
                <w:rFonts w:ascii="Cambria Math" w:hAnsi="Cambria Math" w:cstheme="minorHAnsi"/>
                <w:noProof/>
              </w:rPr>
              <m:t>n</m:t>
            </m:r>
          </m:e>
          <m:sub>
            <m:r>
              <m:rPr>
                <m:sty m:val="bi"/>
              </m:rPr>
              <w:rPr>
                <w:rFonts w:ascii="Cambria Math" w:hAnsi="Cambria Math" w:cstheme="minorHAnsi"/>
                <w:noProof/>
              </w:rPr>
              <m:t>j</m:t>
            </m:r>
          </m:sub>
        </m:sSub>
      </m:oMath>
      <w:r w:rsidRPr="006E5260">
        <w:rPr>
          <w:rFonts w:cstheme="minorHAnsi"/>
          <w:b/>
          <w:noProof/>
        </w:rPr>
        <w:t xml:space="preserve"> </w:t>
      </w:r>
      <w:r w:rsidRPr="006E5260">
        <w:rPr>
          <w:rFonts w:cstheme="minorHAnsi"/>
          <w:noProof/>
        </w:rPr>
        <w:t xml:space="preserve">expressed as </w:t>
      </w:r>
      <w:r w:rsidRPr="00A51168">
        <w:rPr>
          <w:rFonts w:cstheme="minorHAnsi"/>
          <w:i/>
          <w:noProof/>
        </w:rPr>
        <w:t>eq</w:t>
      </w:r>
      <w:r w:rsidRPr="006E5260">
        <w:rPr>
          <w:rFonts w:cstheme="minorHAnsi"/>
          <w:noProof/>
        </w:rPr>
        <w:t xml:space="preserve">.14, the expression was further transformed into </w:t>
      </w:r>
      <w:r w:rsidRPr="00A51168">
        <w:rPr>
          <w:rFonts w:cstheme="minorHAnsi"/>
          <w:i/>
          <w:noProof/>
        </w:rPr>
        <w:t>eq</w:t>
      </w:r>
      <w:r w:rsidRPr="006E5260">
        <w:rPr>
          <w:rFonts w:cstheme="minorHAnsi"/>
          <w:noProof/>
        </w:rPr>
        <w:t xml:space="preserve">.15, where </w:t>
      </w:r>
      <m:oMath>
        <m:r>
          <w:rPr>
            <w:rFonts w:ascii="Cambria Math" w:hAnsi="Cambria Math" w:cstheme="minorHAnsi"/>
            <w:noProof/>
          </w:rPr>
          <m:t>q=</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2</m:t>
            </m:r>
          </m:sub>
        </m:sSub>
        <m:r>
          <m:rPr>
            <m:sty m:val="p"/>
          </m:rP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3</m:t>
            </m:r>
          </m:sub>
        </m:sSub>
      </m:oMath>
      <w:r w:rsidRPr="006E5260">
        <w:rPr>
          <w:rFonts w:cstheme="minorHAnsi"/>
          <w:noProof/>
        </w:rPr>
        <w:t>:</w:t>
      </w:r>
    </w:p>
    <w:p w14:paraId="31D347A9" w14:textId="77777777" w:rsidR="00B145BE" w:rsidRPr="006E5260" w:rsidRDefault="00077961" w:rsidP="00B145BE">
      <w:pPr>
        <w:spacing w:afterLines="60" w:after="144" w:line="360" w:lineRule="auto"/>
        <w:jc w:val="right"/>
        <w:rPr>
          <w:rFonts w:cstheme="minorHAnsi"/>
          <w:b/>
          <w:noProof/>
        </w:rPr>
      </w:pPr>
      <m:oMath>
        <m:d>
          <m:dPr>
            <m:ctrlPr>
              <w:rPr>
                <w:rFonts w:ascii="Cambria Math" w:hAnsi="Cambria Math" w:cstheme="minorHAnsi"/>
                <w:noProof/>
              </w:rPr>
            </m:ctrlPr>
          </m:dPr>
          <m:e>
            <m:m>
              <m:mPr>
                <m:mcs>
                  <m:mc>
                    <m:mcPr>
                      <m:count m:val="3"/>
                      <m:mcJc m:val="center"/>
                    </m:mcPr>
                  </m:mc>
                </m:mcs>
                <m:ctrlPr>
                  <w:rPr>
                    <w:rFonts w:ascii="Cambria Math" w:hAnsi="Cambria Math" w:cstheme="minorHAnsi"/>
                    <w:noProof/>
                  </w:rPr>
                </m:ctrlPr>
              </m:mPr>
              <m:mr>
                <m:e>
                  <m:r>
                    <m:rPr>
                      <m:sty m:val="p"/>
                    </m:rPr>
                    <w:rPr>
                      <w:rFonts w:ascii="Cambria Math" w:hAnsi="Cambria Math" w:cstheme="minorHAnsi"/>
                      <w:noProof/>
                    </w:rPr>
                    <m:t>0</m:t>
                  </m:r>
                </m:e>
                <m:e>
                  <m:r>
                    <m:rPr>
                      <m:sty m:val="p"/>
                    </m:rPr>
                    <w:rPr>
                      <w:rFonts w:ascii="Cambria Math" w:hAnsi="Cambria Math" w:cstheme="minorHAnsi"/>
                      <w:noProof/>
                    </w:rPr>
                    <m:t>0</m:t>
                  </m:r>
                </m:e>
                <m:e>
                  <m:r>
                    <m:rPr>
                      <m:sty m:val="p"/>
                    </m:rPr>
                    <w:rPr>
                      <w:rFonts w:ascii="Cambria Math" w:hAnsi="Cambria Math" w:cstheme="minorHAnsi"/>
                      <w:noProof/>
                    </w:rPr>
                    <m:t>0</m:t>
                  </m:r>
                </m:e>
              </m:mr>
              <m:mr>
                <m:e>
                  <m:r>
                    <m:rPr>
                      <m:sty m:val="p"/>
                    </m:rPr>
                    <w:rPr>
                      <w:rFonts w:ascii="Cambria Math" w:hAnsi="Cambria Math" w:cstheme="minorHAnsi"/>
                      <w:noProof/>
                    </w:rPr>
                    <m:t>0</m:t>
                  </m:r>
                </m:e>
                <m:e>
                  <m:r>
                    <m:rPr>
                      <m:sty m:val="p"/>
                    </m:rPr>
                    <w:rPr>
                      <w:rFonts w:ascii="Cambria Math" w:hAnsi="Cambria Math" w:cstheme="minorHAnsi"/>
                      <w:noProof/>
                    </w:rPr>
                    <m:t>0</m:t>
                  </m:r>
                </m:e>
                <m:e>
                  <m:r>
                    <w:rPr>
                      <w:rFonts w:ascii="Cambria Math" w:hAnsi="Cambria Math" w:cstheme="minorHAnsi"/>
                      <w:noProof/>
                    </w:rPr>
                    <m:t>-q</m:t>
                  </m:r>
                </m:e>
              </m:mr>
              <m:mr>
                <m:e>
                  <m:r>
                    <m:rPr>
                      <m:sty m:val="p"/>
                    </m:rPr>
                    <w:rPr>
                      <w:rFonts w:ascii="Cambria Math" w:hAnsi="Cambria Math" w:cstheme="minorHAnsi"/>
                      <w:noProof/>
                    </w:rPr>
                    <m:t>0</m:t>
                  </m:r>
                </m:e>
                <m:e>
                  <m:r>
                    <w:rPr>
                      <w:rFonts w:ascii="Cambria Math" w:hAnsi="Cambria Math" w:cstheme="minorHAnsi"/>
                      <w:noProof/>
                    </w:rPr>
                    <m:t>-q</m:t>
                  </m:r>
                </m:e>
                <m:e>
                  <m:r>
                    <m:rPr>
                      <m:sty m:val="p"/>
                    </m:rPr>
                    <w:rPr>
                      <w:rFonts w:ascii="Cambria Math" w:hAnsi="Cambria Math" w:cstheme="minorHAnsi"/>
                      <w:noProof/>
                    </w:rPr>
                    <m:t>0</m:t>
                  </m:r>
                </m:e>
              </m:mr>
            </m:m>
          </m:e>
        </m:d>
        <m:r>
          <m:rPr>
            <m:sty m:val="p"/>
          </m:rPr>
          <w:rPr>
            <w:rFonts w:ascii="Cambria Math" w:hAnsi="Cambria Math" w:cstheme="minorHAnsi"/>
            <w:noProof/>
          </w:rPr>
          <m:t>=</m:t>
        </m:r>
        <m:f>
          <m:fPr>
            <m:ctrlPr>
              <w:rPr>
                <w:rFonts w:ascii="Cambria Math" w:hAnsi="Cambria Math" w:cstheme="minorHAnsi"/>
                <w:noProof/>
              </w:rPr>
            </m:ctrlPr>
          </m:fPr>
          <m:num>
            <m:r>
              <m:rPr>
                <m:sty m:val="p"/>
              </m:rP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b</m:t>
                </m:r>
              </m:e>
              <m:sub>
                <m:r>
                  <w:rPr>
                    <w:rFonts w:ascii="Cambria Math" w:hAnsi="Cambria Math" w:cstheme="minorHAnsi"/>
                    <w:noProof/>
                  </w:rPr>
                  <m:t>i</m:t>
                </m:r>
              </m:sub>
            </m:sSub>
            <m:sSub>
              <m:sSubPr>
                <m:ctrlPr>
                  <w:rPr>
                    <w:rFonts w:ascii="Cambria Math" w:hAnsi="Cambria Math" w:cstheme="minorHAnsi"/>
                    <w:noProof/>
                  </w:rPr>
                </m:ctrlPr>
              </m:sSubPr>
              <m:e>
                <m:r>
                  <w:rPr>
                    <w:rFonts w:ascii="Cambria Math" w:hAnsi="Cambria Math" w:cstheme="minorHAnsi"/>
                    <w:noProof/>
                  </w:rPr>
                  <m:t>n</m:t>
                </m:r>
              </m:e>
              <m:sub>
                <m:r>
                  <w:rPr>
                    <w:rFonts w:ascii="Cambria Math" w:hAnsi="Cambria Math" w:cstheme="minorHAnsi"/>
                    <w:noProof/>
                  </w:rPr>
                  <m:t>j</m:t>
                </m:r>
              </m:sub>
            </m:sSub>
            <m:r>
              <m:rPr>
                <m:sty m:val="p"/>
              </m:rP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b</m:t>
                </m:r>
              </m:e>
              <m:sub>
                <m:r>
                  <w:rPr>
                    <w:rFonts w:ascii="Cambria Math" w:hAnsi="Cambria Math" w:cstheme="minorHAnsi"/>
                    <w:noProof/>
                  </w:rPr>
                  <m:t>j</m:t>
                </m:r>
              </m:sub>
            </m:sSub>
            <m:sSub>
              <m:sSubPr>
                <m:ctrlPr>
                  <w:rPr>
                    <w:rFonts w:ascii="Cambria Math" w:hAnsi="Cambria Math" w:cstheme="minorHAnsi"/>
                    <w:noProof/>
                  </w:rPr>
                </m:ctrlPr>
              </m:sSubPr>
              <m:e>
                <m:r>
                  <w:rPr>
                    <w:rFonts w:ascii="Cambria Math" w:hAnsi="Cambria Math" w:cstheme="minorHAnsi"/>
                    <w:noProof/>
                  </w:rPr>
                  <m:t>n</m:t>
                </m:r>
              </m:e>
              <m:sub>
                <m:r>
                  <w:rPr>
                    <w:rFonts w:ascii="Cambria Math" w:hAnsi="Cambria Math" w:cstheme="minorHAnsi"/>
                    <w:noProof/>
                  </w:rPr>
                  <m:t>i</m:t>
                </m:r>
              </m:sub>
            </m:sSub>
            <m:r>
              <m:rPr>
                <m:sty m:val="p"/>
              </m:rPr>
              <w:rPr>
                <w:rFonts w:ascii="Cambria Math" w:hAnsi="Cambria Math" w:cstheme="minorHAnsi"/>
                <w:noProof/>
              </w:rPr>
              <m:t>)</m:t>
            </m:r>
          </m:num>
          <m:den>
            <m:r>
              <m:rPr>
                <m:sty m:val="p"/>
              </m:rPr>
              <w:rPr>
                <w:rFonts w:ascii="Cambria Math" w:hAnsi="Cambria Math" w:cstheme="minorHAnsi"/>
                <w:noProof/>
              </w:rPr>
              <m:t>2</m:t>
            </m:r>
          </m:den>
        </m:f>
      </m:oMath>
      <w:r w:rsidR="00B145BE" w:rsidRPr="006E5260">
        <w:rPr>
          <w:rFonts w:cstheme="minorHAnsi"/>
          <w:noProof/>
        </w:rPr>
        <w:t>=</w:t>
      </w:r>
      <m:oMath>
        <m:d>
          <m:dPr>
            <m:ctrlPr>
              <w:rPr>
                <w:rFonts w:ascii="Cambria Math" w:hAnsi="Cambria Math" w:cstheme="minorHAnsi"/>
                <w:noProof/>
              </w:rPr>
            </m:ctrlPr>
          </m:dPr>
          <m:e>
            <m:m>
              <m:mPr>
                <m:mcs>
                  <m:mc>
                    <m:mcPr>
                      <m:count m:val="3"/>
                      <m:mcJc m:val="center"/>
                    </m:mcPr>
                  </m:mc>
                </m:mcs>
                <m:ctrlPr>
                  <w:rPr>
                    <w:rFonts w:ascii="Cambria Math" w:hAnsi="Cambria Math" w:cstheme="minorHAnsi"/>
                    <w:noProof/>
                  </w:rPr>
                </m:ctrlPr>
              </m:mPr>
              <m:mr>
                <m:e>
                  <m:sSub>
                    <m:sSubPr>
                      <m:ctrlPr>
                        <w:rPr>
                          <w:rFonts w:ascii="Cambria Math" w:hAnsi="Cambria Math" w:cstheme="minorHAnsi"/>
                          <w:noProof/>
                        </w:rPr>
                      </m:ctrlPr>
                    </m:sSubPr>
                    <m:e>
                      <m:r>
                        <w:rPr>
                          <w:rFonts w:ascii="Cambria Math" w:hAnsi="Cambria Math" w:cstheme="minorHAnsi"/>
                          <w:noProof/>
                        </w:rPr>
                        <m:t>x</m:t>
                      </m:r>
                    </m:e>
                    <m:sub>
                      <m:r>
                        <w:rPr>
                          <w:rFonts w:ascii="Cambria Math" w:hAnsi="Cambria Math" w:cstheme="minorHAnsi"/>
                          <w:noProof/>
                        </w:rPr>
                        <m:t>i</m:t>
                      </m:r>
                    </m:sub>
                  </m:sSub>
                  <m:sSub>
                    <m:sSubPr>
                      <m:ctrlPr>
                        <w:rPr>
                          <w:rFonts w:ascii="Cambria Math" w:hAnsi="Cambria Math" w:cstheme="minorHAnsi"/>
                          <w:noProof/>
                        </w:rPr>
                      </m:ctrlPr>
                    </m:sSubPr>
                    <m:e>
                      <m:r>
                        <w:rPr>
                          <w:rFonts w:ascii="Cambria Math" w:hAnsi="Cambria Math" w:cstheme="minorHAnsi"/>
                          <w:noProof/>
                        </w:rPr>
                        <m:t>h</m:t>
                      </m:r>
                    </m:e>
                    <m:sub>
                      <m:r>
                        <w:rPr>
                          <w:rFonts w:ascii="Cambria Math" w:hAnsi="Cambria Math" w:cstheme="minorHAnsi"/>
                          <w:noProof/>
                        </w:rPr>
                        <m:t>j</m:t>
                      </m:r>
                    </m:sub>
                  </m:sSub>
                </m:e>
                <m:e>
                  <m:sSub>
                    <m:sSubPr>
                      <m:ctrlPr>
                        <w:rPr>
                          <w:rFonts w:ascii="Cambria Math" w:hAnsi="Cambria Math" w:cstheme="minorHAnsi"/>
                          <w:noProof/>
                        </w:rPr>
                      </m:ctrlPr>
                    </m:sSubPr>
                    <m:e>
                      <m:r>
                        <w:rPr>
                          <w:rFonts w:ascii="Cambria Math" w:hAnsi="Cambria Math" w:cstheme="minorHAnsi"/>
                          <w:noProof/>
                        </w:rPr>
                        <m:t>x</m:t>
                      </m:r>
                    </m:e>
                    <m:sub>
                      <m:r>
                        <w:rPr>
                          <w:rFonts w:ascii="Cambria Math" w:hAnsi="Cambria Math" w:cstheme="minorHAnsi"/>
                          <w:noProof/>
                        </w:rPr>
                        <m:t>i</m:t>
                      </m:r>
                    </m:sub>
                  </m:sSub>
                  <m:sSub>
                    <m:sSubPr>
                      <m:ctrlPr>
                        <w:rPr>
                          <w:rFonts w:ascii="Cambria Math" w:hAnsi="Cambria Math" w:cstheme="minorHAnsi"/>
                          <w:noProof/>
                        </w:rPr>
                      </m:ctrlPr>
                    </m:sSubPr>
                    <m:e>
                      <m:r>
                        <w:rPr>
                          <w:rFonts w:ascii="Cambria Math" w:hAnsi="Cambria Math" w:cstheme="minorHAnsi"/>
                          <w:noProof/>
                        </w:rPr>
                        <m:t>k</m:t>
                      </m:r>
                    </m:e>
                    <m:sub>
                      <m:r>
                        <w:rPr>
                          <w:rFonts w:ascii="Cambria Math" w:hAnsi="Cambria Math" w:cstheme="minorHAnsi"/>
                          <w:noProof/>
                        </w:rPr>
                        <m:t>j</m:t>
                      </m:r>
                    </m:sub>
                  </m:sSub>
                </m:e>
                <m:e>
                  <m:sSub>
                    <m:sSubPr>
                      <m:ctrlPr>
                        <w:rPr>
                          <w:rFonts w:ascii="Cambria Math" w:hAnsi="Cambria Math" w:cstheme="minorHAnsi"/>
                          <w:noProof/>
                        </w:rPr>
                      </m:ctrlPr>
                    </m:sSubPr>
                    <m:e>
                      <m:r>
                        <w:rPr>
                          <w:rFonts w:ascii="Cambria Math" w:hAnsi="Cambria Math" w:cstheme="minorHAnsi"/>
                          <w:noProof/>
                        </w:rPr>
                        <m:t>x</m:t>
                      </m:r>
                    </m:e>
                    <m:sub>
                      <m:r>
                        <w:rPr>
                          <w:rFonts w:ascii="Cambria Math" w:hAnsi="Cambria Math" w:cstheme="minorHAnsi"/>
                          <w:noProof/>
                        </w:rPr>
                        <m:t>i</m:t>
                      </m:r>
                    </m:sub>
                  </m:sSub>
                  <m:sSub>
                    <m:sSubPr>
                      <m:ctrlPr>
                        <w:rPr>
                          <w:rFonts w:ascii="Cambria Math" w:hAnsi="Cambria Math" w:cstheme="minorHAnsi"/>
                          <w:noProof/>
                        </w:rPr>
                      </m:ctrlPr>
                    </m:sSubPr>
                    <m:e>
                      <m:r>
                        <w:rPr>
                          <w:rFonts w:ascii="Cambria Math" w:hAnsi="Cambria Math" w:cstheme="minorHAnsi"/>
                          <w:noProof/>
                        </w:rPr>
                        <m:t>l</m:t>
                      </m:r>
                    </m:e>
                    <m:sub>
                      <m:r>
                        <w:rPr>
                          <w:rFonts w:ascii="Cambria Math" w:hAnsi="Cambria Math" w:cstheme="minorHAnsi"/>
                          <w:noProof/>
                        </w:rPr>
                        <m:t>j</m:t>
                      </m:r>
                    </m:sub>
                  </m:sSub>
                </m:e>
              </m:mr>
              <m:mr>
                <m:e>
                  <m:sSub>
                    <m:sSubPr>
                      <m:ctrlPr>
                        <w:rPr>
                          <w:rFonts w:ascii="Cambria Math" w:hAnsi="Cambria Math" w:cstheme="minorHAnsi"/>
                          <w:noProof/>
                        </w:rPr>
                      </m:ctrlPr>
                    </m:sSubPr>
                    <m:e>
                      <m:r>
                        <w:rPr>
                          <w:rFonts w:ascii="Cambria Math" w:hAnsi="Cambria Math" w:cstheme="minorHAnsi"/>
                          <w:noProof/>
                        </w:rPr>
                        <m:t>y</m:t>
                      </m:r>
                    </m:e>
                    <m:sub>
                      <m:r>
                        <w:rPr>
                          <w:rFonts w:ascii="Cambria Math" w:hAnsi="Cambria Math" w:cstheme="minorHAnsi"/>
                          <w:noProof/>
                        </w:rPr>
                        <m:t>i</m:t>
                      </m:r>
                    </m:sub>
                  </m:sSub>
                  <m:sSub>
                    <m:sSubPr>
                      <m:ctrlPr>
                        <w:rPr>
                          <w:rFonts w:ascii="Cambria Math" w:hAnsi="Cambria Math" w:cstheme="minorHAnsi"/>
                          <w:noProof/>
                        </w:rPr>
                      </m:ctrlPr>
                    </m:sSubPr>
                    <m:e>
                      <m:r>
                        <w:rPr>
                          <w:rFonts w:ascii="Cambria Math" w:hAnsi="Cambria Math" w:cstheme="minorHAnsi"/>
                          <w:noProof/>
                        </w:rPr>
                        <m:t>h</m:t>
                      </m:r>
                    </m:e>
                    <m:sub>
                      <m:r>
                        <w:rPr>
                          <w:rFonts w:ascii="Cambria Math" w:hAnsi="Cambria Math" w:cstheme="minorHAnsi"/>
                          <w:noProof/>
                        </w:rPr>
                        <m:t>j</m:t>
                      </m:r>
                    </m:sub>
                  </m:sSub>
                </m:e>
                <m:e>
                  <m:sSub>
                    <m:sSubPr>
                      <m:ctrlPr>
                        <w:rPr>
                          <w:rFonts w:ascii="Cambria Math" w:hAnsi="Cambria Math" w:cstheme="minorHAnsi"/>
                          <w:noProof/>
                        </w:rPr>
                      </m:ctrlPr>
                    </m:sSubPr>
                    <m:e>
                      <m:r>
                        <w:rPr>
                          <w:rFonts w:ascii="Cambria Math" w:hAnsi="Cambria Math" w:cstheme="minorHAnsi"/>
                          <w:noProof/>
                        </w:rPr>
                        <m:t>y</m:t>
                      </m:r>
                    </m:e>
                    <m:sub>
                      <m:r>
                        <w:rPr>
                          <w:rFonts w:ascii="Cambria Math" w:hAnsi="Cambria Math" w:cstheme="minorHAnsi"/>
                          <w:noProof/>
                        </w:rPr>
                        <m:t>i</m:t>
                      </m:r>
                    </m:sub>
                  </m:sSub>
                  <m:sSub>
                    <m:sSubPr>
                      <m:ctrlPr>
                        <w:rPr>
                          <w:rFonts w:ascii="Cambria Math" w:hAnsi="Cambria Math" w:cstheme="minorHAnsi"/>
                          <w:noProof/>
                        </w:rPr>
                      </m:ctrlPr>
                    </m:sSubPr>
                    <m:e>
                      <m:r>
                        <w:rPr>
                          <w:rFonts w:ascii="Cambria Math" w:hAnsi="Cambria Math" w:cstheme="minorHAnsi"/>
                          <w:noProof/>
                        </w:rPr>
                        <m:t>k</m:t>
                      </m:r>
                    </m:e>
                    <m:sub>
                      <m:r>
                        <w:rPr>
                          <w:rFonts w:ascii="Cambria Math" w:hAnsi="Cambria Math" w:cstheme="minorHAnsi"/>
                          <w:noProof/>
                        </w:rPr>
                        <m:t>j</m:t>
                      </m:r>
                    </m:sub>
                  </m:sSub>
                </m:e>
                <m:e>
                  <m:sSub>
                    <m:sSubPr>
                      <m:ctrlPr>
                        <w:rPr>
                          <w:rFonts w:ascii="Cambria Math" w:hAnsi="Cambria Math" w:cstheme="minorHAnsi"/>
                          <w:noProof/>
                        </w:rPr>
                      </m:ctrlPr>
                    </m:sSubPr>
                    <m:e>
                      <m:r>
                        <w:rPr>
                          <w:rFonts w:ascii="Cambria Math" w:hAnsi="Cambria Math" w:cstheme="minorHAnsi"/>
                          <w:noProof/>
                        </w:rPr>
                        <m:t>y</m:t>
                      </m:r>
                    </m:e>
                    <m:sub>
                      <m:r>
                        <w:rPr>
                          <w:rFonts w:ascii="Cambria Math" w:hAnsi="Cambria Math" w:cstheme="minorHAnsi"/>
                          <w:noProof/>
                        </w:rPr>
                        <m:t>i</m:t>
                      </m:r>
                    </m:sub>
                  </m:sSub>
                  <m:sSub>
                    <m:sSubPr>
                      <m:ctrlPr>
                        <w:rPr>
                          <w:rFonts w:ascii="Cambria Math" w:hAnsi="Cambria Math" w:cstheme="minorHAnsi"/>
                          <w:noProof/>
                        </w:rPr>
                      </m:ctrlPr>
                    </m:sSubPr>
                    <m:e>
                      <m:r>
                        <w:rPr>
                          <w:rFonts w:ascii="Cambria Math" w:hAnsi="Cambria Math" w:cstheme="minorHAnsi"/>
                          <w:noProof/>
                        </w:rPr>
                        <m:t>l</m:t>
                      </m:r>
                    </m:e>
                    <m:sub>
                      <m:r>
                        <w:rPr>
                          <w:rFonts w:ascii="Cambria Math" w:hAnsi="Cambria Math" w:cstheme="minorHAnsi"/>
                          <w:noProof/>
                        </w:rPr>
                        <m:t>j</m:t>
                      </m:r>
                    </m:sub>
                  </m:sSub>
                </m:e>
              </m:mr>
              <m:mr>
                <m:e>
                  <m:sSub>
                    <m:sSubPr>
                      <m:ctrlPr>
                        <w:rPr>
                          <w:rFonts w:ascii="Cambria Math" w:hAnsi="Cambria Math" w:cstheme="minorHAnsi"/>
                          <w:noProof/>
                        </w:rPr>
                      </m:ctrlPr>
                    </m:sSubPr>
                    <m:e>
                      <m:r>
                        <w:rPr>
                          <w:rFonts w:ascii="Cambria Math" w:hAnsi="Cambria Math" w:cstheme="minorHAnsi"/>
                          <w:noProof/>
                        </w:rPr>
                        <m:t>z</m:t>
                      </m:r>
                    </m:e>
                    <m:sub>
                      <m:r>
                        <w:rPr>
                          <w:rFonts w:ascii="Cambria Math" w:hAnsi="Cambria Math" w:cstheme="minorHAnsi"/>
                          <w:noProof/>
                        </w:rPr>
                        <m:t>i</m:t>
                      </m:r>
                    </m:sub>
                  </m:sSub>
                  <m:sSub>
                    <m:sSubPr>
                      <m:ctrlPr>
                        <w:rPr>
                          <w:rFonts w:ascii="Cambria Math" w:hAnsi="Cambria Math" w:cstheme="minorHAnsi"/>
                          <w:noProof/>
                        </w:rPr>
                      </m:ctrlPr>
                    </m:sSubPr>
                    <m:e>
                      <m:r>
                        <w:rPr>
                          <w:rFonts w:ascii="Cambria Math" w:hAnsi="Cambria Math" w:cstheme="minorHAnsi"/>
                          <w:noProof/>
                        </w:rPr>
                        <m:t>h</m:t>
                      </m:r>
                    </m:e>
                    <m:sub>
                      <m:r>
                        <w:rPr>
                          <w:rFonts w:ascii="Cambria Math" w:hAnsi="Cambria Math" w:cstheme="minorHAnsi"/>
                          <w:noProof/>
                        </w:rPr>
                        <m:t>j</m:t>
                      </m:r>
                    </m:sub>
                  </m:sSub>
                </m:e>
                <m:e>
                  <m:sSub>
                    <m:sSubPr>
                      <m:ctrlPr>
                        <w:rPr>
                          <w:rFonts w:ascii="Cambria Math" w:hAnsi="Cambria Math" w:cstheme="minorHAnsi"/>
                          <w:noProof/>
                        </w:rPr>
                      </m:ctrlPr>
                    </m:sSubPr>
                    <m:e>
                      <m:r>
                        <w:rPr>
                          <w:rFonts w:ascii="Cambria Math" w:hAnsi="Cambria Math" w:cstheme="minorHAnsi"/>
                          <w:noProof/>
                        </w:rPr>
                        <m:t>z</m:t>
                      </m:r>
                    </m:e>
                    <m:sub>
                      <m:r>
                        <w:rPr>
                          <w:rFonts w:ascii="Cambria Math" w:hAnsi="Cambria Math" w:cstheme="minorHAnsi"/>
                          <w:noProof/>
                        </w:rPr>
                        <m:t>i</m:t>
                      </m:r>
                    </m:sub>
                  </m:sSub>
                  <m:sSub>
                    <m:sSubPr>
                      <m:ctrlPr>
                        <w:rPr>
                          <w:rFonts w:ascii="Cambria Math" w:hAnsi="Cambria Math" w:cstheme="minorHAnsi"/>
                          <w:noProof/>
                        </w:rPr>
                      </m:ctrlPr>
                    </m:sSubPr>
                    <m:e>
                      <m:r>
                        <w:rPr>
                          <w:rFonts w:ascii="Cambria Math" w:hAnsi="Cambria Math" w:cstheme="minorHAnsi"/>
                          <w:noProof/>
                        </w:rPr>
                        <m:t>k</m:t>
                      </m:r>
                    </m:e>
                    <m:sub>
                      <m:r>
                        <w:rPr>
                          <w:rFonts w:ascii="Cambria Math" w:hAnsi="Cambria Math" w:cstheme="minorHAnsi"/>
                          <w:noProof/>
                        </w:rPr>
                        <m:t>j</m:t>
                      </m:r>
                    </m:sub>
                  </m:sSub>
                </m:e>
                <m:e>
                  <m:sSub>
                    <m:sSubPr>
                      <m:ctrlPr>
                        <w:rPr>
                          <w:rFonts w:ascii="Cambria Math" w:hAnsi="Cambria Math" w:cstheme="minorHAnsi"/>
                          <w:noProof/>
                        </w:rPr>
                      </m:ctrlPr>
                    </m:sSubPr>
                    <m:e>
                      <m:r>
                        <w:rPr>
                          <w:rFonts w:ascii="Cambria Math" w:hAnsi="Cambria Math" w:cstheme="minorHAnsi"/>
                          <w:noProof/>
                        </w:rPr>
                        <m:t>z</m:t>
                      </m:r>
                    </m:e>
                    <m:sub>
                      <m:r>
                        <w:rPr>
                          <w:rFonts w:ascii="Cambria Math" w:hAnsi="Cambria Math" w:cstheme="minorHAnsi"/>
                          <w:noProof/>
                        </w:rPr>
                        <m:t>i</m:t>
                      </m:r>
                    </m:sub>
                  </m:sSub>
                  <m:sSub>
                    <m:sSubPr>
                      <m:ctrlPr>
                        <w:rPr>
                          <w:rFonts w:ascii="Cambria Math" w:hAnsi="Cambria Math" w:cstheme="minorHAnsi"/>
                          <w:noProof/>
                        </w:rPr>
                      </m:ctrlPr>
                    </m:sSubPr>
                    <m:e>
                      <m:r>
                        <w:rPr>
                          <w:rFonts w:ascii="Cambria Math" w:hAnsi="Cambria Math" w:cstheme="minorHAnsi"/>
                          <w:noProof/>
                        </w:rPr>
                        <m:t>l</m:t>
                      </m:r>
                    </m:e>
                    <m:sub>
                      <m:r>
                        <w:rPr>
                          <w:rFonts w:ascii="Cambria Math" w:hAnsi="Cambria Math" w:cstheme="minorHAnsi"/>
                          <w:noProof/>
                        </w:rPr>
                        <m:t>j</m:t>
                      </m:r>
                    </m:sub>
                  </m:sSub>
                </m:e>
              </m:mr>
            </m:m>
          </m:e>
        </m:d>
      </m:oMath>
      <w:r w:rsidR="00B145BE" w:rsidRPr="006E5260">
        <w:rPr>
          <w:rFonts w:cstheme="minorHAnsi"/>
          <w:noProof/>
        </w:rPr>
        <w:t>/2+</w:t>
      </w:r>
      <m:oMath>
        <m:d>
          <m:dPr>
            <m:ctrlPr>
              <w:rPr>
                <w:rFonts w:ascii="Cambria Math" w:hAnsi="Cambria Math" w:cstheme="minorHAnsi"/>
                <w:noProof/>
              </w:rPr>
            </m:ctrlPr>
          </m:dPr>
          <m:e>
            <m:m>
              <m:mPr>
                <m:mcs>
                  <m:mc>
                    <m:mcPr>
                      <m:count m:val="3"/>
                      <m:mcJc m:val="center"/>
                    </m:mcPr>
                  </m:mc>
                </m:mcs>
                <m:ctrlPr>
                  <w:rPr>
                    <w:rFonts w:ascii="Cambria Math" w:hAnsi="Cambria Math" w:cstheme="minorHAnsi"/>
                    <w:noProof/>
                  </w:rPr>
                </m:ctrlPr>
              </m:mPr>
              <m:mr>
                <m:e>
                  <m:sSub>
                    <m:sSubPr>
                      <m:ctrlPr>
                        <w:rPr>
                          <w:rFonts w:ascii="Cambria Math" w:hAnsi="Cambria Math" w:cstheme="minorHAnsi"/>
                          <w:noProof/>
                        </w:rPr>
                      </m:ctrlPr>
                    </m:sSubPr>
                    <m:e>
                      <m:r>
                        <w:rPr>
                          <w:rFonts w:ascii="Cambria Math" w:hAnsi="Cambria Math" w:cstheme="minorHAnsi"/>
                          <w:noProof/>
                        </w:rPr>
                        <m:t>x</m:t>
                      </m:r>
                    </m:e>
                    <m:sub>
                      <m:r>
                        <w:rPr>
                          <w:rFonts w:ascii="Cambria Math" w:hAnsi="Cambria Math" w:cstheme="minorHAnsi"/>
                          <w:noProof/>
                        </w:rPr>
                        <m:t>j</m:t>
                      </m:r>
                    </m:sub>
                  </m:sSub>
                  <m:sSub>
                    <m:sSubPr>
                      <m:ctrlPr>
                        <w:rPr>
                          <w:rFonts w:ascii="Cambria Math" w:hAnsi="Cambria Math" w:cstheme="minorHAnsi"/>
                          <w:noProof/>
                        </w:rPr>
                      </m:ctrlPr>
                    </m:sSubPr>
                    <m:e>
                      <m:r>
                        <w:rPr>
                          <w:rFonts w:ascii="Cambria Math" w:hAnsi="Cambria Math" w:cstheme="minorHAnsi"/>
                          <w:noProof/>
                        </w:rPr>
                        <m:t>h</m:t>
                      </m:r>
                    </m:e>
                    <m:sub>
                      <m:r>
                        <w:rPr>
                          <w:rFonts w:ascii="Cambria Math" w:hAnsi="Cambria Math" w:cstheme="minorHAnsi"/>
                          <w:noProof/>
                        </w:rPr>
                        <m:t>i</m:t>
                      </m:r>
                    </m:sub>
                  </m:sSub>
                </m:e>
                <m:e>
                  <m:sSub>
                    <m:sSubPr>
                      <m:ctrlPr>
                        <w:rPr>
                          <w:rFonts w:ascii="Cambria Math" w:hAnsi="Cambria Math" w:cstheme="minorHAnsi"/>
                          <w:noProof/>
                        </w:rPr>
                      </m:ctrlPr>
                    </m:sSubPr>
                    <m:e>
                      <m:r>
                        <w:rPr>
                          <w:rFonts w:ascii="Cambria Math" w:hAnsi="Cambria Math" w:cstheme="minorHAnsi"/>
                          <w:noProof/>
                        </w:rPr>
                        <m:t>x</m:t>
                      </m:r>
                    </m:e>
                    <m:sub>
                      <m:r>
                        <w:rPr>
                          <w:rFonts w:ascii="Cambria Math" w:hAnsi="Cambria Math" w:cstheme="minorHAnsi"/>
                          <w:noProof/>
                        </w:rPr>
                        <m:t>j</m:t>
                      </m:r>
                    </m:sub>
                  </m:sSub>
                  <m:sSub>
                    <m:sSubPr>
                      <m:ctrlPr>
                        <w:rPr>
                          <w:rFonts w:ascii="Cambria Math" w:hAnsi="Cambria Math" w:cstheme="minorHAnsi"/>
                          <w:noProof/>
                        </w:rPr>
                      </m:ctrlPr>
                    </m:sSubPr>
                    <m:e>
                      <m:r>
                        <w:rPr>
                          <w:rFonts w:ascii="Cambria Math" w:hAnsi="Cambria Math" w:cstheme="minorHAnsi"/>
                          <w:noProof/>
                        </w:rPr>
                        <m:t>k</m:t>
                      </m:r>
                    </m:e>
                    <m:sub>
                      <m:r>
                        <w:rPr>
                          <w:rFonts w:ascii="Cambria Math" w:hAnsi="Cambria Math" w:cstheme="minorHAnsi"/>
                          <w:noProof/>
                        </w:rPr>
                        <m:t>i</m:t>
                      </m:r>
                    </m:sub>
                  </m:sSub>
                </m:e>
                <m:e>
                  <m:sSub>
                    <m:sSubPr>
                      <m:ctrlPr>
                        <w:rPr>
                          <w:rFonts w:ascii="Cambria Math" w:hAnsi="Cambria Math" w:cstheme="minorHAnsi"/>
                          <w:noProof/>
                        </w:rPr>
                      </m:ctrlPr>
                    </m:sSubPr>
                    <m:e>
                      <m:r>
                        <w:rPr>
                          <w:rFonts w:ascii="Cambria Math" w:hAnsi="Cambria Math" w:cstheme="minorHAnsi"/>
                          <w:noProof/>
                        </w:rPr>
                        <m:t>x</m:t>
                      </m:r>
                    </m:e>
                    <m:sub>
                      <m:r>
                        <w:rPr>
                          <w:rFonts w:ascii="Cambria Math" w:hAnsi="Cambria Math" w:cstheme="minorHAnsi"/>
                          <w:noProof/>
                        </w:rPr>
                        <m:t>j</m:t>
                      </m:r>
                    </m:sub>
                  </m:sSub>
                  <m:sSub>
                    <m:sSubPr>
                      <m:ctrlPr>
                        <w:rPr>
                          <w:rFonts w:ascii="Cambria Math" w:hAnsi="Cambria Math" w:cstheme="minorHAnsi"/>
                          <w:noProof/>
                        </w:rPr>
                      </m:ctrlPr>
                    </m:sSubPr>
                    <m:e>
                      <m:r>
                        <w:rPr>
                          <w:rFonts w:ascii="Cambria Math" w:hAnsi="Cambria Math" w:cstheme="minorHAnsi"/>
                          <w:noProof/>
                        </w:rPr>
                        <m:t>l</m:t>
                      </m:r>
                    </m:e>
                    <m:sub>
                      <m:r>
                        <w:rPr>
                          <w:rFonts w:ascii="Cambria Math" w:hAnsi="Cambria Math" w:cstheme="minorHAnsi"/>
                          <w:noProof/>
                        </w:rPr>
                        <m:t>i</m:t>
                      </m:r>
                    </m:sub>
                  </m:sSub>
                </m:e>
              </m:mr>
              <m:mr>
                <m:e>
                  <m:sSub>
                    <m:sSubPr>
                      <m:ctrlPr>
                        <w:rPr>
                          <w:rFonts w:ascii="Cambria Math" w:hAnsi="Cambria Math" w:cstheme="minorHAnsi"/>
                          <w:noProof/>
                        </w:rPr>
                      </m:ctrlPr>
                    </m:sSubPr>
                    <m:e>
                      <m:r>
                        <w:rPr>
                          <w:rFonts w:ascii="Cambria Math" w:hAnsi="Cambria Math" w:cstheme="minorHAnsi"/>
                          <w:noProof/>
                        </w:rPr>
                        <m:t>y</m:t>
                      </m:r>
                    </m:e>
                    <m:sub>
                      <m:r>
                        <w:rPr>
                          <w:rFonts w:ascii="Cambria Math" w:hAnsi="Cambria Math" w:cstheme="minorHAnsi"/>
                          <w:noProof/>
                        </w:rPr>
                        <m:t>j</m:t>
                      </m:r>
                    </m:sub>
                  </m:sSub>
                  <m:sSub>
                    <m:sSubPr>
                      <m:ctrlPr>
                        <w:rPr>
                          <w:rFonts w:ascii="Cambria Math" w:hAnsi="Cambria Math" w:cstheme="minorHAnsi"/>
                          <w:noProof/>
                        </w:rPr>
                      </m:ctrlPr>
                    </m:sSubPr>
                    <m:e>
                      <m:r>
                        <w:rPr>
                          <w:rFonts w:ascii="Cambria Math" w:hAnsi="Cambria Math" w:cstheme="minorHAnsi"/>
                          <w:noProof/>
                        </w:rPr>
                        <m:t>h</m:t>
                      </m:r>
                    </m:e>
                    <m:sub>
                      <m:r>
                        <w:rPr>
                          <w:rFonts w:ascii="Cambria Math" w:hAnsi="Cambria Math" w:cstheme="minorHAnsi"/>
                          <w:noProof/>
                        </w:rPr>
                        <m:t>i</m:t>
                      </m:r>
                    </m:sub>
                  </m:sSub>
                </m:e>
                <m:e>
                  <m:sSub>
                    <m:sSubPr>
                      <m:ctrlPr>
                        <w:rPr>
                          <w:rFonts w:ascii="Cambria Math" w:hAnsi="Cambria Math" w:cstheme="minorHAnsi"/>
                          <w:noProof/>
                        </w:rPr>
                      </m:ctrlPr>
                    </m:sSubPr>
                    <m:e>
                      <m:r>
                        <w:rPr>
                          <w:rFonts w:ascii="Cambria Math" w:hAnsi="Cambria Math" w:cstheme="minorHAnsi"/>
                          <w:noProof/>
                        </w:rPr>
                        <m:t>y</m:t>
                      </m:r>
                    </m:e>
                    <m:sub>
                      <m:r>
                        <w:rPr>
                          <w:rFonts w:ascii="Cambria Math" w:hAnsi="Cambria Math" w:cstheme="minorHAnsi"/>
                          <w:noProof/>
                        </w:rPr>
                        <m:t>j</m:t>
                      </m:r>
                    </m:sub>
                  </m:sSub>
                  <m:sSub>
                    <m:sSubPr>
                      <m:ctrlPr>
                        <w:rPr>
                          <w:rFonts w:ascii="Cambria Math" w:hAnsi="Cambria Math" w:cstheme="minorHAnsi"/>
                          <w:noProof/>
                        </w:rPr>
                      </m:ctrlPr>
                    </m:sSubPr>
                    <m:e>
                      <m:r>
                        <w:rPr>
                          <w:rFonts w:ascii="Cambria Math" w:hAnsi="Cambria Math" w:cstheme="minorHAnsi"/>
                          <w:noProof/>
                        </w:rPr>
                        <m:t>k</m:t>
                      </m:r>
                    </m:e>
                    <m:sub>
                      <m:r>
                        <w:rPr>
                          <w:rFonts w:ascii="Cambria Math" w:hAnsi="Cambria Math" w:cstheme="minorHAnsi"/>
                          <w:noProof/>
                        </w:rPr>
                        <m:t>i</m:t>
                      </m:r>
                    </m:sub>
                  </m:sSub>
                </m:e>
                <m:e>
                  <m:sSub>
                    <m:sSubPr>
                      <m:ctrlPr>
                        <w:rPr>
                          <w:rFonts w:ascii="Cambria Math" w:hAnsi="Cambria Math" w:cstheme="minorHAnsi"/>
                          <w:noProof/>
                        </w:rPr>
                      </m:ctrlPr>
                    </m:sSubPr>
                    <m:e>
                      <m:r>
                        <w:rPr>
                          <w:rFonts w:ascii="Cambria Math" w:hAnsi="Cambria Math" w:cstheme="minorHAnsi"/>
                          <w:noProof/>
                        </w:rPr>
                        <m:t>y</m:t>
                      </m:r>
                    </m:e>
                    <m:sub>
                      <m:r>
                        <w:rPr>
                          <w:rFonts w:ascii="Cambria Math" w:hAnsi="Cambria Math" w:cstheme="minorHAnsi"/>
                          <w:noProof/>
                        </w:rPr>
                        <m:t>j</m:t>
                      </m:r>
                    </m:sub>
                  </m:sSub>
                  <m:sSub>
                    <m:sSubPr>
                      <m:ctrlPr>
                        <w:rPr>
                          <w:rFonts w:ascii="Cambria Math" w:hAnsi="Cambria Math" w:cstheme="minorHAnsi"/>
                          <w:noProof/>
                        </w:rPr>
                      </m:ctrlPr>
                    </m:sSubPr>
                    <m:e>
                      <m:r>
                        <w:rPr>
                          <w:rFonts w:ascii="Cambria Math" w:hAnsi="Cambria Math" w:cstheme="minorHAnsi"/>
                          <w:noProof/>
                        </w:rPr>
                        <m:t>l</m:t>
                      </m:r>
                    </m:e>
                    <m:sub>
                      <m:r>
                        <w:rPr>
                          <w:rFonts w:ascii="Cambria Math" w:hAnsi="Cambria Math" w:cstheme="minorHAnsi"/>
                          <w:noProof/>
                        </w:rPr>
                        <m:t>i</m:t>
                      </m:r>
                    </m:sub>
                  </m:sSub>
                </m:e>
              </m:mr>
              <m:mr>
                <m:e>
                  <m:sSub>
                    <m:sSubPr>
                      <m:ctrlPr>
                        <w:rPr>
                          <w:rFonts w:ascii="Cambria Math" w:hAnsi="Cambria Math" w:cstheme="minorHAnsi"/>
                          <w:noProof/>
                        </w:rPr>
                      </m:ctrlPr>
                    </m:sSubPr>
                    <m:e>
                      <m:r>
                        <w:rPr>
                          <w:rFonts w:ascii="Cambria Math" w:hAnsi="Cambria Math" w:cstheme="minorHAnsi"/>
                          <w:noProof/>
                        </w:rPr>
                        <m:t>z</m:t>
                      </m:r>
                    </m:e>
                    <m:sub>
                      <m:r>
                        <w:rPr>
                          <w:rFonts w:ascii="Cambria Math" w:hAnsi="Cambria Math" w:cstheme="minorHAnsi"/>
                          <w:noProof/>
                        </w:rPr>
                        <m:t>j</m:t>
                      </m:r>
                    </m:sub>
                  </m:sSub>
                  <m:sSub>
                    <m:sSubPr>
                      <m:ctrlPr>
                        <w:rPr>
                          <w:rFonts w:ascii="Cambria Math" w:hAnsi="Cambria Math" w:cstheme="minorHAnsi"/>
                          <w:noProof/>
                        </w:rPr>
                      </m:ctrlPr>
                    </m:sSubPr>
                    <m:e>
                      <m:r>
                        <w:rPr>
                          <w:rFonts w:ascii="Cambria Math" w:hAnsi="Cambria Math" w:cstheme="minorHAnsi"/>
                          <w:noProof/>
                        </w:rPr>
                        <m:t>h</m:t>
                      </m:r>
                    </m:e>
                    <m:sub>
                      <m:r>
                        <w:rPr>
                          <w:rFonts w:ascii="Cambria Math" w:hAnsi="Cambria Math" w:cstheme="minorHAnsi"/>
                          <w:noProof/>
                        </w:rPr>
                        <m:t>i</m:t>
                      </m:r>
                    </m:sub>
                  </m:sSub>
                </m:e>
                <m:e>
                  <m:sSub>
                    <m:sSubPr>
                      <m:ctrlPr>
                        <w:rPr>
                          <w:rFonts w:ascii="Cambria Math" w:hAnsi="Cambria Math" w:cstheme="minorHAnsi"/>
                          <w:noProof/>
                        </w:rPr>
                      </m:ctrlPr>
                    </m:sSubPr>
                    <m:e>
                      <m:r>
                        <w:rPr>
                          <w:rFonts w:ascii="Cambria Math" w:hAnsi="Cambria Math" w:cstheme="minorHAnsi"/>
                          <w:noProof/>
                        </w:rPr>
                        <m:t>z</m:t>
                      </m:r>
                    </m:e>
                    <m:sub>
                      <m:r>
                        <w:rPr>
                          <w:rFonts w:ascii="Cambria Math" w:hAnsi="Cambria Math" w:cstheme="minorHAnsi"/>
                          <w:noProof/>
                        </w:rPr>
                        <m:t>j</m:t>
                      </m:r>
                    </m:sub>
                  </m:sSub>
                  <m:sSub>
                    <m:sSubPr>
                      <m:ctrlPr>
                        <w:rPr>
                          <w:rFonts w:ascii="Cambria Math" w:hAnsi="Cambria Math" w:cstheme="minorHAnsi"/>
                          <w:noProof/>
                        </w:rPr>
                      </m:ctrlPr>
                    </m:sSubPr>
                    <m:e>
                      <m:r>
                        <w:rPr>
                          <w:rFonts w:ascii="Cambria Math" w:hAnsi="Cambria Math" w:cstheme="minorHAnsi"/>
                          <w:noProof/>
                        </w:rPr>
                        <m:t>k</m:t>
                      </m:r>
                    </m:e>
                    <m:sub>
                      <m:r>
                        <w:rPr>
                          <w:rFonts w:ascii="Cambria Math" w:hAnsi="Cambria Math" w:cstheme="minorHAnsi"/>
                          <w:noProof/>
                        </w:rPr>
                        <m:t>i</m:t>
                      </m:r>
                    </m:sub>
                  </m:sSub>
                </m:e>
                <m:e>
                  <m:sSub>
                    <m:sSubPr>
                      <m:ctrlPr>
                        <w:rPr>
                          <w:rFonts w:ascii="Cambria Math" w:hAnsi="Cambria Math" w:cstheme="minorHAnsi"/>
                          <w:noProof/>
                        </w:rPr>
                      </m:ctrlPr>
                    </m:sSubPr>
                    <m:e>
                      <m:r>
                        <w:rPr>
                          <w:rFonts w:ascii="Cambria Math" w:hAnsi="Cambria Math" w:cstheme="minorHAnsi"/>
                          <w:noProof/>
                        </w:rPr>
                        <m:t>z</m:t>
                      </m:r>
                    </m:e>
                    <m:sub>
                      <m:r>
                        <w:rPr>
                          <w:rFonts w:ascii="Cambria Math" w:hAnsi="Cambria Math" w:cstheme="minorHAnsi"/>
                          <w:noProof/>
                        </w:rPr>
                        <m:t>j</m:t>
                      </m:r>
                    </m:sub>
                  </m:sSub>
                  <m:sSub>
                    <m:sSubPr>
                      <m:ctrlPr>
                        <w:rPr>
                          <w:rFonts w:ascii="Cambria Math" w:hAnsi="Cambria Math" w:cstheme="minorHAnsi"/>
                          <w:noProof/>
                        </w:rPr>
                      </m:ctrlPr>
                    </m:sSubPr>
                    <m:e>
                      <m:r>
                        <w:rPr>
                          <w:rFonts w:ascii="Cambria Math" w:hAnsi="Cambria Math" w:cstheme="minorHAnsi"/>
                          <w:noProof/>
                        </w:rPr>
                        <m:t>l</m:t>
                      </m:r>
                    </m:e>
                    <m:sub>
                      <m:r>
                        <w:rPr>
                          <w:rFonts w:ascii="Cambria Math" w:hAnsi="Cambria Math" w:cstheme="minorHAnsi"/>
                          <w:noProof/>
                        </w:rPr>
                        <m:t>i</m:t>
                      </m:r>
                    </m:sub>
                  </m:sSub>
                </m:e>
              </m:mr>
            </m:m>
          </m:e>
        </m:d>
      </m:oMath>
      <w:r w:rsidR="00B145BE" w:rsidRPr="006E5260">
        <w:rPr>
          <w:rFonts w:cstheme="minorHAnsi"/>
          <w:noProof/>
        </w:rPr>
        <w:t xml:space="preserve">/2 </w:t>
      </w:r>
      <w:r w:rsidR="00B145BE">
        <w:rPr>
          <w:rFonts w:cstheme="minorHAnsi"/>
          <w:noProof/>
        </w:rPr>
        <w:t xml:space="preserve">          </w:t>
      </w:r>
      <w:r w:rsidR="00B145BE" w:rsidRPr="006E5260">
        <w:rPr>
          <w:rFonts w:cstheme="minorHAnsi"/>
          <w:noProof/>
        </w:rPr>
        <w:t>(15)</w:t>
      </w:r>
    </w:p>
    <w:p w14:paraId="1170DE29" w14:textId="77777777" w:rsidR="00B145BE" w:rsidRPr="006E5260" w:rsidRDefault="00B145BE" w:rsidP="00B145BE">
      <w:pPr>
        <w:spacing w:afterLines="60" w:after="144" w:line="360" w:lineRule="auto"/>
        <w:rPr>
          <w:rFonts w:cstheme="minorHAnsi"/>
          <w:noProof/>
        </w:rPr>
      </w:pPr>
      <w:r w:rsidRPr="006E5260">
        <w:rPr>
          <w:rFonts w:cstheme="minorHAnsi"/>
          <w:noProof/>
        </w:rPr>
        <w:t>Considering</w:t>
      </w:r>
      <m:oMath>
        <m:r>
          <m:rPr>
            <m:sty m:val="bi"/>
          </m:rPr>
          <w:rPr>
            <w:rFonts w:ascii="Cambria Math" w:hAnsi="Cambria Math" w:cstheme="minorHAnsi"/>
            <w:noProof/>
          </w:rPr>
          <m:t xml:space="preserve"> n</m:t>
        </m:r>
      </m:oMath>
      <w:r w:rsidRPr="006E5260">
        <w:rPr>
          <w:rFonts w:cstheme="minorHAnsi"/>
          <w:b/>
          <w:noProof/>
        </w:rPr>
        <w:t xml:space="preserve"> </w:t>
      </w:r>
      <w:r w:rsidRPr="006E5260">
        <w:rPr>
          <w:rFonts w:cstheme="minorHAnsi"/>
          <w:noProof/>
        </w:rPr>
        <w:t>is the twin</w:t>
      </w:r>
      <w:r>
        <w:rPr>
          <w:rFonts w:cstheme="minorHAnsi"/>
          <w:noProof/>
        </w:rPr>
        <w:t>n</w:t>
      </w:r>
      <w:r w:rsidRPr="006E5260">
        <w:rPr>
          <w:rFonts w:cstheme="minorHAnsi"/>
          <w:noProof/>
        </w:rPr>
        <w:t xml:space="preserve">ing plane and </w:t>
      </w:r>
      <m:oMath>
        <m:r>
          <m:rPr>
            <m:sty m:val="bi"/>
          </m:rPr>
          <w:rPr>
            <w:rFonts w:ascii="Cambria Math" w:hAnsi="Cambria Math" w:cstheme="minorHAnsi"/>
            <w:noProof/>
          </w:rPr>
          <m:t>b</m:t>
        </m:r>
      </m:oMath>
      <w:r w:rsidRPr="006E5260">
        <w:rPr>
          <w:rFonts w:cstheme="minorHAnsi"/>
          <w:noProof/>
        </w:rPr>
        <w:t xml:space="preserve"> is the twin</w:t>
      </w:r>
      <w:r>
        <w:rPr>
          <w:rFonts w:cstheme="minorHAnsi"/>
          <w:noProof/>
        </w:rPr>
        <w:t>n</w:t>
      </w:r>
      <w:r w:rsidRPr="006E5260">
        <w:rPr>
          <w:rFonts w:cstheme="minorHAnsi"/>
          <w:noProof/>
        </w:rPr>
        <w:t>ing direction then:</w:t>
      </w:r>
    </w:p>
    <w:p w14:paraId="3207947A" w14:textId="77777777" w:rsidR="00B145BE" w:rsidRPr="006E5260" w:rsidRDefault="00077961" w:rsidP="00B145BE">
      <w:pPr>
        <w:spacing w:afterLines="60" w:after="144" w:line="360" w:lineRule="auto"/>
        <w:jc w:val="right"/>
        <w:rPr>
          <w:rFonts w:cstheme="minorHAnsi"/>
          <w:noProof/>
        </w:rPr>
      </w:pPr>
      <m:oMath>
        <m:sSub>
          <m:sSubPr>
            <m:ctrlPr>
              <w:rPr>
                <w:rFonts w:ascii="Cambria Math" w:hAnsi="Cambria Math" w:cstheme="minorHAnsi"/>
                <w:b/>
                <w:i/>
                <w:noProof/>
              </w:rPr>
            </m:ctrlPr>
          </m:sSubPr>
          <m:e>
            <m:r>
              <m:rPr>
                <m:sty m:val="bi"/>
              </m:rPr>
              <w:rPr>
                <w:rFonts w:ascii="Cambria Math" w:hAnsi="Cambria Math" w:cstheme="minorHAnsi"/>
                <w:noProof/>
              </w:rPr>
              <m:t>n</m:t>
            </m:r>
          </m:e>
          <m:sub>
            <m:r>
              <m:rPr>
                <m:sty m:val="bi"/>
              </m:rPr>
              <w:rPr>
                <w:rFonts w:ascii="Cambria Math" w:hAnsi="Cambria Math" w:cstheme="minorHAnsi"/>
                <w:noProof/>
              </w:rPr>
              <m:t>i</m:t>
            </m:r>
          </m:sub>
        </m:sSub>
        <m:r>
          <m:rPr>
            <m:sty m:val="bi"/>
          </m:rPr>
          <w:rPr>
            <w:rFonts w:ascii="Cambria Math" w:hAnsi="Cambria Math" w:cstheme="minorHAnsi"/>
            <w:noProof/>
          </w:rPr>
          <m:t>∙</m:t>
        </m:r>
        <m:sSub>
          <m:sSubPr>
            <m:ctrlPr>
              <w:rPr>
                <w:rFonts w:ascii="Cambria Math" w:hAnsi="Cambria Math" w:cstheme="minorHAnsi"/>
                <w:b/>
                <w:i/>
                <w:noProof/>
              </w:rPr>
            </m:ctrlPr>
          </m:sSubPr>
          <m:e>
            <m:r>
              <m:rPr>
                <m:sty m:val="bi"/>
              </m:rPr>
              <w:rPr>
                <w:rFonts w:ascii="Cambria Math" w:hAnsi="Cambria Math" w:cstheme="minorHAnsi"/>
                <w:noProof/>
              </w:rPr>
              <m:t>b</m:t>
            </m:r>
          </m:e>
          <m:sub>
            <m:r>
              <m:rPr>
                <m:sty m:val="bi"/>
              </m:rPr>
              <w:rPr>
                <w:rFonts w:ascii="Cambria Math" w:hAnsi="Cambria Math" w:cstheme="minorHAnsi"/>
                <w:noProof/>
              </w:rPr>
              <m:t>j</m:t>
            </m:r>
          </m:sub>
        </m:sSub>
      </m:oMath>
      <w:r w:rsidR="00B145BE" w:rsidRPr="006E5260">
        <w:rPr>
          <w:rFonts w:cstheme="minorHAnsi"/>
          <w:noProof/>
        </w:rPr>
        <w:t>=</w:t>
      </w:r>
      <w:r w:rsidR="00B145BE" w:rsidRPr="006E5260">
        <w:rPr>
          <w:rFonts w:cstheme="minorHAnsi"/>
          <w:b/>
          <w:noProof/>
        </w:rPr>
        <w:t xml:space="preserve"> </w:t>
      </w:r>
      <m:oMath>
        <m:sSub>
          <m:sSubPr>
            <m:ctrlPr>
              <w:rPr>
                <w:rFonts w:ascii="Cambria Math" w:hAnsi="Cambria Math" w:cstheme="minorHAnsi"/>
                <w:b/>
                <w:i/>
                <w:noProof/>
              </w:rPr>
            </m:ctrlPr>
          </m:sSubPr>
          <m:e>
            <m:r>
              <m:rPr>
                <m:sty m:val="bi"/>
              </m:rPr>
              <w:rPr>
                <w:rFonts w:ascii="Cambria Math" w:hAnsi="Cambria Math" w:cstheme="minorHAnsi"/>
                <w:noProof/>
              </w:rPr>
              <m:t>n</m:t>
            </m:r>
          </m:e>
          <m:sub>
            <m:r>
              <m:rPr>
                <m:sty m:val="bi"/>
              </m:rPr>
              <w:rPr>
                <w:rFonts w:ascii="Cambria Math" w:hAnsi="Cambria Math" w:cstheme="minorHAnsi"/>
                <w:noProof/>
              </w:rPr>
              <m:t>j</m:t>
            </m:r>
          </m:sub>
        </m:sSub>
        <m:r>
          <m:rPr>
            <m:sty m:val="bi"/>
          </m:rPr>
          <w:rPr>
            <w:rFonts w:ascii="Cambria Math" w:hAnsi="Cambria Math" w:cstheme="minorHAnsi"/>
            <w:noProof/>
          </w:rPr>
          <m:t>∙</m:t>
        </m:r>
        <m:sSub>
          <m:sSubPr>
            <m:ctrlPr>
              <w:rPr>
                <w:rFonts w:ascii="Cambria Math" w:hAnsi="Cambria Math" w:cstheme="minorHAnsi"/>
                <w:b/>
                <w:i/>
                <w:noProof/>
              </w:rPr>
            </m:ctrlPr>
          </m:sSubPr>
          <m:e>
            <m:r>
              <m:rPr>
                <m:sty m:val="bi"/>
              </m:rPr>
              <w:rPr>
                <w:rFonts w:ascii="Cambria Math" w:hAnsi="Cambria Math" w:cstheme="minorHAnsi"/>
                <w:noProof/>
              </w:rPr>
              <m:t>b</m:t>
            </m:r>
          </m:e>
          <m:sub>
            <m:r>
              <m:rPr>
                <m:sty m:val="bi"/>
              </m:rPr>
              <w:rPr>
                <w:rFonts w:ascii="Cambria Math" w:hAnsi="Cambria Math" w:cstheme="minorHAnsi"/>
                <w:noProof/>
              </w:rPr>
              <m:t>i</m:t>
            </m:r>
          </m:sub>
        </m:sSub>
      </m:oMath>
      <w:r w:rsidR="00B145BE" w:rsidRPr="006E5260">
        <w:rPr>
          <w:rFonts w:cstheme="minorHAnsi"/>
          <w:noProof/>
        </w:rPr>
        <w:t>=</w:t>
      </w:r>
      <m:oMath>
        <m:sSub>
          <m:sSubPr>
            <m:ctrlPr>
              <w:rPr>
                <w:rFonts w:ascii="Cambria Math" w:hAnsi="Cambria Math" w:cstheme="minorHAnsi"/>
                <w:noProof/>
              </w:rPr>
            </m:ctrlPr>
          </m:sSubPr>
          <m:e>
            <m:r>
              <w:rPr>
                <w:rFonts w:ascii="Cambria Math" w:hAnsi="Cambria Math" w:cstheme="minorHAnsi"/>
                <w:noProof/>
              </w:rPr>
              <m:t>x</m:t>
            </m:r>
          </m:e>
          <m:sub>
            <m:r>
              <w:rPr>
                <w:rFonts w:ascii="Cambria Math" w:hAnsi="Cambria Math" w:cstheme="minorHAnsi"/>
                <w:noProof/>
              </w:rPr>
              <m:t>j</m:t>
            </m:r>
          </m:sub>
        </m:sSub>
        <m:sSub>
          <m:sSubPr>
            <m:ctrlPr>
              <w:rPr>
                <w:rFonts w:ascii="Cambria Math" w:hAnsi="Cambria Math" w:cstheme="minorHAnsi"/>
                <w:noProof/>
              </w:rPr>
            </m:ctrlPr>
          </m:sSubPr>
          <m:e>
            <m:r>
              <w:rPr>
                <w:rFonts w:ascii="Cambria Math" w:hAnsi="Cambria Math" w:cstheme="minorHAnsi"/>
                <w:noProof/>
              </w:rPr>
              <m:t>h</m:t>
            </m:r>
          </m:e>
          <m:sub>
            <m:r>
              <w:rPr>
                <w:rFonts w:ascii="Cambria Math" w:hAnsi="Cambria Math" w:cstheme="minorHAnsi"/>
                <w:noProof/>
              </w:rPr>
              <m:t>i</m:t>
            </m:r>
          </m:sub>
        </m:sSub>
      </m:oMath>
      <w:r w:rsidR="00B145BE" w:rsidRPr="006E5260">
        <w:rPr>
          <w:rFonts w:cstheme="minorHAnsi"/>
          <w:noProof/>
        </w:rPr>
        <w:t>+</w:t>
      </w:r>
      <m:oMath>
        <m:sSub>
          <m:sSubPr>
            <m:ctrlPr>
              <w:rPr>
                <w:rFonts w:ascii="Cambria Math" w:hAnsi="Cambria Math" w:cstheme="minorHAnsi"/>
                <w:noProof/>
              </w:rPr>
            </m:ctrlPr>
          </m:sSubPr>
          <m:e>
            <m:r>
              <w:rPr>
                <w:rFonts w:ascii="Cambria Math" w:hAnsi="Cambria Math" w:cstheme="minorHAnsi"/>
                <w:noProof/>
              </w:rPr>
              <m:t>y</m:t>
            </m:r>
          </m:e>
          <m:sub>
            <m:r>
              <w:rPr>
                <w:rFonts w:ascii="Cambria Math" w:hAnsi="Cambria Math" w:cstheme="minorHAnsi"/>
                <w:noProof/>
              </w:rPr>
              <m:t>j</m:t>
            </m:r>
          </m:sub>
        </m:sSub>
        <m:sSub>
          <m:sSubPr>
            <m:ctrlPr>
              <w:rPr>
                <w:rFonts w:ascii="Cambria Math" w:hAnsi="Cambria Math" w:cstheme="minorHAnsi"/>
                <w:noProof/>
              </w:rPr>
            </m:ctrlPr>
          </m:sSubPr>
          <m:e>
            <m:r>
              <w:rPr>
                <w:rFonts w:ascii="Cambria Math" w:hAnsi="Cambria Math" w:cstheme="minorHAnsi"/>
                <w:noProof/>
              </w:rPr>
              <m:t>k</m:t>
            </m:r>
          </m:e>
          <m:sub>
            <m:r>
              <w:rPr>
                <w:rFonts w:ascii="Cambria Math" w:hAnsi="Cambria Math" w:cstheme="minorHAnsi"/>
                <w:noProof/>
              </w:rPr>
              <m:t>i</m:t>
            </m:r>
          </m:sub>
        </m:sSub>
      </m:oMath>
      <w:r w:rsidR="00B145BE" w:rsidRPr="006E5260">
        <w:rPr>
          <w:rFonts w:cstheme="minorHAnsi"/>
          <w:noProof/>
        </w:rPr>
        <w:t>+</w:t>
      </w:r>
      <m:oMath>
        <m:sSub>
          <m:sSubPr>
            <m:ctrlPr>
              <w:rPr>
                <w:rFonts w:ascii="Cambria Math" w:hAnsi="Cambria Math" w:cstheme="minorHAnsi"/>
                <w:noProof/>
              </w:rPr>
            </m:ctrlPr>
          </m:sSubPr>
          <m:e>
            <m:r>
              <w:rPr>
                <w:rFonts w:ascii="Cambria Math" w:hAnsi="Cambria Math" w:cstheme="minorHAnsi"/>
                <w:noProof/>
              </w:rPr>
              <m:t>z</m:t>
            </m:r>
          </m:e>
          <m:sub>
            <m:r>
              <w:rPr>
                <w:rFonts w:ascii="Cambria Math" w:hAnsi="Cambria Math" w:cstheme="minorHAnsi"/>
                <w:noProof/>
              </w:rPr>
              <m:t>j</m:t>
            </m:r>
          </m:sub>
        </m:sSub>
        <m:sSub>
          <m:sSubPr>
            <m:ctrlPr>
              <w:rPr>
                <w:rFonts w:ascii="Cambria Math" w:hAnsi="Cambria Math" w:cstheme="minorHAnsi"/>
                <w:noProof/>
              </w:rPr>
            </m:ctrlPr>
          </m:sSubPr>
          <m:e>
            <m:r>
              <w:rPr>
                <w:rFonts w:ascii="Cambria Math" w:hAnsi="Cambria Math" w:cstheme="minorHAnsi"/>
                <w:noProof/>
              </w:rPr>
              <m:t>l</m:t>
            </m:r>
          </m:e>
          <m:sub>
            <m:r>
              <w:rPr>
                <w:rFonts w:ascii="Cambria Math" w:hAnsi="Cambria Math" w:cstheme="minorHAnsi"/>
                <w:noProof/>
              </w:rPr>
              <m:t>i</m:t>
            </m:r>
          </m:sub>
        </m:sSub>
      </m:oMath>
      <w:r w:rsidR="00B145BE" w:rsidRPr="006E5260">
        <w:rPr>
          <w:rFonts w:cstheme="minorHAnsi"/>
          <w:noProof/>
        </w:rPr>
        <w:t>=</w:t>
      </w:r>
      <m:oMath>
        <m:sSub>
          <m:sSubPr>
            <m:ctrlPr>
              <w:rPr>
                <w:rFonts w:ascii="Cambria Math" w:hAnsi="Cambria Math" w:cstheme="minorHAnsi"/>
                <w:noProof/>
              </w:rPr>
            </m:ctrlPr>
          </m:sSubPr>
          <m:e>
            <m:r>
              <w:rPr>
                <w:rFonts w:ascii="Cambria Math" w:hAnsi="Cambria Math" w:cstheme="minorHAnsi"/>
                <w:noProof/>
              </w:rPr>
              <m:t>x</m:t>
            </m:r>
          </m:e>
          <m:sub>
            <m:r>
              <w:rPr>
                <w:rFonts w:ascii="Cambria Math" w:hAnsi="Cambria Math" w:cstheme="minorHAnsi"/>
                <w:noProof/>
              </w:rPr>
              <m:t>i</m:t>
            </m:r>
          </m:sub>
        </m:sSub>
        <m:sSub>
          <m:sSubPr>
            <m:ctrlPr>
              <w:rPr>
                <w:rFonts w:ascii="Cambria Math" w:hAnsi="Cambria Math" w:cstheme="minorHAnsi"/>
                <w:noProof/>
              </w:rPr>
            </m:ctrlPr>
          </m:sSubPr>
          <m:e>
            <m:r>
              <w:rPr>
                <w:rFonts w:ascii="Cambria Math" w:hAnsi="Cambria Math" w:cstheme="minorHAnsi"/>
                <w:noProof/>
              </w:rPr>
              <m:t>h</m:t>
            </m:r>
          </m:e>
          <m:sub>
            <m:r>
              <w:rPr>
                <w:rFonts w:ascii="Cambria Math" w:hAnsi="Cambria Math" w:cstheme="minorHAnsi"/>
                <w:noProof/>
              </w:rPr>
              <m:t>j</m:t>
            </m:r>
          </m:sub>
        </m:sSub>
      </m:oMath>
      <w:r w:rsidR="00B145BE" w:rsidRPr="006E5260">
        <w:rPr>
          <w:rFonts w:cstheme="minorHAnsi"/>
          <w:noProof/>
        </w:rPr>
        <w:t>+</w:t>
      </w:r>
      <m:oMath>
        <m:sSub>
          <m:sSubPr>
            <m:ctrlPr>
              <w:rPr>
                <w:rFonts w:ascii="Cambria Math" w:hAnsi="Cambria Math" w:cstheme="minorHAnsi"/>
                <w:noProof/>
              </w:rPr>
            </m:ctrlPr>
          </m:sSubPr>
          <m:e>
            <m:r>
              <w:rPr>
                <w:rFonts w:ascii="Cambria Math" w:hAnsi="Cambria Math" w:cstheme="minorHAnsi"/>
                <w:noProof/>
              </w:rPr>
              <m:t>y</m:t>
            </m:r>
          </m:e>
          <m:sub>
            <m:r>
              <w:rPr>
                <w:rFonts w:ascii="Cambria Math" w:hAnsi="Cambria Math" w:cstheme="minorHAnsi"/>
                <w:noProof/>
              </w:rPr>
              <m:t>i</m:t>
            </m:r>
          </m:sub>
        </m:sSub>
        <m:sSub>
          <m:sSubPr>
            <m:ctrlPr>
              <w:rPr>
                <w:rFonts w:ascii="Cambria Math" w:hAnsi="Cambria Math" w:cstheme="minorHAnsi"/>
                <w:noProof/>
              </w:rPr>
            </m:ctrlPr>
          </m:sSubPr>
          <m:e>
            <m:r>
              <w:rPr>
                <w:rFonts w:ascii="Cambria Math" w:hAnsi="Cambria Math" w:cstheme="minorHAnsi"/>
                <w:noProof/>
              </w:rPr>
              <m:t>k</m:t>
            </m:r>
          </m:e>
          <m:sub>
            <m:r>
              <w:rPr>
                <w:rFonts w:ascii="Cambria Math" w:hAnsi="Cambria Math" w:cstheme="minorHAnsi"/>
                <w:noProof/>
              </w:rPr>
              <m:t>j</m:t>
            </m:r>
          </m:sub>
        </m:sSub>
      </m:oMath>
      <w:r w:rsidR="00B145BE" w:rsidRPr="006E5260">
        <w:rPr>
          <w:rFonts w:cstheme="minorHAnsi"/>
          <w:noProof/>
        </w:rPr>
        <w:t>+</w:t>
      </w:r>
      <m:oMath>
        <m:sSub>
          <m:sSubPr>
            <m:ctrlPr>
              <w:rPr>
                <w:rFonts w:ascii="Cambria Math" w:hAnsi="Cambria Math" w:cstheme="minorHAnsi"/>
                <w:noProof/>
              </w:rPr>
            </m:ctrlPr>
          </m:sSubPr>
          <m:e>
            <m:r>
              <w:rPr>
                <w:rFonts w:ascii="Cambria Math" w:hAnsi="Cambria Math" w:cstheme="minorHAnsi"/>
                <w:noProof/>
              </w:rPr>
              <m:t>z</m:t>
            </m:r>
          </m:e>
          <m:sub>
            <m:r>
              <w:rPr>
                <w:rFonts w:ascii="Cambria Math" w:hAnsi="Cambria Math" w:cstheme="minorHAnsi"/>
                <w:noProof/>
              </w:rPr>
              <m:t>i</m:t>
            </m:r>
          </m:sub>
        </m:sSub>
        <m:sSub>
          <m:sSubPr>
            <m:ctrlPr>
              <w:rPr>
                <w:rFonts w:ascii="Cambria Math" w:hAnsi="Cambria Math" w:cstheme="minorHAnsi"/>
                <w:noProof/>
              </w:rPr>
            </m:ctrlPr>
          </m:sSubPr>
          <m:e>
            <m:r>
              <w:rPr>
                <w:rFonts w:ascii="Cambria Math" w:hAnsi="Cambria Math" w:cstheme="minorHAnsi"/>
                <w:noProof/>
              </w:rPr>
              <m:t>l</m:t>
            </m:r>
          </m:e>
          <m:sub>
            <m:r>
              <w:rPr>
                <w:rFonts w:ascii="Cambria Math" w:hAnsi="Cambria Math" w:cstheme="minorHAnsi"/>
                <w:noProof/>
              </w:rPr>
              <m:t>j</m:t>
            </m:r>
          </m:sub>
        </m:sSub>
      </m:oMath>
      <w:r w:rsidR="00B145BE" w:rsidRPr="006E5260">
        <w:rPr>
          <w:rFonts w:cstheme="minorHAnsi"/>
          <w:noProof/>
        </w:rPr>
        <w:t xml:space="preserve">=0        </w:t>
      </w:r>
      <w:r w:rsidR="00B145BE">
        <w:rPr>
          <w:rFonts w:cstheme="minorHAnsi"/>
          <w:noProof/>
        </w:rPr>
        <w:t xml:space="preserve">                    </w:t>
      </w:r>
      <w:r w:rsidR="00B145BE" w:rsidRPr="006E5260">
        <w:rPr>
          <w:rFonts w:cstheme="minorHAnsi"/>
          <w:noProof/>
        </w:rPr>
        <w:t xml:space="preserve">    (16)</w:t>
      </w:r>
    </w:p>
    <w:p w14:paraId="67D7CE08" w14:textId="77777777" w:rsidR="00B145BE" w:rsidRPr="006E5260" w:rsidRDefault="00B145BE" w:rsidP="00B145BE">
      <w:pPr>
        <w:spacing w:afterLines="60" w:after="144" w:line="360" w:lineRule="auto"/>
        <w:rPr>
          <w:rFonts w:cstheme="minorHAnsi"/>
          <w:noProof/>
        </w:rPr>
      </w:pPr>
      <w:r w:rsidRPr="006E5260">
        <w:rPr>
          <w:rFonts w:cstheme="minorHAnsi"/>
          <w:noProof/>
        </w:rPr>
        <w:t xml:space="preserve">By solving </w:t>
      </w:r>
      <w:r w:rsidRPr="00A51168">
        <w:rPr>
          <w:rFonts w:cstheme="minorHAnsi"/>
          <w:i/>
          <w:noProof/>
        </w:rPr>
        <w:t>eq</w:t>
      </w:r>
      <w:r w:rsidRPr="006E5260">
        <w:rPr>
          <w:rFonts w:cstheme="minorHAnsi"/>
          <w:noProof/>
        </w:rPr>
        <w:t xml:space="preserve">.15 and </w:t>
      </w:r>
      <w:r w:rsidRPr="00A51168">
        <w:rPr>
          <w:rFonts w:cstheme="minorHAnsi"/>
          <w:i/>
          <w:noProof/>
        </w:rPr>
        <w:t>eq</w:t>
      </w:r>
      <w:r w:rsidRPr="006E5260">
        <w:rPr>
          <w:rFonts w:cstheme="minorHAnsi"/>
          <w:noProof/>
        </w:rPr>
        <w:t>.16</w:t>
      </w:r>
      <m:oMath>
        <m:r>
          <w:rPr>
            <w:rFonts w:ascii="Cambria Math" w:hAnsi="Cambria Math" w:cstheme="minorHAnsi"/>
            <w:noProof/>
          </w:rPr>
          <m:t>,</m:t>
        </m:r>
        <m:r>
          <m:rPr>
            <m:sty m:val="bi"/>
          </m:rPr>
          <w:rPr>
            <w:rFonts w:ascii="Cambria Math" w:hAnsi="Cambria Math" w:cstheme="minorHAnsi"/>
            <w:noProof/>
          </w:rPr>
          <m:t xml:space="preserve"> n</m:t>
        </m:r>
      </m:oMath>
      <w:r w:rsidRPr="006E5260">
        <w:rPr>
          <w:rFonts w:cstheme="minorHAnsi"/>
          <w:noProof/>
        </w:rPr>
        <w:t xml:space="preserve"> and </w:t>
      </w:r>
      <m:oMath>
        <m:r>
          <m:rPr>
            <m:sty m:val="bi"/>
          </m:rPr>
          <w:rPr>
            <w:rFonts w:ascii="Cambria Math" w:hAnsi="Cambria Math" w:cstheme="minorHAnsi"/>
            <w:noProof/>
          </w:rPr>
          <m:t>b</m:t>
        </m:r>
      </m:oMath>
      <w:r w:rsidRPr="006E5260">
        <w:rPr>
          <w:rFonts w:cstheme="minorHAnsi"/>
          <w:noProof/>
        </w:rPr>
        <w:t xml:space="preserve"> were obtained as</w:t>
      </w:r>
      <w:r>
        <w:rPr>
          <w:rFonts w:cstheme="minorHAnsi"/>
          <w:noProof/>
        </w:rPr>
        <w:t xml:space="preserve"> </w:t>
      </w:r>
      <w:r w:rsidRPr="006E5260">
        <w:rPr>
          <w:rFonts w:cstheme="minorHAnsi"/>
          <w:noProof/>
        </w:rPr>
        <w:t xml:space="preserve">(vectors </w:t>
      </w:r>
      <w:r>
        <w:rPr>
          <w:rFonts w:cstheme="minorHAnsi"/>
          <w:noProof/>
        </w:rPr>
        <w:t xml:space="preserve">were </w:t>
      </w:r>
      <w:r w:rsidRPr="006E5260">
        <w:rPr>
          <w:rFonts w:cstheme="minorHAnsi"/>
          <w:noProof/>
        </w:rPr>
        <w:t>repres</w:t>
      </w:r>
      <w:r>
        <w:rPr>
          <w:rFonts w:cstheme="minorHAnsi"/>
          <w:noProof/>
        </w:rPr>
        <w:t>en</w:t>
      </w:r>
      <w:r w:rsidRPr="006E5260">
        <w:rPr>
          <w:rFonts w:cstheme="minorHAnsi"/>
          <w:noProof/>
        </w:rPr>
        <w:t>ted in cubic coordinates):</w:t>
      </w:r>
    </w:p>
    <w:p w14:paraId="5D07EE35" w14:textId="630E534C" w:rsidR="00B145BE" w:rsidRPr="006E5260" w:rsidRDefault="00FC2A71" w:rsidP="00B145BE">
      <w:pPr>
        <w:spacing w:afterLines="60" w:after="144" w:line="360" w:lineRule="auto"/>
        <w:ind w:right="110"/>
        <w:jc w:val="center"/>
        <w:rPr>
          <w:rFonts w:cstheme="minorHAnsi"/>
          <w:noProof/>
        </w:rPr>
      </w:pPr>
      <w:r>
        <w:rPr>
          <w:rFonts w:cstheme="minorHAnsi"/>
          <w:b/>
          <w:noProof/>
        </w:rPr>
        <w:t xml:space="preserve">      </w:t>
      </w:r>
      <m:oMath>
        <m:r>
          <m:rPr>
            <m:sty m:val="bi"/>
          </m:rPr>
          <w:rPr>
            <w:rFonts w:ascii="Cambria Math" w:hAnsi="Cambria Math" w:cstheme="minorHAnsi"/>
            <w:noProof/>
          </w:rPr>
          <m:t>b</m:t>
        </m:r>
      </m:oMath>
      <w:r w:rsidR="00B145BE" w:rsidRPr="006E5260">
        <w:rPr>
          <w:rFonts w:cstheme="minorHAnsi"/>
          <w:noProof/>
        </w:rPr>
        <w:t>=[0, -2q, 0]</w:t>
      </w:r>
      <w:r w:rsidR="00B145BE" w:rsidRPr="006E5260">
        <w:rPr>
          <w:rFonts w:cstheme="minorHAnsi"/>
          <w:noProof/>
          <w:vertAlign w:val="subscript"/>
        </w:rPr>
        <w:t>β</w:t>
      </w:r>
      <w:r w:rsidR="00B145BE" w:rsidRPr="006E5260">
        <w:rPr>
          <w:rFonts w:cstheme="minorHAnsi"/>
          <w:noProof/>
        </w:rPr>
        <w:t xml:space="preserve"> </w:t>
      </w:r>
      <m:oMath>
        <m:r>
          <m:rPr>
            <m:sty m:val="bi"/>
          </m:rPr>
          <w:rPr>
            <w:rFonts w:ascii="Cambria Math" w:hAnsi="Cambria Math" w:cstheme="minorHAnsi"/>
            <w:noProof/>
          </w:rPr>
          <m:t>n</m:t>
        </m:r>
      </m:oMath>
      <w:r w:rsidR="00B145BE" w:rsidRPr="006E5260">
        <w:rPr>
          <w:rFonts w:cstheme="minorHAnsi"/>
          <w:noProof/>
        </w:rPr>
        <w:t>=(0 0 1)</w:t>
      </w:r>
      <w:r w:rsidR="00B145BE" w:rsidRPr="006E5260">
        <w:rPr>
          <w:rFonts w:cstheme="minorHAnsi"/>
          <w:noProof/>
          <w:vertAlign w:val="subscript"/>
        </w:rPr>
        <w:t>β</w:t>
      </w:r>
      <w:r w:rsidR="00B145BE" w:rsidRPr="006E5260">
        <w:rPr>
          <w:rFonts w:cstheme="minorHAnsi"/>
          <w:noProof/>
        </w:rPr>
        <w:t xml:space="preserve"> or </w:t>
      </w:r>
      <m:oMath>
        <m:r>
          <m:rPr>
            <m:sty m:val="bi"/>
          </m:rPr>
          <w:rPr>
            <w:rFonts w:ascii="Cambria Math" w:hAnsi="Cambria Math" w:cstheme="minorHAnsi"/>
            <w:noProof/>
          </w:rPr>
          <m:t>b</m:t>
        </m:r>
      </m:oMath>
      <w:r w:rsidR="00B145BE" w:rsidRPr="006E5260">
        <w:rPr>
          <w:rFonts w:cstheme="minorHAnsi"/>
          <w:noProof/>
        </w:rPr>
        <w:t>=[0, 0, -2q]</w:t>
      </w:r>
      <w:r w:rsidR="00B145BE" w:rsidRPr="006E5260">
        <w:rPr>
          <w:rFonts w:cstheme="minorHAnsi"/>
          <w:noProof/>
          <w:vertAlign w:val="subscript"/>
        </w:rPr>
        <w:t>β</w:t>
      </w:r>
      <w:r w:rsidR="00B145BE" w:rsidRPr="006E5260">
        <w:rPr>
          <w:rFonts w:cstheme="minorHAnsi"/>
          <w:noProof/>
        </w:rPr>
        <w:t xml:space="preserve"> </w:t>
      </w:r>
      <m:oMath>
        <m:r>
          <m:rPr>
            <m:sty m:val="bi"/>
          </m:rPr>
          <w:rPr>
            <w:rFonts w:ascii="Cambria Math" w:hAnsi="Cambria Math" w:cstheme="minorHAnsi"/>
            <w:noProof/>
          </w:rPr>
          <m:t>n</m:t>
        </m:r>
      </m:oMath>
      <w:r w:rsidR="00B145BE" w:rsidRPr="006E5260">
        <w:rPr>
          <w:rFonts w:cstheme="minorHAnsi"/>
          <w:noProof/>
        </w:rPr>
        <w:t>=(0 1 0)</w:t>
      </w:r>
      <w:r w:rsidR="00B145BE" w:rsidRPr="006E5260">
        <w:rPr>
          <w:rFonts w:cstheme="minorHAnsi"/>
          <w:noProof/>
          <w:vertAlign w:val="subscript"/>
        </w:rPr>
        <w:t>β</w:t>
      </w:r>
      <w:r w:rsidR="00B145BE" w:rsidRPr="006E5260">
        <w:rPr>
          <w:rFonts w:cstheme="minorHAnsi"/>
          <w:noProof/>
        </w:rPr>
        <w:t xml:space="preserve"> where q=</w:t>
      </w:r>
      <m:oMath>
        <m:sSub>
          <m:sSubPr>
            <m:ctrlPr>
              <w:rPr>
                <w:rFonts w:ascii="Cambria Math" w:hAnsi="Cambria Math" w:cstheme="minorHAnsi"/>
                <w:noProof/>
              </w:rPr>
            </m:ctrlPr>
          </m:sSubPr>
          <m:e>
            <m:r>
              <w:rPr>
                <w:rFonts w:ascii="Cambria Math" w:hAnsi="Cambria Math" w:cstheme="minorHAnsi"/>
                <w:noProof/>
              </w:rPr>
              <m:t>ε</m:t>
            </m:r>
          </m:e>
          <m:sub>
            <m:r>
              <m:rPr>
                <m:sty m:val="p"/>
              </m:rPr>
              <w:rPr>
                <w:rFonts w:ascii="Cambria Math" w:hAnsi="Cambria Math" w:cstheme="minorHAnsi"/>
                <w:noProof/>
              </w:rPr>
              <m:t>2</m:t>
            </m:r>
          </m:sub>
        </m:sSub>
        <m:r>
          <m:rPr>
            <m:sty m:val="p"/>
          </m:rP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ε</m:t>
            </m:r>
          </m:e>
          <m:sub>
            <m:r>
              <m:rPr>
                <m:sty m:val="p"/>
              </m:rPr>
              <w:rPr>
                <w:rFonts w:ascii="Cambria Math" w:hAnsi="Cambria Math" w:cstheme="minorHAnsi"/>
                <w:noProof/>
              </w:rPr>
              <m:t>3</m:t>
            </m:r>
          </m:sub>
        </m:sSub>
      </m:oMath>
      <w:r w:rsidR="00B145BE" w:rsidRPr="006E5260">
        <w:rPr>
          <w:rFonts w:cstheme="minorHAnsi"/>
          <w:noProof/>
        </w:rPr>
        <w:t>.</w:t>
      </w:r>
    </w:p>
    <w:p w14:paraId="144A5746" w14:textId="71538E79" w:rsidR="00B145BE" w:rsidRPr="006E5260" w:rsidRDefault="00B145BE" w:rsidP="00B145BE">
      <w:pPr>
        <w:spacing w:afterLines="60" w:after="144" w:line="360" w:lineRule="auto"/>
        <w:ind w:right="110"/>
        <w:jc w:val="both"/>
        <w:rPr>
          <w:rFonts w:cstheme="minorHAnsi"/>
          <w:noProof/>
        </w:rPr>
      </w:pPr>
      <w:r w:rsidRPr="006E5260">
        <w:rPr>
          <w:rFonts w:cstheme="minorHAnsi"/>
          <w:noProof/>
        </w:rPr>
        <w:t>By converting the twinning plane into orthorhombic lattice coordinate</w:t>
      </w:r>
      <w:r>
        <w:rPr>
          <w:rFonts w:cstheme="minorHAnsi"/>
          <w:noProof/>
        </w:rPr>
        <w:t>s, t</w:t>
      </w:r>
      <w:r w:rsidRPr="006E5260">
        <w:rPr>
          <w:rFonts w:cstheme="minorHAnsi"/>
          <w:noProof/>
        </w:rPr>
        <w:t>he solution for two lattice invariant plane</w:t>
      </w:r>
      <w:r w:rsidR="00B17691">
        <w:rPr>
          <w:rFonts w:cstheme="minorHAnsi"/>
          <w:noProof/>
        </w:rPr>
        <w:t>s</w:t>
      </w:r>
      <w:r w:rsidRPr="006E5260">
        <w:rPr>
          <w:rFonts w:cstheme="minorHAnsi"/>
          <w:noProof/>
        </w:rPr>
        <w:t xml:space="preserve"> (001)</w:t>
      </w:r>
      <w:r w:rsidRPr="006E5260">
        <w:rPr>
          <w:rFonts w:cstheme="minorHAnsi"/>
          <w:noProof/>
          <w:vertAlign w:val="subscript"/>
        </w:rPr>
        <w:t>β</w:t>
      </w:r>
      <w:r w:rsidRPr="006E5260">
        <w:rPr>
          <w:rFonts w:cstheme="minorHAnsi"/>
          <w:noProof/>
        </w:rPr>
        <w:t xml:space="preserve"> and (010)</w:t>
      </w:r>
      <w:r w:rsidRPr="006E5260">
        <w:rPr>
          <w:rFonts w:cstheme="minorHAnsi"/>
          <w:noProof/>
          <w:vertAlign w:val="subscript"/>
        </w:rPr>
        <w:t>β</w:t>
      </w:r>
      <w:r w:rsidRPr="006E5260">
        <w:rPr>
          <w:rFonts w:cstheme="minorHAnsi"/>
          <w:noProof/>
        </w:rPr>
        <w:t xml:space="preserve"> corresponds to the (011)</w:t>
      </w:r>
      <w:r w:rsidRPr="006E5260">
        <w:rPr>
          <w:rFonts w:cstheme="minorHAnsi"/>
          <w:noProof/>
          <w:vertAlign w:val="subscript"/>
        </w:rPr>
        <w:t xml:space="preserve">α’’V1 </w:t>
      </w:r>
      <w:r w:rsidRPr="006E5260">
        <w:rPr>
          <w:rFonts w:cstheme="minorHAnsi"/>
          <w:noProof/>
        </w:rPr>
        <w:t>and (0</w:t>
      </w:r>
      <m:oMath>
        <m:acc>
          <m:accPr>
            <m:chr m:val="̅"/>
            <m:ctrlPr>
              <w:rPr>
                <w:rFonts w:ascii="Cambria Math" w:hAnsi="Cambria Math" w:cstheme="minorHAnsi"/>
                <w:i/>
                <w:noProof/>
              </w:rPr>
            </m:ctrlPr>
          </m:accPr>
          <m:e>
            <m:r>
              <w:rPr>
                <w:rFonts w:ascii="Cambria Math" w:hAnsi="Cambria Math" w:cstheme="minorHAnsi"/>
                <w:noProof/>
              </w:rPr>
              <m:t>1</m:t>
            </m:r>
          </m:e>
        </m:acc>
      </m:oMath>
      <w:r w:rsidRPr="006E5260">
        <w:rPr>
          <w:rFonts w:cstheme="minorHAnsi"/>
          <w:noProof/>
        </w:rPr>
        <w:t>1)</w:t>
      </w:r>
      <w:r w:rsidRPr="006E5260">
        <w:rPr>
          <w:rFonts w:cstheme="minorHAnsi"/>
          <w:noProof/>
          <w:vertAlign w:val="subscript"/>
        </w:rPr>
        <w:t xml:space="preserve"> α’’V2</w:t>
      </w:r>
      <w:r w:rsidRPr="006E5260">
        <w:rPr>
          <w:rFonts w:cstheme="minorHAnsi"/>
          <w:noProof/>
        </w:rPr>
        <w:t xml:space="preserve"> compound SA twining</w:t>
      </w:r>
      <w:r>
        <w:rPr>
          <w:rFonts w:cstheme="minorHAnsi"/>
          <w:noProof/>
        </w:rPr>
        <w:t>,</w:t>
      </w:r>
      <w:r w:rsidRPr="006E5260">
        <w:rPr>
          <w:rFonts w:cstheme="minorHAnsi"/>
          <w:noProof/>
        </w:rPr>
        <w:t xml:space="preserve"> respectively. </w:t>
      </w:r>
      <w:r>
        <w:rPr>
          <w:rFonts w:cstheme="minorHAnsi"/>
          <w:noProof/>
        </w:rPr>
        <w:t>The a</w:t>
      </w:r>
      <w:r w:rsidRPr="006E5260">
        <w:rPr>
          <w:rFonts w:cstheme="minorHAnsi"/>
          <w:noProof/>
        </w:rPr>
        <w:t>bove solution was defined as compound twin</w:t>
      </w:r>
      <w:r>
        <w:rPr>
          <w:rFonts w:cstheme="minorHAnsi"/>
          <w:noProof/>
        </w:rPr>
        <w:t>n</w:t>
      </w:r>
      <w:r w:rsidRPr="006E5260">
        <w:rPr>
          <w:rFonts w:cstheme="minorHAnsi"/>
          <w:noProof/>
        </w:rPr>
        <w:t>ing {011}</w:t>
      </w:r>
      <w:r w:rsidRPr="006E5260">
        <w:rPr>
          <w:rFonts w:cstheme="minorHAnsi"/>
          <w:noProof/>
          <w:vertAlign w:val="subscript"/>
        </w:rPr>
        <w:t>α’’</w:t>
      </w:r>
      <w:r w:rsidRPr="006E5260">
        <w:rPr>
          <w:rFonts w:cstheme="minorHAnsi"/>
          <w:noProof/>
        </w:rPr>
        <w:t xml:space="preserve">. Similarly, </w:t>
      </w:r>
      <m:oMath>
        <m:r>
          <w:rPr>
            <w:rFonts w:ascii="Cambria Math" w:hAnsi="Cambria Math" w:cstheme="minorHAnsi"/>
            <w:noProof/>
          </w:rPr>
          <m:t>∆</m:t>
        </m:r>
        <m:sSubSup>
          <m:sSubSupPr>
            <m:ctrlPr>
              <w:rPr>
                <w:rFonts w:ascii="Cambria Math" w:hAnsi="Cambria Math" w:cstheme="minorHAnsi"/>
                <w:i/>
                <w:noProof/>
              </w:rPr>
            </m:ctrlPr>
          </m:sSubSupPr>
          <m:e>
            <m:r>
              <w:rPr>
                <w:rFonts w:ascii="Cambria Math" w:hAnsi="Cambria Math" w:cstheme="minorHAnsi"/>
                <w:noProof/>
              </w:rPr>
              <m:t>ε</m:t>
            </m:r>
          </m:e>
          <m:sub>
            <m:r>
              <w:rPr>
                <w:rFonts w:ascii="Cambria Math" w:hAnsi="Cambria Math" w:cstheme="minorHAnsi"/>
                <w:noProof/>
              </w:rPr>
              <m:t>ij</m:t>
            </m:r>
          </m:sub>
          <m:sup>
            <m:r>
              <w:rPr>
                <w:rFonts w:ascii="Cambria Math" w:hAnsi="Cambria Math" w:cstheme="minorHAnsi"/>
                <w:noProof/>
              </w:rPr>
              <m:t>(3-1)</m:t>
            </m:r>
          </m:sup>
        </m:sSubSup>
      </m:oMath>
      <w:r w:rsidRPr="006E5260">
        <w:rPr>
          <w:rFonts w:cstheme="minorHAnsi"/>
          <w:noProof/>
        </w:rPr>
        <w:t xml:space="preserve"> and </w:t>
      </w:r>
      <m:oMath>
        <m:r>
          <w:rPr>
            <w:rFonts w:ascii="Cambria Math" w:hAnsi="Cambria Math" w:cstheme="minorHAnsi"/>
            <w:noProof/>
          </w:rPr>
          <m:t>∆</m:t>
        </m:r>
        <m:sSubSup>
          <m:sSubSupPr>
            <m:ctrlPr>
              <w:rPr>
                <w:rFonts w:ascii="Cambria Math" w:hAnsi="Cambria Math" w:cstheme="minorHAnsi"/>
                <w:i/>
                <w:noProof/>
              </w:rPr>
            </m:ctrlPr>
          </m:sSubSupPr>
          <m:e>
            <m:r>
              <w:rPr>
                <w:rFonts w:ascii="Cambria Math" w:hAnsi="Cambria Math" w:cstheme="minorHAnsi"/>
                <w:noProof/>
              </w:rPr>
              <m:t>ε</m:t>
            </m:r>
          </m:e>
          <m:sub>
            <m:r>
              <w:rPr>
                <w:rFonts w:ascii="Cambria Math" w:hAnsi="Cambria Math" w:cstheme="minorHAnsi"/>
                <w:noProof/>
              </w:rPr>
              <m:t>ij</m:t>
            </m:r>
          </m:sub>
          <m:sup>
            <m:r>
              <w:rPr>
                <w:rFonts w:ascii="Cambria Math" w:hAnsi="Cambria Math" w:cstheme="minorHAnsi"/>
                <w:noProof/>
              </w:rPr>
              <m:t>(5-1)</m:t>
            </m:r>
          </m:sup>
        </m:sSubSup>
      </m:oMath>
      <w:r w:rsidRPr="006E5260">
        <w:rPr>
          <w:rFonts w:cstheme="minorHAnsi"/>
          <w:noProof/>
        </w:rPr>
        <w:t xml:space="preserve"> </w:t>
      </w:r>
      <w:r>
        <w:rPr>
          <w:rFonts w:cstheme="minorHAnsi"/>
          <w:noProof/>
        </w:rPr>
        <w:t>can be represented</w:t>
      </w:r>
      <w:r w:rsidRPr="006E5260">
        <w:rPr>
          <w:rFonts w:cstheme="minorHAnsi"/>
          <w:noProof/>
        </w:rPr>
        <w:t xml:space="preserve"> as:</w:t>
      </w:r>
    </w:p>
    <w:p w14:paraId="0302E11D" w14:textId="77777777" w:rsidR="00B145BE" w:rsidRPr="006E5260" w:rsidRDefault="00B145BE" w:rsidP="00B145BE">
      <w:pPr>
        <w:tabs>
          <w:tab w:val="left" w:pos="939"/>
        </w:tabs>
        <w:spacing w:afterLines="60" w:after="144" w:line="360" w:lineRule="auto"/>
        <w:jc w:val="right"/>
        <w:rPr>
          <w:rFonts w:cstheme="minorHAnsi"/>
          <w:noProof/>
        </w:rPr>
      </w:pPr>
      <m:oMath>
        <m:r>
          <w:rPr>
            <w:rFonts w:ascii="Cambria Math" w:hAnsi="Cambria Math" w:cstheme="minorHAnsi"/>
            <w:noProof/>
          </w:rPr>
          <m:t>∆</m:t>
        </m:r>
        <m:sSup>
          <m:sSupPr>
            <m:ctrlPr>
              <w:rPr>
                <w:rFonts w:ascii="Cambria Math" w:hAnsi="Cambria Math" w:cstheme="minorHAnsi"/>
                <w:i/>
                <w:noProof/>
              </w:rPr>
            </m:ctrlPr>
          </m:sSupPr>
          <m:e>
            <m:r>
              <w:rPr>
                <w:rFonts w:ascii="Cambria Math" w:hAnsi="Cambria Math" w:cstheme="minorHAnsi"/>
                <w:noProof/>
              </w:rPr>
              <m:t>ε</m:t>
            </m:r>
          </m:e>
          <m:sup>
            <m:d>
              <m:dPr>
                <m:ctrlPr>
                  <w:rPr>
                    <w:rFonts w:ascii="Cambria Math" w:hAnsi="Cambria Math" w:cstheme="minorHAnsi"/>
                    <w:i/>
                    <w:noProof/>
                  </w:rPr>
                </m:ctrlPr>
              </m:dPr>
              <m:e>
                <m:r>
                  <w:rPr>
                    <w:rFonts w:ascii="Cambria Math" w:hAnsi="Cambria Math" w:cstheme="minorHAnsi"/>
                    <w:noProof/>
                  </w:rPr>
                  <m:t>3-1</m:t>
                </m:r>
              </m:e>
            </m:d>
          </m:sup>
        </m:sSup>
      </m:oMath>
      <w:r w:rsidRPr="006E5260">
        <w:rPr>
          <w:rFonts w:cstheme="minorHAnsi"/>
          <w:noProof/>
        </w:rPr>
        <w:t>=</w:t>
      </w:r>
      <m:oMath>
        <m:f>
          <m:fPr>
            <m:ctrlPr>
              <w:rPr>
                <w:rFonts w:ascii="Cambria Math" w:hAnsi="Cambria Math" w:cstheme="minorHAnsi"/>
                <w:i/>
                <w:noProof/>
              </w:rPr>
            </m:ctrlPr>
          </m:fPr>
          <m:num>
            <m:r>
              <w:rPr>
                <w:rFonts w:ascii="Cambria Math" w:hAnsi="Cambria Math" w:cstheme="minorHAnsi"/>
                <w:noProof/>
              </w:rPr>
              <m:t>1</m:t>
            </m:r>
          </m:num>
          <m:den>
            <m:r>
              <w:rPr>
                <w:rFonts w:ascii="Cambria Math" w:hAnsi="Cambria Math" w:cstheme="minorHAnsi"/>
                <w:noProof/>
              </w:rPr>
              <m:t>2</m:t>
            </m:r>
          </m:den>
        </m:f>
        <m:d>
          <m:dPr>
            <m:ctrlPr>
              <w:rPr>
                <w:rFonts w:ascii="Cambria Math" w:hAnsi="Cambria Math" w:cstheme="minorHAnsi"/>
                <w:noProof/>
              </w:rPr>
            </m:ctrlPr>
          </m:dPr>
          <m:e>
            <m:m>
              <m:mPr>
                <m:mcs>
                  <m:mc>
                    <m:mcPr>
                      <m:count m:val="3"/>
                      <m:mcJc m:val="center"/>
                    </m:mcPr>
                  </m:mc>
                </m:mcs>
                <m:ctrlPr>
                  <w:rPr>
                    <w:rFonts w:ascii="Cambria Math" w:hAnsi="Cambria Math" w:cstheme="minorHAnsi"/>
                    <w:noProof/>
                  </w:rPr>
                </m:ctrlPr>
              </m:mPr>
              <m:mr>
                <m:e>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3</m:t>
                      </m:r>
                    </m:sub>
                  </m:sSub>
                  <m: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2μ</m:t>
                      </m:r>
                    </m:e>
                    <m:sub>
                      <m:r>
                        <m:rPr>
                          <m:sty m:val="p"/>
                        </m:rPr>
                        <w:rPr>
                          <w:rFonts w:ascii="Cambria Math" w:hAnsi="Cambria Math" w:cstheme="minorHAnsi"/>
                          <w:noProof/>
                        </w:rPr>
                        <m:t>1</m:t>
                      </m:r>
                    </m:sub>
                  </m:sSub>
                </m:e>
                <m:e>
                  <m:r>
                    <m:rPr>
                      <m:sty m:val="p"/>
                    </m:rPr>
                    <w:rPr>
                      <w:rFonts w:ascii="Cambria Math" w:hAnsi="Cambria Math" w:cstheme="minorHAnsi"/>
                      <w:noProof/>
                    </w:rPr>
                    <m:t>0</m:t>
                  </m:r>
                </m:e>
                <m:e>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2</m:t>
                      </m:r>
                    </m:sub>
                  </m:sSub>
                  <m:r>
                    <m:rPr>
                      <m:sty m:val="p"/>
                    </m:rP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3</m:t>
                      </m:r>
                    </m:sub>
                  </m:sSub>
                </m:e>
              </m:mr>
              <m:mr>
                <m:e>
                  <m:r>
                    <m:rPr>
                      <m:sty m:val="p"/>
                    </m:rPr>
                    <w:rPr>
                      <w:rFonts w:ascii="Cambria Math" w:hAnsi="Cambria Math" w:cstheme="minorHAnsi"/>
                      <w:noProof/>
                    </w:rPr>
                    <m:t>0</m:t>
                  </m:r>
                </m:e>
                <m:e>
                  <m:sSub>
                    <m:sSubPr>
                      <m:ctrlPr>
                        <w:rPr>
                          <w:rFonts w:ascii="Cambria Math" w:hAnsi="Cambria Math" w:cstheme="minorHAnsi"/>
                          <w:noProof/>
                        </w:rPr>
                      </m:ctrlPr>
                    </m:sSubPr>
                    <m:e>
                      <m:r>
                        <w:rPr>
                          <w:rFonts w:ascii="Cambria Math" w:hAnsi="Cambria Math" w:cstheme="minorHAnsi"/>
                          <w:noProof/>
                        </w:rPr>
                        <m:t>2μ</m:t>
                      </m:r>
                    </m:e>
                    <m:sub>
                      <m:r>
                        <m:rPr>
                          <m:sty m:val="p"/>
                        </m:rPr>
                        <w:rPr>
                          <w:rFonts w:ascii="Cambria Math" w:hAnsi="Cambria Math" w:cstheme="minorHAnsi"/>
                          <w:noProof/>
                        </w:rPr>
                        <m:t>1</m:t>
                      </m:r>
                    </m:sub>
                  </m:sSub>
                  <m:r>
                    <m:rPr>
                      <m:sty m:val="p"/>
                    </m:rP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3</m:t>
                      </m:r>
                    </m:sub>
                  </m:sSub>
                </m:e>
                <m:e>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3</m:t>
                      </m:r>
                    </m:sub>
                  </m:sSub>
                  <m:r>
                    <m:rPr>
                      <m:sty m:val="p"/>
                    </m:rP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2</m:t>
                      </m:r>
                    </m:sub>
                  </m:sSub>
                </m:e>
              </m:mr>
              <m:mr>
                <m:e>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2</m:t>
                      </m:r>
                    </m:sub>
                  </m:sSub>
                  <m:r>
                    <m:rPr>
                      <m:sty m:val="p"/>
                    </m:rP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3</m:t>
                      </m:r>
                    </m:sub>
                  </m:sSub>
                </m:e>
                <m:e>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3</m:t>
                      </m:r>
                    </m:sub>
                  </m:sSub>
                  <m:r>
                    <m:rPr>
                      <m:sty m:val="p"/>
                    </m:rP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2</m:t>
                      </m:r>
                    </m:sub>
                  </m:sSub>
                </m:e>
                <m:e>
                  <m:r>
                    <m:rPr>
                      <m:sty m:val="p"/>
                    </m:rPr>
                    <w:rPr>
                      <w:rFonts w:ascii="Cambria Math" w:hAnsi="Cambria Math" w:cstheme="minorHAnsi"/>
                      <w:noProof/>
                    </w:rPr>
                    <m:t>0</m:t>
                  </m:r>
                </m:e>
              </m:mr>
            </m:m>
          </m:e>
        </m:d>
        <m:r>
          <m:rPr>
            <m:sty m:val="p"/>
          </m:rPr>
          <w:rPr>
            <w:rFonts w:ascii="Cambria Math" w:hAnsi="Cambria Math" w:cstheme="minorHAnsi"/>
            <w:noProof/>
          </w:rPr>
          <m:t xml:space="preserve">= </m:t>
        </m:r>
        <m:f>
          <m:fPr>
            <m:ctrlPr>
              <w:rPr>
                <w:rFonts w:ascii="Cambria Math" w:hAnsi="Cambria Math" w:cstheme="minorHAnsi"/>
                <w:i/>
                <w:noProof/>
              </w:rPr>
            </m:ctrlPr>
          </m:fPr>
          <m:num>
            <m:r>
              <w:rPr>
                <w:rFonts w:ascii="Cambria Math" w:hAnsi="Cambria Math" w:cstheme="minorHAnsi"/>
                <w:noProof/>
              </w:rPr>
              <m:t>1</m:t>
            </m:r>
          </m:num>
          <m:den>
            <m:r>
              <w:rPr>
                <w:rFonts w:ascii="Cambria Math" w:hAnsi="Cambria Math" w:cstheme="minorHAnsi"/>
                <w:noProof/>
              </w:rPr>
              <m:t>2</m:t>
            </m:r>
          </m:den>
        </m:f>
        <m:d>
          <m:dPr>
            <m:ctrlPr>
              <w:rPr>
                <w:rFonts w:ascii="Cambria Math" w:hAnsi="Cambria Math" w:cstheme="minorHAnsi"/>
                <w:noProof/>
              </w:rPr>
            </m:ctrlPr>
          </m:dPr>
          <m:e>
            <m:m>
              <m:mPr>
                <m:mcs>
                  <m:mc>
                    <m:mcPr>
                      <m:count m:val="3"/>
                      <m:mcJc m:val="center"/>
                    </m:mcPr>
                  </m:mc>
                </m:mcs>
                <m:ctrlPr>
                  <w:rPr>
                    <w:rFonts w:ascii="Cambria Math" w:hAnsi="Cambria Math" w:cstheme="minorHAnsi"/>
                    <w:noProof/>
                  </w:rPr>
                </m:ctrlPr>
              </m:mPr>
              <m:mr>
                <m:e>
                  <m:r>
                    <m:rPr>
                      <m:sty m:val="p"/>
                    </m:rPr>
                    <w:rPr>
                      <w:rFonts w:ascii="Cambria Math" w:hAnsi="Cambria Math" w:cstheme="minorHAnsi"/>
                      <w:noProof/>
                    </w:rPr>
                    <m:t>-</m:t>
                  </m:r>
                  <m:r>
                    <w:rPr>
                      <w:rFonts w:ascii="Cambria Math" w:hAnsi="Cambria Math" w:cstheme="minorHAnsi"/>
                      <w:noProof/>
                    </w:rPr>
                    <m:t>p</m:t>
                  </m:r>
                </m:e>
                <m:e>
                  <m:r>
                    <m:rPr>
                      <m:sty m:val="p"/>
                    </m:rPr>
                    <w:rPr>
                      <w:rFonts w:ascii="Cambria Math" w:hAnsi="Cambria Math" w:cstheme="minorHAnsi"/>
                      <w:noProof/>
                    </w:rPr>
                    <m:t>0</m:t>
                  </m:r>
                </m:e>
                <m:e>
                  <m:r>
                    <w:rPr>
                      <w:rFonts w:ascii="Cambria Math" w:hAnsi="Cambria Math" w:cstheme="minorHAnsi"/>
                      <w:noProof/>
                    </w:rPr>
                    <m:t>q</m:t>
                  </m:r>
                </m:e>
              </m:mr>
              <m:mr>
                <m:e>
                  <m:r>
                    <m:rPr>
                      <m:sty m:val="p"/>
                    </m:rPr>
                    <w:rPr>
                      <w:rFonts w:ascii="Cambria Math" w:hAnsi="Cambria Math" w:cstheme="minorHAnsi"/>
                      <w:noProof/>
                    </w:rPr>
                    <m:t>0</m:t>
                  </m:r>
                </m:e>
                <m:e>
                  <m:r>
                    <w:rPr>
                      <w:rFonts w:ascii="Cambria Math" w:hAnsi="Cambria Math" w:cstheme="minorHAnsi"/>
                      <w:noProof/>
                    </w:rPr>
                    <m:t>p</m:t>
                  </m:r>
                </m:e>
                <m:e>
                  <m:r>
                    <m:rPr>
                      <m:sty m:val="p"/>
                    </m:rPr>
                    <w:rPr>
                      <w:rFonts w:ascii="Cambria Math" w:hAnsi="Cambria Math" w:cstheme="minorHAnsi"/>
                      <w:noProof/>
                    </w:rPr>
                    <m:t>-</m:t>
                  </m:r>
                  <m:r>
                    <w:rPr>
                      <w:rFonts w:ascii="Cambria Math" w:hAnsi="Cambria Math" w:cstheme="minorHAnsi"/>
                      <w:noProof/>
                    </w:rPr>
                    <m:t>q</m:t>
                  </m:r>
                </m:e>
              </m:mr>
              <m:mr>
                <m:e>
                  <m:r>
                    <w:rPr>
                      <w:rFonts w:ascii="Cambria Math" w:hAnsi="Cambria Math" w:cstheme="minorHAnsi"/>
                      <w:noProof/>
                    </w:rPr>
                    <m:t>q</m:t>
                  </m:r>
                </m:e>
                <m:e>
                  <m:r>
                    <m:rPr>
                      <m:sty m:val="p"/>
                    </m:rPr>
                    <w:rPr>
                      <w:rFonts w:ascii="Cambria Math" w:hAnsi="Cambria Math" w:cstheme="minorHAnsi"/>
                      <w:noProof/>
                    </w:rPr>
                    <m:t>-</m:t>
                  </m:r>
                  <m:r>
                    <w:rPr>
                      <w:rFonts w:ascii="Cambria Math" w:hAnsi="Cambria Math" w:cstheme="minorHAnsi"/>
                      <w:noProof/>
                    </w:rPr>
                    <m:t>q</m:t>
                  </m:r>
                </m:e>
                <m:e>
                  <m:r>
                    <m:rPr>
                      <m:sty m:val="p"/>
                    </m:rPr>
                    <w:rPr>
                      <w:rFonts w:ascii="Cambria Math" w:hAnsi="Cambria Math" w:cstheme="minorHAnsi"/>
                      <w:noProof/>
                    </w:rPr>
                    <m:t>0</m:t>
                  </m:r>
                </m:e>
              </m:mr>
            </m:m>
          </m:e>
        </m:d>
      </m:oMath>
      <w:r w:rsidRPr="006E5260">
        <w:rPr>
          <w:rFonts w:cstheme="minorHAnsi"/>
          <w:noProof/>
        </w:rPr>
        <w:t xml:space="preserve">  </w:t>
      </w:r>
      <w:r>
        <w:rPr>
          <w:rFonts w:cstheme="minorHAnsi"/>
          <w:noProof/>
        </w:rPr>
        <w:t xml:space="preserve">                   </w:t>
      </w:r>
      <w:r w:rsidRPr="006E5260">
        <w:rPr>
          <w:rFonts w:cstheme="minorHAnsi"/>
          <w:noProof/>
        </w:rPr>
        <w:t>(17)</w:t>
      </w:r>
    </w:p>
    <w:p w14:paraId="2082D05B" w14:textId="034C8CC3" w:rsidR="00B145BE" w:rsidRPr="006E5260" w:rsidRDefault="00B17691" w:rsidP="00B145BE">
      <w:pPr>
        <w:tabs>
          <w:tab w:val="left" w:pos="939"/>
        </w:tabs>
        <w:spacing w:afterLines="60" w:after="144" w:line="360" w:lineRule="auto"/>
        <w:ind w:right="110"/>
        <w:rPr>
          <w:rFonts w:cstheme="minorHAnsi"/>
          <w:noProof/>
        </w:rPr>
      </w:pPr>
      <w:r>
        <w:rPr>
          <w:rFonts w:cstheme="minorHAnsi"/>
          <w:noProof/>
        </w:rPr>
        <w:t>w</w:t>
      </w:r>
      <w:r w:rsidR="00B145BE" w:rsidRPr="006E5260">
        <w:rPr>
          <w:rFonts w:cstheme="minorHAnsi"/>
          <w:noProof/>
        </w:rPr>
        <w:t>here p=</w:t>
      </w:r>
      <m:oMath>
        <m:sSub>
          <m:sSubPr>
            <m:ctrlPr>
              <w:rPr>
                <w:rFonts w:ascii="Cambria Math" w:hAnsi="Cambria Math" w:cstheme="minorHAnsi"/>
                <w:noProof/>
              </w:rPr>
            </m:ctrlPr>
          </m:sSubPr>
          <m:e>
            <m:r>
              <w:rPr>
                <w:rFonts w:ascii="Cambria Math" w:hAnsi="Cambria Math" w:cstheme="minorHAnsi"/>
                <w:noProof/>
              </w:rPr>
              <m:t>2μ</m:t>
            </m:r>
          </m:e>
          <m:sub>
            <m:r>
              <m:rPr>
                <m:sty m:val="p"/>
              </m:rPr>
              <w:rPr>
                <w:rFonts w:ascii="Cambria Math" w:hAnsi="Cambria Math" w:cstheme="minorHAnsi"/>
                <w:noProof/>
              </w:rPr>
              <m:t>1</m:t>
            </m:r>
          </m:sub>
        </m:sSub>
        <m:r>
          <m:rPr>
            <m:sty m:val="p"/>
          </m:rP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3</m:t>
            </m:r>
          </m:sub>
        </m:sSub>
      </m:oMath>
      <w:r w:rsidR="00B145BE" w:rsidRPr="006E5260">
        <w:rPr>
          <w:rFonts w:cstheme="minorHAnsi"/>
          <w:noProof/>
        </w:rPr>
        <w:t xml:space="preserve">, the solution of </w:t>
      </w:r>
      <w:r w:rsidR="00B145BE" w:rsidRPr="00A51168">
        <w:rPr>
          <w:rFonts w:cstheme="minorHAnsi"/>
          <w:i/>
          <w:noProof/>
        </w:rPr>
        <w:t>eq</w:t>
      </w:r>
      <w:r w:rsidR="00B145BE" w:rsidRPr="006E5260">
        <w:rPr>
          <w:rFonts w:cstheme="minorHAnsi"/>
          <w:noProof/>
        </w:rPr>
        <w:t xml:space="preserve">.17 is: </w:t>
      </w:r>
    </w:p>
    <w:p w14:paraId="557FFD17" w14:textId="77777777" w:rsidR="00B145BE" w:rsidRPr="006E5260" w:rsidRDefault="00B145BE" w:rsidP="00B145BE">
      <w:pPr>
        <w:spacing w:afterLines="60" w:after="144" w:line="360" w:lineRule="auto"/>
        <w:jc w:val="right"/>
        <w:rPr>
          <w:rFonts w:cstheme="minorHAnsi"/>
          <w:noProof/>
        </w:rPr>
      </w:pPr>
      <w:r w:rsidRPr="006E5260">
        <w:rPr>
          <w:rFonts w:cstheme="minorHAnsi"/>
          <w:b/>
          <w:noProof/>
        </w:rPr>
        <w:t xml:space="preserve"> </w:t>
      </w:r>
      <m:oMath>
        <m:r>
          <m:rPr>
            <m:sty m:val="bi"/>
          </m:rPr>
          <w:rPr>
            <w:rFonts w:ascii="Cambria Math" w:hAnsi="Cambria Math" w:cstheme="minorHAnsi"/>
            <w:noProof/>
          </w:rPr>
          <m:t>b</m:t>
        </m:r>
      </m:oMath>
      <w:r w:rsidRPr="006E5260">
        <w:rPr>
          <w:rFonts w:cstheme="minorHAnsi"/>
          <w:noProof/>
        </w:rPr>
        <w:t xml:space="preserve"> =</w:t>
      </w:r>
      <m:oMath>
        <m:f>
          <m:fPr>
            <m:ctrlPr>
              <w:rPr>
                <w:rFonts w:ascii="Cambria Math" w:hAnsi="Cambria Math" w:cstheme="minorHAnsi"/>
                <w:i/>
                <w:noProof/>
              </w:rPr>
            </m:ctrlPr>
          </m:fPr>
          <m:num>
            <m:r>
              <w:rPr>
                <w:rFonts w:ascii="Cambria Math" w:hAnsi="Cambria Math" w:cstheme="minorHAnsi"/>
                <w:noProof/>
              </w:rPr>
              <m:t>1</m:t>
            </m:r>
          </m:num>
          <m:den>
            <m:rad>
              <m:radPr>
                <m:degHide m:val="1"/>
                <m:ctrlPr>
                  <w:rPr>
                    <w:rFonts w:ascii="Cambria Math" w:hAnsi="Cambria Math" w:cstheme="minorHAnsi"/>
                    <w:i/>
                    <w:noProof/>
                  </w:rPr>
                </m:ctrlPr>
              </m:radPr>
              <m:deg/>
              <m:e>
                <m:r>
                  <w:rPr>
                    <w:rFonts w:ascii="Cambria Math" w:hAnsi="Cambria Math" w:cstheme="minorHAnsi"/>
                    <w:noProof/>
                  </w:rPr>
                  <m:t>2</m:t>
                </m:r>
              </m:e>
            </m:rad>
          </m:den>
        </m:f>
      </m:oMath>
      <w:r w:rsidRPr="006E5260">
        <w:rPr>
          <w:rFonts w:cstheme="minorHAnsi"/>
          <w:noProof/>
        </w:rPr>
        <w:t xml:space="preserve">(-p, -p, 2q) </w:t>
      </w:r>
      <m:oMath>
        <m:r>
          <m:rPr>
            <m:sty m:val="bi"/>
          </m:rPr>
          <w:rPr>
            <w:rFonts w:ascii="Cambria Math" w:hAnsi="Cambria Math" w:cstheme="minorHAnsi"/>
            <w:noProof/>
          </w:rPr>
          <m:t>n</m:t>
        </m:r>
      </m:oMath>
      <w:r w:rsidRPr="006E5260">
        <w:rPr>
          <w:rFonts w:cstheme="minorHAnsi"/>
          <w:noProof/>
        </w:rPr>
        <w:t xml:space="preserve"> =</w:t>
      </w:r>
      <m:oMath>
        <m:f>
          <m:fPr>
            <m:ctrlPr>
              <w:rPr>
                <w:rFonts w:ascii="Cambria Math" w:hAnsi="Cambria Math" w:cstheme="minorHAnsi"/>
                <w:i/>
                <w:noProof/>
              </w:rPr>
            </m:ctrlPr>
          </m:fPr>
          <m:num>
            <m:r>
              <w:rPr>
                <w:rFonts w:ascii="Cambria Math" w:hAnsi="Cambria Math" w:cstheme="minorHAnsi"/>
                <w:noProof/>
              </w:rPr>
              <m:t>1</m:t>
            </m:r>
          </m:num>
          <m:den>
            <m:rad>
              <m:radPr>
                <m:degHide m:val="1"/>
                <m:ctrlPr>
                  <w:rPr>
                    <w:rFonts w:ascii="Cambria Math" w:hAnsi="Cambria Math" w:cstheme="minorHAnsi"/>
                    <w:i/>
                    <w:noProof/>
                  </w:rPr>
                </m:ctrlPr>
              </m:radPr>
              <m:deg/>
              <m:e>
                <m:r>
                  <w:rPr>
                    <w:rFonts w:ascii="Cambria Math" w:hAnsi="Cambria Math" w:cstheme="minorHAnsi"/>
                    <w:noProof/>
                  </w:rPr>
                  <m:t>2</m:t>
                </m:r>
              </m:e>
            </m:rad>
          </m:den>
        </m:f>
      </m:oMath>
      <w:r w:rsidRPr="006E5260">
        <w:rPr>
          <w:rFonts w:cstheme="minorHAnsi"/>
          <w:noProof/>
        </w:rPr>
        <w:t xml:space="preserve"> (1 -1 0) or </w:t>
      </w:r>
      <m:oMath>
        <m:r>
          <m:rPr>
            <m:sty m:val="bi"/>
          </m:rPr>
          <w:rPr>
            <w:rFonts w:ascii="Cambria Math" w:hAnsi="Cambria Math" w:cstheme="minorHAnsi"/>
            <w:noProof/>
          </w:rPr>
          <m:t>b</m:t>
        </m:r>
      </m:oMath>
      <w:r w:rsidRPr="006E5260">
        <w:rPr>
          <w:rFonts w:cstheme="minorHAnsi"/>
          <w:noProof/>
        </w:rPr>
        <w:t xml:space="preserve"> =</w:t>
      </w:r>
      <m:oMath>
        <m:f>
          <m:fPr>
            <m:ctrlPr>
              <w:rPr>
                <w:rFonts w:ascii="Cambria Math" w:hAnsi="Cambria Math" w:cstheme="minorHAnsi"/>
                <w:i/>
                <w:noProof/>
              </w:rPr>
            </m:ctrlPr>
          </m:fPr>
          <m:num>
            <m:r>
              <w:rPr>
                <w:rFonts w:ascii="Cambria Math" w:hAnsi="Cambria Math" w:cstheme="minorHAnsi"/>
                <w:noProof/>
              </w:rPr>
              <m:t>1</m:t>
            </m:r>
          </m:num>
          <m:den>
            <m:rad>
              <m:radPr>
                <m:degHide m:val="1"/>
                <m:ctrlPr>
                  <w:rPr>
                    <w:rFonts w:ascii="Cambria Math" w:hAnsi="Cambria Math" w:cstheme="minorHAnsi"/>
                    <w:i/>
                    <w:noProof/>
                  </w:rPr>
                </m:ctrlPr>
              </m:radPr>
              <m:deg/>
              <m:e>
                <m:r>
                  <w:rPr>
                    <w:rFonts w:ascii="Cambria Math" w:hAnsi="Cambria Math" w:cstheme="minorHAnsi"/>
                    <w:noProof/>
                  </w:rPr>
                  <m:t>2</m:t>
                </m:r>
              </m:e>
            </m:rad>
          </m:den>
        </m:f>
      </m:oMath>
      <w:r w:rsidRPr="006E5260">
        <w:rPr>
          <w:rFonts w:cstheme="minorHAnsi"/>
          <w:noProof/>
        </w:rPr>
        <w:t xml:space="preserve"> (1, -1, 0) </w:t>
      </w:r>
      <m:oMath>
        <m:r>
          <m:rPr>
            <m:sty m:val="bi"/>
          </m:rPr>
          <w:rPr>
            <w:rFonts w:ascii="Cambria Math" w:hAnsi="Cambria Math" w:cstheme="minorHAnsi"/>
            <w:noProof/>
          </w:rPr>
          <m:t>n</m:t>
        </m:r>
      </m:oMath>
      <w:r w:rsidRPr="006E5260">
        <w:rPr>
          <w:rFonts w:cstheme="minorHAnsi"/>
          <w:noProof/>
        </w:rPr>
        <w:t xml:space="preserve"> =</w:t>
      </w:r>
      <m:oMath>
        <m:f>
          <m:fPr>
            <m:ctrlPr>
              <w:rPr>
                <w:rFonts w:ascii="Cambria Math" w:hAnsi="Cambria Math" w:cstheme="minorHAnsi"/>
                <w:i/>
                <w:noProof/>
              </w:rPr>
            </m:ctrlPr>
          </m:fPr>
          <m:num>
            <m:r>
              <w:rPr>
                <w:rFonts w:ascii="Cambria Math" w:hAnsi="Cambria Math" w:cstheme="minorHAnsi"/>
                <w:noProof/>
              </w:rPr>
              <m:t>1</m:t>
            </m:r>
          </m:num>
          <m:den>
            <m:rad>
              <m:radPr>
                <m:degHide m:val="1"/>
                <m:ctrlPr>
                  <w:rPr>
                    <w:rFonts w:ascii="Cambria Math" w:hAnsi="Cambria Math" w:cstheme="minorHAnsi"/>
                    <w:i/>
                    <w:noProof/>
                  </w:rPr>
                </m:ctrlPr>
              </m:radPr>
              <m:deg/>
              <m:e>
                <m:r>
                  <w:rPr>
                    <w:rFonts w:ascii="Cambria Math" w:hAnsi="Cambria Math" w:cstheme="minorHAnsi"/>
                    <w:noProof/>
                  </w:rPr>
                  <m:t>2</m:t>
                </m:r>
              </m:e>
            </m:rad>
          </m:den>
        </m:f>
      </m:oMath>
      <w:r w:rsidRPr="006E5260">
        <w:rPr>
          <w:rFonts w:cstheme="minorHAnsi"/>
          <w:noProof/>
        </w:rPr>
        <w:t xml:space="preserve"> (-p -p 2q)  </w:t>
      </w:r>
      <w:r>
        <w:rPr>
          <w:rFonts w:cstheme="minorHAnsi"/>
          <w:noProof/>
        </w:rPr>
        <w:t xml:space="preserve">                       </w:t>
      </w:r>
      <w:r w:rsidRPr="006E5260">
        <w:rPr>
          <w:rFonts w:cstheme="minorHAnsi"/>
          <w:noProof/>
        </w:rPr>
        <w:t xml:space="preserve"> (18)</w:t>
      </w:r>
    </w:p>
    <w:p w14:paraId="2A1D3785" w14:textId="2AC0B596" w:rsidR="00B145BE" w:rsidRPr="006E5260" w:rsidRDefault="00B17691" w:rsidP="00B145BE">
      <w:pPr>
        <w:spacing w:afterLines="60" w:after="144" w:line="360" w:lineRule="auto"/>
        <w:rPr>
          <w:rFonts w:cstheme="minorHAnsi"/>
          <w:noProof/>
        </w:rPr>
      </w:pPr>
      <w:r>
        <w:rPr>
          <w:rFonts w:cstheme="minorHAnsi"/>
          <w:noProof/>
        </w:rPr>
        <w:t>a</w:t>
      </w:r>
      <w:r w:rsidR="00B145BE" w:rsidRPr="006E5260">
        <w:rPr>
          <w:rFonts w:cstheme="minorHAnsi"/>
          <w:noProof/>
        </w:rPr>
        <w:t xml:space="preserve">nd for </w:t>
      </w:r>
      <m:oMath>
        <m:r>
          <w:rPr>
            <w:rFonts w:ascii="Cambria Math" w:hAnsi="Cambria Math" w:cstheme="minorHAnsi"/>
            <w:noProof/>
          </w:rPr>
          <m:t>∆</m:t>
        </m:r>
        <m:sSup>
          <m:sSupPr>
            <m:ctrlPr>
              <w:rPr>
                <w:rFonts w:ascii="Cambria Math" w:hAnsi="Cambria Math" w:cstheme="minorHAnsi"/>
                <w:i/>
                <w:noProof/>
              </w:rPr>
            </m:ctrlPr>
          </m:sSupPr>
          <m:e>
            <m:r>
              <w:rPr>
                <w:rFonts w:ascii="Cambria Math" w:hAnsi="Cambria Math" w:cstheme="minorHAnsi"/>
                <w:noProof/>
              </w:rPr>
              <m:t>ε</m:t>
            </m:r>
          </m:e>
          <m:sup>
            <m:d>
              <m:dPr>
                <m:ctrlPr>
                  <w:rPr>
                    <w:rFonts w:ascii="Cambria Math" w:hAnsi="Cambria Math" w:cstheme="minorHAnsi"/>
                    <w:i/>
                    <w:noProof/>
                  </w:rPr>
                </m:ctrlPr>
              </m:dPr>
              <m:e>
                <m:r>
                  <w:rPr>
                    <w:rFonts w:ascii="Cambria Math" w:hAnsi="Cambria Math" w:cstheme="minorHAnsi"/>
                    <w:noProof/>
                  </w:rPr>
                  <m:t>5-1</m:t>
                </m:r>
              </m:e>
            </m:d>
          </m:sup>
        </m:sSup>
      </m:oMath>
      <w:r w:rsidR="00B145BE" w:rsidRPr="006E5260">
        <w:rPr>
          <w:rFonts w:cstheme="minorHAnsi"/>
          <w:noProof/>
        </w:rPr>
        <w:t>:</w:t>
      </w:r>
    </w:p>
    <w:p w14:paraId="3DE7ACD4" w14:textId="77777777" w:rsidR="00B145BE" w:rsidRPr="006E5260" w:rsidRDefault="00B145BE" w:rsidP="00B145BE">
      <w:pPr>
        <w:tabs>
          <w:tab w:val="left" w:pos="939"/>
        </w:tabs>
        <w:spacing w:afterLines="60" w:after="144" w:line="360" w:lineRule="auto"/>
        <w:jc w:val="right"/>
        <w:rPr>
          <w:rFonts w:cstheme="minorHAnsi"/>
          <w:noProof/>
        </w:rPr>
      </w:pPr>
      <m:oMath>
        <m:r>
          <w:rPr>
            <w:rFonts w:ascii="Cambria Math" w:hAnsi="Cambria Math" w:cstheme="minorHAnsi"/>
            <w:noProof/>
          </w:rPr>
          <m:t>∆</m:t>
        </m:r>
        <m:sSup>
          <m:sSupPr>
            <m:ctrlPr>
              <w:rPr>
                <w:rFonts w:ascii="Cambria Math" w:hAnsi="Cambria Math" w:cstheme="minorHAnsi"/>
                <w:i/>
                <w:noProof/>
              </w:rPr>
            </m:ctrlPr>
          </m:sSupPr>
          <m:e>
            <m:r>
              <w:rPr>
                <w:rFonts w:ascii="Cambria Math" w:hAnsi="Cambria Math" w:cstheme="minorHAnsi"/>
                <w:noProof/>
              </w:rPr>
              <m:t>ε</m:t>
            </m:r>
          </m:e>
          <m:sup>
            <m:d>
              <m:dPr>
                <m:ctrlPr>
                  <w:rPr>
                    <w:rFonts w:ascii="Cambria Math" w:hAnsi="Cambria Math" w:cstheme="minorHAnsi"/>
                    <w:i/>
                    <w:noProof/>
                  </w:rPr>
                </m:ctrlPr>
              </m:dPr>
              <m:e>
                <m:r>
                  <w:rPr>
                    <w:rFonts w:ascii="Cambria Math" w:hAnsi="Cambria Math" w:cstheme="minorHAnsi"/>
                    <w:noProof/>
                  </w:rPr>
                  <m:t>5-1</m:t>
                </m:r>
              </m:e>
            </m:d>
          </m:sup>
        </m:sSup>
      </m:oMath>
      <w:r w:rsidRPr="006E5260">
        <w:rPr>
          <w:rFonts w:cstheme="minorHAnsi"/>
          <w:noProof/>
        </w:rPr>
        <w:t>=</w:t>
      </w:r>
      <m:oMath>
        <m:f>
          <m:fPr>
            <m:ctrlPr>
              <w:rPr>
                <w:rFonts w:ascii="Cambria Math" w:hAnsi="Cambria Math" w:cstheme="minorHAnsi"/>
                <w:i/>
                <w:noProof/>
              </w:rPr>
            </m:ctrlPr>
          </m:fPr>
          <m:num>
            <m:r>
              <w:rPr>
                <w:rFonts w:ascii="Cambria Math" w:hAnsi="Cambria Math" w:cstheme="minorHAnsi"/>
                <w:noProof/>
              </w:rPr>
              <m:t>1</m:t>
            </m:r>
          </m:num>
          <m:den>
            <m:r>
              <w:rPr>
                <w:rFonts w:ascii="Cambria Math" w:hAnsi="Cambria Math" w:cstheme="minorHAnsi"/>
                <w:noProof/>
              </w:rPr>
              <m:t>2</m:t>
            </m:r>
          </m:den>
        </m:f>
        <m:d>
          <m:dPr>
            <m:ctrlPr>
              <w:rPr>
                <w:rFonts w:ascii="Cambria Math" w:hAnsi="Cambria Math" w:cstheme="minorHAnsi"/>
                <w:noProof/>
              </w:rPr>
            </m:ctrlPr>
          </m:dPr>
          <m:e>
            <m:m>
              <m:mPr>
                <m:mcs>
                  <m:mc>
                    <m:mcPr>
                      <m:count m:val="3"/>
                      <m:mcJc m:val="center"/>
                    </m:mcPr>
                  </m:mc>
                </m:mcs>
                <m:ctrlPr>
                  <w:rPr>
                    <w:rFonts w:ascii="Cambria Math" w:hAnsi="Cambria Math" w:cstheme="minorHAnsi"/>
                    <w:noProof/>
                  </w:rPr>
                </m:ctrlPr>
              </m:mPr>
              <m:mr>
                <m:e>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3</m:t>
                      </m:r>
                    </m:sub>
                  </m:sSub>
                  <m: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2μ</m:t>
                      </m:r>
                    </m:e>
                    <m:sub>
                      <m:r>
                        <m:rPr>
                          <m:sty m:val="p"/>
                        </m:rPr>
                        <w:rPr>
                          <w:rFonts w:ascii="Cambria Math" w:hAnsi="Cambria Math" w:cstheme="minorHAnsi"/>
                          <w:noProof/>
                        </w:rPr>
                        <m:t>1</m:t>
                      </m:r>
                    </m:sub>
                  </m:sSub>
                </m:e>
                <m:e>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2</m:t>
                      </m:r>
                    </m:sub>
                  </m:sSub>
                  <m:r>
                    <m:rPr>
                      <m:sty m:val="p"/>
                    </m:rP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3</m:t>
                      </m:r>
                    </m:sub>
                  </m:sSub>
                </m:e>
                <m:e>
                  <m:r>
                    <m:rPr>
                      <m:sty m:val="p"/>
                    </m:rPr>
                    <w:rPr>
                      <w:rFonts w:ascii="Cambria Math" w:hAnsi="Cambria Math" w:cstheme="minorHAnsi"/>
                      <w:noProof/>
                    </w:rPr>
                    <m:t>0</m:t>
                  </m:r>
                </m:e>
              </m:mr>
              <m:mr>
                <m:e>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2</m:t>
                      </m:r>
                    </m:sub>
                  </m:sSub>
                  <m:r>
                    <m:rPr>
                      <m:sty m:val="p"/>
                    </m:rP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3</m:t>
                      </m:r>
                    </m:sub>
                  </m:sSub>
                </m:e>
                <m:e>
                  <m:r>
                    <m:rPr>
                      <m:sty m:val="p"/>
                    </m:rPr>
                    <w:rPr>
                      <w:rFonts w:ascii="Cambria Math" w:hAnsi="Cambria Math" w:cstheme="minorHAnsi"/>
                      <w:noProof/>
                    </w:rPr>
                    <m:t>0</m:t>
                  </m:r>
                </m:e>
                <m:e>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3</m:t>
                      </m:r>
                    </m:sub>
                  </m:sSub>
                  <m:r>
                    <m:rPr>
                      <m:sty m:val="p"/>
                    </m:rP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2</m:t>
                      </m:r>
                    </m:sub>
                  </m:sSub>
                </m:e>
              </m:mr>
              <m:mr>
                <m:e>
                  <m:r>
                    <m:rPr>
                      <m:sty m:val="p"/>
                    </m:rPr>
                    <w:rPr>
                      <w:rFonts w:ascii="Cambria Math" w:hAnsi="Cambria Math" w:cstheme="minorHAnsi"/>
                      <w:noProof/>
                    </w:rPr>
                    <m:t>0</m:t>
                  </m:r>
                </m:e>
                <m:e>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3</m:t>
                      </m:r>
                    </m:sub>
                  </m:sSub>
                  <m:r>
                    <m:rPr>
                      <m:sty m:val="p"/>
                    </m:rP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2</m:t>
                      </m:r>
                    </m:sub>
                  </m:sSub>
                </m:e>
                <m:e>
                  <m:sSub>
                    <m:sSubPr>
                      <m:ctrlPr>
                        <w:rPr>
                          <w:rFonts w:ascii="Cambria Math" w:hAnsi="Cambria Math" w:cstheme="minorHAnsi"/>
                          <w:noProof/>
                        </w:rPr>
                      </m:ctrlPr>
                    </m:sSubPr>
                    <m:e>
                      <m:r>
                        <w:rPr>
                          <w:rFonts w:ascii="Cambria Math" w:hAnsi="Cambria Math" w:cstheme="minorHAnsi"/>
                          <w:noProof/>
                        </w:rPr>
                        <m:t>2μ</m:t>
                      </m:r>
                    </m:e>
                    <m:sub>
                      <m:r>
                        <m:rPr>
                          <m:sty m:val="p"/>
                        </m:rPr>
                        <w:rPr>
                          <w:rFonts w:ascii="Cambria Math" w:hAnsi="Cambria Math" w:cstheme="minorHAnsi"/>
                          <w:noProof/>
                        </w:rPr>
                        <m:t>1</m:t>
                      </m:r>
                    </m:sub>
                  </m:sSub>
                  <m:r>
                    <m:rPr>
                      <m:sty m:val="p"/>
                    </m:rP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2</m:t>
                      </m:r>
                    </m:sub>
                  </m:sSub>
                  <m:r>
                    <w:rPr>
                      <w:rFonts w:ascii="Cambria Math" w:hAnsi="Cambria Math" w:cstheme="minorHAnsi"/>
                      <w:noProof/>
                    </w:rPr>
                    <m:t>-</m:t>
                  </m:r>
                  <m:sSub>
                    <m:sSubPr>
                      <m:ctrlPr>
                        <w:rPr>
                          <w:rFonts w:ascii="Cambria Math" w:hAnsi="Cambria Math" w:cstheme="minorHAnsi"/>
                          <w:noProof/>
                        </w:rPr>
                      </m:ctrlPr>
                    </m:sSubPr>
                    <m:e>
                      <m:r>
                        <w:rPr>
                          <w:rFonts w:ascii="Cambria Math" w:hAnsi="Cambria Math" w:cstheme="minorHAnsi"/>
                          <w:noProof/>
                        </w:rPr>
                        <m:t>μ</m:t>
                      </m:r>
                    </m:e>
                    <m:sub>
                      <m:r>
                        <m:rPr>
                          <m:sty m:val="p"/>
                        </m:rPr>
                        <w:rPr>
                          <w:rFonts w:ascii="Cambria Math" w:hAnsi="Cambria Math" w:cstheme="minorHAnsi"/>
                          <w:noProof/>
                        </w:rPr>
                        <m:t>3</m:t>
                      </m:r>
                    </m:sub>
                  </m:sSub>
                </m:e>
              </m:mr>
            </m:m>
          </m:e>
        </m:d>
        <m:r>
          <m:rPr>
            <m:sty m:val="p"/>
          </m:rPr>
          <w:rPr>
            <w:rFonts w:ascii="Cambria Math" w:hAnsi="Cambria Math" w:cstheme="minorHAnsi"/>
            <w:noProof/>
          </w:rPr>
          <m:t xml:space="preserve"> = </m:t>
        </m:r>
        <m:f>
          <m:fPr>
            <m:ctrlPr>
              <w:rPr>
                <w:rFonts w:ascii="Cambria Math" w:hAnsi="Cambria Math" w:cstheme="minorHAnsi"/>
                <w:i/>
                <w:noProof/>
              </w:rPr>
            </m:ctrlPr>
          </m:fPr>
          <m:num>
            <m:r>
              <w:rPr>
                <w:rFonts w:ascii="Cambria Math" w:hAnsi="Cambria Math" w:cstheme="minorHAnsi"/>
                <w:noProof/>
              </w:rPr>
              <m:t>1</m:t>
            </m:r>
          </m:num>
          <m:den>
            <m:r>
              <w:rPr>
                <w:rFonts w:ascii="Cambria Math" w:hAnsi="Cambria Math" w:cstheme="minorHAnsi"/>
                <w:noProof/>
              </w:rPr>
              <m:t>2</m:t>
            </m:r>
          </m:den>
        </m:f>
        <m:d>
          <m:dPr>
            <m:ctrlPr>
              <w:rPr>
                <w:rFonts w:ascii="Cambria Math" w:hAnsi="Cambria Math" w:cstheme="minorHAnsi"/>
                <w:noProof/>
              </w:rPr>
            </m:ctrlPr>
          </m:dPr>
          <m:e>
            <m:m>
              <m:mPr>
                <m:mcs>
                  <m:mc>
                    <m:mcPr>
                      <m:count m:val="3"/>
                      <m:mcJc m:val="center"/>
                    </m:mcPr>
                  </m:mc>
                </m:mcs>
                <m:ctrlPr>
                  <w:rPr>
                    <w:rFonts w:ascii="Cambria Math" w:hAnsi="Cambria Math" w:cstheme="minorHAnsi"/>
                    <w:noProof/>
                  </w:rPr>
                </m:ctrlPr>
              </m:mPr>
              <m:mr>
                <m:e>
                  <m:r>
                    <m:rPr>
                      <m:sty m:val="p"/>
                    </m:rPr>
                    <w:rPr>
                      <w:rFonts w:ascii="Cambria Math" w:hAnsi="Cambria Math" w:cstheme="minorHAnsi"/>
                      <w:noProof/>
                    </w:rPr>
                    <m:t>-</m:t>
                  </m:r>
                  <m:r>
                    <w:rPr>
                      <w:rFonts w:ascii="Cambria Math" w:hAnsi="Cambria Math" w:cstheme="minorHAnsi"/>
                      <w:noProof/>
                    </w:rPr>
                    <m:t>p</m:t>
                  </m:r>
                </m:e>
                <m:e>
                  <m:r>
                    <w:rPr>
                      <w:rFonts w:ascii="Cambria Math" w:hAnsi="Cambria Math" w:cstheme="minorHAnsi"/>
                      <w:noProof/>
                    </w:rPr>
                    <m:t>q</m:t>
                  </m:r>
                </m:e>
                <m:e>
                  <m:r>
                    <w:rPr>
                      <w:rFonts w:ascii="Cambria Math" w:hAnsi="Cambria Math" w:cstheme="minorHAnsi"/>
                      <w:noProof/>
                    </w:rPr>
                    <m:t>0</m:t>
                  </m:r>
                </m:e>
              </m:mr>
              <m:mr>
                <m:e>
                  <m:r>
                    <w:rPr>
                      <w:rFonts w:ascii="Cambria Math" w:hAnsi="Cambria Math" w:cstheme="minorHAnsi"/>
                      <w:noProof/>
                    </w:rPr>
                    <m:t>q</m:t>
                  </m:r>
                </m:e>
                <m:e>
                  <m:r>
                    <w:rPr>
                      <w:rFonts w:ascii="Cambria Math" w:hAnsi="Cambria Math" w:cstheme="minorHAnsi"/>
                      <w:noProof/>
                    </w:rPr>
                    <m:t>0</m:t>
                  </m:r>
                </m:e>
                <m:e>
                  <m:r>
                    <m:rPr>
                      <m:sty m:val="p"/>
                    </m:rPr>
                    <w:rPr>
                      <w:rFonts w:ascii="Cambria Math" w:hAnsi="Cambria Math" w:cstheme="minorHAnsi"/>
                      <w:noProof/>
                    </w:rPr>
                    <m:t>-</m:t>
                  </m:r>
                  <m:r>
                    <w:rPr>
                      <w:rFonts w:ascii="Cambria Math" w:hAnsi="Cambria Math" w:cstheme="minorHAnsi"/>
                      <w:noProof/>
                    </w:rPr>
                    <m:t>q</m:t>
                  </m:r>
                </m:e>
              </m:mr>
              <m:mr>
                <m:e>
                  <m:r>
                    <w:rPr>
                      <w:rFonts w:ascii="Cambria Math" w:hAnsi="Cambria Math" w:cstheme="minorHAnsi"/>
                      <w:noProof/>
                    </w:rPr>
                    <m:t>0</m:t>
                  </m:r>
                </m:e>
                <m:e>
                  <m:r>
                    <m:rPr>
                      <m:sty m:val="p"/>
                    </m:rPr>
                    <w:rPr>
                      <w:rFonts w:ascii="Cambria Math" w:hAnsi="Cambria Math" w:cstheme="minorHAnsi"/>
                      <w:noProof/>
                    </w:rPr>
                    <m:t>-</m:t>
                  </m:r>
                  <m:r>
                    <w:rPr>
                      <w:rFonts w:ascii="Cambria Math" w:hAnsi="Cambria Math" w:cstheme="minorHAnsi"/>
                      <w:noProof/>
                    </w:rPr>
                    <m:t>q</m:t>
                  </m:r>
                </m:e>
                <m:e>
                  <m:r>
                    <w:rPr>
                      <w:rFonts w:ascii="Cambria Math" w:hAnsi="Cambria Math" w:cstheme="minorHAnsi"/>
                      <w:noProof/>
                    </w:rPr>
                    <m:t>p</m:t>
                  </m:r>
                </m:e>
              </m:mr>
            </m:m>
          </m:e>
        </m:d>
      </m:oMath>
      <w:r>
        <w:rPr>
          <w:rFonts w:cstheme="minorHAnsi"/>
          <w:noProof/>
        </w:rPr>
        <w:t xml:space="preserve">                  </w:t>
      </w:r>
      <w:r w:rsidRPr="006E5260">
        <w:rPr>
          <w:rFonts w:cstheme="minorHAnsi"/>
          <w:noProof/>
        </w:rPr>
        <w:t xml:space="preserve">  (19)</w:t>
      </w:r>
    </w:p>
    <w:p w14:paraId="7BDE0DBD" w14:textId="3E02FD6F" w:rsidR="00B145BE" w:rsidRPr="006E5260" w:rsidRDefault="00B17691" w:rsidP="00B145BE">
      <w:pPr>
        <w:tabs>
          <w:tab w:val="left" w:pos="939"/>
        </w:tabs>
        <w:spacing w:afterLines="60" w:after="144" w:line="360" w:lineRule="auto"/>
        <w:rPr>
          <w:rFonts w:cstheme="minorHAnsi"/>
          <w:noProof/>
        </w:rPr>
      </w:pPr>
      <w:r>
        <w:rPr>
          <w:rFonts w:cstheme="minorHAnsi"/>
          <w:noProof/>
        </w:rPr>
        <w:t>w</w:t>
      </w:r>
      <w:r w:rsidR="00B145BE" w:rsidRPr="006E5260">
        <w:rPr>
          <w:rFonts w:cstheme="minorHAnsi"/>
          <w:noProof/>
        </w:rPr>
        <w:t>here the solution is expressed as:</w:t>
      </w:r>
    </w:p>
    <w:p w14:paraId="10C20BDE" w14:textId="77777777" w:rsidR="00B145BE" w:rsidRPr="006E5260" w:rsidRDefault="00B145BE" w:rsidP="00B145BE">
      <w:pPr>
        <w:spacing w:afterLines="60" w:after="144" w:line="360" w:lineRule="auto"/>
        <w:jc w:val="right"/>
        <w:rPr>
          <w:rFonts w:cstheme="minorHAnsi"/>
          <w:noProof/>
        </w:rPr>
      </w:pPr>
      <w:r w:rsidRPr="006E5260">
        <w:rPr>
          <w:rFonts w:cstheme="minorHAnsi"/>
          <w:b/>
          <w:noProof/>
        </w:rPr>
        <w:t xml:space="preserve">       </w:t>
      </w:r>
      <m:oMath>
        <m:r>
          <m:rPr>
            <m:sty m:val="bi"/>
          </m:rPr>
          <w:rPr>
            <w:rFonts w:ascii="Cambria Math" w:hAnsi="Cambria Math" w:cstheme="minorHAnsi"/>
            <w:noProof/>
          </w:rPr>
          <m:t>b</m:t>
        </m:r>
      </m:oMath>
      <w:r w:rsidRPr="006E5260">
        <w:rPr>
          <w:rFonts w:cstheme="minorHAnsi"/>
          <w:noProof/>
        </w:rPr>
        <w:t xml:space="preserve"> =</w:t>
      </w:r>
      <m:oMath>
        <m:f>
          <m:fPr>
            <m:ctrlPr>
              <w:rPr>
                <w:rFonts w:ascii="Cambria Math" w:hAnsi="Cambria Math" w:cstheme="minorHAnsi"/>
                <w:i/>
                <w:noProof/>
              </w:rPr>
            </m:ctrlPr>
          </m:fPr>
          <m:num>
            <m:r>
              <w:rPr>
                <w:rFonts w:ascii="Cambria Math" w:hAnsi="Cambria Math" w:cstheme="minorHAnsi"/>
                <w:noProof/>
              </w:rPr>
              <m:t>1</m:t>
            </m:r>
          </m:num>
          <m:den>
            <m:rad>
              <m:radPr>
                <m:degHide m:val="1"/>
                <m:ctrlPr>
                  <w:rPr>
                    <w:rFonts w:ascii="Cambria Math" w:hAnsi="Cambria Math" w:cstheme="minorHAnsi"/>
                    <w:i/>
                    <w:noProof/>
                  </w:rPr>
                </m:ctrlPr>
              </m:radPr>
              <m:deg/>
              <m:e>
                <m:r>
                  <w:rPr>
                    <w:rFonts w:ascii="Cambria Math" w:hAnsi="Cambria Math" w:cstheme="minorHAnsi"/>
                    <w:noProof/>
                  </w:rPr>
                  <m:t>2</m:t>
                </m:r>
              </m:e>
            </m:rad>
          </m:den>
        </m:f>
      </m:oMath>
      <w:r w:rsidRPr="006E5260">
        <w:rPr>
          <w:rFonts w:cstheme="minorHAnsi"/>
          <w:noProof/>
        </w:rPr>
        <w:t xml:space="preserve">(p, -2q, p) </w:t>
      </w:r>
      <m:oMath>
        <m:r>
          <m:rPr>
            <m:sty m:val="bi"/>
          </m:rPr>
          <w:rPr>
            <w:rFonts w:ascii="Cambria Math" w:hAnsi="Cambria Math" w:cstheme="minorHAnsi"/>
            <w:noProof/>
          </w:rPr>
          <m:t>n</m:t>
        </m:r>
      </m:oMath>
      <w:r w:rsidRPr="006E5260">
        <w:rPr>
          <w:rFonts w:cstheme="minorHAnsi"/>
          <w:noProof/>
        </w:rPr>
        <w:t xml:space="preserve"> =</w:t>
      </w:r>
      <m:oMath>
        <m:f>
          <m:fPr>
            <m:ctrlPr>
              <w:rPr>
                <w:rFonts w:ascii="Cambria Math" w:hAnsi="Cambria Math" w:cstheme="minorHAnsi"/>
                <w:i/>
                <w:noProof/>
              </w:rPr>
            </m:ctrlPr>
          </m:fPr>
          <m:num>
            <m:r>
              <w:rPr>
                <w:rFonts w:ascii="Cambria Math" w:hAnsi="Cambria Math" w:cstheme="minorHAnsi"/>
                <w:noProof/>
              </w:rPr>
              <m:t>1</m:t>
            </m:r>
          </m:num>
          <m:den>
            <m:rad>
              <m:radPr>
                <m:degHide m:val="1"/>
                <m:ctrlPr>
                  <w:rPr>
                    <w:rFonts w:ascii="Cambria Math" w:hAnsi="Cambria Math" w:cstheme="minorHAnsi"/>
                    <w:i/>
                    <w:noProof/>
                  </w:rPr>
                </m:ctrlPr>
              </m:radPr>
              <m:deg/>
              <m:e>
                <m:r>
                  <w:rPr>
                    <w:rFonts w:ascii="Cambria Math" w:hAnsi="Cambria Math" w:cstheme="minorHAnsi"/>
                    <w:noProof/>
                  </w:rPr>
                  <m:t>2</m:t>
                </m:r>
              </m:e>
            </m:rad>
          </m:den>
        </m:f>
      </m:oMath>
      <w:r w:rsidRPr="006E5260">
        <w:rPr>
          <w:rFonts w:cstheme="minorHAnsi"/>
          <w:noProof/>
        </w:rPr>
        <w:t xml:space="preserve"> (-1 0 1) or </w:t>
      </w:r>
      <m:oMath>
        <m:r>
          <m:rPr>
            <m:sty m:val="bi"/>
          </m:rPr>
          <w:rPr>
            <w:rFonts w:ascii="Cambria Math" w:hAnsi="Cambria Math" w:cstheme="minorHAnsi"/>
            <w:noProof/>
          </w:rPr>
          <m:t>b</m:t>
        </m:r>
      </m:oMath>
      <w:r w:rsidRPr="006E5260">
        <w:rPr>
          <w:rFonts w:cstheme="minorHAnsi"/>
          <w:noProof/>
        </w:rPr>
        <w:t xml:space="preserve"> =</w:t>
      </w:r>
      <m:oMath>
        <m:f>
          <m:fPr>
            <m:ctrlPr>
              <w:rPr>
                <w:rFonts w:ascii="Cambria Math" w:hAnsi="Cambria Math" w:cstheme="minorHAnsi"/>
                <w:i/>
                <w:noProof/>
              </w:rPr>
            </m:ctrlPr>
          </m:fPr>
          <m:num>
            <m:r>
              <w:rPr>
                <w:rFonts w:ascii="Cambria Math" w:hAnsi="Cambria Math" w:cstheme="minorHAnsi"/>
                <w:noProof/>
              </w:rPr>
              <m:t>1</m:t>
            </m:r>
          </m:num>
          <m:den>
            <m:rad>
              <m:radPr>
                <m:degHide m:val="1"/>
                <m:ctrlPr>
                  <w:rPr>
                    <w:rFonts w:ascii="Cambria Math" w:hAnsi="Cambria Math" w:cstheme="minorHAnsi"/>
                    <w:i/>
                    <w:noProof/>
                  </w:rPr>
                </m:ctrlPr>
              </m:radPr>
              <m:deg/>
              <m:e>
                <m:r>
                  <w:rPr>
                    <w:rFonts w:ascii="Cambria Math" w:hAnsi="Cambria Math" w:cstheme="minorHAnsi"/>
                    <w:noProof/>
                  </w:rPr>
                  <m:t>2</m:t>
                </m:r>
              </m:e>
            </m:rad>
          </m:den>
        </m:f>
      </m:oMath>
      <w:r w:rsidRPr="006E5260">
        <w:rPr>
          <w:rFonts w:cstheme="minorHAnsi"/>
          <w:noProof/>
        </w:rPr>
        <w:t xml:space="preserve"> (-1, 0, 1) </w:t>
      </w:r>
      <m:oMath>
        <m:r>
          <m:rPr>
            <m:sty m:val="bi"/>
          </m:rPr>
          <w:rPr>
            <w:rFonts w:ascii="Cambria Math" w:hAnsi="Cambria Math" w:cstheme="minorHAnsi"/>
            <w:noProof/>
          </w:rPr>
          <m:t>n</m:t>
        </m:r>
      </m:oMath>
      <w:r w:rsidRPr="006E5260">
        <w:rPr>
          <w:rFonts w:cstheme="minorHAnsi"/>
          <w:noProof/>
        </w:rPr>
        <w:t xml:space="preserve"> =</w:t>
      </w:r>
      <m:oMath>
        <m:f>
          <m:fPr>
            <m:ctrlPr>
              <w:rPr>
                <w:rFonts w:ascii="Cambria Math" w:hAnsi="Cambria Math" w:cstheme="minorHAnsi"/>
                <w:i/>
                <w:noProof/>
              </w:rPr>
            </m:ctrlPr>
          </m:fPr>
          <m:num>
            <m:r>
              <w:rPr>
                <w:rFonts w:ascii="Cambria Math" w:hAnsi="Cambria Math" w:cstheme="minorHAnsi"/>
                <w:noProof/>
              </w:rPr>
              <m:t>1</m:t>
            </m:r>
          </m:num>
          <m:den>
            <m:rad>
              <m:radPr>
                <m:degHide m:val="1"/>
                <m:ctrlPr>
                  <w:rPr>
                    <w:rFonts w:ascii="Cambria Math" w:hAnsi="Cambria Math" w:cstheme="minorHAnsi"/>
                    <w:i/>
                    <w:noProof/>
                  </w:rPr>
                </m:ctrlPr>
              </m:radPr>
              <m:deg/>
              <m:e>
                <m:r>
                  <w:rPr>
                    <w:rFonts w:ascii="Cambria Math" w:hAnsi="Cambria Math" w:cstheme="minorHAnsi"/>
                    <w:noProof/>
                  </w:rPr>
                  <m:t>2</m:t>
                </m:r>
              </m:e>
            </m:rad>
          </m:den>
        </m:f>
      </m:oMath>
      <w:r w:rsidRPr="006E5260">
        <w:rPr>
          <w:rFonts w:cstheme="minorHAnsi"/>
          <w:noProof/>
        </w:rPr>
        <w:t xml:space="preserve">(p -2q p)   </w:t>
      </w:r>
      <w:r>
        <w:rPr>
          <w:rFonts w:cstheme="minorHAnsi"/>
          <w:noProof/>
        </w:rPr>
        <w:t xml:space="preserve">                          </w:t>
      </w:r>
      <w:r w:rsidRPr="006E5260">
        <w:rPr>
          <w:rFonts w:cstheme="minorHAnsi"/>
          <w:noProof/>
        </w:rPr>
        <w:t xml:space="preserve">  (20)                                                </w:t>
      </w:r>
    </w:p>
    <w:p w14:paraId="7F4DEF07" w14:textId="3C0A1FAF" w:rsidR="00B145BE" w:rsidRPr="006E5260" w:rsidRDefault="00B145BE" w:rsidP="00B145BE">
      <w:pPr>
        <w:spacing w:afterLines="60" w:after="144" w:line="360" w:lineRule="auto"/>
        <w:rPr>
          <w:rFonts w:cstheme="minorHAnsi"/>
          <w:noProof/>
        </w:rPr>
      </w:pPr>
      <w:r w:rsidRPr="006E5260">
        <w:rPr>
          <w:rFonts w:cstheme="minorHAnsi"/>
          <w:noProof/>
        </w:rPr>
        <w:t xml:space="preserve">As expected, due to the symmetry of </w:t>
      </w:r>
      <w:r w:rsidR="00B17691">
        <w:rPr>
          <w:rFonts w:cstheme="minorHAnsi"/>
          <w:noProof/>
        </w:rPr>
        <w:t xml:space="preserve">the </w:t>
      </w:r>
      <w:r>
        <w:rPr>
          <w:rFonts w:cstheme="minorHAnsi"/>
          <w:noProof/>
        </w:rPr>
        <w:t>BCC</w:t>
      </w:r>
      <w:r w:rsidRPr="006E5260">
        <w:rPr>
          <w:rFonts w:cstheme="minorHAnsi"/>
          <w:noProof/>
        </w:rPr>
        <w:t xml:space="preserve"> lattice</w:t>
      </w:r>
      <w:r>
        <w:rPr>
          <w:rFonts w:cstheme="minorHAnsi"/>
          <w:noProof/>
        </w:rPr>
        <w:t>, t</w:t>
      </w:r>
      <w:r w:rsidRPr="006E5260">
        <w:rPr>
          <w:rFonts w:cstheme="minorHAnsi"/>
          <w:noProof/>
        </w:rPr>
        <w:t xml:space="preserve">he solution of </w:t>
      </w:r>
      <m:oMath>
        <m:r>
          <m:rPr>
            <m:sty m:val="bi"/>
          </m:rPr>
          <w:rPr>
            <w:rFonts w:ascii="Cambria Math" w:hAnsi="Cambria Math" w:cstheme="minorHAnsi"/>
            <w:noProof/>
          </w:rPr>
          <m:t>b</m:t>
        </m:r>
      </m:oMath>
      <w:r w:rsidRPr="006E5260">
        <w:rPr>
          <w:rFonts w:cstheme="minorHAnsi"/>
          <w:i/>
          <w:noProof/>
        </w:rPr>
        <w:t xml:space="preserve"> </w:t>
      </w:r>
      <w:r w:rsidRPr="006E5260">
        <w:rPr>
          <w:rFonts w:cstheme="minorHAnsi"/>
          <w:noProof/>
        </w:rPr>
        <w:t xml:space="preserve">and </w:t>
      </w:r>
      <m:oMath>
        <m:r>
          <m:rPr>
            <m:sty m:val="bi"/>
          </m:rPr>
          <w:rPr>
            <w:rFonts w:ascii="Cambria Math" w:hAnsi="Cambria Math" w:cstheme="minorHAnsi"/>
            <w:noProof/>
          </w:rPr>
          <m:t>n</m:t>
        </m:r>
      </m:oMath>
      <w:r w:rsidRPr="006E5260">
        <w:rPr>
          <w:rFonts w:cstheme="minorHAnsi"/>
          <w:noProof/>
        </w:rPr>
        <w:t xml:space="preserve"> for </w:t>
      </w:r>
      <m:oMath>
        <m:r>
          <w:rPr>
            <w:rFonts w:ascii="Cambria Math" w:hAnsi="Cambria Math" w:cstheme="minorHAnsi"/>
            <w:noProof/>
          </w:rPr>
          <m:t>∆</m:t>
        </m:r>
        <m:sSup>
          <m:sSupPr>
            <m:ctrlPr>
              <w:rPr>
                <w:rFonts w:ascii="Cambria Math" w:hAnsi="Cambria Math" w:cstheme="minorHAnsi"/>
                <w:i/>
                <w:noProof/>
              </w:rPr>
            </m:ctrlPr>
          </m:sSupPr>
          <m:e>
            <m:r>
              <w:rPr>
                <w:rFonts w:ascii="Cambria Math" w:hAnsi="Cambria Math" w:cstheme="minorHAnsi"/>
                <w:noProof/>
              </w:rPr>
              <m:t>ε</m:t>
            </m:r>
          </m:e>
          <m:sup>
            <m:d>
              <m:dPr>
                <m:ctrlPr>
                  <w:rPr>
                    <w:rFonts w:ascii="Cambria Math" w:hAnsi="Cambria Math" w:cstheme="minorHAnsi"/>
                    <w:i/>
                    <w:noProof/>
                  </w:rPr>
                </m:ctrlPr>
              </m:dPr>
              <m:e>
                <m:r>
                  <w:rPr>
                    <w:rFonts w:ascii="Cambria Math" w:hAnsi="Cambria Math" w:cstheme="minorHAnsi"/>
                    <w:noProof/>
                  </w:rPr>
                  <m:t>3-1</m:t>
                </m:r>
              </m:e>
            </m:d>
          </m:sup>
        </m:sSup>
      </m:oMath>
      <w:r w:rsidRPr="006E5260">
        <w:rPr>
          <w:rFonts w:cstheme="minorHAnsi"/>
          <w:noProof/>
        </w:rPr>
        <w:t>,</w:t>
      </w:r>
      <w:r>
        <w:rPr>
          <w:rFonts w:cstheme="minorHAnsi"/>
          <w:noProof/>
        </w:rPr>
        <w:t xml:space="preserve"> </w:t>
      </w:r>
      <m:oMath>
        <m:r>
          <w:rPr>
            <w:rFonts w:ascii="Cambria Math" w:hAnsi="Cambria Math" w:cstheme="minorHAnsi"/>
            <w:noProof/>
          </w:rPr>
          <m:t xml:space="preserve"> ∆</m:t>
        </m:r>
        <m:sSup>
          <m:sSupPr>
            <m:ctrlPr>
              <w:rPr>
                <w:rFonts w:ascii="Cambria Math" w:hAnsi="Cambria Math" w:cstheme="minorHAnsi"/>
                <w:i/>
                <w:noProof/>
              </w:rPr>
            </m:ctrlPr>
          </m:sSupPr>
          <m:e>
            <m:r>
              <w:rPr>
                <w:rFonts w:ascii="Cambria Math" w:hAnsi="Cambria Math" w:cstheme="minorHAnsi"/>
                <w:noProof/>
              </w:rPr>
              <m:t>ε</m:t>
            </m:r>
          </m:e>
          <m:sup>
            <m:d>
              <m:dPr>
                <m:ctrlPr>
                  <w:rPr>
                    <w:rFonts w:ascii="Cambria Math" w:hAnsi="Cambria Math" w:cstheme="minorHAnsi"/>
                    <w:i/>
                    <w:noProof/>
                  </w:rPr>
                </m:ctrlPr>
              </m:dPr>
              <m:e>
                <m:r>
                  <w:rPr>
                    <w:rFonts w:ascii="Cambria Math" w:hAnsi="Cambria Math" w:cstheme="minorHAnsi"/>
                    <w:noProof/>
                  </w:rPr>
                  <m:t>4-1</m:t>
                </m:r>
              </m:e>
            </m:d>
          </m:sup>
        </m:sSup>
      </m:oMath>
      <w:r w:rsidRPr="006E5260">
        <w:rPr>
          <w:rFonts w:cstheme="minorHAnsi"/>
          <w:noProof/>
        </w:rPr>
        <w:t>,</w:t>
      </w:r>
      <w:r>
        <w:rPr>
          <w:rFonts w:cstheme="minorHAnsi"/>
          <w:noProof/>
        </w:rPr>
        <w:t xml:space="preserve"> </w:t>
      </w:r>
      <m:oMath>
        <m:r>
          <w:rPr>
            <w:rFonts w:ascii="Cambria Math" w:hAnsi="Cambria Math" w:cstheme="minorHAnsi"/>
            <w:noProof/>
          </w:rPr>
          <m:t xml:space="preserve"> ∆</m:t>
        </m:r>
        <m:sSup>
          <m:sSupPr>
            <m:ctrlPr>
              <w:rPr>
                <w:rFonts w:ascii="Cambria Math" w:hAnsi="Cambria Math" w:cstheme="minorHAnsi"/>
                <w:i/>
                <w:noProof/>
              </w:rPr>
            </m:ctrlPr>
          </m:sSupPr>
          <m:e>
            <m:r>
              <w:rPr>
                <w:rFonts w:ascii="Cambria Math" w:hAnsi="Cambria Math" w:cstheme="minorHAnsi"/>
                <w:noProof/>
              </w:rPr>
              <m:t>ε</m:t>
            </m:r>
          </m:e>
          <m:sup>
            <m:d>
              <m:dPr>
                <m:ctrlPr>
                  <w:rPr>
                    <w:rFonts w:ascii="Cambria Math" w:hAnsi="Cambria Math" w:cstheme="minorHAnsi"/>
                    <w:i/>
                    <w:noProof/>
                  </w:rPr>
                </m:ctrlPr>
              </m:dPr>
              <m:e>
                <m:r>
                  <w:rPr>
                    <w:rFonts w:ascii="Cambria Math" w:hAnsi="Cambria Math" w:cstheme="minorHAnsi"/>
                    <w:noProof/>
                  </w:rPr>
                  <m:t>5-1</m:t>
                </m:r>
              </m:e>
            </m:d>
          </m:sup>
        </m:sSup>
      </m:oMath>
      <w:r w:rsidRPr="006E5260">
        <w:rPr>
          <w:rFonts w:cstheme="minorHAnsi"/>
          <w:noProof/>
        </w:rPr>
        <w:t>,</w:t>
      </w:r>
      <w:r>
        <w:rPr>
          <w:rFonts w:cstheme="minorHAnsi"/>
          <w:noProof/>
        </w:rPr>
        <w:t xml:space="preserve"> </w:t>
      </w:r>
      <m:oMath>
        <m:r>
          <w:rPr>
            <w:rFonts w:ascii="Cambria Math" w:hAnsi="Cambria Math" w:cstheme="minorHAnsi"/>
            <w:noProof/>
          </w:rPr>
          <m:t xml:space="preserve"> ∆</m:t>
        </m:r>
        <m:sSup>
          <m:sSupPr>
            <m:ctrlPr>
              <w:rPr>
                <w:rFonts w:ascii="Cambria Math" w:hAnsi="Cambria Math" w:cstheme="minorHAnsi"/>
                <w:i/>
                <w:noProof/>
              </w:rPr>
            </m:ctrlPr>
          </m:sSupPr>
          <m:e>
            <m:r>
              <w:rPr>
                <w:rFonts w:ascii="Cambria Math" w:hAnsi="Cambria Math" w:cstheme="minorHAnsi"/>
                <w:noProof/>
              </w:rPr>
              <m:t>ε</m:t>
            </m:r>
          </m:e>
          <m:sup>
            <m:d>
              <m:dPr>
                <m:ctrlPr>
                  <w:rPr>
                    <w:rFonts w:ascii="Cambria Math" w:hAnsi="Cambria Math" w:cstheme="minorHAnsi"/>
                    <w:i/>
                    <w:noProof/>
                  </w:rPr>
                </m:ctrlPr>
              </m:dPr>
              <m:e>
                <m:r>
                  <w:rPr>
                    <w:rFonts w:ascii="Cambria Math" w:hAnsi="Cambria Math" w:cstheme="minorHAnsi"/>
                    <w:noProof/>
                  </w:rPr>
                  <m:t>6-1</m:t>
                </m:r>
              </m:e>
            </m:d>
          </m:sup>
        </m:sSup>
      </m:oMath>
      <w:r w:rsidRPr="006E5260">
        <w:rPr>
          <w:rFonts w:cstheme="minorHAnsi"/>
          <w:noProof/>
        </w:rPr>
        <w:t xml:space="preserve"> is general, and all expressed in the form of:</w:t>
      </w:r>
    </w:p>
    <w:p w14:paraId="6BD7E643" w14:textId="77777777" w:rsidR="00B145BE" w:rsidRPr="006E5260" w:rsidRDefault="00B145BE" w:rsidP="00B145BE">
      <w:pPr>
        <w:spacing w:after="0" w:line="360" w:lineRule="auto"/>
        <w:jc w:val="right"/>
        <w:rPr>
          <w:rFonts w:cstheme="minorHAnsi"/>
          <w:noProof/>
        </w:rPr>
      </w:pPr>
      <w:bookmarkStart w:id="289" w:name="_Hlk521577208"/>
      <w:bookmarkStart w:id="290" w:name="_Hlk521577167"/>
      <w:r w:rsidRPr="006E5260">
        <w:rPr>
          <w:rFonts w:cstheme="minorHAnsi"/>
          <w:b/>
          <w:noProof/>
        </w:rPr>
        <w:t xml:space="preserve">          </w:t>
      </w:r>
      <m:oMath>
        <m:r>
          <m:rPr>
            <m:sty m:val="bi"/>
          </m:rPr>
          <w:rPr>
            <w:rFonts w:ascii="Cambria Math" w:hAnsi="Cambria Math" w:cstheme="minorHAnsi"/>
            <w:noProof/>
          </w:rPr>
          <m:t>b</m:t>
        </m:r>
      </m:oMath>
      <w:r w:rsidRPr="006E5260">
        <w:rPr>
          <w:rFonts w:cstheme="minorHAnsi"/>
          <w:noProof/>
        </w:rPr>
        <w:t xml:space="preserve"> =</w:t>
      </w:r>
      <m:oMath>
        <m:f>
          <m:fPr>
            <m:ctrlPr>
              <w:rPr>
                <w:rFonts w:ascii="Cambria Math" w:hAnsi="Cambria Math" w:cstheme="minorHAnsi"/>
                <w:i/>
                <w:noProof/>
              </w:rPr>
            </m:ctrlPr>
          </m:fPr>
          <m:num>
            <m:r>
              <w:rPr>
                <w:rFonts w:ascii="Cambria Math" w:hAnsi="Cambria Math" w:cstheme="minorHAnsi"/>
                <w:noProof/>
              </w:rPr>
              <m:t>1</m:t>
            </m:r>
          </m:num>
          <m:den>
            <m:rad>
              <m:radPr>
                <m:degHide m:val="1"/>
                <m:ctrlPr>
                  <w:rPr>
                    <w:rFonts w:ascii="Cambria Math" w:hAnsi="Cambria Math" w:cstheme="minorHAnsi"/>
                    <w:i/>
                    <w:noProof/>
                  </w:rPr>
                </m:ctrlPr>
              </m:radPr>
              <m:deg/>
              <m:e>
                <m:r>
                  <w:rPr>
                    <w:rFonts w:ascii="Cambria Math" w:hAnsi="Cambria Math" w:cstheme="minorHAnsi"/>
                    <w:noProof/>
                  </w:rPr>
                  <m:t>2</m:t>
                </m:r>
              </m:e>
            </m:rad>
          </m:den>
        </m:f>
      </m:oMath>
      <w:r w:rsidRPr="006E5260">
        <w:rPr>
          <w:rFonts w:cstheme="minorHAnsi"/>
          <w:noProof/>
        </w:rPr>
        <w:t xml:space="preserve">[p, -2q, p] </w:t>
      </w:r>
      <m:oMath>
        <m:r>
          <m:rPr>
            <m:sty m:val="bi"/>
          </m:rPr>
          <w:rPr>
            <w:rFonts w:ascii="Cambria Math" w:hAnsi="Cambria Math" w:cstheme="minorHAnsi"/>
            <w:noProof/>
          </w:rPr>
          <m:t>n</m:t>
        </m:r>
      </m:oMath>
      <w:r w:rsidRPr="006E5260">
        <w:rPr>
          <w:rFonts w:cstheme="minorHAnsi"/>
          <w:noProof/>
        </w:rPr>
        <w:t xml:space="preserve"> =</w:t>
      </w:r>
      <m:oMath>
        <m:f>
          <m:fPr>
            <m:ctrlPr>
              <w:rPr>
                <w:rFonts w:ascii="Cambria Math" w:hAnsi="Cambria Math" w:cstheme="minorHAnsi"/>
                <w:i/>
                <w:noProof/>
              </w:rPr>
            </m:ctrlPr>
          </m:fPr>
          <m:num>
            <m:r>
              <w:rPr>
                <w:rFonts w:ascii="Cambria Math" w:hAnsi="Cambria Math" w:cstheme="minorHAnsi"/>
                <w:noProof/>
              </w:rPr>
              <m:t>1</m:t>
            </m:r>
          </m:num>
          <m:den>
            <m:rad>
              <m:radPr>
                <m:degHide m:val="1"/>
                <m:ctrlPr>
                  <w:rPr>
                    <w:rFonts w:ascii="Cambria Math" w:hAnsi="Cambria Math" w:cstheme="minorHAnsi"/>
                    <w:i/>
                    <w:noProof/>
                  </w:rPr>
                </m:ctrlPr>
              </m:radPr>
              <m:deg/>
              <m:e>
                <m:r>
                  <w:rPr>
                    <w:rFonts w:ascii="Cambria Math" w:hAnsi="Cambria Math" w:cstheme="minorHAnsi"/>
                    <w:noProof/>
                  </w:rPr>
                  <m:t>2</m:t>
                </m:r>
              </m:e>
            </m:rad>
          </m:den>
        </m:f>
      </m:oMath>
      <w:r w:rsidRPr="006E5260">
        <w:rPr>
          <w:rFonts w:cstheme="minorHAnsi"/>
          <w:noProof/>
        </w:rPr>
        <w:t xml:space="preserve"> (-1 0 1) or </w:t>
      </w:r>
      <m:oMath>
        <m:r>
          <m:rPr>
            <m:sty m:val="bi"/>
          </m:rPr>
          <w:rPr>
            <w:rFonts w:ascii="Cambria Math" w:hAnsi="Cambria Math" w:cstheme="minorHAnsi"/>
            <w:noProof/>
          </w:rPr>
          <m:t>b</m:t>
        </m:r>
      </m:oMath>
      <w:r w:rsidRPr="006E5260">
        <w:rPr>
          <w:rFonts w:cstheme="minorHAnsi"/>
          <w:noProof/>
        </w:rPr>
        <w:t xml:space="preserve"> =</w:t>
      </w:r>
      <m:oMath>
        <m:f>
          <m:fPr>
            <m:ctrlPr>
              <w:rPr>
                <w:rFonts w:ascii="Cambria Math" w:hAnsi="Cambria Math" w:cstheme="minorHAnsi"/>
                <w:i/>
                <w:noProof/>
              </w:rPr>
            </m:ctrlPr>
          </m:fPr>
          <m:num>
            <m:r>
              <w:rPr>
                <w:rFonts w:ascii="Cambria Math" w:hAnsi="Cambria Math" w:cstheme="minorHAnsi"/>
                <w:noProof/>
              </w:rPr>
              <m:t>1</m:t>
            </m:r>
          </m:num>
          <m:den>
            <m:rad>
              <m:radPr>
                <m:degHide m:val="1"/>
                <m:ctrlPr>
                  <w:rPr>
                    <w:rFonts w:ascii="Cambria Math" w:hAnsi="Cambria Math" w:cstheme="minorHAnsi"/>
                    <w:i/>
                    <w:noProof/>
                  </w:rPr>
                </m:ctrlPr>
              </m:radPr>
              <m:deg/>
              <m:e>
                <m:r>
                  <w:rPr>
                    <w:rFonts w:ascii="Cambria Math" w:hAnsi="Cambria Math" w:cstheme="minorHAnsi"/>
                    <w:noProof/>
                  </w:rPr>
                  <m:t>2</m:t>
                </m:r>
              </m:e>
            </m:rad>
          </m:den>
        </m:f>
      </m:oMath>
      <w:r w:rsidRPr="006E5260">
        <w:rPr>
          <w:rFonts w:cstheme="minorHAnsi"/>
          <w:noProof/>
        </w:rPr>
        <w:t xml:space="preserve"> [-1, 0, 1] </w:t>
      </w:r>
      <m:oMath>
        <m:r>
          <m:rPr>
            <m:sty m:val="bi"/>
          </m:rPr>
          <w:rPr>
            <w:rFonts w:ascii="Cambria Math" w:hAnsi="Cambria Math" w:cstheme="minorHAnsi"/>
            <w:noProof/>
          </w:rPr>
          <m:t>n</m:t>
        </m:r>
      </m:oMath>
      <w:r w:rsidRPr="006E5260">
        <w:rPr>
          <w:rFonts w:cstheme="minorHAnsi"/>
          <w:noProof/>
        </w:rPr>
        <w:t xml:space="preserve"> =</w:t>
      </w:r>
      <m:oMath>
        <m:f>
          <m:fPr>
            <m:ctrlPr>
              <w:rPr>
                <w:rFonts w:ascii="Cambria Math" w:hAnsi="Cambria Math" w:cstheme="minorHAnsi"/>
                <w:i/>
                <w:noProof/>
              </w:rPr>
            </m:ctrlPr>
          </m:fPr>
          <m:num>
            <m:r>
              <w:rPr>
                <w:rFonts w:ascii="Cambria Math" w:hAnsi="Cambria Math" w:cstheme="minorHAnsi"/>
                <w:noProof/>
              </w:rPr>
              <m:t>1</m:t>
            </m:r>
          </m:num>
          <m:den>
            <m:rad>
              <m:radPr>
                <m:degHide m:val="1"/>
                <m:ctrlPr>
                  <w:rPr>
                    <w:rFonts w:ascii="Cambria Math" w:hAnsi="Cambria Math" w:cstheme="minorHAnsi"/>
                    <w:i/>
                    <w:noProof/>
                  </w:rPr>
                </m:ctrlPr>
              </m:radPr>
              <m:deg/>
              <m:e>
                <m:r>
                  <w:rPr>
                    <w:rFonts w:ascii="Cambria Math" w:hAnsi="Cambria Math" w:cstheme="minorHAnsi"/>
                    <w:noProof/>
                  </w:rPr>
                  <m:t>2</m:t>
                </m:r>
              </m:e>
            </m:rad>
          </m:den>
        </m:f>
      </m:oMath>
      <w:r w:rsidRPr="006E5260">
        <w:rPr>
          <w:rFonts w:cstheme="minorHAnsi"/>
          <w:noProof/>
        </w:rPr>
        <w:t xml:space="preserve">(p -2q p)   </w:t>
      </w:r>
      <w:r>
        <w:rPr>
          <w:rFonts w:cstheme="minorHAnsi"/>
          <w:noProof/>
        </w:rPr>
        <w:t xml:space="preserve">                          </w:t>
      </w:r>
      <w:r w:rsidRPr="006E5260">
        <w:rPr>
          <w:rFonts w:cstheme="minorHAnsi"/>
          <w:noProof/>
        </w:rPr>
        <w:t xml:space="preserve">  (21)                                               </w:t>
      </w:r>
      <w:bookmarkEnd w:id="289"/>
    </w:p>
    <w:bookmarkEnd w:id="290"/>
    <w:p w14:paraId="54A988F5" w14:textId="13C14FD0" w:rsidR="00B145BE" w:rsidRDefault="00B145BE" w:rsidP="00B145BE">
      <w:pPr>
        <w:spacing w:after="0" w:line="360" w:lineRule="auto"/>
        <w:rPr>
          <w:rFonts w:cstheme="minorHAnsi"/>
          <w:noProof/>
        </w:rPr>
      </w:pPr>
      <w:r w:rsidRPr="006E5260">
        <w:rPr>
          <w:rFonts w:cstheme="minorHAnsi"/>
          <w:noProof/>
        </w:rPr>
        <w:t xml:space="preserve">To transfer the Miller indices of </w:t>
      </w:r>
      <m:oMath>
        <m:r>
          <m:rPr>
            <m:sty m:val="bi"/>
          </m:rPr>
          <w:rPr>
            <w:rFonts w:ascii="Cambria Math" w:hAnsi="Cambria Math" w:cstheme="minorHAnsi"/>
            <w:noProof/>
          </w:rPr>
          <m:t>b</m:t>
        </m:r>
      </m:oMath>
      <w:r w:rsidRPr="006E5260">
        <w:rPr>
          <w:rFonts w:cstheme="minorHAnsi"/>
          <w:noProof/>
        </w:rPr>
        <w:t xml:space="preserve"> and </w:t>
      </w:r>
      <m:oMath>
        <m:r>
          <m:rPr>
            <m:sty m:val="bi"/>
          </m:rPr>
          <w:rPr>
            <w:rFonts w:ascii="Cambria Math" w:hAnsi="Cambria Math" w:cstheme="minorHAnsi"/>
            <w:noProof/>
          </w:rPr>
          <m:t>n</m:t>
        </m:r>
      </m:oMath>
      <w:r w:rsidRPr="006E5260">
        <w:rPr>
          <w:rFonts w:cstheme="minorHAnsi"/>
          <w:noProof/>
        </w:rPr>
        <w:t xml:space="preserve"> from cubic to orthorhomobic (BCC to martensite) coordinates, the following lattice correspond</w:t>
      </w:r>
      <w:r w:rsidR="00B17691">
        <w:rPr>
          <w:rFonts w:cstheme="minorHAnsi"/>
          <w:noProof/>
        </w:rPr>
        <w:t>e</w:t>
      </w:r>
      <w:r w:rsidRPr="006E5260">
        <w:rPr>
          <w:rFonts w:cstheme="minorHAnsi"/>
          <w:noProof/>
        </w:rPr>
        <w:t>nce relationship derived from V1 were taken (through undeformed base centred orthorhombic coordinate</w:t>
      </w:r>
      <w:r w:rsidR="00B17691">
        <w:rPr>
          <w:rFonts w:cstheme="minorHAnsi"/>
          <w:noProof/>
        </w:rPr>
        <w:t>s</w:t>
      </w:r>
      <w:r w:rsidRPr="006E5260">
        <w:rPr>
          <w:rFonts w:cstheme="minorHAnsi"/>
          <w:noProof/>
        </w:rPr>
        <w:t>):</w:t>
      </w:r>
    </w:p>
    <w:p w14:paraId="06F7F925" w14:textId="2D7B6238" w:rsidR="00B145BE" w:rsidRPr="008216F8" w:rsidRDefault="00B145BE" w:rsidP="00B145BE">
      <w:pPr>
        <w:spacing w:after="0" w:line="360" w:lineRule="auto"/>
        <w:jc w:val="center"/>
        <w:rPr>
          <w:rFonts w:cstheme="minorHAnsi"/>
          <w:b/>
          <w:noProof/>
          <w:sz w:val="20"/>
        </w:rPr>
      </w:pPr>
      <w:bookmarkStart w:id="291" w:name="_Toc39312741"/>
      <w:r w:rsidRPr="00631636">
        <w:rPr>
          <w:rFonts w:cstheme="minorHAnsi"/>
          <w:b/>
          <w:noProof/>
          <w:sz w:val="20"/>
        </w:rPr>
        <w:t>Table 6</w:t>
      </w:r>
      <w:r>
        <w:rPr>
          <w:b/>
          <w:sz w:val="20"/>
        </w:rPr>
        <w:noBreakHyphen/>
      </w:r>
      <w:r>
        <w:rPr>
          <w:b/>
          <w:sz w:val="20"/>
        </w:rPr>
        <w:fldChar w:fldCharType="begin"/>
      </w:r>
      <w:r>
        <w:rPr>
          <w:b/>
          <w:sz w:val="20"/>
        </w:rPr>
        <w:instrText xml:space="preserve"> SEQ Table \* ARABIC \s 1 </w:instrText>
      </w:r>
      <w:r>
        <w:rPr>
          <w:b/>
          <w:sz w:val="20"/>
        </w:rPr>
        <w:fldChar w:fldCharType="separate"/>
      </w:r>
      <w:r>
        <w:rPr>
          <w:b/>
          <w:noProof/>
          <w:sz w:val="20"/>
        </w:rPr>
        <w:t>1</w:t>
      </w:r>
      <w:r>
        <w:rPr>
          <w:b/>
          <w:sz w:val="20"/>
        </w:rPr>
        <w:fldChar w:fldCharType="end"/>
      </w:r>
      <w:r w:rsidRPr="00631636">
        <w:rPr>
          <w:rFonts w:cstheme="minorHAnsi"/>
          <w:b/>
          <w:noProof/>
          <w:sz w:val="20"/>
        </w:rPr>
        <w:t xml:space="preserve"> Lattice </w:t>
      </w:r>
      <w:r w:rsidR="00B17691" w:rsidRPr="00631636">
        <w:rPr>
          <w:rFonts w:cstheme="minorHAnsi"/>
          <w:b/>
          <w:noProof/>
          <w:sz w:val="20"/>
        </w:rPr>
        <w:t>correspond</w:t>
      </w:r>
      <w:r w:rsidR="00B17691">
        <w:rPr>
          <w:rFonts w:cstheme="minorHAnsi"/>
          <w:b/>
          <w:noProof/>
          <w:sz w:val="20"/>
        </w:rPr>
        <w:t>e</w:t>
      </w:r>
      <w:r w:rsidR="00B17691" w:rsidRPr="00631636">
        <w:rPr>
          <w:rFonts w:cstheme="minorHAnsi"/>
          <w:b/>
          <w:noProof/>
          <w:sz w:val="20"/>
        </w:rPr>
        <w:t xml:space="preserve">nce </w:t>
      </w:r>
      <w:r w:rsidRPr="00631636">
        <w:rPr>
          <w:rFonts w:cstheme="minorHAnsi"/>
          <w:b/>
          <w:noProof/>
          <w:sz w:val="20"/>
        </w:rPr>
        <w:t xml:space="preserve">of </w:t>
      </w:r>
      <w:r w:rsidR="00B17691">
        <w:rPr>
          <w:rFonts w:cstheme="minorHAnsi"/>
          <w:b/>
          <w:noProof/>
          <w:sz w:val="20"/>
        </w:rPr>
        <w:t xml:space="preserve">the </w:t>
      </w:r>
      <w:r w:rsidRPr="00631636">
        <w:rPr>
          <w:rFonts w:cstheme="minorHAnsi"/>
          <w:b/>
          <w:noProof/>
          <w:sz w:val="20"/>
        </w:rPr>
        <w:t xml:space="preserve">BCC structure with </w:t>
      </w:r>
      <w:r w:rsidR="00B17691">
        <w:rPr>
          <w:rFonts w:cstheme="minorHAnsi"/>
          <w:b/>
          <w:noProof/>
          <w:sz w:val="20"/>
        </w:rPr>
        <w:t xml:space="preserve">the </w:t>
      </w:r>
      <w:r w:rsidRPr="00631636">
        <w:rPr>
          <w:rFonts w:cstheme="minorHAnsi"/>
          <w:b/>
          <w:noProof/>
          <w:sz w:val="20"/>
        </w:rPr>
        <w:t>Martensite structure.</w:t>
      </w:r>
      <w:bookmarkEnd w:id="291"/>
    </w:p>
    <w:tbl>
      <w:tblPr>
        <w:tblStyle w:val="21"/>
        <w:tblW w:w="0" w:type="auto"/>
        <w:jc w:val="center"/>
        <w:tblLook w:val="04A0" w:firstRow="1" w:lastRow="0" w:firstColumn="1" w:lastColumn="0" w:noHBand="0" w:noVBand="1"/>
      </w:tblPr>
      <w:tblGrid>
        <w:gridCol w:w="2074"/>
        <w:gridCol w:w="2074"/>
        <w:gridCol w:w="2074"/>
        <w:gridCol w:w="2074"/>
      </w:tblGrid>
      <w:tr w:rsidR="00B145BE" w:rsidRPr="006E5260" w14:paraId="765E4A6F" w14:textId="77777777" w:rsidTr="00B145B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4" w:type="dxa"/>
            <w:tcBorders>
              <w:top w:val="single" w:sz="4" w:space="0" w:color="7F7F7F"/>
              <w:right w:val="single" w:sz="4" w:space="0" w:color="auto"/>
            </w:tcBorders>
            <w:vAlign w:val="center"/>
          </w:tcPr>
          <w:p w14:paraId="721DC79F" w14:textId="77777777" w:rsidR="00B145BE" w:rsidRPr="009B7299" w:rsidRDefault="00B145BE" w:rsidP="00B145BE">
            <w:pPr>
              <w:spacing w:afterLines="60" w:after="144" w:line="360" w:lineRule="auto"/>
              <w:jc w:val="center"/>
              <w:rPr>
                <w:rFonts w:cstheme="minorHAnsi"/>
                <w:b w:val="0"/>
                <w:bCs w:val="0"/>
                <w:noProof/>
                <w:sz w:val="20"/>
                <w:szCs w:val="20"/>
              </w:rPr>
            </w:pPr>
            <w:r w:rsidRPr="009B7299">
              <w:rPr>
                <w:rFonts w:cstheme="minorHAnsi"/>
                <w:b w:val="0"/>
                <w:bCs w:val="0"/>
                <w:noProof/>
                <w:sz w:val="20"/>
                <w:szCs w:val="20"/>
              </w:rPr>
              <w:t>Body centric</w:t>
            </w:r>
            <w:r>
              <w:rPr>
                <w:rFonts w:cstheme="minorHAnsi"/>
                <w:b w:val="0"/>
                <w:bCs w:val="0"/>
                <w:noProof/>
                <w:sz w:val="20"/>
                <w:szCs w:val="20"/>
              </w:rPr>
              <w:t xml:space="preserve"> cubic</w:t>
            </w:r>
          </w:p>
        </w:tc>
        <w:tc>
          <w:tcPr>
            <w:tcW w:w="2074" w:type="dxa"/>
            <w:tcBorders>
              <w:left w:val="single" w:sz="4" w:space="0" w:color="auto"/>
            </w:tcBorders>
            <w:vAlign w:val="center"/>
          </w:tcPr>
          <w:p w14:paraId="7B800E07" w14:textId="77777777" w:rsidR="00B145BE" w:rsidRPr="009B7299" w:rsidRDefault="00B145BE" w:rsidP="00B145BE">
            <w:pPr>
              <w:spacing w:afterLines="60" w:after="144" w:line="360" w:lineRule="auto"/>
              <w:jc w:val="center"/>
              <w:cnfStyle w:val="100000000000" w:firstRow="1" w:lastRow="0" w:firstColumn="0" w:lastColumn="0" w:oddVBand="0" w:evenVBand="0" w:oddHBand="0" w:evenHBand="0" w:firstRowFirstColumn="0" w:firstRowLastColumn="0" w:lastRowFirstColumn="0" w:lastRowLastColumn="0"/>
              <w:rPr>
                <w:rFonts w:cstheme="minorHAnsi"/>
                <w:b w:val="0"/>
                <w:bCs w:val="0"/>
                <w:noProof/>
                <w:sz w:val="20"/>
                <w:szCs w:val="20"/>
              </w:rPr>
            </w:pPr>
            <w:r w:rsidRPr="009B7299">
              <w:rPr>
                <w:rFonts w:cstheme="minorHAnsi"/>
                <w:b w:val="0"/>
                <w:bCs w:val="0"/>
                <w:noProof/>
                <w:sz w:val="20"/>
                <w:szCs w:val="20"/>
              </w:rPr>
              <w:t>a   [1 0 0]</w:t>
            </w:r>
          </w:p>
        </w:tc>
        <w:tc>
          <w:tcPr>
            <w:tcW w:w="2074" w:type="dxa"/>
            <w:vAlign w:val="center"/>
          </w:tcPr>
          <w:p w14:paraId="7AA718B4" w14:textId="77777777" w:rsidR="00B145BE" w:rsidRPr="009B7299" w:rsidRDefault="00B145BE" w:rsidP="00B145BE">
            <w:pPr>
              <w:spacing w:afterLines="60" w:after="144" w:line="360" w:lineRule="auto"/>
              <w:jc w:val="center"/>
              <w:cnfStyle w:val="100000000000" w:firstRow="1" w:lastRow="0" w:firstColumn="0" w:lastColumn="0" w:oddVBand="0" w:evenVBand="0" w:oddHBand="0" w:evenHBand="0" w:firstRowFirstColumn="0" w:firstRowLastColumn="0" w:lastRowFirstColumn="0" w:lastRowLastColumn="0"/>
              <w:rPr>
                <w:rFonts w:cstheme="minorHAnsi"/>
                <w:b w:val="0"/>
                <w:bCs w:val="0"/>
                <w:noProof/>
                <w:sz w:val="20"/>
                <w:szCs w:val="20"/>
              </w:rPr>
            </w:pPr>
            <w:r w:rsidRPr="009B7299">
              <w:rPr>
                <w:rFonts w:cstheme="minorHAnsi"/>
                <w:b w:val="0"/>
                <w:bCs w:val="0"/>
                <w:noProof/>
                <w:sz w:val="20"/>
                <w:szCs w:val="20"/>
              </w:rPr>
              <w:t xml:space="preserve">b </w:t>
            </w:r>
            <w:r w:rsidRPr="009B7299">
              <w:rPr>
                <w:rFonts w:cstheme="minorHAnsi"/>
                <w:b w:val="0"/>
                <w:bCs w:val="0"/>
                <w:noProof/>
                <w:sz w:val="20"/>
                <w:szCs w:val="20"/>
                <w:vertAlign w:val="subscript"/>
              </w:rPr>
              <w:t xml:space="preserve"> </w:t>
            </w:r>
            <w:r w:rsidRPr="009B7299">
              <w:rPr>
                <w:rFonts w:cstheme="minorHAnsi"/>
                <w:b w:val="0"/>
                <w:bCs w:val="0"/>
                <w:noProof/>
                <w:sz w:val="20"/>
                <w:szCs w:val="20"/>
              </w:rPr>
              <w:t>[0 1 0]</w:t>
            </w:r>
          </w:p>
        </w:tc>
        <w:tc>
          <w:tcPr>
            <w:tcW w:w="2074" w:type="dxa"/>
            <w:vAlign w:val="center"/>
          </w:tcPr>
          <w:p w14:paraId="776B9C76" w14:textId="77777777" w:rsidR="00B145BE" w:rsidRPr="009B7299" w:rsidRDefault="00B145BE" w:rsidP="00B145BE">
            <w:pPr>
              <w:spacing w:afterLines="60" w:after="144" w:line="360" w:lineRule="auto"/>
              <w:jc w:val="center"/>
              <w:cnfStyle w:val="100000000000" w:firstRow="1" w:lastRow="0" w:firstColumn="0" w:lastColumn="0" w:oddVBand="0" w:evenVBand="0" w:oddHBand="0" w:evenHBand="0" w:firstRowFirstColumn="0" w:firstRowLastColumn="0" w:lastRowFirstColumn="0" w:lastRowLastColumn="0"/>
              <w:rPr>
                <w:rFonts w:cstheme="minorHAnsi"/>
                <w:b w:val="0"/>
                <w:bCs w:val="0"/>
                <w:noProof/>
                <w:sz w:val="20"/>
                <w:szCs w:val="20"/>
              </w:rPr>
            </w:pPr>
            <w:r w:rsidRPr="009B7299">
              <w:rPr>
                <w:rFonts w:cstheme="minorHAnsi"/>
                <w:b w:val="0"/>
                <w:bCs w:val="0"/>
                <w:noProof/>
                <w:sz w:val="20"/>
                <w:szCs w:val="20"/>
              </w:rPr>
              <w:t xml:space="preserve">c </w:t>
            </w:r>
            <w:r w:rsidRPr="009B7299">
              <w:rPr>
                <w:rFonts w:cstheme="minorHAnsi"/>
                <w:b w:val="0"/>
                <w:bCs w:val="0"/>
                <w:noProof/>
                <w:sz w:val="20"/>
                <w:szCs w:val="20"/>
                <w:vertAlign w:val="subscript"/>
              </w:rPr>
              <w:t xml:space="preserve"> </w:t>
            </w:r>
            <w:r w:rsidRPr="009B7299">
              <w:rPr>
                <w:rFonts w:cstheme="minorHAnsi"/>
                <w:b w:val="0"/>
                <w:bCs w:val="0"/>
                <w:noProof/>
                <w:sz w:val="20"/>
                <w:szCs w:val="20"/>
              </w:rPr>
              <w:t>[0 0 1]</w:t>
            </w:r>
          </w:p>
        </w:tc>
      </w:tr>
      <w:tr w:rsidR="00B145BE" w:rsidRPr="006E5260" w14:paraId="77129F02" w14:textId="77777777" w:rsidTr="00B145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4" w:type="dxa"/>
            <w:tcBorders>
              <w:right w:val="single" w:sz="4" w:space="0" w:color="auto"/>
            </w:tcBorders>
            <w:vAlign w:val="center"/>
          </w:tcPr>
          <w:p w14:paraId="1A5A7000" w14:textId="77777777" w:rsidR="00B145BE" w:rsidRPr="009B7299" w:rsidRDefault="00B145BE" w:rsidP="00B145BE">
            <w:pPr>
              <w:spacing w:afterLines="60" w:after="144" w:line="360" w:lineRule="auto"/>
              <w:jc w:val="center"/>
              <w:rPr>
                <w:rFonts w:cstheme="minorHAnsi"/>
                <w:b w:val="0"/>
                <w:bCs w:val="0"/>
                <w:noProof/>
                <w:sz w:val="20"/>
                <w:szCs w:val="20"/>
              </w:rPr>
            </w:pPr>
            <w:r w:rsidRPr="009B7299">
              <w:rPr>
                <w:rFonts w:cstheme="minorHAnsi"/>
                <w:b w:val="0"/>
                <w:bCs w:val="0"/>
                <w:noProof/>
                <w:sz w:val="20"/>
                <w:szCs w:val="20"/>
              </w:rPr>
              <w:t>Orthorhombic</w:t>
            </w:r>
          </w:p>
        </w:tc>
        <w:tc>
          <w:tcPr>
            <w:tcW w:w="2074" w:type="dxa"/>
            <w:tcBorders>
              <w:left w:val="single" w:sz="4" w:space="0" w:color="auto"/>
            </w:tcBorders>
            <w:vAlign w:val="center"/>
          </w:tcPr>
          <w:p w14:paraId="1A87643A" w14:textId="77777777" w:rsidR="00B145BE" w:rsidRPr="009B7299" w:rsidRDefault="00B145BE" w:rsidP="00B145BE">
            <w:pPr>
              <w:spacing w:afterLines="60" w:after="144" w:line="360" w:lineRule="auto"/>
              <w:jc w:val="center"/>
              <w:cnfStyle w:val="000000100000" w:firstRow="0" w:lastRow="0" w:firstColumn="0" w:lastColumn="0" w:oddVBand="0" w:evenVBand="0" w:oddHBand="1" w:evenHBand="0" w:firstRowFirstColumn="0" w:firstRowLastColumn="0" w:lastRowFirstColumn="0" w:lastRowLastColumn="0"/>
              <w:rPr>
                <w:rFonts w:cstheme="minorHAnsi"/>
                <w:noProof/>
                <w:sz w:val="20"/>
                <w:szCs w:val="20"/>
              </w:rPr>
            </w:pPr>
            <w:r w:rsidRPr="009B7299">
              <w:rPr>
                <w:rFonts w:cstheme="minorHAnsi"/>
                <w:noProof/>
                <w:sz w:val="20"/>
                <w:szCs w:val="20"/>
              </w:rPr>
              <w:t>a</w:t>
            </w:r>
            <w:r w:rsidRPr="009B7299">
              <w:rPr>
                <w:rFonts w:cstheme="minorHAnsi"/>
                <w:noProof/>
                <w:sz w:val="20"/>
                <w:szCs w:val="20"/>
                <w:vertAlign w:val="subscript"/>
              </w:rPr>
              <w:t>0</w:t>
            </w:r>
            <w:r w:rsidRPr="009B7299">
              <w:rPr>
                <w:rFonts w:cstheme="minorHAnsi"/>
                <w:noProof/>
                <w:sz w:val="20"/>
                <w:szCs w:val="20"/>
              </w:rPr>
              <w:t xml:space="preserve">  [1 0 0]</w:t>
            </w:r>
          </w:p>
        </w:tc>
        <w:tc>
          <w:tcPr>
            <w:tcW w:w="2074" w:type="dxa"/>
            <w:vAlign w:val="center"/>
          </w:tcPr>
          <w:p w14:paraId="571CCFB3" w14:textId="77777777" w:rsidR="00B145BE" w:rsidRPr="009B7299" w:rsidRDefault="00B145BE" w:rsidP="00B145BE">
            <w:pPr>
              <w:spacing w:afterLines="60" w:after="144" w:line="360" w:lineRule="auto"/>
              <w:jc w:val="center"/>
              <w:cnfStyle w:val="000000100000" w:firstRow="0" w:lastRow="0" w:firstColumn="0" w:lastColumn="0" w:oddVBand="0" w:evenVBand="0" w:oddHBand="1" w:evenHBand="0" w:firstRowFirstColumn="0" w:firstRowLastColumn="0" w:lastRowFirstColumn="0" w:lastRowLastColumn="0"/>
              <w:rPr>
                <w:rFonts w:cstheme="minorHAnsi"/>
                <w:noProof/>
                <w:sz w:val="20"/>
                <w:szCs w:val="20"/>
              </w:rPr>
            </w:pPr>
            <w:r w:rsidRPr="009B7299">
              <w:rPr>
                <w:rFonts w:cstheme="minorHAnsi"/>
                <w:noProof/>
                <w:sz w:val="20"/>
                <w:szCs w:val="20"/>
              </w:rPr>
              <w:t>b</w:t>
            </w:r>
            <w:r w:rsidRPr="009B7299">
              <w:rPr>
                <w:rFonts w:cstheme="minorHAnsi"/>
                <w:noProof/>
                <w:sz w:val="20"/>
                <w:szCs w:val="20"/>
                <w:vertAlign w:val="subscript"/>
              </w:rPr>
              <w:t>0</w:t>
            </w:r>
            <w:r w:rsidRPr="009B7299">
              <w:rPr>
                <w:rFonts w:cstheme="minorHAnsi"/>
                <w:noProof/>
                <w:sz w:val="20"/>
                <w:szCs w:val="20"/>
              </w:rPr>
              <w:t xml:space="preserve"> [0 ½ -½]</w:t>
            </w:r>
          </w:p>
        </w:tc>
        <w:tc>
          <w:tcPr>
            <w:tcW w:w="2074" w:type="dxa"/>
            <w:vAlign w:val="center"/>
          </w:tcPr>
          <w:p w14:paraId="0758DC93" w14:textId="77777777" w:rsidR="00B145BE" w:rsidRPr="009B7299" w:rsidRDefault="00B145BE" w:rsidP="00B145BE">
            <w:pPr>
              <w:keepNext/>
              <w:spacing w:afterLines="60" w:after="144" w:line="360" w:lineRule="auto"/>
              <w:jc w:val="center"/>
              <w:cnfStyle w:val="000000100000" w:firstRow="0" w:lastRow="0" w:firstColumn="0" w:lastColumn="0" w:oddVBand="0" w:evenVBand="0" w:oddHBand="1" w:evenHBand="0" w:firstRowFirstColumn="0" w:firstRowLastColumn="0" w:lastRowFirstColumn="0" w:lastRowLastColumn="0"/>
              <w:rPr>
                <w:rFonts w:cstheme="minorHAnsi"/>
                <w:noProof/>
                <w:sz w:val="20"/>
                <w:szCs w:val="20"/>
              </w:rPr>
            </w:pPr>
            <w:r w:rsidRPr="009B7299">
              <w:rPr>
                <w:rFonts w:cstheme="minorHAnsi"/>
                <w:noProof/>
                <w:sz w:val="20"/>
                <w:szCs w:val="20"/>
              </w:rPr>
              <w:t>c</w:t>
            </w:r>
            <w:r w:rsidRPr="009B7299">
              <w:rPr>
                <w:rFonts w:cstheme="minorHAnsi"/>
                <w:noProof/>
                <w:sz w:val="20"/>
                <w:szCs w:val="20"/>
                <w:vertAlign w:val="subscript"/>
              </w:rPr>
              <w:t>0</w:t>
            </w:r>
            <w:r w:rsidRPr="009B7299">
              <w:rPr>
                <w:rFonts w:cstheme="minorHAnsi"/>
                <w:noProof/>
                <w:sz w:val="20"/>
                <w:szCs w:val="20"/>
              </w:rPr>
              <w:t xml:space="preserve"> [0 ½ ½]</w:t>
            </w:r>
          </w:p>
        </w:tc>
      </w:tr>
    </w:tbl>
    <w:p w14:paraId="206B04FE" w14:textId="7DA5BBA1" w:rsidR="00B145BE" w:rsidRPr="006E5260" w:rsidRDefault="00B145BE" w:rsidP="00B145BE">
      <w:pPr>
        <w:spacing w:afterLines="60" w:after="144" w:line="360" w:lineRule="auto"/>
        <w:jc w:val="both"/>
        <w:rPr>
          <w:rFonts w:cstheme="minorHAnsi"/>
          <w:noProof/>
        </w:rPr>
      </w:pPr>
      <w:r w:rsidRPr="006E5260">
        <w:rPr>
          <w:rFonts w:cstheme="minorHAnsi"/>
          <w:noProof/>
        </w:rPr>
        <w:lastRenderedPageBreak/>
        <w:t>Substitut</w:t>
      </w:r>
      <w:r>
        <w:rPr>
          <w:rFonts w:cstheme="minorHAnsi"/>
          <w:noProof/>
        </w:rPr>
        <w:t>ing</w:t>
      </w:r>
      <w:r w:rsidRPr="006E5260">
        <w:rPr>
          <w:rFonts w:cstheme="minorHAnsi"/>
          <w:noProof/>
        </w:rPr>
        <w:t xml:space="preserve"> </w:t>
      </w:r>
      <w:r w:rsidRPr="006E5260">
        <w:rPr>
          <w:rFonts w:cstheme="minorHAnsi"/>
          <w:b/>
          <w:noProof/>
        </w:rPr>
        <w:t>a</w:t>
      </w:r>
      <w:r w:rsidRPr="006E5260">
        <w:rPr>
          <w:rFonts w:cstheme="minorHAnsi"/>
          <w:noProof/>
        </w:rPr>
        <w:t>,</w:t>
      </w:r>
      <w:r>
        <w:rPr>
          <w:rFonts w:cstheme="minorHAnsi"/>
          <w:noProof/>
        </w:rPr>
        <w:t xml:space="preserve"> </w:t>
      </w:r>
      <w:r w:rsidRPr="006E5260">
        <w:rPr>
          <w:rFonts w:cstheme="minorHAnsi"/>
          <w:b/>
          <w:noProof/>
        </w:rPr>
        <w:t>b</w:t>
      </w:r>
      <w:r w:rsidRPr="006E5260">
        <w:rPr>
          <w:rFonts w:cstheme="minorHAnsi"/>
          <w:noProof/>
        </w:rPr>
        <w:t>,</w:t>
      </w:r>
      <w:r>
        <w:rPr>
          <w:rFonts w:cstheme="minorHAnsi"/>
          <w:noProof/>
        </w:rPr>
        <w:t xml:space="preserve"> </w:t>
      </w:r>
      <w:r w:rsidRPr="006E5260">
        <w:rPr>
          <w:rFonts w:cstheme="minorHAnsi"/>
          <w:b/>
          <w:noProof/>
        </w:rPr>
        <w:t>c</w:t>
      </w:r>
      <w:r w:rsidRPr="006E5260">
        <w:rPr>
          <w:rFonts w:cstheme="minorHAnsi"/>
          <w:noProof/>
        </w:rPr>
        <w:t xml:space="preserve"> by </w:t>
      </w:r>
      <w:r w:rsidRPr="006E5260">
        <w:rPr>
          <w:rFonts w:cstheme="minorHAnsi"/>
          <w:b/>
          <w:noProof/>
        </w:rPr>
        <w:t>a</w:t>
      </w:r>
      <w:r w:rsidRPr="006E5260">
        <w:rPr>
          <w:rFonts w:cstheme="minorHAnsi"/>
          <w:b/>
          <w:noProof/>
          <w:vertAlign w:val="subscript"/>
        </w:rPr>
        <w:t>0,</w:t>
      </w:r>
      <w:r w:rsidRPr="006E5260">
        <w:rPr>
          <w:rFonts w:cstheme="minorHAnsi"/>
          <w:b/>
          <w:noProof/>
        </w:rPr>
        <w:t xml:space="preserve"> b</w:t>
      </w:r>
      <w:r w:rsidRPr="006E5260">
        <w:rPr>
          <w:rFonts w:cstheme="minorHAnsi"/>
          <w:b/>
          <w:noProof/>
          <w:vertAlign w:val="subscript"/>
        </w:rPr>
        <w:t>0,</w:t>
      </w:r>
      <w:r w:rsidRPr="006E5260">
        <w:rPr>
          <w:rFonts w:cstheme="minorHAnsi"/>
          <w:b/>
          <w:noProof/>
        </w:rPr>
        <w:t xml:space="preserve"> c</w:t>
      </w:r>
      <w:r w:rsidRPr="006E5260">
        <w:rPr>
          <w:rFonts w:cstheme="minorHAnsi"/>
          <w:b/>
          <w:noProof/>
          <w:vertAlign w:val="subscript"/>
        </w:rPr>
        <w:t>0</w:t>
      </w:r>
      <w:r w:rsidRPr="006E5260">
        <w:rPr>
          <w:rFonts w:cstheme="minorHAnsi"/>
          <w:noProof/>
        </w:rPr>
        <w:t xml:space="preserve"> in </w:t>
      </w:r>
      <w:r w:rsidRPr="00A51168">
        <w:rPr>
          <w:rFonts w:cstheme="minorHAnsi"/>
          <w:i/>
          <w:noProof/>
        </w:rPr>
        <w:t>eq</w:t>
      </w:r>
      <w:r w:rsidRPr="006E5260">
        <w:rPr>
          <w:rFonts w:cstheme="minorHAnsi"/>
          <w:noProof/>
        </w:rPr>
        <w:t>.(21)</w:t>
      </w:r>
      <w:r>
        <w:rPr>
          <w:rFonts w:cstheme="minorHAnsi"/>
          <w:noProof/>
        </w:rPr>
        <w:t xml:space="preserve"> and</w:t>
      </w:r>
      <w:r w:rsidRPr="006E5260">
        <w:rPr>
          <w:rFonts w:cstheme="minorHAnsi"/>
          <w:noProof/>
        </w:rPr>
        <w:t xml:space="preserve"> delet</w:t>
      </w:r>
      <w:r>
        <w:rPr>
          <w:rFonts w:cstheme="minorHAnsi"/>
          <w:noProof/>
        </w:rPr>
        <w:t>ing</w:t>
      </w:r>
      <w:r w:rsidRPr="006E5260">
        <w:rPr>
          <w:rFonts w:cstheme="minorHAnsi"/>
          <w:noProof/>
        </w:rPr>
        <w:t xml:space="preserve"> the common coefficient</w:t>
      </w:r>
      <w:r>
        <w:rPr>
          <w:rFonts w:cstheme="minorHAnsi"/>
          <w:noProof/>
        </w:rPr>
        <w:t xml:space="preserve">, the </w:t>
      </w:r>
      <w:r w:rsidRPr="006E5260">
        <w:rPr>
          <w:rFonts w:cstheme="minorHAnsi"/>
          <w:noProof/>
        </w:rPr>
        <w:t xml:space="preserve">simple integer ratio expression of </w:t>
      </w:r>
      <m:oMath>
        <m:r>
          <m:rPr>
            <m:sty m:val="bi"/>
          </m:rPr>
          <w:rPr>
            <w:rFonts w:ascii="Cambria Math" w:hAnsi="Cambria Math" w:cstheme="minorHAnsi"/>
            <w:noProof/>
          </w:rPr>
          <m:t>b</m:t>
        </m:r>
      </m:oMath>
      <w:r w:rsidRPr="006E5260">
        <w:rPr>
          <w:rFonts w:cstheme="minorHAnsi"/>
          <w:noProof/>
        </w:rPr>
        <w:t xml:space="preserve">, and </w:t>
      </w:r>
      <m:oMath>
        <m:r>
          <m:rPr>
            <m:sty m:val="bi"/>
          </m:rPr>
          <w:rPr>
            <w:rFonts w:ascii="Cambria Math" w:hAnsi="Cambria Math" w:cstheme="minorHAnsi"/>
            <w:noProof/>
          </w:rPr>
          <m:t>n</m:t>
        </m:r>
      </m:oMath>
      <w:r w:rsidRPr="006E5260">
        <w:rPr>
          <w:rFonts w:cstheme="minorHAnsi"/>
          <w:noProof/>
        </w:rPr>
        <w:t xml:space="preserve"> </w:t>
      </w:r>
      <w:r>
        <w:rPr>
          <w:rFonts w:cstheme="minorHAnsi"/>
          <w:noProof/>
        </w:rPr>
        <w:t>is determined. T</w:t>
      </w:r>
      <w:r w:rsidRPr="006E5260">
        <w:rPr>
          <w:rFonts w:cstheme="minorHAnsi"/>
          <w:noProof/>
        </w:rPr>
        <w:t>o transfor</w:t>
      </w:r>
      <w:r w:rsidR="00B17691">
        <w:rPr>
          <w:rFonts w:cstheme="minorHAnsi"/>
          <w:noProof/>
        </w:rPr>
        <w:t>m</w:t>
      </w:r>
      <w:r w:rsidRPr="006E5260">
        <w:rPr>
          <w:rFonts w:cstheme="minorHAnsi"/>
          <w:noProof/>
        </w:rPr>
        <w:t xml:space="preserve"> the cubic </w:t>
      </w:r>
      <w:r>
        <w:rPr>
          <w:rFonts w:cstheme="minorHAnsi"/>
          <w:noProof/>
        </w:rPr>
        <w:t>M</w:t>
      </w:r>
      <w:r w:rsidRPr="006E5260">
        <w:rPr>
          <w:rFonts w:cstheme="minorHAnsi"/>
          <w:noProof/>
        </w:rPr>
        <w:t>iller indice</w:t>
      </w:r>
      <w:r>
        <w:rPr>
          <w:rFonts w:cstheme="minorHAnsi"/>
          <w:noProof/>
        </w:rPr>
        <w:t>s</w:t>
      </w:r>
      <w:r w:rsidRPr="006E5260">
        <w:rPr>
          <w:rFonts w:cstheme="minorHAnsi"/>
          <w:noProof/>
        </w:rPr>
        <w:t xml:space="preserve"> of lattice plane (</w:t>
      </w:r>
      <m:oMath>
        <m:r>
          <w:rPr>
            <w:rFonts w:ascii="Cambria Math" w:hAnsi="Cambria Math" w:cstheme="minorHAnsi"/>
            <w:noProof/>
          </w:rPr>
          <m:t>h k l</m:t>
        </m:r>
      </m:oMath>
      <w:r w:rsidRPr="006E5260">
        <w:rPr>
          <w:rFonts w:cstheme="minorHAnsi"/>
          <w:noProof/>
        </w:rPr>
        <w:t>)</w:t>
      </w:r>
      <w:r w:rsidRPr="006E5260">
        <w:rPr>
          <w:rFonts w:cstheme="minorHAnsi"/>
          <w:noProof/>
          <w:vertAlign w:val="subscript"/>
        </w:rPr>
        <w:t>β</w:t>
      </w:r>
      <w:r w:rsidRPr="006E5260">
        <w:rPr>
          <w:rFonts w:cstheme="minorHAnsi"/>
          <w:noProof/>
        </w:rPr>
        <w:t xml:space="preserve"> into orthorhombic (</w:t>
      </w:r>
      <m:oMath>
        <m:r>
          <w:rPr>
            <w:rFonts w:ascii="Cambria Math" w:hAnsi="Cambria Math" w:cstheme="minorHAnsi"/>
            <w:noProof/>
          </w:rPr>
          <m:t>h' k' l'</m:t>
        </m:r>
      </m:oMath>
      <w:r w:rsidRPr="006E5260">
        <w:rPr>
          <w:rFonts w:cstheme="minorHAnsi"/>
          <w:noProof/>
        </w:rPr>
        <w:t>)</w:t>
      </w:r>
      <w:r w:rsidRPr="006E5260">
        <w:rPr>
          <w:rFonts w:cstheme="minorHAnsi"/>
          <w:noProof/>
          <w:vertAlign w:val="subscript"/>
        </w:rPr>
        <w:t>α’’</w:t>
      </w:r>
      <w:r w:rsidRPr="006E5260">
        <w:rPr>
          <w:rFonts w:cstheme="minorHAnsi"/>
          <w:noProof/>
        </w:rPr>
        <w:t xml:space="preserve">, the following transformation is </w:t>
      </w:r>
      <w:r w:rsidR="00B17691">
        <w:rPr>
          <w:rFonts w:cstheme="minorHAnsi"/>
          <w:noProof/>
        </w:rPr>
        <w:t>used</w:t>
      </w:r>
      <w:r w:rsidRPr="006E5260">
        <w:rPr>
          <w:rFonts w:cstheme="minorHAnsi"/>
          <w:noProof/>
        </w:rPr>
        <w:t xml:space="preserve">. Considering </w:t>
      </w:r>
      <m:oMath>
        <m:r>
          <m:rPr>
            <m:sty m:val="bi"/>
          </m:rPr>
          <w:rPr>
            <w:rFonts w:ascii="Cambria Math" w:hAnsi="Cambria Math" w:cstheme="minorHAnsi"/>
            <w:noProof/>
          </w:rPr>
          <m:t>n</m:t>
        </m:r>
      </m:oMath>
      <w:r w:rsidRPr="006E5260">
        <w:rPr>
          <w:rFonts w:cstheme="minorHAnsi"/>
          <w:noProof/>
        </w:rPr>
        <w:t>=(</w:t>
      </w:r>
      <m:oMath>
        <m:r>
          <w:rPr>
            <w:rFonts w:ascii="Cambria Math" w:hAnsi="Cambria Math" w:cstheme="minorHAnsi"/>
            <w:noProof/>
          </w:rPr>
          <m:t xml:space="preserve"> h k l</m:t>
        </m:r>
      </m:oMath>
      <w:r w:rsidRPr="006E5260">
        <w:rPr>
          <w:rFonts w:cstheme="minorHAnsi"/>
          <w:noProof/>
        </w:rPr>
        <w:t xml:space="preserve">) in a center cubic structure, the general expression can be written as: </w:t>
      </w:r>
      <m:oMath>
        <m:r>
          <w:rPr>
            <w:rFonts w:ascii="Cambria Math" w:hAnsi="Cambria Math" w:cstheme="minorHAnsi"/>
            <w:noProof/>
          </w:rPr>
          <m:t>h</m:t>
        </m:r>
      </m:oMath>
      <w:r w:rsidRPr="006E5260">
        <w:rPr>
          <w:rFonts w:cstheme="minorHAnsi"/>
          <w:i/>
          <w:noProof/>
        </w:rPr>
        <w:t xml:space="preserve">x </w:t>
      </w:r>
      <w:r w:rsidRPr="006E5260">
        <w:rPr>
          <w:rFonts w:cstheme="minorHAnsi"/>
          <w:noProof/>
        </w:rPr>
        <w:t>+</w:t>
      </w:r>
      <m:oMath>
        <m:r>
          <w:rPr>
            <w:rFonts w:ascii="Cambria Math" w:hAnsi="Cambria Math" w:cstheme="minorHAnsi"/>
            <w:noProof/>
          </w:rPr>
          <m:t xml:space="preserve"> k</m:t>
        </m:r>
      </m:oMath>
      <w:r w:rsidRPr="006E5260">
        <w:rPr>
          <w:rFonts w:cstheme="minorHAnsi"/>
          <w:i/>
          <w:noProof/>
        </w:rPr>
        <w:t xml:space="preserve">y </w:t>
      </w:r>
      <w:r w:rsidRPr="006E5260">
        <w:rPr>
          <w:rFonts w:cstheme="minorHAnsi"/>
          <w:noProof/>
        </w:rPr>
        <w:t>+</w:t>
      </w:r>
      <m:oMath>
        <m:r>
          <w:rPr>
            <w:rFonts w:ascii="Cambria Math" w:hAnsi="Cambria Math" w:cstheme="minorHAnsi"/>
            <w:noProof/>
          </w:rPr>
          <m:t xml:space="preserve"> l</m:t>
        </m:r>
      </m:oMath>
      <w:r w:rsidRPr="006E5260">
        <w:rPr>
          <w:rFonts w:cstheme="minorHAnsi"/>
          <w:i/>
          <w:noProof/>
        </w:rPr>
        <w:t>z</w:t>
      </w:r>
      <w:r w:rsidRPr="006E5260">
        <w:rPr>
          <w:rFonts w:cstheme="minorHAnsi"/>
          <w:noProof/>
        </w:rPr>
        <w:t xml:space="preserve"> +</w:t>
      </w:r>
      <w:r w:rsidRPr="006E5260">
        <w:rPr>
          <w:rFonts w:cstheme="minorHAnsi"/>
          <w:i/>
          <w:noProof/>
        </w:rPr>
        <w:t xml:space="preserve"> D </w:t>
      </w:r>
      <w:r w:rsidRPr="006E5260">
        <w:rPr>
          <w:rFonts w:cstheme="minorHAnsi"/>
          <w:noProof/>
        </w:rPr>
        <w:t xml:space="preserve">= 0; </w:t>
      </w:r>
      <w:r>
        <w:rPr>
          <w:rFonts w:cstheme="minorHAnsi"/>
          <w:noProof/>
        </w:rPr>
        <w:t>t</w:t>
      </w:r>
      <w:r w:rsidRPr="006E5260">
        <w:rPr>
          <w:rFonts w:cstheme="minorHAnsi"/>
          <w:noProof/>
        </w:rPr>
        <w:t>he intersection points A,</w:t>
      </w:r>
      <w:r>
        <w:rPr>
          <w:rFonts w:cstheme="minorHAnsi"/>
          <w:noProof/>
        </w:rPr>
        <w:t xml:space="preserve"> </w:t>
      </w:r>
      <w:r w:rsidRPr="006E5260">
        <w:rPr>
          <w:rFonts w:cstheme="minorHAnsi"/>
          <w:noProof/>
        </w:rPr>
        <w:t>B,</w:t>
      </w:r>
      <w:r>
        <w:rPr>
          <w:rFonts w:cstheme="minorHAnsi"/>
          <w:noProof/>
        </w:rPr>
        <w:t xml:space="preserve"> </w:t>
      </w:r>
      <w:r w:rsidRPr="006E5260">
        <w:rPr>
          <w:rFonts w:cstheme="minorHAnsi"/>
          <w:noProof/>
        </w:rPr>
        <w:t>C of</w:t>
      </w:r>
      <w:r w:rsidR="00B17691">
        <w:rPr>
          <w:rFonts w:cstheme="minorHAnsi"/>
          <w:noProof/>
        </w:rPr>
        <w:t xml:space="preserve"> the</w:t>
      </w:r>
      <w:r w:rsidRPr="006E5260">
        <w:rPr>
          <w:rFonts w:cstheme="minorHAnsi"/>
          <w:noProof/>
        </w:rPr>
        <w:t xml:space="preserve"> (</w:t>
      </w:r>
      <m:oMath>
        <m:r>
          <w:rPr>
            <w:rFonts w:ascii="Cambria Math" w:hAnsi="Cambria Math" w:cstheme="minorHAnsi"/>
            <w:noProof/>
          </w:rPr>
          <m:t>h k l</m:t>
        </m:r>
      </m:oMath>
      <w:r w:rsidRPr="006E5260">
        <w:rPr>
          <w:rFonts w:cstheme="minorHAnsi"/>
          <w:noProof/>
        </w:rPr>
        <w:t>)</w:t>
      </w:r>
      <w:r w:rsidRPr="006E5260">
        <w:rPr>
          <w:rFonts w:cstheme="minorHAnsi"/>
          <w:noProof/>
          <w:vertAlign w:val="subscript"/>
        </w:rPr>
        <w:t>β</w:t>
      </w:r>
      <w:r w:rsidRPr="006E5260">
        <w:rPr>
          <w:rFonts w:cstheme="minorHAnsi"/>
          <w:noProof/>
        </w:rPr>
        <w:t xml:space="preserve"> plane with </w:t>
      </w:r>
      <w:r w:rsidR="00B17691">
        <w:rPr>
          <w:rFonts w:cstheme="minorHAnsi"/>
          <w:noProof/>
        </w:rPr>
        <w:t xml:space="preserve">the </w:t>
      </w:r>
      <w:r w:rsidRPr="006E5260">
        <w:rPr>
          <w:rFonts w:cstheme="minorHAnsi"/>
          <w:noProof/>
        </w:rPr>
        <w:t xml:space="preserve">orthorhombic </w:t>
      </w:r>
      <w:r w:rsidR="00B17691" w:rsidRPr="006E5260">
        <w:rPr>
          <w:rFonts w:cstheme="minorHAnsi"/>
          <w:noProof/>
        </w:rPr>
        <w:t xml:space="preserve">primitive </w:t>
      </w:r>
      <w:r w:rsidRPr="006E5260">
        <w:rPr>
          <w:rFonts w:cstheme="minorHAnsi"/>
          <w:noProof/>
        </w:rPr>
        <w:t xml:space="preserve">lattice vectors </w:t>
      </w:r>
      <w:r w:rsidRPr="006E5260">
        <w:rPr>
          <w:rFonts w:cstheme="minorHAnsi"/>
          <w:b/>
          <w:noProof/>
        </w:rPr>
        <w:t>a</w:t>
      </w:r>
      <w:r w:rsidRPr="006E5260">
        <w:rPr>
          <w:rFonts w:cstheme="minorHAnsi"/>
          <w:b/>
          <w:noProof/>
          <w:vertAlign w:val="subscript"/>
        </w:rPr>
        <w:t>0</w:t>
      </w:r>
      <w:r w:rsidRPr="006E5260">
        <w:rPr>
          <w:rFonts w:cstheme="minorHAnsi"/>
          <w:noProof/>
        </w:rPr>
        <w:t>,</w:t>
      </w:r>
      <w:r w:rsidRPr="006E5260">
        <w:rPr>
          <w:rFonts w:cstheme="minorHAnsi"/>
          <w:b/>
          <w:noProof/>
        </w:rPr>
        <w:t xml:space="preserve"> b</w:t>
      </w:r>
      <w:r w:rsidRPr="006E5260">
        <w:rPr>
          <w:rFonts w:cstheme="minorHAnsi"/>
          <w:b/>
          <w:noProof/>
          <w:vertAlign w:val="subscript"/>
        </w:rPr>
        <w:t>0</w:t>
      </w:r>
      <w:r w:rsidRPr="006E5260">
        <w:rPr>
          <w:rFonts w:cstheme="minorHAnsi"/>
          <w:b/>
          <w:noProof/>
        </w:rPr>
        <w:t xml:space="preserve"> </w:t>
      </w:r>
      <w:r w:rsidRPr="006E5260">
        <w:rPr>
          <w:rFonts w:cstheme="minorHAnsi"/>
          <w:noProof/>
        </w:rPr>
        <w:t>,</w:t>
      </w:r>
      <w:r w:rsidRPr="006E5260">
        <w:rPr>
          <w:rFonts w:cstheme="minorHAnsi"/>
          <w:b/>
          <w:noProof/>
        </w:rPr>
        <w:t>c</w:t>
      </w:r>
      <w:r w:rsidRPr="006E5260">
        <w:rPr>
          <w:rFonts w:cstheme="minorHAnsi"/>
          <w:b/>
          <w:noProof/>
          <w:vertAlign w:val="subscript"/>
        </w:rPr>
        <w:t>0</w:t>
      </w:r>
      <w:r w:rsidRPr="006E5260">
        <w:rPr>
          <w:rFonts w:cstheme="minorHAnsi"/>
          <w:b/>
          <w:noProof/>
        </w:rPr>
        <w:t xml:space="preserve"> </w:t>
      </w:r>
      <w:r w:rsidRPr="006E5260">
        <w:rPr>
          <w:rFonts w:cstheme="minorHAnsi"/>
          <w:noProof/>
        </w:rPr>
        <w:t>are obtained via</w:t>
      </w:r>
      <w:r w:rsidR="00B17691">
        <w:rPr>
          <w:rFonts w:cstheme="minorHAnsi"/>
          <w:noProof/>
        </w:rPr>
        <w:t xml:space="preserve"> the</w:t>
      </w:r>
      <w:r w:rsidRPr="006E5260">
        <w:rPr>
          <w:rFonts w:cstheme="minorHAnsi"/>
          <w:noProof/>
        </w:rPr>
        <w:t xml:space="preserve"> following relations:</w:t>
      </w:r>
    </w:p>
    <w:p w14:paraId="44AB4217" w14:textId="77777777" w:rsidR="00B145BE" w:rsidRPr="006E5260" w:rsidRDefault="00B145BE" w:rsidP="00B145BE">
      <w:pPr>
        <w:spacing w:afterLines="60" w:after="144" w:line="360" w:lineRule="auto"/>
        <w:jc w:val="right"/>
        <w:rPr>
          <w:rFonts w:cstheme="minorHAnsi"/>
          <w:noProof/>
          <w:vertAlign w:val="subscript"/>
        </w:rPr>
      </w:pPr>
      <w:r w:rsidRPr="006E5260">
        <w:rPr>
          <w:rFonts w:cstheme="minorHAnsi"/>
          <w:noProof/>
        </w:rPr>
        <w:t xml:space="preserve"> </w:t>
      </w:r>
      <m:oMath>
        <m:d>
          <m:dPr>
            <m:begChr m:val="{"/>
            <m:endChr m:val=""/>
            <m:ctrlPr>
              <w:rPr>
                <w:rFonts w:ascii="Cambria Math" w:hAnsi="Cambria Math" w:cstheme="minorHAnsi"/>
                <w:i/>
                <w:noProof/>
              </w:rPr>
            </m:ctrlPr>
          </m:dPr>
          <m:e>
            <m:eqArr>
              <m:eqArrPr>
                <m:ctrlPr>
                  <w:rPr>
                    <w:rFonts w:ascii="Cambria Math" w:hAnsi="Cambria Math" w:cstheme="minorHAnsi"/>
                    <w:i/>
                    <w:noProof/>
                  </w:rPr>
                </m:ctrlPr>
              </m:eqArrPr>
              <m:e>
                <m:r>
                  <w:rPr>
                    <w:rFonts w:ascii="Cambria Math" w:hAnsi="Cambria Math" w:cstheme="minorHAnsi"/>
                    <w:noProof/>
                  </w:rPr>
                  <m:t>hx + ky + lz + D=0,  x=</m:t>
                </m:r>
                <m:sSup>
                  <m:sSupPr>
                    <m:ctrlPr>
                      <w:rPr>
                        <w:rFonts w:ascii="Cambria Math" w:hAnsi="Cambria Math" w:cstheme="minorHAnsi"/>
                        <w:i/>
                        <w:noProof/>
                      </w:rPr>
                    </m:ctrlPr>
                  </m:sSupPr>
                  <m:e>
                    <m:r>
                      <w:rPr>
                        <w:rFonts w:ascii="Cambria Math" w:hAnsi="Cambria Math" w:cstheme="minorHAnsi"/>
                        <w:noProof/>
                      </w:rPr>
                      <m:t>x</m:t>
                    </m:r>
                  </m:e>
                  <m:sup>
                    <m:r>
                      <w:rPr>
                        <w:rFonts w:ascii="Cambria Math" w:hAnsi="Cambria Math" w:cstheme="minorHAnsi"/>
                        <w:noProof/>
                      </w:rPr>
                      <m:t>'</m:t>
                    </m:r>
                  </m:sup>
                </m:sSup>
                <m:r>
                  <w:rPr>
                    <w:rFonts w:ascii="Cambria Math" w:hAnsi="Cambria Math" w:cstheme="minorHAnsi"/>
                    <w:noProof/>
                  </w:rPr>
                  <m:t>, y=0,z=0;</m:t>
                </m:r>
              </m:e>
              <m:e>
                <m:r>
                  <w:rPr>
                    <w:rFonts w:ascii="Cambria Math" w:hAnsi="Cambria Math" w:cstheme="minorHAnsi"/>
                    <w:noProof/>
                  </w:rPr>
                  <m:t xml:space="preserve">hx + ky + lz + D=0,  x=0, y=z;              </m:t>
                </m:r>
              </m:e>
              <m:e>
                <m:r>
                  <w:rPr>
                    <w:rFonts w:ascii="Cambria Math" w:hAnsi="Cambria Math" w:cstheme="minorHAnsi"/>
                    <w:noProof/>
                  </w:rPr>
                  <m:t xml:space="preserve">hx + ky + lz + D=0,  x=0, y=-z;           </m:t>
                </m:r>
              </m:e>
            </m:eqArr>
          </m:e>
        </m:d>
      </m:oMath>
      <w:r w:rsidRPr="006E5260">
        <w:rPr>
          <w:rFonts w:cstheme="minorHAnsi"/>
          <w:noProof/>
        </w:rPr>
        <w:t xml:space="preserve"> </w:t>
      </w:r>
      <m:oMath>
        <m:r>
          <w:rPr>
            <w:rFonts w:ascii="Cambria Math" w:hAnsi="Cambria Math" w:cstheme="minorHAnsi"/>
            <w:noProof/>
          </w:rPr>
          <m:t xml:space="preserve">     </m:t>
        </m:r>
        <m:d>
          <m:dPr>
            <m:begChr m:val="{"/>
            <m:endChr m:val=""/>
            <m:ctrlPr>
              <w:rPr>
                <w:rFonts w:ascii="Cambria Math" w:hAnsi="Cambria Math" w:cstheme="minorHAnsi"/>
                <w:i/>
                <w:noProof/>
              </w:rPr>
            </m:ctrlPr>
          </m:dPr>
          <m:e>
            <m:eqArr>
              <m:eqArrPr>
                <m:ctrlPr>
                  <w:rPr>
                    <w:rFonts w:ascii="Cambria Math" w:hAnsi="Cambria Math" w:cstheme="minorHAnsi"/>
                    <w:i/>
                    <w:noProof/>
                  </w:rPr>
                </m:ctrlPr>
              </m:eqArrPr>
              <m:e>
                <m:r>
                  <w:rPr>
                    <w:rFonts w:ascii="Cambria Math" w:hAnsi="Cambria Math" w:cstheme="minorHAnsi"/>
                    <w:noProof/>
                  </w:rPr>
                  <m:t>A=(</m:t>
                </m:r>
                <m:f>
                  <m:fPr>
                    <m:ctrlPr>
                      <w:rPr>
                        <w:rFonts w:ascii="Cambria Math" w:hAnsi="Cambria Math" w:cstheme="minorHAnsi"/>
                        <w:i/>
                        <w:noProof/>
                      </w:rPr>
                    </m:ctrlPr>
                  </m:fPr>
                  <m:num>
                    <m:r>
                      <w:rPr>
                        <w:rFonts w:ascii="Cambria Math" w:hAnsi="Cambria Math" w:cstheme="minorHAnsi"/>
                        <w:noProof/>
                      </w:rPr>
                      <m:t>-D</m:t>
                    </m:r>
                  </m:num>
                  <m:den>
                    <m:r>
                      <w:rPr>
                        <w:rFonts w:ascii="Cambria Math" w:hAnsi="Cambria Math" w:cstheme="minorHAnsi"/>
                        <w:noProof/>
                      </w:rPr>
                      <m:t>h</m:t>
                    </m:r>
                  </m:den>
                </m:f>
                <m:r>
                  <w:rPr>
                    <w:rFonts w:ascii="Cambria Math" w:hAnsi="Cambria Math" w:cstheme="minorHAnsi"/>
                    <w:noProof/>
                  </w:rPr>
                  <m:t>,0,0)</m:t>
                </m:r>
              </m:e>
              <m:e>
                <m:r>
                  <w:rPr>
                    <w:rFonts w:ascii="Cambria Math" w:hAnsi="Cambria Math" w:cstheme="minorHAnsi"/>
                    <w:noProof/>
                  </w:rPr>
                  <m:t>B=(0,</m:t>
                </m:r>
                <m:f>
                  <m:fPr>
                    <m:ctrlPr>
                      <w:rPr>
                        <w:rFonts w:ascii="Cambria Math" w:hAnsi="Cambria Math" w:cstheme="minorHAnsi"/>
                        <w:i/>
                        <w:noProof/>
                      </w:rPr>
                    </m:ctrlPr>
                  </m:fPr>
                  <m:num>
                    <m:r>
                      <w:rPr>
                        <w:rFonts w:ascii="Cambria Math" w:hAnsi="Cambria Math" w:cstheme="minorHAnsi"/>
                        <w:noProof/>
                      </w:rPr>
                      <m:t>-D</m:t>
                    </m:r>
                  </m:num>
                  <m:den>
                    <m:r>
                      <w:rPr>
                        <w:rFonts w:ascii="Cambria Math" w:hAnsi="Cambria Math" w:cstheme="minorHAnsi"/>
                        <w:noProof/>
                      </w:rPr>
                      <m:t>k+l</m:t>
                    </m:r>
                  </m:den>
                </m:f>
                <m:r>
                  <w:rPr>
                    <w:rFonts w:ascii="Cambria Math" w:hAnsi="Cambria Math" w:cstheme="minorHAnsi"/>
                    <w:noProof/>
                  </w:rPr>
                  <m:t>,</m:t>
                </m:r>
                <m:f>
                  <m:fPr>
                    <m:ctrlPr>
                      <w:rPr>
                        <w:rFonts w:ascii="Cambria Math" w:hAnsi="Cambria Math" w:cstheme="minorHAnsi"/>
                        <w:i/>
                        <w:noProof/>
                      </w:rPr>
                    </m:ctrlPr>
                  </m:fPr>
                  <m:num>
                    <m:r>
                      <w:rPr>
                        <w:rFonts w:ascii="Cambria Math" w:hAnsi="Cambria Math" w:cstheme="minorHAnsi"/>
                        <w:noProof/>
                      </w:rPr>
                      <m:t>-D</m:t>
                    </m:r>
                  </m:num>
                  <m:den>
                    <m:r>
                      <w:rPr>
                        <w:rFonts w:ascii="Cambria Math" w:hAnsi="Cambria Math" w:cstheme="minorHAnsi"/>
                        <w:noProof/>
                      </w:rPr>
                      <m:t>k+l</m:t>
                    </m:r>
                  </m:den>
                </m:f>
                <m:r>
                  <w:rPr>
                    <w:rFonts w:ascii="Cambria Math" w:hAnsi="Cambria Math" w:cstheme="minorHAnsi"/>
                    <w:noProof/>
                  </w:rPr>
                  <m:t>)</m:t>
                </m:r>
              </m:e>
              <m:e>
                <m:r>
                  <w:rPr>
                    <w:rFonts w:ascii="Cambria Math" w:hAnsi="Cambria Math" w:cstheme="minorHAnsi"/>
                    <w:noProof/>
                  </w:rPr>
                  <m:t>C=(0,</m:t>
                </m:r>
                <m:f>
                  <m:fPr>
                    <m:ctrlPr>
                      <w:rPr>
                        <w:rFonts w:ascii="Cambria Math" w:hAnsi="Cambria Math" w:cstheme="minorHAnsi"/>
                        <w:i/>
                        <w:noProof/>
                      </w:rPr>
                    </m:ctrlPr>
                  </m:fPr>
                  <m:num>
                    <m:r>
                      <w:rPr>
                        <w:rFonts w:ascii="Cambria Math" w:hAnsi="Cambria Math" w:cstheme="minorHAnsi"/>
                        <w:noProof/>
                      </w:rPr>
                      <m:t>-D</m:t>
                    </m:r>
                  </m:num>
                  <m:den>
                    <m:r>
                      <w:rPr>
                        <w:rFonts w:ascii="Cambria Math" w:hAnsi="Cambria Math" w:cstheme="minorHAnsi"/>
                        <w:noProof/>
                      </w:rPr>
                      <m:t>k-l</m:t>
                    </m:r>
                  </m:den>
                </m:f>
                <m:r>
                  <w:rPr>
                    <w:rFonts w:ascii="Cambria Math" w:hAnsi="Cambria Math" w:cstheme="minorHAnsi"/>
                    <w:noProof/>
                  </w:rPr>
                  <m:t>,</m:t>
                </m:r>
                <m:f>
                  <m:fPr>
                    <m:ctrlPr>
                      <w:rPr>
                        <w:rFonts w:ascii="Cambria Math" w:hAnsi="Cambria Math" w:cstheme="minorHAnsi"/>
                        <w:i/>
                        <w:noProof/>
                      </w:rPr>
                    </m:ctrlPr>
                  </m:fPr>
                  <m:num>
                    <m:r>
                      <w:rPr>
                        <w:rFonts w:ascii="Cambria Math" w:hAnsi="Cambria Math" w:cstheme="minorHAnsi"/>
                        <w:noProof/>
                      </w:rPr>
                      <m:t>D</m:t>
                    </m:r>
                  </m:num>
                  <m:den>
                    <m:r>
                      <w:rPr>
                        <w:rFonts w:ascii="Cambria Math" w:hAnsi="Cambria Math" w:cstheme="minorHAnsi"/>
                        <w:noProof/>
                      </w:rPr>
                      <m:t>k-l</m:t>
                    </m:r>
                  </m:den>
                </m:f>
                <m:r>
                  <w:rPr>
                    <w:rFonts w:ascii="Cambria Math" w:hAnsi="Cambria Math" w:cstheme="minorHAnsi"/>
                    <w:noProof/>
                  </w:rPr>
                  <m:t>)</m:t>
                </m:r>
              </m:e>
            </m:eqArr>
          </m:e>
        </m:d>
      </m:oMath>
      <w:r w:rsidRPr="006E5260">
        <w:rPr>
          <w:rFonts w:cstheme="minorHAnsi"/>
          <w:noProof/>
        </w:rPr>
        <w:t xml:space="preserve">       </w:t>
      </w:r>
      <w:r>
        <w:rPr>
          <w:rFonts w:cstheme="minorHAnsi"/>
          <w:noProof/>
        </w:rPr>
        <w:t xml:space="preserve">             </w:t>
      </w:r>
      <w:r w:rsidRPr="006E5260">
        <w:rPr>
          <w:rFonts w:cstheme="minorHAnsi"/>
          <w:noProof/>
        </w:rPr>
        <w:t xml:space="preserve"> (22)</w:t>
      </w:r>
    </w:p>
    <w:p w14:paraId="79134092" w14:textId="77777777" w:rsidR="00B145BE" w:rsidRPr="006E5260" w:rsidRDefault="00B145BE" w:rsidP="00B145BE">
      <w:pPr>
        <w:spacing w:afterLines="60" w:after="144" w:line="360" w:lineRule="auto"/>
        <w:rPr>
          <w:rFonts w:cstheme="minorHAnsi"/>
          <w:noProof/>
        </w:rPr>
      </w:pPr>
      <w:r w:rsidRPr="006E5260">
        <w:rPr>
          <w:rFonts w:cstheme="minorHAnsi"/>
          <w:noProof/>
        </w:rPr>
        <w:t xml:space="preserve">The intersection points </w:t>
      </w:r>
      <w:r w:rsidRPr="006E5260">
        <w:rPr>
          <w:rFonts w:cstheme="minorHAnsi"/>
          <w:i/>
          <w:noProof/>
        </w:rPr>
        <w:t>A</w:t>
      </w:r>
      <w:r w:rsidRPr="006E5260">
        <w:rPr>
          <w:rFonts w:cstheme="minorHAnsi"/>
          <w:noProof/>
        </w:rPr>
        <w:t>,</w:t>
      </w:r>
      <w:r>
        <w:rPr>
          <w:rFonts w:cstheme="minorHAnsi"/>
          <w:noProof/>
        </w:rPr>
        <w:t xml:space="preserve"> </w:t>
      </w:r>
      <w:r w:rsidRPr="006E5260">
        <w:rPr>
          <w:rFonts w:cstheme="minorHAnsi"/>
          <w:i/>
          <w:noProof/>
        </w:rPr>
        <w:t>B</w:t>
      </w:r>
      <w:r w:rsidRPr="006E5260">
        <w:rPr>
          <w:rFonts w:cstheme="minorHAnsi"/>
          <w:noProof/>
        </w:rPr>
        <w:t>,</w:t>
      </w:r>
      <w:r>
        <w:rPr>
          <w:rFonts w:cstheme="minorHAnsi"/>
          <w:noProof/>
        </w:rPr>
        <w:t xml:space="preserve"> </w:t>
      </w:r>
      <w:r w:rsidRPr="006E5260">
        <w:rPr>
          <w:rFonts w:cstheme="minorHAnsi"/>
          <w:i/>
          <w:noProof/>
        </w:rPr>
        <w:t>C</w:t>
      </w:r>
      <w:r w:rsidRPr="006E5260">
        <w:rPr>
          <w:rFonts w:cstheme="minorHAnsi"/>
          <w:noProof/>
        </w:rPr>
        <w:t xml:space="preserve"> can be further written in orthorhombic coordinates as:</w:t>
      </w:r>
    </w:p>
    <w:p w14:paraId="72A12788" w14:textId="77777777" w:rsidR="00B145BE" w:rsidRPr="006E5260" w:rsidRDefault="00077961" w:rsidP="00B145BE">
      <w:pPr>
        <w:spacing w:afterLines="60" w:after="144" w:line="360" w:lineRule="auto"/>
        <w:jc w:val="right"/>
        <w:rPr>
          <w:rFonts w:cstheme="minorHAnsi"/>
          <w:noProof/>
        </w:rPr>
      </w:pPr>
      <m:oMath>
        <m:d>
          <m:dPr>
            <m:begChr m:val="{"/>
            <m:endChr m:val=""/>
            <m:ctrlPr>
              <w:rPr>
                <w:rFonts w:ascii="Cambria Math" w:hAnsi="Cambria Math" w:cstheme="minorHAnsi"/>
                <w:i/>
                <w:noProof/>
              </w:rPr>
            </m:ctrlPr>
          </m:dPr>
          <m:e>
            <m:eqArr>
              <m:eqArrPr>
                <m:ctrlPr>
                  <w:rPr>
                    <w:rFonts w:ascii="Cambria Math" w:hAnsi="Cambria Math" w:cstheme="minorHAnsi"/>
                    <w:i/>
                    <w:noProof/>
                  </w:rPr>
                </m:ctrlPr>
              </m:eqArrPr>
              <m:e>
                <m:r>
                  <w:rPr>
                    <w:rFonts w:ascii="Cambria Math" w:hAnsi="Cambria Math" w:cstheme="minorHAnsi"/>
                    <w:noProof/>
                  </w:rPr>
                  <m:t>A=(</m:t>
                </m:r>
                <m:f>
                  <m:fPr>
                    <m:ctrlPr>
                      <w:rPr>
                        <w:rFonts w:ascii="Cambria Math" w:hAnsi="Cambria Math" w:cstheme="minorHAnsi"/>
                        <w:i/>
                        <w:noProof/>
                      </w:rPr>
                    </m:ctrlPr>
                  </m:fPr>
                  <m:num>
                    <m:r>
                      <w:rPr>
                        <w:rFonts w:ascii="Cambria Math" w:hAnsi="Cambria Math" w:cstheme="minorHAnsi"/>
                        <w:noProof/>
                      </w:rPr>
                      <m:t>-D</m:t>
                    </m:r>
                  </m:num>
                  <m:den>
                    <m:r>
                      <w:rPr>
                        <w:rFonts w:ascii="Cambria Math" w:hAnsi="Cambria Math" w:cstheme="minorHAnsi"/>
                        <w:noProof/>
                      </w:rPr>
                      <m:t>h</m:t>
                    </m:r>
                  </m:den>
                </m:f>
                <m:r>
                  <w:rPr>
                    <w:rFonts w:ascii="Cambria Math" w:hAnsi="Cambria Math" w:cstheme="minorHAnsi"/>
                    <w:noProof/>
                  </w:rPr>
                  <m:t>,0,0)</m:t>
                </m:r>
              </m:e>
              <m:e>
                <m:r>
                  <w:rPr>
                    <w:rFonts w:ascii="Cambria Math" w:hAnsi="Cambria Math" w:cstheme="minorHAnsi"/>
                    <w:noProof/>
                  </w:rPr>
                  <m:t>B=(0,</m:t>
                </m:r>
                <m:f>
                  <m:fPr>
                    <m:ctrlPr>
                      <w:rPr>
                        <w:rFonts w:ascii="Cambria Math" w:hAnsi="Cambria Math" w:cstheme="minorHAnsi"/>
                        <w:i/>
                        <w:noProof/>
                      </w:rPr>
                    </m:ctrlPr>
                  </m:fPr>
                  <m:num>
                    <m:r>
                      <w:rPr>
                        <w:rFonts w:ascii="Cambria Math" w:hAnsi="Cambria Math" w:cstheme="minorHAnsi"/>
                        <w:noProof/>
                      </w:rPr>
                      <m:t>-D</m:t>
                    </m:r>
                  </m:num>
                  <m:den>
                    <m:r>
                      <w:rPr>
                        <w:rFonts w:ascii="Cambria Math" w:hAnsi="Cambria Math" w:cstheme="minorHAnsi"/>
                        <w:noProof/>
                      </w:rPr>
                      <m:t>k+l</m:t>
                    </m:r>
                  </m:den>
                </m:f>
                <m:r>
                  <w:rPr>
                    <w:rFonts w:ascii="Cambria Math" w:hAnsi="Cambria Math" w:cstheme="minorHAnsi"/>
                    <w:noProof/>
                  </w:rPr>
                  <m:t>,0)</m:t>
                </m:r>
              </m:e>
              <m:e>
                <m:r>
                  <w:rPr>
                    <w:rFonts w:ascii="Cambria Math" w:hAnsi="Cambria Math" w:cstheme="minorHAnsi"/>
                    <w:noProof/>
                  </w:rPr>
                  <m:t>C=(0,0,</m:t>
                </m:r>
                <m:f>
                  <m:fPr>
                    <m:ctrlPr>
                      <w:rPr>
                        <w:rFonts w:ascii="Cambria Math" w:hAnsi="Cambria Math" w:cstheme="minorHAnsi"/>
                        <w:i/>
                        <w:noProof/>
                      </w:rPr>
                    </m:ctrlPr>
                  </m:fPr>
                  <m:num>
                    <m:r>
                      <w:rPr>
                        <w:rFonts w:ascii="Cambria Math" w:hAnsi="Cambria Math" w:cstheme="minorHAnsi"/>
                        <w:noProof/>
                      </w:rPr>
                      <m:t>-D</m:t>
                    </m:r>
                  </m:num>
                  <m:den>
                    <m:r>
                      <w:rPr>
                        <w:rFonts w:ascii="Cambria Math" w:hAnsi="Cambria Math" w:cstheme="minorHAnsi"/>
                        <w:noProof/>
                      </w:rPr>
                      <m:t>k-l</m:t>
                    </m:r>
                  </m:den>
                </m:f>
                <m:r>
                  <w:rPr>
                    <w:rFonts w:ascii="Cambria Math" w:hAnsi="Cambria Math" w:cstheme="minorHAnsi"/>
                    <w:noProof/>
                  </w:rPr>
                  <m:t>)</m:t>
                </m:r>
              </m:e>
            </m:eqArr>
          </m:e>
        </m:d>
      </m:oMath>
      <w:r w:rsidR="00B145BE" w:rsidRPr="006E5260">
        <w:rPr>
          <w:rFonts w:cstheme="minorHAnsi"/>
          <w:noProof/>
        </w:rPr>
        <w:t xml:space="preserve">                 </w:t>
      </w:r>
      <w:r w:rsidR="00B145BE">
        <w:rPr>
          <w:rFonts w:cstheme="minorHAnsi"/>
          <w:noProof/>
        </w:rPr>
        <w:t xml:space="preserve">                                       </w:t>
      </w:r>
      <w:r w:rsidR="00B145BE" w:rsidRPr="006E5260">
        <w:rPr>
          <w:rFonts w:cstheme="minorHAnsi"/>
          <w:noProof/>
        </w:rPr>
        <w:t xml:space="preserve">          (23)</w:t>
      </w:r>
    </w:p>
    <w:p w14:paraId="2B768E69" w14:textId="77777777" w:rsidR="00B145BE" w:rsidRPr="006E5260" w:rsidRDefault="00B145BE" w:rsidP="00B145BE">
      <w:pPr>
        <w:spacing w:afterLines="60" w:after="144" w:line="360" w:lineRule="auto"/>
        <w:rPr>
          <w:rFonts w:cstheme="minorHAnsi"/>
          <w:noProof/>
        </w:rPr>
      </w:pPr>
      <w:r w:rsidRPr="006E5260">
        <w:rPr>
          <w:rFonts w:cstheme="minorHAnsi"/>
          <w:noProof/>
        </w:rPr>
        <w:t xml:space="preserve">While by removing the common factor </w:t>
      </w:r>
      <w:r w:rsidRPr="006E5260">
        <w:rPr>
          <w:rFonts w:cstheme="minorHAnsi"/>
          <w:i/>
          <w:noProof/>
        </w:rPr>
        <w:t>D</w:t>
      </w:r>
      <w:r w:rsidRPr="006E5260">
        <w:rPr>
          <w:rFonts w:cstheme="minorHAnsi"/>
          <w:noProof/>
        </w:rPr>
        <w:t xml:space="preserve"> in </w:t>
      </w:r>
      <w:r w:rsidRPr="00A51168">
        <w:rPr>
          <w:rFonts w:cstheme="minorHAnsi"/>
          <w:i/>
          <w:noProof/>
        </w:rPr>
        <w:t>eq</w:t>
      </w:r>
      <w:r w:rsidRPr="006E5260">
        <w:rPr>
          <w:rFonts w:cstheme="minorHAnsi"/>
          <w:noProof/>
        </w:rPr>
        <w:t>.(23)</w:t>
      </w:r>
      <w:r>
        <w:rPr>
          <w:rFonts w:cstheme="minorHAnsi"/>
          <w:noProof/>
        </w:rPr>
        <w:t>,</w:t>
      </w:r>
      <w:r w:rsidRPr="006E5260">
        <w:rPr>
          <w:rFonts w:cstheme="minorHAnsi"/>
          <w:noProof/>
        </w:rPr>
        <w:t xml:space="preserve"> the (</w:t>
      </w:r>
      <m:oMath>
        <m:r>
          <w:rPr>
            <w:rFonts w:ascii="Cambria Math" w:hAnsi="Cambria Math" w:cstheme="minorHAnsi"/>
            <w:noProof/>
          </w:rPr>
          <m:t>h k l</m:t>
        </m:r>
      </m:oMath>
      <w:r w:rsidRPr="006E5260">
        <w:rPr>
          <w:rFonts w:cstheme="minorHAnsi"/>
          <w:noProof/>
        </w:rPr>
        <w:t>)</w:t>
      </w:r>
      <w:r w:rsidRPr="006E5260">
        <w:rPr>
          <w:rFonts w:cstheme="minorHAnsi"/>
          <w:noProof/>
          <w:vertAlign w:val="subscript"/>
        </w:rPr>
        <w:t>β</w:t>
      </w:r>
      <w:r w:rsidRPr="006E5260">
        <w:rPr>
          <w:rFonts w:cstheme="minorHAnsi"/>
          <w:noProof/>
        </w:rPr>
        <w:t xml:space="preserve"> plane in </w:t>
      </w:r>
      <w:r>
        <w:rPr>
          <w:rFonts w:cstheme="minorHAnsi"/>
          <w:noProof/>
        </w:rPr>
        <w:t>BCC</w:t>
      </w:r>
      <w:r w:rsidRPr="006E5260">
        <w:rPr>
          <w:rFonts w:cstheme="minorHAnsi"/>
          <w:noProof/>
        </w:rPr>
        <w:t xml:space="preserve"> coordinate</w:t>
      </w:r>
      <w:r>
        <w:rPr>
          <w:rFonts w:cstheme="minorHAnsi"/>
          <w:noProof/>
        </w:rPr>
        <w:t>s</w:t>
      </w:r>
      <w:r w:rsidRPr="006E5260">
        <w:rPr>
          <w:rFonts w:cstheme="minorHAnsi"/>
          <w:noProof/>
        </w:rPr>
        <w:t xml:space="preserve"> can now be transformed as:</w:t>
      </w:r>
    </w:p>
    <w:p w14:paraId="7E420B50" w14:textId="77777777" w:rsidR="00B145BE" w:rsidRPr="006E5260" w:rsidRDefault="00B145BE" w:rsidP="00B145BE">
      <w:pPr>
        <w:spacing w:afterLines="60" w:after="144" w:line="360" w:lineRule="auto"/>
        <w:jc w:val="right"/>
        <w:rPr>
          <w:rFonts w:cstheme="minorHAnsi"/>
          <w:noProof/>
        </w:rPr>
      </w:pPr>
      <w:r w:rsidRPr="006E5260">
        <w:rPr>
          <w:rFonts w:cstheme="minorHAnsi"/>
          <w:noProof/>
        </w:rPr>
        <w:t xml:space="preserve"> (</w:t>
      </w:r>
      <m:oMath>
        <m:r>
          <w:rPr>
            <w:rFonts w:ascii="Cambria Math" w:hAnsi="Cambria Math" w:cstheme="minorHAnsi"/>
            <w:noProof/>
          </w:rPr>
          <m:t>h' k' l'</m:t>
        </m:r>
      </m:oMath>
      <w:r w:rsidRPr="006E5260">
        <w:rPr>
          <w:rFonts w:cstheme="minorHAnsi"/>
          <w:noProof/>
        </w:rPr>
        <w:t>)</w:t>
      </w:r>
      <w:r w:rsidRPr="006E5260">
        <w:rPr>
          <w:rFonts w:cstheme="minorHAnsi"/>
          <w:noProof/>
          <w:vertAlign w:val="subscript"/>
        </w:rPr>
        <w:t>α’’</w:t>
      </w:r>
      <w:r w:rsidRPr="006E5260">
        <w:rPr>
          <w:rFonts w:cstheme="minorHAnsi"/>
          <w:noProof/>
        </w:rPr>
        <w:t>=(</w:t>
      </w:r>
      <m:oMath>
        <m:r>
          <w:rPr>
            <w:rFonts w:ascii="Cambria Math" w:hAnsi="Cambria Math" w:cstheme="minorHAnsi"/>
            <w:noProof/>
          </w:rPr>
          <m:t>h k+l l-k</m:t>
        </m:r>
      </m:oMath>
      <w:r w:rsidRPr="006E5260">
        <w:rPr>
          <w:rFonts w:cstheme="minorHAnsi"/>
          <w:noProof/>
        </w:rPr>
        <w:t>)</w:t>
      </w:r>
      <w:r w:rsidRPr="006E5260">
        <w:rPr>
          <w:rFonts w:cstheme="minorHAnsi"/>
          <w:noProof/>
          <w:vertAlign w:val="subscript"/>
        </w:rPr>
        <w:t>β</w:t>
      </w:r>
      <w:r w:rsidRPr="006E5260">
        <w:rPr>
          <w:rFonts w:cstheme="minorHAnsi"/>
          <w:noProof/>
        </w:rPr>
        <w:t xml:space="preserve">             </w:t>
      </w:r>
      <w:r>
        <w:rPr>
          <w:rFonts w:cstheme="minorHAnsi"/>
          <w:noProof/>
        </w:rPr>
        <w:t xml:space="preserve">                             </w:t>
      </w:r>
      <w:r w:rsidRPr="006E5260">
        <w:rPr>
          <w:rFonts w:cstheme="minorHAnsi"/>
          <w:noProof/>
        </w:rPr>
        <w:t xml:space="preserve">              (24)</w:t>
      </w:r>
    </w:p>
    <w:p w14:paraId="46B8EC9B" w14:textId="77777777" w:rsidR="00B145BE" w:rsidRPr="006E5260" w:rsidRDefault="00B145BE" w:rsidP="00B145BE">
      <w:pPr>
        <w:spacing w:afterLines="60" w:after="144" w:line="360" w:lineRule="auto"/>
        <w:rPr>
          <w:rFonts w:cstheme="minorHAnsi"/>
          <w:noProof/>
        </w:rPr>
      </w:pPr>
      <w:r w:rsidRPr="006E5260">
        <w:rPr>
          <w:rFonts w:cstheme="minorHAnsi"/>
          <w:noProof/>
        </w:rPr>
        <w:t>Thus</w:t>
      </w:r>
      <w:r>
        <w:rPr>
          <w:rFonts w:cstheme="minorHAnsi"/>
          <w:noProof/>
        </w:rPr>
        <w:t xml:space="preserve">, </w:t>
      </w:r>
      <w:r w:rsidRPr="00A51168">
        <w:rPr>
          <w:rFonts w:cstheme="minorHAnsi"/>
          <w:i/>
          <w:noProof/>
        </w:rPr>
        <w:t>eq</w:t>
      </w:r>
      <w:r w:rsidRPr="006E5260">
        <w:rPr>
          <w:rFonts w:cstheme="minorHAnsi"/>
          <w:noProof/>
        </w:rPr>
        <w:t xml:space="preserve">.21 </w:t>
      </w:r>
      <w:r>
        <w:rPr>
          <w:rFonts w:cstheme="minorHAnsi"/>
          <w:noProof/>
        </w:rPr>
        <w:t xml:space="preserve">may be </w:t>
      </w:r>
      <w:r w:rsidRPr="006E5260">
        <w:rPr>
          <w:rFonts w:cstheme="minorHAnsi"/>
          <w:noProof/>
        </w:rPr>
        <w:t xml:space="preserve">written in orthorhombic coordinate as: </w:t>
      </w:r>
    </w:p>
    <w:p w14:paraId="3F59C98E" w14:textId="77777777" w:rsidR="00B145BE" w:rsidRPr="006E5260" w:rsidRDefault="00B145BE" w:rsidP="00B145BE">
      <w:pPr>
        <w:spacing w:afterLines="60" w:after="144" w:line="360" w:lineRule="auto"/>
        <w:jc w:val="right"/>
        <w:rPr>
          <w:rFonts w:cstheme="minorHAnsi"/>
          <w:noProof/>
        </w:rPr>
      </w:pPr>
      <w:r w:rsidRPr="006E5260">
        <w:rPr>
          <w:rFonts w:cstheme="minorHAnsi"/>
          <w:b/>
          <w:noProof/>
        </w:rPr>
        <w:t xml:space="preserve">  </w:t>
      </w:r>
      <w:bookmarkStart w:id="292" w:name="_Hlk521577249"/>
      <m:oMath>
        <m:r>
          <m:rPr>
            <m:sty m:val="bi"/>
          </m:rPr>
          <w:rPr>
            <w:rFonts w:ascii="Cambria Math" w:hAnsi="Cambria Math" w:cstheme="minorHAnsi"/>
            <w:noProof/>
          </w:rPr>
          <m:t>b</m:t>
        </m:r>
      </m:oMath>
      <w:r w:rsidRPr="006E5260">
        <w:rPr>
          <w:rFonts w:cstheme="minorHAnsi"/>
          <w:noProof/>
        </w:rPr>
        <w:t xml:space="preserve"> = [p, -q+p/2, q+p/2] </w:t>
      </w:r>
      <m:oMath>
        <m:r>
          <m:rPr>
            <m:sty m:val="bi"/>
          </m:rPr>
          <w:rPr>
            <w:rFonts w:ascii="Cambria Math" w:hAnsi="Cambria Math" w:cstheme="minorHAnsi"/>
            <w:noProof/>
          </w:rPr>
          <m:t>n</m:t>
        </m:r>
      </m:oMath>
      <w:r w:rsidRPr="006E5260">
        <w:rPr>
          <w:rFonts w:cstheme="minorHAnsi"/>
          <w:noProof/>
        </w:rPr>
        <w:t xml:space="preserve"> = (-1 1 1) </w:t>
      </w:r>
      <w:bookmarkStart w:id="293" w:name="_Hlk521577257"/>
      <w:bookmarkEnd w:id="292"/>
      <w:r w:rsidRPr="006E5260">
        <w:rPr>
          <w:rFonts w:cstheme="minorHAnsi"/>
          <w:noProof/>
        </w:rPr>
        <w:t xml:space="preserve">or </w:t>
      </w:r>
      <m:oMath>
        <m:r>
          <m:rPr>
            <m:sty m:val="bi"/>
          </m:rPr>
          <w:rPr>
            <w:rFonts w:ascii="Cambria Math" w:hAnsi="Cambria Math" w:cstheme="minorHAnsi"/>
            <w:noProof/>
          </w:rPr>
          <m:t>b</m:t>
        </m:r>
      </m:oMath>
      <w:r w:rsidRPr="006E5260">
        <w:rPr>
          <w:rFonts w:cstheme="minorHAnsi"/>
          <w:noProof/>
        </w:rPr>
        <w:t xml:space="preserve"> = [-2 1 1] </w:t>
      </w:r>
      <m:oMath>
        <m:r>
          <m:rPr>
            <m:sty m:val="bi"/>
          </m:rPr>
          <w:rPr>
            <w:rFonts w:ascii="Cambria Math" w:hAnsi="Cambria Math" w:cstheme="minorHAnsi"/>
            <w:noProof/>
          </w:rPr>
          <m:t>n</m:t>
        </m:r>
      </m:oMath>
      <w:r w:rsidRPr="006E5260">
        <w:rPr>
          <w:rFonts w:cstheme="minorHAnsi"/>
          <w:noProof/>
        </w:rPr>
        <w:t xml:space="preserve"> = (p p-2q p+2q) </w:t>
      </w:r>
      <w:bookmarkEnd w:id="293"/>
      <w:r w:rsidRPr="006E5260">
        <w:rPr>
          <w:rFonts w:cstheme="minorHAnsi"/>
          <w:noProof/>
        </w:rPr>
        <w:t xml:space="preserve"> </w:t>
      </w:r>
      <w:r>
        <w:rPr>
          <w:rFonts w:cstheme="minorHAnsi"/>
          <w:noProof/>
        </w:rPr>
        <w:t xml:space="preserve">              </w:t>
      </w:r>
      <w:r w:rsidRPr="006E5260">
        <w:rPr>
          <w:rFonts w:cstheme="minorHAnsi"/>
          <w:noProof/>
        </w:rPr>
        <w:t xml:space="preserve">   (25)                                            </w:t>
      </w:r>
    </w:p>
    <w:p w14:paraId="72961EDB" w14:textId="3CA5DD12" w:rsidR="00B145BE" w:rsidRDefault="00B145BE" w:rsidP="00B145BE">
      <w:pPr>
        <w:autoSpaceDE w:val="0"/>
        <w:autoSpaceDN w:val="0"/>
        <w:adjustRightInd w:val="0"/>
        <w:spacing w:afterLines="60" w:after="144" w:line="360" w:lineRule="auto"/>
        <w:jc w:val="both"/>
        <w:rPr>
          <w:rFonts w:cstheme="minorHAnsi"/>
          <w:color w:val="000000" w:themeColor="text1"/>
        </w:rPr>
      </w:pPr>
      <w:r w:rsidRPr="006E5260">
        <w:rPr>
          <w:rFonts w:cstheme="minorHAnsi"/>
        </w:rPr>
        <w:t xml:space="preserve">While </w:t>
      </w:r>
      <w:r w:rsidRPr="006E5260">
        <w:rPr>
          <w:rFonts w:cstheme="minorHAnsi"/>
          <w:b/>
          <w:i/>
        </w:rPr>
        <w:t>n</w:t>
      </w:r>
      <w:r w:rsidRPr="006E5260">
        <w:rPr>
          <w:rFonts w:cstheme="minorHAnsi"/>
        </w:rPr>
        <w:t xml:space="preserve"> represents the twinning plane and </w:t>
      </w:r>
      <w:r w:rsidRPr="006E5260">
        <w:rPr>
          <w:rFonts w:cstheme="minorHAnsi"/>
          <w:b/>
          <w:i/>
        </w:rPr>
        <w:t>b</w:t>
      </w:r>
      <w:r w:rsidRPr="006E5260">
        <w:rPr>
          <w:rFonts w:cstheme="minorHAnsi"/>
        </w:rPr>
        <w:t xml:space="preserve"> is the twinning direction. The first solution is not hard to conclude as </w:t>
      </w:r>
      <w:r>
        <w:rPr>
          <w:rFonts w:cstheme="minorHAnsi"/>
        </w:rPr>
        <w:t xml:space="preserve">an </w:t>
      </w:r>
      <w:r w:rsidRPr="006E5260">
        <w:rPr>
          <w:rFonts w:cstheme="minorHAnsi"/>
        </w:rPr>
        <w:t xml:space="preserve">expression </w:t>
      </w:r>
      <w:r>
        <w:rPr>
          <w:rFonts w:cstheme="minorHAnsi"/>
        </w:rPr>
        <w:t>for</w:t>
      </w:r>
      <w:r w:rsidRPr="006E5260">
        <w:rPr>
          <w:rFonts w:cstheme="minorHAnsi"/>
        </w:rPr>
        <w:t xml:space="preserve"> {111}</w:t>
      </w:r>
      <w:r w:rsidRPr="006E5260">
        <w:rPr>
          <w:rFonts w:cstheme="minorHAnsi"/>
          <w:vertAlign w:val="subscript"/>
        </w:rPr>
        <w:t>α’’</w:t>
      </w:r>
      <w:r w:rsidRPr="006E5260">
        <w:rPr>
          <w:rFonts w:cstheme="minorHAnsi"/>
        </w:rPr>
        <w:t xml:space="preserve"> type I twin</w:t>
      </w:r>
      <w:r w:rsidR="00B17691">
        <w:rPr>
          <w:rFonts w:cstheme="minorHAnsi"/>
        </w:rPr>
        <w:t>ning</w:t>
      </w:r>
      <w:r>
        <w:rPr>
          <w:rFonts w:cstheme="minorHAnsi"/>
        </w:rPr>
        <w:t>;</w:t>
      </w:r>
      <w:r w:rsidRPr="006E5260">
        <w:rPr>
          <w:rFonts w:cstheme="minorHAnsi"/>
        </w:rPr>
        <w:t xml:space="preserve"> whil</w:t>
      </w:r>
      <w:r>
        <w:rPr>
          <w:rFonts w:cstheme="minorHAnsi"/>
        </w:rPr>
        <w:t>st</w:t>
      </w:r>
      <w:r w:rsidRPr="006E5260">
        <w:rPr>
          <w:rFonts w:cstheme="minorHAnsi"/>
        </w:rPr>
        <w:t xml:space="preserve"> the second solution may not only represent a single solution for type II &lt;211&gt; twinning. </w:t>
      </w:r>
      <w:r w:rsidRPr="006E5260">
        <w:rPr>
          <w:rFonts w:cstheme="minorHAnsi"/>
          <w:noProof/>
        </w:rPr>
        <w:t xml:space="preserve">By comparing the solutions of </w:t>
      </w:r>
      <w:r w:rsidRPr="006E5260">
        <w:rPr>
          <w:rFonts w:cstheme="minorHAnsi"/>
          <w:i/>
          <w:noProof/>
        </w:rPr>
        <w:t>eq</w:t>
      </w:r>
      <w:r w:rsidRPr="006E5260">
        <w:rPr>
          <w:rFonts w:cstheme="minorHAnsi"/>
          <w:noProof/>
        </w:rPr>
        <w:t>.25</w:t>
      </w:r>
      <w:r>
        <w:rPr>
          <w:rFonts w:cstheme="minorHAnsi"/>
          <w:noProof/>
        </w:rPr>
        <w:t>,</w:t>
      </w:r>
      <w:r w:rsidRPr="006E5260">
        <w:rPr>
          <w:rFonts w:cstheme="minorHAnsi"/>
          <w:noProof/>
        </w:rPr>
        <w:t xml:space="preserve"> </w:t>
      </w:r>
      <w:r>
        <w:rPr>
          <w:rFonts w:cstheme="minorHAnsi"/>
        </w:rPr>
        <w:t>a</w:t>
      </w:r>
      <w:r w:rsidRPr="006E5260">
        <w:rPr>
          <w:rFonts w:cstheme="minorHAnsi"/>
          <w:noProof/>
        </w:rPr>
        <w:t>dditional</w:t>
      </w:r>
      <w:r w:rsidRPr="006E5260">
        <w:rPr>
          <w:rFonts w:cstheme="minorHAnsi"/>
        </w:rPr>
        <w:t xml:space="preserve"> type II twinning modes may exist</w:t>
      </w:r>
      <w:r w:rsidR="00B17691">
        <w:rPr>
          <w:rFonts w:cstheme="minorHAnsi"/>
        </w:rPr>
        <w:t>,</w:t>
      </w:r>
      <w:r w:rsidRPr="006E5260">
        <w:rPr>
          <w:rFonts w:cstheme="minorHAnsi"/>
        </w:rPr>
        <w:t xml:space="preserve"> as indicated by [2-11](</w:t>
      </w:r>
      <w:r w:rsidRPr="006E5260">
        <w:rPr>
          <w:rFonts w:cstheme="minorHAnsi"/>
          <w:noProof/>
        </w:rPr>
        <w:t>p p-2q p+2q</w:t>
      </w:r>
      <w:r w:rsidRPr="006E5260">
        <w:rPr>
          <w:rFonts w:cstheme="minorHAnsi"/>
        </w:rPr>
        <w:t>)</w:t>
      </w:r>
      <w:r w:rsidRPr="006E5260">
        <w:rPr>
          <w:rFonts w:cstheme="minorHAnsi"/>
          <w:vertAlign w:val="subscript"/>
        </w:rPr>
        <w:t>α’’</w:t>
      </w:r>
      <w:r w:rsidR="00B17691">
        <w:rPr>
          <w:rFonts w:cstheme="minorHAnsi"/>
        </w:rPr>
        <w:t xml:space="preserve">, </w:t>
      </w:r>
      <w:r w:rsidRPr="006E5260">
        <w:rPr>
          <w:rFonts w:cstheme="minorHAnsi"/>
        </w:rPr>
        <w:t>which reflect</w:t>
      </w:r>
      <w:r>
        <w:rPr>
          <w:rFonts w:cstheme="minorHAnsi"/>
        </w:rPr>
        <w:t>s</w:t>
      </w:r>
      <w:r w:rsidRPr="006E5260">
        <w:rPr>
          <w:rFonts w:cstheme="minorHAnsi"/>
        </w:rPr>
        <w:t xml:space="preserve"> the </w:t>
      </w:r>
      <w:r w:rsidRPr="006E5260">
        <w:rPr>
          <w:rFonts w:cstheme="minorHAnsi"/>
          <w:noProof/>
        </w:rPr>
        <w:t xml:space="preserve">extra arithmetic solution for </w:t>
      </w:r>
      <w:r w:rsidRPr="00A51168">
        <w:rPr>
          <w:rFonts w:cstheme="minorHAnsi"/>
          <w:i/>
          <w:noProof/>
        </w:rPr>
        <w:t>eq</w:t>
      </w:r>
      <w:r w:rsidRPr="006E5260">
        <w:rPr>
          <w:rFonts w:cstheme="minorHAnsi"/>
          <w:noProof/>
        </w:rPr>
        <w:t xml:space="preserve">.25. </w:t>
      </w:r>
      <w:r w:rsidRPr="006E5260">
        <w:rPr>
          <w:rFonts w:cstheme="minorHAnsi"/>
        </w:rPr>
        <w:t xml:space="preserve">The </w:t>
      </w:r>
      <w:r w:rsidRPr="006E5260">
        <w:rPr>
          <w:rFonts w:cstheme="minorHAnsi"/>
          <w:noProof/>
        </w:rPr>
        <w:t>possibility</w:t>
      </w:r>
      <w:r w:rsidRPr="006E5260">
        <w:rPr>
          <w:rFonts w:cstheme="minorHAnsi"/>
        </w:rPr>
        <w:t xml:space="preserve"> </w:t>
      </w:r>
      <w:r>
        <w:rPr>
          <w:rFonts w:cstheme="minorHAnsi"/>
        </w:rPr>
        <w:t xml:space="preserve">exists of </w:t>
      </w:r>
      <w:r w:rsidRPr="006E5260">
        <w:rPr>
          <w:rFonts w:cstheme="minorHAnsi"/>
        </w:rPr>
        <w:t>various type II &lt;-211&gt;</w:t>
      </w:r>
      <w:r w:rsidRPr="006E5260">
        <w:rPr>
          <w:rFonts w:cstheme="minorHAnsi"/>
          <w:vertAlign w:val="subscript"/>
        </w:rPr>
        <w:t>α’’</w:t>
      </w:r>
      <w:r w:rsidRPr="006E5260">
        <w:rPr>
          <w:rFonts w:cstheme="minorHAnsi"/>
        </w:rPr>
        <w:t xml:space="preserve"> twin modes</w:t>
      </w:r>
      <w:r>
        <w:rPr>
          <w:rFonts w:cstheme="minorHAnsi"/>
        </w:rPr>
        <w:t xml:space="preserve">, which enable </w:t>
      </w:r>
      <w:r w:rsidRPr="006E5260">
        <w:rPr>
          <w:rFonts w:cstheme="minorHAnsi"/>
        </w:rPr>
        <w:t>the variants to accommodate the phase transformation volume change along different lattice invariant planes.</w:t>
      </w:r>
      <w:r w:rsidRPr="006E5260">
        <w:rPr>
          <w:rFonts w:cstheme="minorHAnsi"/>
          <w:color w:val="FF0000"/>
        </w:rPr>
        <w:t xml:space="preserve"> </w:t>
      </w:r>
      <w:r w:rsidRPr="006E5260">
        <w:rPr>
          <w:rFonts w:cstheme="minorHAnsi"/>
          <w:color w:val="000000" w:themeColor="text1"/>
        </w:rPr>
        <w:t xml:space="preserve">The SA twinning modes solutions derived from </w:t>
      </w:r>
      <w:r w:rsidRPr="006E5260">
        <w:rPr>
          <w:rFonts w:cstheme="minorHAnsi"/>
          <w:i/>
          <w:color w:val="000000" w:themeColor="text1"/>
        </w:rPr>
        <w:t>eq</w:t>
      </w:r>
      <w:r w:rsidRPr="006E5260">
        <w:rPr>
          <w:rFonts w:cstheme="minorHAnsi"/>
          <w:color w:val="000000" w:themeColor="text1"/>
        </w:rPr>
        <w:t xml:space="preserve">.25 </w:t>
      </w:r>
      <w:r w:rsidRPr="006E5260">
        <w:rPr>
          <w:rFonts w:cstheme="minorHAnsi"/>
          <w:noProof/>
          <w:color w:val="000000" w:themeColor="text1"/>
        </w:rPr>
        <w:t>were listed</w:t>
      </w:r>
      <w:r w:rsidRPr="006E5260">
        <w:rPr>
          <w:rFonts w:cstheme="minorHAnsi"/>
          <w:color w:val="000000" w:themeColor="text1"/>
        </w:rPr>
        <w:t xml:space="preserve"> in the </w:t>
      </w:r>
      <w:r>
        <w:rPr>
          <w:rFonts w:cstheme="minorHAnsi"/>
          <w:noProof/>
          <w:color w:val="000000" w:themeColor="text1"/>
        </w:rPr>
        <w:t>T</w:t>
      </w:r>
      <w:r w:rsidRPr="006E5260">
        <w:rPr>
          <w:rFonts w:cstheme="minorHAnsi"/>
          <w:noProof/>
          <w:color w:val="000000" w:themeColor="text1"/>
        </w:rPr>
        <w:t>ab</w:t>
      </w:r>
      <w:r w:rsidRPr="003B25EA">
        <w:rPr>
          <w:rFonts w:cstheme="minorHAnsi"/>
          <w:noProof/>
          <w:color w:val="000000" w:themeColor="text1"/>
        </w:rPr>
        <w:t>le</w:t>
      </w:r>
      <w:r w:rsidRPr="003B25EA">
        <w:rPr>
          <w:rFonts w:cstheme="minorHAnsi"/>
          <w:color w:val="000000" w:themeColor="text1"/>
        </w:rPr>
        <w:t xml:space="preserve">. </w:t>
      </w:r>
      <w:r>
        <w:rPr>
          <w:rFonts w:cstheme="minorHAnsi"/>
          <w:color w:val="000000" w:themeColor="text1"/>
        </w:rPr>
        <w:t>6-1</w:t>
      </w:r>
      <w:r w:rsidRPr="003B25EA">
        <w:rPr>
          <w:rFonts w:cstheme="minorHAnsi"/>
          <w:color w:val="000000" w:themeColor="text1"/>
        </w:rPr>
        <w:t xml:space="preserve"> and further discuss</w:t>
      </w:r>
      <w:r w:rsidRPr="006E5260">
        <w:rPr>
          <w:rFonts w:cstheme="minorHAnsi"/>
          <w:color w:val="000000" w:themeColor="text1"/>
        </w:rPr>
        <w:t>ed under the theory of the crystallography of deformation twinning</w:t>
      </w:r>
      <w:r>
        <w:rPr>
          <w:rFonts w:cstheme="minorHAnsi"/>
          <w:color w:val="000000" w:themeColor="text1"/>
        </w:rPr>
        <w:t xml:space="preserve"> </w:t>
      </w:r>
      <w:r w:rsidRPr="006E5260">
        <w:rPr>
          <w:rFonts w:cstheme="minorHAnsi"/>
          <w:color w:val="000000" w:themeColor="text1"/>
        </w:rPr>
        <w:fldChar w:fldCharType="begin" w:fldLock="1"/>
      </w:r>
      <w:r>
        <w:rPr>
          <w:rFonts w:cstheme="minorHAnsi"/>
          <w:color w:val="000000" w:themeColor="text1"/>
        </w:rPr>
        <w:instrText>ADDIN CSL_CITATION {"citationItems":[{"id":"ITEM-1","itemData":{"DOI":"10.1098/rspa.1965.0216","ISBN":"00804630","ISSN":"1364-5021","abstract":"The crystallographic characteristics of deformation twinning are derived by considering the atomic movements which occur at the moving interface as a twin propagates. This is facilitated by making use of the notation of the tensor calculus, and general expressions, valid for all crystal structures, are obtained giving the magnitude of the twinning shear and relating the twinning elements for both type I and type II twinning. The atomic shuffles, which in general must accompany the twinning shear in both single and multiple lattice structures, are examined in detail and expressions are derived for their magnitudes and directions for the cases of the four classical orientation relationships associated with deformation twinning. The use of these expressions in predicting operative twinning modes is described and the relations between this theory and other recent theories of the crystallography of deformation twinning are discussed.","author":[{"dropping-particle":"","family":"Bilby","given":"B. A.","non-dropping-particle":"","parse-names":false,"suffix":""},{"dropping-particle":"","family":"Crocker","given":"A. G.","non-dropping-particle":"","parse-names":false,"suffix":""}],"container-title":"Proceedings of the Royal Society A: Mathematical, Physical and Engineering Sciences","id":"ITEM-1","issued":{"date-parts":[["1965"]]},"title":"The Theory of the Crystallography of Deformation Twinning","type":"article-journal"},"uris":["http://www.mendeley.com/documents/?uuid=ca3bf999-34b5-458f-a1e3-c8bdfdffaa12"]}],"mendeley":{"formattedCitation":"[15]","plainTextFormattedCitation":"[15]","previouslyFormattedCitation":"[17]"},"properties":{"noteIndex":0},"schema":"https://github.com/citation-style-language/schema/raw/master/csl-citation.json"}</w:instrText>
      </w:r>
      <w:r w:rsidRPr="006E5260">
        <w:rPr>
          <w:rFonts w:cstheme="minorHAnsi"/>
          <w:color w:val="000000" w:themeColor="text1"/>
        </w:rPr>
        <w:fldChar w:fldCharType="separate"/>
      </w:r>
      <w:r w:rsidRPr="008F7036">
        <w:rPr>
          <w:rFonts w:cstheme="minorHAnsi"/>
          <w:noProof/>
          <w:color w:val="000000" w:themeColor="text1"/>
        </w:rPr>
        <w:t>[15]</w:t>
      </w:r>
      <w:r w:rsidRPr="006E5260">
        <w:rPr>
          <w:rFonts w:cstheme="minorHAnsi"/>
          <w:color w:val="000000" w:themeColor="text1"/>
        </w:rPr>
        <w:fldChar w:fldCharType="end"/>
      </w:r>
      <w:r>
        <w:rPr>
          <w:rFonts w:cstheme="minorHAnsi"/>
          <w:color w:val="000000" w:themeColor="text1"/>
        </w:rPr>
        <w:t>, in order to assess</w:t>
      </w:r>
      <w:r w:rsidRPr="006E5260">
        <w:rPr>
          <w:rFonts w:cstheme="minorHAnsi"/>
          <w:color w:val="000000" w:themeColor="text1"/>
        </w:rPr>
        <w:t xml:space="preserve"> the potential </w:t>
      </w:r>
      <w:r w:rsidR="00B17691">
        <w:rPr>
          <w:rFonts w:cstheme="minorHAnsi"/>
          <w:color w:val="000000" w:themeColor="text1"/>
        </w:rPr>
        <w:t xml:space="preserve">of </w:t>
      </w:r>
      <w:r w:rsidRPr="006E5260">
        <w:rPr>
          <w:rFonts w:cstheme="minorHAnsi"/>
          <w:noProof/>
          <w:color w:val="000000" w:themeColor="text1"/>
        </w:rPr>
        <w:t>utilis</w:t>
      </w:r>
      <w:r>
        <w:rPr>
          <w:rFonts w:cstheme="minorHAnsi"/>
          <w:noProof/>
          <w:color w:val="000000" w:themeColor="text1"/>
        </w:rPr>
        <w:t>ing</w:t>
      </w:r>
      <w:r w:rsidR="00B17691">
        <w:rPr>
          <w:rFonts w:cstheme="minorHAnsi"/>
          <w:noProof/>
          <w:color w:val="000000" w:themeColor="text1"/>
        </w:rPr>
        <w:t xml:space="preserve"> them</w:t>
      </w:r>
      <w:r w:rsidRPr="006E5260">
        <w:rPr>
          <w:rFonts w:cstheme="minorHAnsi"/>
          <w:color w:val="000000" w:themeColor="text1"/>
        </w:rPr>
        <w:t xml:space="preserve"> as </w:t>
      </w:r>
      <w:r w:rsidRPr="006E5260">
        <w:rPr>
          <w:rFonts w:cstheme="minorHAnsi"/>
          <w:noProof/>
          <w:color w:val="000000" w:themeColor="text1"/>
        </w:rPr>
        <w:t>lattice</w:t>
      </w:r>
      <w:r w:rsidRPr="006E5260">
        <w:rPr>
          <w:rFonts w:cstheme="minorHAnsi"/>
          <w:color w:val="000000" w:themeColor="text1"/>
        </w:rPr>
        <w:t xml:space="preserve"> invariant plane</w:t>
      </w:r>
      <w:r>
        <w:rPr>
          <w:rFonts w:cstheme="minorHAnsi"/>
          <w:color w:val="000000" w:themeColor="text1"/>
        </w:rPr>
        <w:t>s</w:t>
      </w:r>
      <w:r w:rsidRPr="006E5260">
        <w:rPr>
          <w:rFonts w:cstheme="minorHAnsi"/>
          <w:color w:val="000000" w:themeColor="text1"/>
        </w:rPr>
        <w:t xml:space="preserve"> for mechanical </w:t>
      </w:r>
      <w:r w:rsidRPr="006E5260">
        <w:rPr>
          <w:rFonts w:cstheme="minorHAnsi"/>
          <w:noProof/>
          <w:color w:val="000000" w:themeColor="text1"/>
        </w:rPr>
        <w:t>deformation</w:t>
      </w:r>
      <w:r w:rsidRPr="006E5260">
        <w:rPr>
          <w:rFonts w:cstheme="minorHAnsi"/>
          <w:color w:val="000000" w:themeColor="text1"/>
        </w:rPr>
        <w:t xml:space="preserve">. </w:t>
      </w:r>
    </w:p>
    <w:p w14:paraId="042AA256" w14:textId="42FD71B3" w:rsidR="00B145BE" w:rsidRPr="008216F8" w:rsidRDefault="00B145BE" w:rsidP="00B145BE">
      <w:pPr>
        <w:pStyle w:val="af4"/>
        <w:shd w:val="clear" w:color="auto" w:fill="FFFFFF"/>
        <w:spacing w:before="0" w:beforeAutospacing="0" w:after="60" w:afterAutospacing="0" w:line="360" w:lineRule="auto"/>
        <w:rPr>
          <w:rFonts w:asciiTheme="minorHAnsi" w:eastAsiaTheme="minorEastAsia" w:hAnsiTheme="minorHAnsi" w:cstheme="minorHAnsi"/>
          <w:sz w:val="20"/>
          <w:szCs w:val="22"/>
          <w:lang w:val="en-GB"/>
        </w:rPr>
      </w:pPr>
      <w:bookmarkStart w:id="294" w:name="_Toc39312742"/>
      <w:r w:rsidRPr="006E5260">
        <w:rPr>
          <w:rFonts w:asciiTheme="minorHAnsi" w:eastAsiaTheme="minorEastAsia" w:hAnsiTheme="minorHAnsi" w:cstheme="minorHAnsi"/>
          <w:b/>
          <w:sz w:val="20"/>
          <w:szCs w:val="22"/>
          <w:lang w:val="en-GB"/>
        </w:rPr>
        <w:lastRenderedPageBreak/>
        <w:t>Table</w:t>
      </w:r>
      <w:r>
        <w:rPr>
          <w:rFonts w:asciiTheme="minorHAnsi" w:eastAsiaTheme="minorEastAsia" w:hAnsiTheme="minorHAnsi" w:cstheme="minorHAnsi"/>
          <w:b/>
          <w:sz w:val="20"/>
          <w:szCs w:val="22"/>
          <w:lang w:val="en-GB"/>
        </w:rPr>
        <w:t xml:space="preserve"> 6</w:t>
      </w:r>
      <w:r>
        <w:rPr>
          <w:rFonts w:asciiTheme="minorHAnsi" w:eastAsiaTheme="minorEastAsia" w:hAnsiTheme="minorHAnsi" w:cstheme="minorHAnsi"/>
          <w:b/>
          <w:sz w:val="20"/>
          <w:szCs w:val="22"/>
          <w:lang w:val="en-GB"/>
        </w:rPr>
        <w:noBreakHyphen/>
      </w:r>
      <w:r>
        <w:rPr>
          <w:rFonts w:asciiTheme="minorHAnsi" w:eastAsiaTheme="minorEastAsia" w:hAnsiTheme="minorHAnsi" w:cstheme="minorHAnsi"/>
          <w:b/>
          <w:sz w:val="20"/>
          <w:szCs w:val="22"/>
          <w:lang w:val="en-GB"/>
        </w:rPr>
        <w:fldChar w:fldCharType="begin"/>
      </w:r>
      <w:r>
        <w:rPr>
          <w:rFonts w:asciiTheme="minorHAnsi" w:eastAsiaTheme="minorEastAsia" w:hAnsiTheme="minorHAnsi" w:cstheme="minorHAnsi"/>
          <w:b/>
          <w:sz w:val="20"/>
          <w:szCs w:val="22"/>
          <w:lang w:val="en-GB"/>
        </w:rPr>
        <w:instrText xml:space="preserve"> SEQ Table \* ARABIC \s 1 </w:instrText>
      </w:r>
      <w:r>
        <w:rPr>
          <w:rFonts w:asciiTheme="minorHAnsi" w:eastAsiaTheme="minorEastAsia" w:hAnsiTheme="minorHAnsi" w:cstheme="minorHAnsi"/>
          <w:b/>
          <w:sz w:val="20"/>
          <w:szCs w:val="22"/>
          <w:lang w:val="en-GB"/>
        </w:rPr>
        <w:fldChar w:fldCharType="separate"/>
      </w:r>
      <w:r>
        <w:rPr>
          <w:rFonts w:asciiTheme="minorHAnsi" w:eastAsiaTheme="minorEastAsia" w:hAnsiTheme="minorHAnsi" w:cstheme="minorHAnsi"/>
          <w:b/>
          <w:noProof/>
          <w:sz w:val="20"/>
          <w:szCs w:val="22"/>
          <w:lang w:val="en-GB"/>
        </w:rPr>
        <w:t>2</w:t>
      </w:r>
      <w:r>
        <w:rPr>
          <w:rFonts w:asciiTheme="minorHAnsi" w:eastAsiaTheme="minorEastAsia" w:hAnsiTheme="minorHAnsi" w:cstheme="minorHAnsi"/>
          <w:b/>
          <w:sz w:val="20"/>
          <w:szCs w:val="22"/>
          <w:lang w:val="en-GB"/>
        </w:rPr>
        <w:fldChar w:fldCharType="end"/>
      </w:r>
      <w:r w:rsidRPr="006E5260">
        <w:rPr>
          <w:rFonts w:asciiTheme="minorHAnsi" w:eastAsiaTheme="minorEastAsia" w:hAnsiTheme="minorHAnsi" w:cstheme="minorHAnsi"/>
          <w:b/>
          <w:sz w:val="20"/>
          <w:szCs w:val="22"/>
          <w:lang w:val="en-GB"/>
        </w:rPr>
        <w:t xml:space="preserve"> </w:t>
      </w:r>
      <w:r>
        <w:rPr>
          <w:rFonts w:asciiTheme="minorHAnsi" w:eastAsiaTheme="minorEastAsia" w:hAnsiTheme="minorHAnsi" w:cstheme="minorHAnsi"/>
          <w:b/>
          <w:sz w:val="20"/>
          <w:szCs w:val="22"/>
          <w:lang w:val="en-GB"/>
        </w:rPr>
        <w:t>Potential</w:t>
      </w:r>
      <w:r w:rsidRPr="00631636">
        <w:rPr>
          <w:rFonts w:asciiTheme="minorHAnsi" w:eastAsiaTheme="minorEastAsia" w:hAnsiTheme="minorHAnsi" w:cstheme="minorHAnsi"/>
          <w:b/>
          <w:sz w:val="20"/>
          <w:szCs w:val="22"/>
          <w:lang w:val="en-GB"/>
        </w:rPr>
        <w:t xml:space="preserve"> TTIP twinning modes in α’’ martensite and lattice correspondence in </w:t>
      </w:r>
      <w:r w:rsidR="0092554D">
        <w:rPr>
          <w:rFonts w:asciiTheme="minorHAnsi" w:eastAsiaTheme="minorEastAsia" w:hAnsiTheme="minorHAnsi" w:cstheme="minorHAnsi"/>
          <w:b/>
          <w:sz w:val="20"/>
          <w:szCs w:val="22"/>
          <w:lang w:val="en-GB"/>
        </w:rPr>
        <w:t xml:space="preserve">the </w:t>
      </w:r>
      <w:r w:rsidRPr="00631636">
        <w:rPr>
          <w:rFonts w:asciiTheme="minorHAnsi" w:eastAsiaTheme="minorEastAsia" w:hAnsiTheme="minorHAnsi" w:cstheme="minorHAnsi"/>
          <w:b/>
          <w:noProof/>
          <w:sz w:val="20"/>
          <w:szCs w:val="22"/>
          <w:lang w:val="en-GB"/>
        </w:rPr>
        <w:t>body-centric</w:t>
      </w:r>
      <w:r w:rsidRPr="00631636">
        <w:rPr>
          <w:rFonts w:asciiTheme="minorHAnsi" w:eastAsiaTheme="minorEastAsia" w:hAnsiTheme="minorHAnsi" w:cstheme="minorHAnsi"/>
          <w:b/>
          <w:sz w:val="20"/>
          <w:szCs w:val="22"/>
          <w:lang w:val="en-GB"/>
        </w:rPr>
        <w:t xml:space="preserve"> β phase</w:t>
      </w:r>
      <w:r>
        <w:rPr>
          <w:rFonts w:asciiTheme="minorHAnsi" w:eastAsiaTheme="minorEastAsia" w:hAnsiTheme="minorHAnsi" w:cstheme="minorHAnsi"/>
          <w:sz w:val="20"/>
          <w:szCs w:val="22"/>
          <w:lang w:val="en-GB"/>
        </w:rPr>
        <w:t>.</w:t>
      </w:r>
      <w:r w:rsidRPr="006E5260">
        <w:rPr>
          <w:rFonts w:asciiTheme="minorHAnsi" w:eastAsiaTheme="minorEastAsia" w:hAnsiTheme="minorHAnsi" w:cstheme="minorHAnsi"/>
          <w:sz w:val="20"/>
          <w:szCs w:val="22"/>
          <w:lang w:val="en-GB"/>
        </w:rPr>
        <w:t xml:space="preserve"> </w:t>
      </w:r>
      <w:r w:rsidRPr="006E5260">
        <w:rPr>
          <w:rFonts w:asciiTheme="minorHAnsi" w:eastAsiaTheme="minorEastAsia" w:hAnsiTheme="minorHAnsi" w:cstheme="minorHAnsi"/>
          <w:i/>
          <w:sz w:val="20"/>
          <w:szCs w:val="22"/>
          <w:lang w:val="en-GB"/>
        </w:rPr>
        <w:t>s</w:t>
      </w:r>
      <w:r w:rsidRPr="006E5260">
        <w:rPr>
          <w:rFonts w:asciiTheme="minorHAnsi" w:eastAsiaTheme="minorEastAsia" w:hAnsiTheme="minorHAnsi" w:cstheme="minorHAnsi"/>
          <w:sz w:val="20"/>
          <w:szCs w:val="22"/>
          <w:lang w:val="en-GB"/>
        </w:rPr>
        <w:t xml:space="preserve"> represents the shear vector</w:t>
      </w:r>
      <w:r>
        <w:rPr>
          <w:rFonts w:asciiTheme="minorHAnsi" w:eastAsiaTheme="minorEastAsia" w:hAnsiTheme="minorHAnsi" w:cstheme="minorHAnsi"/>
          <w:sz w:val="20"/>
          <w:szCs w:val="22"/>
          <w:lang w:val="en-GB"/>
        </w:rPr>
        <w:t>,</w:t>
      </w:r>
      <w:r w:rsidRPr="006E5260">
        <w:rPr>
          <w:rFonts w:asciiTheme="minorHAnsi" w:eastAsiaTheme="minorEastAsia" w:hAnsiTheme="minorHAnsi" w:cstheme="minorHAnsi"/>
          <w:sz w:val="20"/>
          <w:szCs w:val="22"/>
          <w:lang w:val="en-GB"/>
        </w:rPr>
        <w:t xml:space="preserve"> while </w:t>
      </w:r>
      <w:r w:rsidRPr="006E5260">
        <w:rPr>
          <w:rFonts w:asciiTheme="minorHAnsi" w:eastAsiaTheme="minorEastAsia" w:hAnsiTheme="minorHAnsi" w:cstheme="minorHAnsi"/>
          <w:i/>
          <w:sz w:val="20"/>
          <w:szCs w:val="22"/>
          <w:lang w:val="en-GB"/>
        </w:rPr>
        <w:t>K</w:t>
      </w:r>
      <w:r w:rsidRPr="006E5260">
        <w:rPr>
          <w:rFonts w:asciiTheme="minorHAnsi" w:eastAsiaTheme="minorEastAsia" w:hAnsiTheme="minorHAnsi" w:cstheme="minorHAnsi"/>
          <w:sz w:val="20"/>
          <w:szCs w:val="22"/>
          <w:vertAlign w:val="subscript"/>
          <w:lang w:val="en-GB"/>
        </w:rPr>
        <w:t>SA</w:t>
      </w:r>
      <w:r w:rsidRPr="006E5260">
        <w:rPr>
          <w:rFonts w:asciiTheme="minorHAnsi" w:eastAsiaTheme="minorEastAsia" w:hAnsiTheme="minorHAnsi" w:cstheme="minorHAnsi"/>
          <w:sz w:val="20"/>
          <w:szCs w:val="22"/>
          <w:lang w:val="en-GB"/>
        </w:rPr>
        <w:t xml:space="preserve">, </w:t>
      </w:r>
      <w:r w:rsidRPr="006E5260">
        <w:rPr>
          <w:rFonts w:asciiTheme="minorHAnsi" w:eastAsiaTheme="minorEastAsia" w:hAnsiTheme="minorHAnsi" w:cstheme="minorHAnsi"/>
          <w:i/>
          <w:sz w:val="20"/>
          <w:szCs w:val="22"/>
          <w:lang w:val="en-GB"/>
        </w:rPr>
        <w:t>η</w:t>
      </w:r>
      <w:r w:rsidRPr="006E5260">
        <w:rPr>
          <w:rFonts w:asciiTheme="minorHAnsi" w:eastAsiaTheme="minorEastAsia" w:hAnsiTheme="minorHAnsi" w:cstheme="minorHAnsi"/>
          <w:sz w:val="20"/>
          <w:szCs w:val="22"/>
          <w:vertAlign w:val="subscript"/>
          <w:lang w:val="en-GB"/>
        </w:rPr>
        <w:t>SA</w:t>
      </w:r>
      <w:r w:rsidRPr="006E5260">
        <w:rPr>
          <w:rFonts w:asciiTheme="minorHAnsi" w:eastAsiaTheme="minorEastAsia" w:hAnsiTheme="minorHAnsi" w:cstheme="minorHAnsi"/>
          <w:sz w:val="20"/>
          <w:szCs w:val="22"/>
          <w:lang w:val="en-GB"/>
        </w:rPr>
        <w:t xml:space="preserve"> and </w:t>
      </w:r>
      <w:r w:rsidRPr="006E5260">
        <w:rPr>
          <w:rFonts w:asciiTheme="minorHAnsi" w:eastAsiaTheme="minorEastAsia" w:hAnsiTheme="minorHAnsi" w:cstheme="minorHAnsi"/>
          <w:i/>
          <w:sz w:val="20"/>
          <w:szCs w:val="22"/>
          <w:lang w:val="en-GB"/>
        </w:rPr>
        <w:t>K</w:t>
      </w:r>
      <w:r w:rsidRPr="006E5260">
        <w:rPr>
          <w:rFonts w:asciiTheme="minorHAnsi" w:eastAsiaTheme="minorEastAsia" w:hAnsiTheme="minorHAnsi" w:cstheme="minorHAnsi"/>
          <w:sz w:val="20"/>
          <w:szCs w:val="22"/>
          <w:vertAlign w:val="subscript"/>
          <w:lang w:val="en-GB"/>
        </w:rPr>
        <w:t>1</w:t>
      </w:r>
      <w:r w:rsidRPr="006E5260">
        <w:rPr>
          <w:rFonts w:asciiTheme="minorHAnsi" w:eastAsiaTheme="minorEastAsia" w:hAnsiTheme="minorHAnsi" w:cstheme="minorHAnsi"/>
          <w:sz w:val="20"/>
          <w:szCs w:val="22"/>
          <w:lang w:val="en-GB"/>
        </w:rPr>
        <w:t>,</w:t>
      </w:r>
      <w:r w:rsidRPr="006E5260">
        <w:rPr>
          <w:rFonts w:asciiTheme="minorHAnsi" w:eastAsiaTheme="minorEastAsia" w:hAnsiTheme="minorHAnsi" w:cstheme="minorHAnsi"/>
          <w:i/>
          <w:sz w:val="20"/>
          <w:szCs w:val="22"/>
          <w:lang w:val="en-GB"/>
        </w:rPr>
        <w:t xml:space="preserve"> K</w:t>
      </w:r>
      <w:r w:rsidRPr="006E5260">
        <w:rPr>
          <w:rFonts w:asciiTheme="minorHAnsi" w:eastAsiaTheme="minorEastAsia" w:hAnsiTheme="minorHAnsi" w:cstheme="minorHAnsi"/>
          <w:sz w:val="20"/>
          <w:szCs w:val="22"/>
          <w:vertAlign w:val="subscript"/>
          <w:lang w:val="en-GB"/>
        </w:rPr>
        <w:t>2</w:t>
      </w:r>
      <w:r w:rsidRPr="006E5260">
        <w:rPr>
          <w:rFonts w:asciiTheme="minorHAnsi" w:eastAsiaTheme="minorEastAsia" w:hAnsiTheme="minorHAnsi" w:cstheme="minorHAnsi"/>
          <w:sz w:val="20"/>
          <w:szCs w:val="22"/>
          <w:lang w:val="en-GB"/>
        </w:rPr>
        <w:t xml:space="preserve">, </w:t>
      </w:r>
      <w:r w:rsidRPr="006E5260">
        <w:rPr>
          <w:rFonts w:asciiTheme="minorHAnsi" w:eastAsiaTheme="minorEastAsia" w:hAnsiTheme="minorHAnsi" w:cstheme="minorHAnsi"/>
          <w:i/>
          <w:sz w:val="20"/>
          <w:szCs w:val="22"/>
          <w:lang w:val="en-GB"/>
        </w:rPr>
        <w:t>η</w:t>
      </w:r>
      <w:r w:rsidRPr="006E5260">
        <w:rPr>
          <w:rFonts w:asciiTheme="minorHAnsi" w:eastAsiaTheme="minorEastAsia" w:hAnsiTheme="minorHAnsi" w:cstheme="minorHAnsi"/>
          <w:sz w:val="20"/>
          <w:szCs w:val="22"/>
          <w:vertAlign w:val="subscript"/>
          <w:lang w:val="en-GB"/>
        </w:rPr>
        <w:t>1</w:t>
      </w:r>
      <w:r w:rsidRPr="006E5260">
        <w:rPr>
          <w:rFonts w:asciiTheme="minorHAnsi" w:eastAsiaTheme="minorEastAsia" w:hAnsiTheme="minorHAnsi" w:cstheme="minorHAnsi"/>
          <w:sz w:val="20"/>
          <w:szCs w:val="22"/>
          <w:lang w:val="en-GB"/>
        </w:rPr>
        <w:t xml:space="preserve"> </w:t>
      </w:r>
      <w:r w:rsidRPr="006E5260">
        <w:rPr>
          <w:rFonts w:asciiTheme="minorHAnsi" w:eastAsiaTheme="minorEastAsia" w:hAnsiTheme="minorHAnsi" w:cstheme="minorHAnsi"/>
          <w:i/>
          <w:sz w:val="20"/>
          <w:szCs w:val="22"/>
          <w:lang w:val="en-GB"/>
        </w:rPr>
        <w:t>η</w:t>
      </w:r>
      <w:r w:rsidRPr="006E5260">
        <w:rPr>
          <w:rFonts w:asciiTheme="minorHAnsi" w:eastAsiaTheme="minorEastAsia" w:hAnsiTheme="minorHAnsi" w:cstheme="minorHAnsi"/>
          <w:sz w:val="20"/>
          <w:szCs w:val="22"/>
          <w:vertAlign w:val="subscript"/>
          <w:lang w:val="en-GB"/>
        </w:rPr>
        <w:t>2</w:t>
      </w:r>
      <w:r w:rsidRPr="006E5260">
        <w:rPr>
          <w:rFonts w:asciiTheme="minorHAnsi" w:eastAsiaTheme="minorEastAsia" w:hAnsiTheme="minorHAnsi" w:cstheme="minorHAnsi"/>
          <w:sz w:val="20"/>
          <w:szCs w:val="22"/>
          <w:lang w:val="en-GB"/>
        </w:rPr>
        <w:t xml:space="preserve"> are twinning elements of SA twinning and mechanical twinning</w:t>
      </w:r>
      <w:r>
        <w:rPr>
          <w:rFonts w:asciiTheme="minorHAnsi" w:eastAsiaTheme="minorEastAsia" w:hAnsiTheme="minorHAnsi" w:cstheme="minorHAnsi"/>
          <w:sz w:val="20"/>
          <w:szCs w:val="22"/>
          <w:lang w:val="en-GB"/>
        </w:rPr>
        <w:t>,</w:t>
      </w:r>
      <w:r w:rsidRPr="006E5260">
        <w:rPr>
          <w:rFonts w:asciiTheme="minorHAnsi" w:eastAsiaTheme="minorEastAsia" w:hAnsiTheme="minorHAnsi" w:cstheme="minorHAnsi"/>
          <w:sz w:val="20"/>
          <w:szCs w:val="22"/>
          <w:lang w:val="en-GB"/>
        </w:rPr>
        <w:t xml:space="preserve"> respectively. </w:t>
      </w:r>
      <w:r>
        <w:rPr>
          <w:rFonts w:asciiTheme="minorHAnsi" w:eastAsiaTheme="minorEastAsia" w:hAnsiTheme="minorHAnsi" w:cstheme="minorHAnsi"/>
          <w:sz w:val="20"/>
          <w:szCs w:val="22"/>
          <w:lang w:val="en-GB"/>
        </w:rPr>
        <w:t>The v</w:t>
      </w:r>
      <w:r w:rsidRPr="006E5260">
        <w:rPr>
          <w:rFonts w:asciiTheme="minorHAnsi" w:eastAsiaTheme="minorEastAsia" w:hAnsiTheme="minorHAnsi" w:cstheme="minorHAnsi"/>
          <w:sz w:val="20"/>
          <w:szCs w:val="22"/>
          <w:lang w:val="en-GB"/>
        </w:rPr>
        <w:t xml:space="preserve">alue </w:t>
      </w:r>
      <w:r w:rsidRPr="006E5260">
        <w:rPr>
          <w:rFonts w:asciiTheme="minorHAnsi" w:eastAsiaTheme="minorEastAsia" w:hAnsiTheme="minorHAnsi" w:cstheme="minorHAnsi"/>
          <w:i/>
          <w:sz w:val="20"/>
          <w:szCs w:val="22"/>
          <w:lang w:val="en-GB"/>
        </w:rPr>
        <w:t>q</w:t>
      </w:r>
      <w:r w:rsidRPr="006E5260">
        <w:rPr>
          <w:rFonts w:asciiTheme="minorHAnsi" w:eastAsiaTheme="minorEastAsia" w:hAnsiTheme="minorHAnsi" w:cstheme="minorHAnsi"/>
          <w:sz w:val="20"/>
          <w:szCs w:val="22"/>
          <w:lang w:val="en-GB"/>
        </w:rPr>
        <w:t xml:space="preserve"> represents </w:t>
      </w:r>
      <w:r w:rsidRPr="006E5260">
        <w:rPr>
          <w:rFonts w:asciiTheme="minorHAnsi" w:eastAsiaTheme="minorEastAsia" w:hAnsiTheme="minorHAnsi" w:cstheme="minorHAnsi"/>
          <w:noProof/>
          <w:sz w:val="20"/>
          <w:szCs w:val="22"/>
          <w:lang w:val="en-GB"/>
        </w:rPr>
        <w:t>shuffle</w:t>
      </w:r>
      <w:r w:rsidRPr="006E5260">
        <w:rPr>
          <w:rFonts w:asciiTheme="minorHAnsi" w:eastAsiaTheme="minorEastAsia" w:hAnsiTheme="minorHAnsi" w:cstheme="minorHAnsi"/>
          <w:sz w:val="20"/>
          <w:szCs w:val="22"/>
          <w:lang w:val="en-GB"/>
        </w:rPr>
        <w:t xml:space="preserve"> complexity.</w:t>
      </w:r>
      <w:bookmarkEnd w:id="294"/>
      <w:r w:rsidRPr="006E5260">
        <w:rPr>
          <w:rFonts w:asciiTheme="minorHAnsi" w:eastAsiaTheme="minorEastAsia" w:hAnsiTheme="minorHAnsi" w:cstheme="minorHAnsi"/>
          <w:sz w:val="20"/>
          <w:szCs w:val="22"/>
          <w:lang w:val="en-GB"/>
        </w:rPr>
        <w:t xml:space="preserve">  </w:t>
      </w:r>
    </w:p>
    <w:tbl>
      <w:tblPr>
        <w:tblStyle w:val="afd"/>
        <w:tblW w:w="0" w:type="auto"/>
        <w:jc w:val="center"/>
        <w:tblLook w:val="04A0" w:firstRow="1" w:lastRow="0" w:firstColumn="1" w:lastColumn="0" w:noHBand="0" w:noVBand="1"/>
      </w:tblPr>
      <w:tblGrid>
        <w:gridCol w:w="1042"/>
        <w:gridCol w:w="1065"/>
        <w:gridCol w:w="1237"/>
        <w:gridCol w:w="1068"/>
        <w:gridCol w:w="1020"/>
        <w:gridCol w:w="960"/>
        <w:gridCol w:w="1168"/>
      </w:tblGrid>
      <w:tr w:rsidR="00B145BE" w:rsidRPr="009B7299" w14:paraId="749F7E90" w14:textId="77777777" w:rsidTr="00B145BE">
        <w:trPr>
          <w:trHeight w:hRule="exact" w:val="401"/>
          <w:jc w:val="center"/>
        </w:trPr>
        <w:tc>
          <w:tcPr>
            <w:tcW w:w="1042" w:type="dxa"/>
            <w:tcBorders>
              <w:left w:val="nil"/>
              <w:bottom w:val="nil"/>
              <w:right w:val="nil"/>
            </w:tcBorders>
            <w:vAlign w:val="center"/>
          </w:tcPr>
          <w:p w14:paraId="72A26A92"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Mode</w:t>
            </w:r>
          </w:p>
        </w:tc>
        <w:tc>
          <w:tcPr>
            <w:tcW w:w="1065" w:type="dxa"/>
            <w:tcBorders>
              <w:left w:val="nil"/>
              <w:bottom w:val="nil"/>
              <w:right w:val="nil"/>
            </w:tcBorders>
            <w:vAlign w:val="center"/>
          </w:tcPr>
          <w:p w14:paraId="5BDF5F1E"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i/>
                <w:sz w:val="20"/>
                <w:szCs w:val="20"/>
                <w:lang w:val="en-GB"/>
              </w:rPr>
            </w:pPr>
            <w:r w:rsidRPr="009B7299">
              <w:rPr>
                <w:rFonts w:asciiTheme="minorHAnsi" w:eastAsiaTheme="minorEastAsia" w:hAnsiTheme="minorHAnsi" w:cstheme="minorHAnsi"/>
                <w:i/>
                <w:sz w:val="20"/>
                <w:szCs w:val="20"/>
                <w:lang w:val="en-GB"/>
              </w:rPr>
              <w:t>s</w:t>
            </w:r>
          </w:p>
        </w:tc>
        <w:tc>
          <w:tcPr>
            <w:tcW w:w="5453" w:type="dxa"/>
            <w:gridSpan w:val="5"/>
            <w:tcBorders>
              <w:left w:val="nil"/>
              <w:bottom w:val="single" w:sz="4" w:space="0" w:color="auto"/>
              <w:right w:val="nil"/>
            </w:tcBorders>
            <w:vAlign w:val="center"/>
          </w:tcPr>
          <w:p w14:paraId="2350FA4F"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Pr>
                <w:rFonts w:asciiTheme="minorHAnsi" w:eastAsiaTheme="minorEastAsia" w:hAnsiTheme="minorHAnsi" w:cstheme="minorHAnsi"/>
                <w:sz w:val="20"/>
                <w:szCs w:val="20"/>
                <w:lang w:val="en-GB"/>
              </w:rPr>
              <w:t xml:space="preserve">Orthorhombic </w:t>
            </w:r>
            <w:r w:rsidRPr="009B7299">
              <w:rPr>
                <w:rFonts w:asciiTheme="minorHAnsi" w:eastAsiaTheme="minorEastAsia" w:hAnsiTheme="minorHAnsi" w:cstheme="minorHAnsi"/>
                <w:sz w:val="20"/>
                <w:szCs w:val="20"/>
                <w:lang w:val="en-GB"/>
              </w:rPr>
              <w:t>α’’ martensite</w:t>
            </w:r>
          </w:p>
        </w:tc>
      </w:tr>
      <w:tr w:rsidR="00B145BE" w:rsidRPr="009B7299" w14:paraId="64537A15" w14:textId="77777777" w:rsidTr="00B145BE">
        <w:trPr>
          <w:trHeight w:hRule="exact" w:val="352"/>
          <w:jc w:val="center"/>
        </w:trPr>
        <w:tc>
          <w:tcPr>
            <w:tcW w:w="1042" w:type="dxa"/>
            <w:tcBorders>
              <w:top w:val="nil"/>
              <w:left w:val="nil"/>
              <w:bottom w:val="single" w:sz="4" w:space="0" w:color="auto"/>
              <w:right w:val="nil"/>
            </w:tcBorders>
            <w:vAlign w:val="center"/>
          </w:tcPr>
          <w:p w14:paraId="25C760A9"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p>
        </w:tc>
        <w:tc>
          <w:tcPr>
            <w:tcW w:w="1065" w:type="dxa"/>
            <w:tcBorders>
              <w:top w:val="nil"/>
              <w:left w:val="nil"/>
              <w:bottom w:val="single" w:sz="4" w:space="0" w:color="auto"/>
              <w:right w:val="nil"/>
            </w:tcBorders>
            <w:vAlign w:val="center"/>
          </w:tcPr>
          <w:p w14:paraId="6CD40118"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p>
        </w:tc>
        <w:tc>
          <w:tcPr>
            <w:tcW w:w="1237" w:type="dxa"/>
            <w:tcBorders>
              <w:left w:val="nil"/>
              <w:bottom w:val="single" w:sz="4" w:space="0" w:color="auto"/>
              <w:right w:val="nil"/>
            </w:tcBorders>
            <w:vAlign w:val="center"/>
          </w:tcPr>
          <w:p w14:paraId="1C3ADD6C" w14:textId="77777777" w:rsidR="00B145BE" w:rsidRPr="009B7299" w:rsidRDefault="00077961" w:rsidP="00B145BE">
            <w:pPr>
              <w:pStyle w:val="af4"/>
              <w:spacing w:before="0" w:beforeAutospacing="0" w:after="60" w:afterAutospacing="0" w:line="360" w:lineRule="auto"/>
              <w:jc w:val="center"/>
              <w:rPr>
                <w:rFonts w:asciiTheme="minorHAnsi" w:eastAsiaTheme="minorEastAsia" w:hAnsiTheme="minorHAnsi" w:cstheme="minorHAnsi"/>
                <w:sz w:val="20"/>
                <w:szCs w:val="20"/>
                <w:vertAlign w:val="subscript"/>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K</m:t>
                    </m:r>
                  </m:e>
                  <m:sub>
                    <m:r>
                      <w:rPr>
                        <w:rFonts w:ascii="Cambria Math" w:eastAsiaTheme="minorEastAsia" w:hAnsi="Cambria Math" w:cstheme="minorHAnsi"/>
                        <w:sz w:val="20"/>
                        <w:szCs w:val="20"/>
                        <w:lang w:val="en-GB"/>
                      </w:rPr>
                      <m:t>1/SA</m:t>
                    </m:r>
                  </m:sub>
                </m:sSub>
              </m:oMath>
            </m:oMathPara>
          </w:p>
        </w:tc>
        <w:tc>
          <w:tcPr>
            <w:tcW w:w="1068" w:type="dxa"/>
            <w:tcBorders>
              <w:left w:val="nil"/>
              <w:bottom w:val="single" w:sz="4" w:space="0" w:color="auto"/>
              <w:right w:val="nil"/>
            </w:tcBorders>
            <w:vAlign w:val="center"/>
          </w:tcPr>
          <w:p w14:paraId="194D3AB3" w14:textId="77777777" w:rsidR="00B145BE" w:rsidRPr="009B7299" w:rsidRDefault="00077961"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K</m:t>
                    </m:r>
                  </m:e>
                  <m:sub>
                    <m:r>
                      <w:rPr>
                        <w:rFonts w:ascii="Cambria Math" w:eastAsiaTheme="minorEastAsia" w:hAnsi="Cambria Math" w:cstheme="minorHAnsi"/>
                        <w:sz w:val="20"/>
                        <w:szCs w:val="20"/>
                        <w:lang w:val="en-GB"/>
                      </w:rPr>
                      <m:t>2</m:t>
                    </m:r>
                  </m:sub>
                </m:sSub>
              </m:oMath>
            </m:oMathPara>
          </w:p>
        </w:tc>
        <w:tc>
          <w:tcPr>
            <w:tcW w:w="1020" w:type="dxa"/>
            <w:tcBorders>
              <w:left w:val="nil"/>
              <w:bottom w:val="single" w:sz="4" w:space="0" w:color="auto"/>
              <w:right w:val="nil"/>
            </w:tcBorders>
            <w:vAlign w:val="center"/>
          </w:tcPr>
          <w:p w14:paraId="42D19CED" w14:textId="77777777" w:rsidR="00B145BE" w:rsidRPr="009B7299" w:rsidRDefault="00077961" w:rsidP="00B145BE">
            <w:pPr>
              <w:pStyle w:val="af4"/>
              <w:spacing w:before="0" w:beforeAutospacing="0" w:after="60" w:afterAutospacing="0" w:line="360" w:lineRule="auto"/>
              <w:jc w:val="center"/>
              <w:rPr>
                <w:rFonts w:asciiTheme="minorHAnsi" w:eastAsiaTheme="minorEastAsia" w:hAnsiTheme="minorHAnsi" w:cstheme="minorHAnsi"/>
                <w:sz w:val="20"/>
                <w:szCs w:val="20"/>
                <w:vertAlign w:val="subscript"/>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η</m:t>
                    </m:r>
                  </m:e>
                  <m:sub>
                    <m:r>
                      <w:rPr>
                        <w:rFonts w:ascii="Cambria Math" w:eastAsiaTheme="minorEastAsia" w:hAnsi="Cambria Math" w:cstheme="minorHAnsi"/>
                        <w:sz w:val="20"/>
                        <w:szCs w:val="20"/>
                        <w:lang w:val="en-GB"/>
                      </w:rPr>
                      <m:t>1</m:t>
                    </m:r>
                  </m:sub>
                </m:sSub>
              </m:oMath>
            </m:oMathPara>
          </w:p>
        </w:tc>
        <w:tc>
          <w:tcPr>
            <w:tcW w:w="960" w:type="dxa"/>
            <w:tcBorders>
              <w:left w:val="nil"/>
              <w:bottom w:val="single" w:sz="4" w:space="0" w:color="auto"/>
              <w:right w:val="nil"/>
            </w:tcBorders>
            <w:vAlign w:val="center"/>
          </w:tcPr>
          <w:p w14:paraId="7E7DF6E7" w14:textId="77777777" w:rsidR="00B145BE" w:rsidRPr="009B7299" w:rsidRDefault="00077961"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η</m:t>
                    </m:r>
                  </m:e>
                  <m:sub>
                    <m:r>
                      <w:rPr>
                        <w:rFonts w:ascii="Cambria Math" w:eastAsiaTheme="minorEastAsia" w:hAnsi="Cambria Math" w:cstheme="minorHAnsi"/>
                        <w:sz w:val="20"/>
                        <w:szCs w:val="20"/>
                        <w:lang w:val="en-GB"/>
                      </w:rPr>
                      <m:t>2</m:t>
                    </m:r>
                  </m:sub>
                </m:sSub>
              </m:oMath>
            </m:oMathPara>
          </w:p>
        </w:tc>
        <w:tc>
          <w:tcPr>
            <w:tcW w:w="1168" w:type="dxa"/>
            <w:tcBorders>
              <w:left w:val="nil"/>
              <w:bottom w:val="single" w:sz="4" w:space="0" w:color="auto"/>
              <w:right w:val="nil"/>
            </w:tcBorders>
            <w:vAlign w:val="center"/>
          </w:tcPr>
          <w:p w14:paraId="4175EEB5" w14:textId="77777777" w:rsidR="00B145BE" w:rsidRPr="009B7299" w:rsidRDefault="00077961"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η</m:t>
                    </m:r>
                  </m:e>
                  <m:sub>
                    <m:r>
                      <w:rPr>
                        <w:rFonts w:ascii="Cambria Math" w:eastAsiaTheme="minorEastAsia" w:hAnsi="Cambria Math" w:cstheme="minorHAnsi"/>
                        <w:sz w:val="20"/>
                        <w:szCs w:val="20"/>
                        <w:lang w:val="en-GB"/>
                      </w:rPr>
                      <m:t>SA</m:t>
                    </m:r>
                  </m:sub>
                </m:sSub>
              </m:oMath>
            </m:oMathPara>
          </w:p>
        </w:tc>
      </w:tr>
      <w:tr w:rsidR="00B145BE" w:rsidRPr="009B7299" w14:paraId="3BBDE15D" w14:textId="77777777" w:rsidTr="00B145BE">
        <w:trPr>
          <w:trHeight w:hRule="exact" w:val="288"/>
          <w:jc w:val="center"/>
        </w:trPr>
        <w:tc>
          <w:tcPr>
            <w:tcW w:w="1042" w:type="dxa"/>
            <w:tcBorders>
              <w:left w:val="nil"/>
              <w:bottom w:val="nil"/>
              <w:right w:val="nil"/>
            </w:tcBorders>
            <w:vAlign w:val="center"/>
          </w:tcPr>
          <w:p w14:paraId="717F59C8"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w:t>
            </w:r>
          </w:p>
        </w:tc>
        <w:tc>
          <w:tcPr>
            <w:tcW w:w="1065" w:type="dxa"/>
            <w:tcBorders>
              <w:left w:val="nil"/>
              <w:bottom w:val="nil"/>
              <w:right w:val="nil"/>
            </w:tcBorders>
            <w:vAlign w:val="center"/>
          </w:tcPr>
          <w:p w14:paraId="3DA44BE9"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0.3536</w:t>
            </w:r>
          </w:p>
        </w:tc>
        <w:tc>
          <w:tcPr>
            <w:tcW w:w="1237" w:type="dxa"/>
            <w:tcBorders>
              <w:left w:val="nil"/>
              <w:bottom w:val="nil"/>
              <w:right w:val="nil"/>
            </w:tcBorders>
            <w:vAlign w:val="center"/>
          </w:tcPr>
          <w:p w14:paraId="63010608"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 1 3}</w:t>
            </w:r>
          </w:p>
        </w:tc>
        <w:tc>
          <w:tcPr>
            <w:tcW w:w="1068" w:type="dxa"/>
            <w:tcBorders>
              <w:left w:val="nil"/>
              <w:bottom w:val="nil"/>
              <w:right w:val="nil"/>
            </w:tcBorders>
            <w:vAlign w:val="center"/>
          </w:tcPr>
          <w:p w14:paraId="39513953"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{3 -5 1}</w:t>
            </w:r>
          </w:p>
        </w:tc>
        <w:tc>
          <w:tcPr>
            <w:tcW w:w="1020" w:type="dxa"/>
            <w:tcBorders>
              <w:left w:val="nil"/>
              <w:bottom w:val="nil"/>
              <w:right w:val="nil"/>
            </w:tcBorders>
            <w:vAlign w:val="center"/>
          </w:tcPr>
          <w:p w14:paraId="7C10E583"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&lt;1-10&gt;</w:t>
            </w:r>
          </w:p>
        </w:tc>
        <w:tc>
          <w:tcPr>
            <w:tcW w:w="960" w:type="dxa"/>
            <w:tcBorders>
              <w:left w:val="nil"/>
              <w:bottom w:val="nil"/>
              <w:right w:val="nil"/>
            </w:tcBorders>
            <w:vAlign w:val="center"/>
          </w:tcPr>
          <w:p w14:paraId="2F41D3EB"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 1 2&gt;</w:t>
            </w:r>
          </w:p>
        </w:tc>
        <w:tc>
          <w:tcPr>
            <w:tcW w:w="1168" w:type="dxa"/>
            <w:tcBorders>
              <w:left w:val="nil"/>
              <w:bottom w:val="nil"/>
              <w:right w:val="nil"/>
            </w:tcBorders>
            <w:vAlign w:val="center"/>
          </w:tcPr>
          <w:p w14:paraId="0B6BA5A2"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&lt;-2 -1 1&gt;</w:t>
            </w:r>
          </w:p>
        </w:tc>
      </w:tr>
      <w:tr w:rsidR="00B145BE" w:rsidRPr="009B7299" w14:paraId="12FB4125" w14:textId="77777777" w:rsidTr="00B145BE">
        <w:trPr>
          <w:trHeight w:hRule="exact" w:val="288"/>
          <w:jc w:val="center"/>
        </w:trPr>
        <w:tc>
          <w:tcPr>
            <w:tcW w:w="1042" w:type="dxa"/>
            <w:tcBorders>
              <w:top w:val="nil"/>
              <w:left w:val="nil"/>
              <w:bottom w:val="nil"/>
              <w:right w:val="nil"/>
            </w:tcBorders>
            <w:vAlign w:val="center"/>
          </w:tcPr>
          <w:p w14:paraId="7E7B7862"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II</w:t>
            </w:r>
          </w:p>
        </w:tc>
        <w:tc>
          <w:tcPr>
            <w:tcW w:w="1065" w:type="dxa"/>
            <w:tcBorders>
              <w:top w:val="nil"/>
              <w:left w:val="nil"/>
              <w:bottom w:val="nil"/>
              <w:right w:val="nil"/>
            </w:tcBorders>
            <w:vAlign w:val="center"/>
          </w:tcPr>
          <w:p w14:paraId="61C6525E"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0.3536</w:t>
            </w:r>
          </w:p>
        </w:tc>
        <w:tc>
          <w:tcPr>
            <w:tcW w:w="1237" w:type="dxa"/>
            <w:tcBorders>
              <w:top w:val="nil"/>
              <w:left w:val="nil"/>
              <w:bottom w:val="nil"/>
              <w:right w:val="nil"/>
            </w:tcBorders>
            <w:vAlign w:val="center"/>
          </w:tcPr>
          <w:p w14:paraId="1052C947"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{3 5 1}</w:t>
            </w:r>
          </w:p>
        </w:tc>
        <w:tc>
          <w:tcPr>
            <w:tcW w:w="1068" w:type="dxa"/>
            <w:tcBorders>
              <w:top w:val="nil"/>
              <w:left w:val="nil"/>
              <w:bottom w:val="nil"/>
              <w:right w:val="nil"/>
            </w:tcBorders>
            <w:vAlign w:val="center"/>
          </w:tcPr>
          <w:p w14:paraId="53005633"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{1 -1 3}</w:t>
            </w:r>
          </w:p>
        </w:tc>
        <w:tc>
          <w:tcPr>
            <w:tcW w:w="1020" w:type="dxa"/>
            <w:tcBorders>
              <w:top w:val="nil"/>
              <w:left w:val="nil"/>
              <w:bottom w:val="nil"/>
              <w:right w:val="nil"/>
            </w:tcBorders>
            <w:vAlign w:val="center"/>
          </w:tcPr>
          <w:p w14:paraId="4EF7BF37"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&lt;1-12&gt;</w:t>
            </w:r>
          </w:p>
        </w:tc>
        <w:tc>
          <w:tcPr>
            <w:tcW w:w="960" w:type="dxa"/>
            <w:tcBorders>
              <w:top w:val="nil"/>
              <w:left w:val="nil"/>
              <w:bottom w:val="nil"/>
              <w:right w:val="nil"/>
            </w:tcBorders>
            <w:vAlign w:val="center"/>
          </w:tcPr>
          <w:p w14:paraId="116F6EE9"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 1 0&gt;</w:t>
            </w:r>
          </w:p>
        </w:tc>
        <w:tc>
          <w:tcPr>
            <w:tcW w:w="1168" w:type="dxa"/>
            <w:tcBorders>
              <w:top w:val="nil"/>
              <w:left w:val="nil"/>
              <w:bottom w:val="nil"/>
              <w:right w:val="nil"/>
            </w:tcBorders>
            <w:vAlign w:val="center"/>
          </w:tcPr>
          <w:p w14:paraId="7AFE9085"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&lt;-2 1 1&gt;</w:t>
            </w:r>
          </w:p>
        </w:tc>
      </w:tr>
      <w:tr w:rsidR="00B145BE" w:rsidRPr="009B7299" w14:paraId="1CDD12D7" w14:textId="77777777" w:rsidTr="00B145BE">
        <w:trPr>
          <w:trHeight w:hRule="exact" w:val="288"/>
          <w:jc w:val="center"/>
        </w:trPr>
        <w:tc>
          <w:tcPr>
            <w:tcW w:w="1042" w:type="dxa"/>
            <w:tcBorders>
              <w:top w:val="nil"/>
              <w:left w:val="nil"/>
              <w:bottom w:val="nil"/>
              <w:right w:val="nil"/>
            </w:tcBorders>
            <w:vAlign w:val="center"/>
          </w:tcPr>
          <w:p w14:paraId="4BFEE19C"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III</w:t>
            </w:r>
          </w:p>
        </w:tc>
        <w:tc>
          <w:tcPr>
            <w:tcW w:w="1065" w:type="dxa"/>
            <w:tcBorders>
              <w:top w:val="nil"/>
              <w:left w:val="nil"/>
              <w:bottom w:val="nil"/>
              <w:right w:val="nil"/>
            </w:tcBorders>
            <w:vAlign w:val="center"/>
          </w:tcPr>
          <w:p w14:paraId="0C220E38"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0.6124</w:t>
            </w:r>
          </w:p>
        </w:tc>
        <w:tc>
          <w:tcPr>
            <w:tcW w:w="1237" w:type="dxa"/>
            <w:tcBorders>
              <w:top w:val="nil"/>
              <w:left w:val="nil"/>
              <w:bottom w:val="nil"/>
              <w:right w:val="nil"/>
            </w:tcBorders>
            <w:vAlign w:val="center"/>
          </w:tcPr>
          <w:p w14:paraId="11882714"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 1 1}</w:t>
            </w:r>
          </w:p>
        </w:tc>
        <w:tc>
          <w:tcPr>
            <w:tcW w:w="1068" w:type="dxa"/>
            <w:tcBorders>
              <w:top w:val="nil"/>
              <w:left w:val="nil"/>
              <w:bottom w:val="nil"/>
              <w:right w:val="nil"/>
            </w:tcBorders>
            <w:vAlign w:val="center"/>
          </w:tcPr>
          <w:p w14:paraId="2F4FEE9A"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{-5 19 3}</w:t>
            </w:r>
          </w:p>
        </w:tc>
        <w:tc>
          <w:tcPr>
            <w:tcW w:w="1020" w:type="dxa"/>
            <w:tcBorders>
              <w:top w:val="nil"/>
              <w:left w:val="nil"/>
              <w:bottom w:val="nil"/>
              <w:right w:val="nil"/>
            </w:tcBorders>
            <w:vAlign w:val="center"/>
          </w:tcPr>
          <w:p w14:paraId="28815699"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&lt;-110&gt;</w:t>
            </w:r>
          </w:p>
        </w:tc>
        <w:tc>
          <w:tcPr>
            <w:tcW w:w="960" w:type="dxa"/>
            <w:tcBorders>
              <w:top w:val="nil"/>
              <w:left w:val="nil"/>
              <w:bottom w:val="nil"/>
              <w:right w:val="nil"/>
            </w:tcBorders>
            <w:vAlign w:val="center"/>
          </w:tcPr>
          <w:p w14:paraId="04E3FE75"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&lt;5 1 2&gt;</w:t>
            </w:r>
          </w:p>
        </w:tc>
        <w:tc>
          <w:tcPr>
            <w:tcW w:w="1168" w:type="dxa"/>
            <w:tcBorders>
              <w:top w:val="nil"/>
              <w:left w:val="nil"/>
              <w:bottom w:val="nil"/>
              <w:right w:val="nil"/>
            </w:tcBorders>
            <w:vAlign w:val="center"/>
          </w:tcPr>
          <w:p w14:paraId="39A57DEF"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&lt;-2 1 1&gt;</w:t>
            </w:r>
          </w:p>
        </w:tc>
      </w:tr>
      <w:tr w:rsidR="00B145BE" w:rsidRPr="009B7299" w14:paraId="04688A16" w14:textId="77777777" w:rsidTr="00B145BE">
        <w:trPr>
          <w:trHeight w:hRule="exact" w:val="288"/>
          <w:jc w:val="center"/>
        </w:trPr>
        <w:tc>
          <w:tcPr>
            <w:tcW w:w="1042" w:type="dxa"/>
            <w:tcBorders>
              <w:top w:val="nil"/>
              <w:left w:val="nil"/>
              <w:bottom w:val="nil"/>
              <w:right w:val="nil"/>
            </w:tcBorders>
            <w:vAlign w:val="center"/>
          </w:tcPr>
          <w:p w14:paraId="682893DA"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IV</w:t>
            </w:r>
          </w:p>
        </w:tc>
        <w:tc>
          <w:tcPr>
            <w:tcW w:w="1065" w:type="dxa"/>
            <w:tcBorders>
              <w:top w:val="nil"/>
              <w:left w:val="nil"/>
              <w:bottom w:val="nil"/>
              <w:right w:val="nil"/>
            </w:tcBorders>
            <w:vAlign w:val="center"/>
          </w:tcPr>
          <w:p w14:paraId="77BCF28D"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0.7071</w:t>
            </w:r>
          </w:p>
        </w:tc>
        <w:tc>
          <w:tcPr>
            <w:tcW w:w="1237" w:type="dxa"/>
            <w:tcBorders>
              <w:top w:val="nil"/>
              <w:left w:val="nil"/>
              <w:bottom w:val="nil"/>
              <w:right w:val="nil"/>
            </w:tcBorders>
            <w:vAlign w:val="center"/>
          </w:tcPr>
          <w:p w14:paraId="26B1FBB1"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 3 1}</w:t>
            </w:r>
          </w:p>
        </w:tc>
        <w:tc>
          <w:tcPr>
            <w:tcW w:w="1068" w:type="dxa"/>
            <w:tcBorders>
              <w:top w:val="nil"/>
              <w:left w:val="nil"/>
              <w:bottom w:val="nil"/>
              <w:right w:val="nil"/>
            </w:tcBorders>
            <w:vAlign w:val="center"/>
          </w:tcPr>
          <w:p w14:paraId="15118181"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 1 3}</w:t>
            </w:r>
          </w:p>
        </w:tc>
        <w:tc>
          <w:tcPr>
            <w:tcW w:w="1020" w:type="dxa"/>
            <w:tcBorders>
              <w:top w:val="nil"/>
              <w:left w:val="nil"/>
              <w:bottom w:val="nil"/>
              <w:right w:val="nil"/>
            </w:tcBorders>
            <w:vAlign w:val="center"/>
          </w:tcPr>
          <w:p w14:paraId="5BA20149"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&lt;-101&gt;</w:t>
            </w:r>
          </w:p>
        </w:tc>
        <w:tc>
          <w:tcPr>
            <w:tcW w:w="960" w:type="dxa"/>
            <w:tcBorders>
              <w:top w:val="nil"/>
              <w:left w:val="nil"/>
              <w:bottom w:val="nil"/>
              <w:right w:val="nil"/>
            </w:tcBorders>
            <w:vAlign w:val="center"/>
          </w:tcPr>
          <w:p w14:paraId="71183C09"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 1 0&gt;</w:t>
            </w:r>
          </w:p>
        </w:tc>
        <w:tc>
          <w:tcPr>
            <w:tcW w:w="1168" w:type="dxa"/>
            <w:tcBorders>
              <w:top w:val="nil"/>
              <w:left w:val="nil"/>
              <w:bottom w:val="nil"/>
              <w:right w:val="nil"/>
            </w:tcBorders>
            <w:vAlign w:val="center"/>
          </w:tcPr>
          <w:p w14:paraId="49C42266"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&lt;-2 1 -1&gt;</w:t>
            </w:r>
          </w:p>
        </w:tc>
      </w:tr>
      <w:tr w:rsidR="00B145BE" w:rsidRPr="009B7299" w14:paraId="46EF94E1" w14:textId="77777777" w:rsidTr="00B145BE">
        <w:trPr>
          <w:trHeight w:hRule="exact" w:val="332"/>
          <w:jc w:val="center"/>
        </w:trPr>
        <w:tc>
          <w:tcPr>
            <w:tcW w:w="1042" w:type="dxa"/>
            <w:tcBorders>
              <w:top w:val="nil"/>
              <w:left w:val="nil"/>
              <w:right w:val="nil"/>
            </w:tcBorders>
            <w:vAlign w:val="center"/>
          </w:tcPr>
          <w:p w14:paraId="3986181A"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V</w:t>
            </w:r>
          </w:p>
        </w:tc>
        <w:tc>
          <w:tcPr>
            <w:tcW w:w="1065" w:type="dxa"/>
            <w:tcBorders>
              <w:top w:val="nil"/>
              <w:left w:val="nil"/>
              <w:right w:val="nil"/>
            </w:tcBorders>
            <w:vAlign w:val="center"/>
          </w:tcPr>
          <w:p w14:paraId="68577A6E"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0.7071</w:t>
            </w:r>
          </w:p>
        </w:tc>
        <w:tc>
          <w:tcPr>
            <w:tcW w:w="1237" w:type="dxa"/>
            <w:tcBorders>
              <w:top w:val="nil"/>
              <w:left w:val="nil"/>
              <w:bottom w:val="single" w:sz="4" w:space="0" w:color="auto"/>
              <w:right w:val="nil"/>
            </w:tcBorders>
            <w:vAlign w:val="center"/>
          </w:tcPr>
          <w:p w14:paraId="7F00B7C2"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 1 3}</w:t>
            </w:r>
          </w:p>
        </w:tc>
        <w:tc>
          <w:tcPr>
            <w:tcW w:w="1068" w:type="dxa"/>
            <w:tcBorders>
              <w:top w:val="nil"/>
              <w:left w:val="nil"/>
              <w:bottom w:val="single" w:sz="4" w:space="0" w:color="auto"/>
              <w:right w:val="nil"/>
            </w:tcBorders>
            <w:vAlign w:val="center"/>
          </w:tcPr>
          <w:p w14:paraId="59967999"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 3 1}</w:t>
            </w:r>
          </w:p>
        </w:tc>
        <w:tc>
          <w:tcPr>
            <w:tcW w:w="1020" w:type="dxa"/>
            <w:tcBorders>
              <w:top w:val="nil"/>
              <w:left w:val="nil"/>
              <w:bottom w:val="single" w:sz="4" w:space="0" w:color="auto"/>
              <w:right w:val="nil"/>
            </w:tcBorders>
            <w:vAlign w:val="center"/>
          </w:tcPr>
          <w:p w14:paraId="7CC3C09D"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&lt;-110&gt;</w:t>
            </w:r>
          </w:p>
        </w:tc>
        <w:tc>
          <w:tcPr>
            <w:tcW w:w="960" w:type="dxa"/>
            <w:tcBorders>
              <w:top w:val="nil"/>
              <w:left w:val="nil"/>
              <w:bottom w:val="single" w:sz="4" w:space="0" w:color="auto"/>
              <w:right w:val="nil"/>
            </w:tcBorders>
            <w:vAlign w:val="center"/>
          </w:tcPr>
          <w:p w14:paraId="7CC145A9"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 0 1&gt;</w:t>
            </w:r>
          </w:p>
        </w:tc>
        <w:tc>
          <w:tcPr>
            <w:tcW w:w="1168" w:type="dxa"/>
            <w:tcBorders>
              <w:top w:val="nil"/>
              <w:left w:val="nil"/>
              <w:bottom w:val="single" w:sz="4" w:space="0" w:color="auto"/>
              <w:right w:val="nil"/>
            </w:tcBorders>
            <w:vAlign w:val="center"/>
          </w:tcPr>
          <w:p w14:paraId="1D9A63B3"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&lt;-2 -1 1&gt;</w:t>
            </w:r>
          </w:p>
        </w:tc>
      </w:tr>
      <w:tr w:rsidR="00B145BE" w:rsidRPr="009B7299" w14:paraId="02020704" w14:textId="77777777" w:rsidTr="00B145BE">
        <w:trPr>
          <w:trHeight w:hRule="exact" w:val="433"/>
          <w:jc w:val="center"/>
        </w:trPr>
        <w:tc>
          <w:tcPr>
            <w:tcW w:w="1042" w:type="dxa"/>
            <w:tcBorders>
              <w:left w:val="nil"/>
              <w:bottom w:val="nil"/>
              <w:right w:val="nil"/>
            </w:tcBorders>
            <w:vAlign w:val="center"/>
          </w:tcPr>
          <w:p w14:paraId="702F672F"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Mode</w:t>
            </w:r>
          </w:p>
        </w:tc>
        <w:tc>
          <w:tcPr>
            <w:tcW w:w="1065" w:type="dxa"/>
            <w:tcBorders>
              <w:left w:val="nil"/>
              <w:bottom w:val="nil"/>
              <w:right w:val="nil"/>
            </w:tcBorders>
            <w:vAlign w:val="center"/>
          </w:tcPr>
          <w:p w14:paraId="6596620B"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i/>
                <w:sz w:val="20"/>
                <w:szCs w:val="20"/>
                <w:lang w:val="en-GB"/>
              </w:rPr>
            </w:pPr>
            <w:r w:rsidRPr="009B7299">
              <w:rPr>
                <w:rFonts w:asciiTheme="minorHAnsi" w:eastAsiaTheme="minorEastAsia" w:hAnsiTheme="minorHAnsi" w:cstheme="minorHAnsi"/>
                <w:i/>
                <w:sz w:val="20"/>
                <w:szCs w:val="20"/>
                <w:lang w:val="en-GB"/>
              </w:rPr>
              <w:t>s</w:t>
            </w:r>
          </w:p>
        </w:tc>
        <w:tc>
          <w:tcPr>
            <w:tcW w:w="5453" w:type="dxa"/>
            <w:gridSpan w:val="5"/>
            <w:tcBorders>
              <w:left w:val="nil"/>
              <w:bottom w:val="single" w:sz="4" w:space="0" w:color="auto"/>
              <w:right w:val="nil"/>
            </w:tcBorders>
            <w:vAlign w:val="center"/>
          </w:tcPr>
          <w:p w14:paraId="553C3675"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 xml:space="preserve">β </w:t>
            </w:r>
            <w:r w:rsidRPr="009B7299">
              <w:rPr>
                <w:rFonts w:asciiTheme="minorHAnsi" w:eastAsiaTheme="minorEastAsia" w:hAnsiTheme="minorHAnsi" w:cstheme="minorHAnsi"/>
                <w:noProof/>
                <w:sz w:val="20"/>
                <w:szCs w:val="20"/>
                <w:lang w:val="en-GB"/>
              </w:rPr>
              <w:t>body-centric</w:t>
            </w:r>
          </w:p>
        </w:tc>
      </w:tr>
      <w:tr w:rsidR="00B145BE" w:rsidRPr="009B7299" w14:paraId="7669AC40" w14:textId="77777777" w:rsidTr="00B145BE">
        <w:trPr>
          <w:trHeight w:hRule="exact" w:val="425"/>
          <w:jc w:val="center"/>
        </w:trPr>
        <w:tc>
          <w:tcPr>
            <w:tcW w:w="1042" w:type="dxa"/>
            <w:tcBorders>
              <w:top w:val="nil"/>
              <w:left w:val="nil"/>
              <w:bottom w:val="single" w:sz="4" w:space="0" w:color="auto"/>
              <w:right w:val="nil"/>
            </w:tcBorders>
            <w:vAlign w:val="center"/>
          </w:tcPr>
          <w:p w14:paraId="22D3D622"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p>
        </w:tc>
        <w:tc>
          <w:tcPr>
            <w:tcW w:w="1065" w:type="dxa"/>
            <w:tcBorders>
              <w:top w:val="nil"/>
              <w:left w:val="nil"/>
              <w:bottom w:val="single" w:sz="4" w:space="0" w:color="auto"/>
              <w:right w:val="nil"/>
            </w:tcBorders>
            <w:vAlign w:val="center"/>
          </w:tcPr>
          <w:p w14:paraId="33CA9A3D"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p>
        </w:tc>
        <w:tc>
          <w:tcPr>
            <w:tcW w:w="1237" w:type="dxa"/>
            <w:tcBorders>
              <w:left w:val="nil"/>
              <w:bottom w:val="single" w:sz="4" w:space="0" w:color="auto"/>
              <w:right w:val="nil"/>
            </w:tcBorders>
            <w:vAlign w:val="center"/>
          </w:tcPr>
          <w:p w14:paraId="7E8BF65D" w14:textId="77777777" w:rsidR="00B145BE" w:rsidRPr="009B7299" w:rsidRDefault="00077961" w:rsidP="00B145BE">
            <w:pPr>
              <w:pStyle w:val="af4"/>
              <w:spacing w:before="0" w:beforeAutospacing="0" w:after="60" w:afterAutospacing="0" w:line="360" w:lineRule="auto"/>
              <w:jc w:val="center"/>
              <w:rPr>
                <w:rFonts w:asciiTheme="minorHAnsi" w:eastAsiaTheme="minorEastAsia" w:hAnsiTheme="minorHAnsi" w:cstheme="minorHAnsi"/>
                <w:sz w:val="20"/>
                <w:szCs w:val="20"/>
                <w:vertAlign w:val="subscript"/>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K</m:t>
                    </m:r>
                  </m:e>
                  <m:sub>
                    <m:r>
                      <w:rPr>
                        <w:rFonts w:ascii="Cambria Math" w:eastAsiaTheme="minorEastAsia" w:hAnsi="Cambria Math" w:cstheme="minorHAnsi"/>
                        <w:sz w:val="20"/>
                        <w:szCs w:val="20"/>
                        <w:lang w:val="en-GB"/>
                      </w:rPr>
                      <m:t>1/SA</m:t>
                    </m:r>
                  </m:sub>
                </m:sSub>
              </m:oMath>
            </m:oMathPara>
          </w:p>
        </w:tc>
        <w:tc>
          <w:tcPr>
            <w:tcW w:w="1068" w:type="dxa"/>
            <w:tcBorders>
              <w:left w:val="nil"/>
              <w:bottom w:val="single" w:sz="4" w:space="0" w:color="auto"/>
              <w:right w:val="nil"/>
            </w:tcBorders>
            <w:vAlign w:val="center"/>
          </w:tcPr>
          <w:p w14:paraId="5A7756AE" w14:textId="77777777" w:rsidR="00B145BE" w:rsidRPr="009B7299" w:rsidRDefault="00077961"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K</m:t>
                    </m:r>
                  </m:e>
                  <m:sub>
                    <m:r>
                      <w:rPr>
                        <w:rFonts w:ascii="Cambria Math" w:eastAsiaTheme="minorEastAsia" w:hAnsi="Cambria Math" w:cstheme="minorHAnsi"/>
                        <w:sz w:val="20"/>
                        <w:szCs w:val="20"/>
                        <w:lang w:val="en-GB"/>
                      </w:rPr>
                      <m:t>2</m:t>
                    </m:r>
                  </m:sub>
                </m:sSub>
              </m:oMath>
            </m:oMathPara>
          </w:p>
        </w:tc>
        <w:tc>
          <w:tcPr>
            <w:tcW w:w="1020" w:type="dxa"/>
            <w:tcBorders>
              <w:left w:val="nil"/>
              <w:bottom w:val="single" w:sz="4" w:space="0" w:color="auto"/>
              <w:right w:val="nil"/>
            </w:tcBorders>
            <w:vAlign w:val="center"/>
          </w:tcPr>
          <w:p w14:paraId="2F4525A8" w14:textId="77777777" w:rsidR="00B145BE" w:rsidRPr="009B7299" w:rsidRDefault="00077961" w:rsidP="00B145BE">
            <w:pPr>
              <w:pStyle w:val="af4"/>
              <w:spacing w:before="0" w:beforeAutospacing="0" w:after="60" w:afterAutospacing="0" w:line="360" w:lineRule="auto"/>
              <w:jc w:val="center"/>
              <w:rPr>
                <w:rFonts w:asciiTheme="minorHAnsi" w:eastAsiaTheme="minorEastAsia" w:hAnsiTheme="minorHAnsi" w:cstheme="minorHAnsi"/>
                <w:sz w:val="20"/>
                <w:szCs w:val="20"/>
                <w:vertAlign w:val="subscript"/>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η</m:t>
                    </m:r>
                  </m:e>
                  <m:sub>
                    <m:r>
                      <w:rPr>
                        <w:rFonts w:ascii="Cambria Math" w:eastAsiaTheme="minorEastAsia" w:hAnsi="Cambria Math" w:cstheme="minorHAnsi"/>
                        <w:sz w:val="20"/>
                        <w:szCs w:val="20"/>
                        <w:lang w:val="en-GB"/>
                      </w:rPr>
                      <m:t>1</m:t>
                    </m:r>
                  </m:sub>
                </m:sSub>
              </m:oMath>
            </m:oMathPara>
          </w:p>
        </w:tc>
        <w:tc>
          <w:tcPr>
            <w:tcW w:w="960" w:type="dxa"/>
            <w:tcBorders>
              <w:left w:val="nil"/>
              <w:bottom w:val="single" w:sz="4" w:space="0" w:color="auto"/>
              <w:right w:val="nil"/>
            </w:tcBorders>
            <w:vAlign w:val="center"/>
          </w:tcPr>
          <w:p w14:paraId="0AC26CB6" w14:textId="77777777" w:rsidR="00B145BE" w:rsidRPr="009B7299" w:rsidRDefault="00077961"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η</m:t>
                    </m:r>
                  </m:e>
                  <m:sub>
                    <m:r>
                      <w:rPr>
                        <w:rFonts w:ascii="Cambria Math" w:eastAsiaTheme="minorEastAsia" w:hAnsi="Cambria Math" w:cstheme="minorHAnsi"/>
                        <w:sz w:val="20"/>
                        <w:szCs w:val="20"/>
                        <w:lang w:val="en-GB"/>
                      </w:rPr>
                      <m:t>2</m:t>
                    </m:r>
                  </m:sub>
                </m:sSub>
              </m:oMath>
            </m:oMathPara>
          </w:p>
        </w:tc>
        <w:tc>
          <w:tcPr>
            <w:tcW w:w="1168" w:type="dxa"/>
            <w:tcBorders>
              <w:left w:val="nil"/>
              <w:bottom w:val="single" w:sz="4" w:space="0" w:color="auto"/>
              <w:right w:val="nil"/>
            </w:tcBorders>
            <w:vAlign w:val="center"/>
          </w:tcPr>
          <w:p w14:paraId="5FD12AF4" w14:textId="77777777" w:rsidR="00B145BE" w:rsidRPr="009B7299" w:rsidRDefault="00077961"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η</m:t>
                    </m:r>
                  </m:e>
                  <m:sub>
                    <m:r>
                      <w:rPr>
                        <w:rFonts w:ascii="Cambria Math" w:eastAsiaTheme="minorEastAsia" w:hAnsi="Cambria Math" w:cstheme="minorHAnsi"/>
                        <w:sz w:val="20"/>
                        <w:szCs w:val="20"/>
                        <w:lang w:val="en-GB"/>
                      </w:rPr>
                      <m:t>SA</m:t>
                    </m:r>
                  </m:sub>
                </m:sSub>
              </m:oMath>
            </m:oMathPara>
          </w:p>
        </w:tc>
      </w:tr>
      <w:tr w:rsidR="00B145BE" w:rsidRPr="009B7299" w14:paraId="1FF0FBB6" w14:textId="77777777" w:rsidTr="00B145BE">
        <w:trPr>
          <w:trHeight w:hRule="exact" w:val="288"/>
          <w:jc w:val="center"/>
        </w:trPr>
        <w:tc>
          <w:tcPr>
            <w:tcW w:w="1042" w:type="dxa"/>
            <w:tcBorders>
              <w:left w:val="nil"/>
              <w:bottom w:val="nil"/>
              <w:right w:val="nil"/>
            </w:tcBorders>
            <w:vAlign w:val="center"/>
          </w:tcPr>
          <w:p w14:paraId="4F021CBE"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w:t>
            </w:r>
          </w:p>
        </w:tc>
        <w:tc>
          <w:tcPr>
            <w:tcW w:w="1065" w:type="dxa"/>
            <w:tcBorders>
              <w:left w:val="nil"/>
              <w:bottom w:val="nil"/>
              <w:right w:val="nil"/>
            </w:tcBorders>
            <w:vAlign w:val="center"/>
          </w:tcPr>
          <w:p w14:paraId="1F158ADA"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0.3536</w:t>
            </w:r>
          </w:p>
        </w:tc>
        <w:tc>
          <w:tcPr>
            <w:tcW w:w="1237" w:type="dxa"/>
            <w:tcBorders>
              <w:left w:val="nil"/>
              <w:bottom w:val="nil"/>
              <w:right w:val="nil"/>
            </w:tcBorders>
            <w:vAlign w:val="center"/>
          </w:tcPr>
          <w:p w14:paraId="187CA145"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{1,2,1}</w:t>
            </w:r>
          </w:p>
        </w:tc>
        <w:tc>
          <w:tcPr>
            <w:tcW w:w="1068" w:type="dxa"/>
            <w:tcBorders>
              <w:left w:val="nil"/>
              <w:bottom w:val="nil"/>
              <w:right w:val="nil"/>
            </w:tcBorders>
            <w:vAlign w:val="center"/>
          </w:tcPr>
          <w:p w14:paraId="00437FE7"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{3,-2,3}</w:t>
            </w:r>
          </w:p>
        </w:tc>
        <w:tc>
          <w:tcPr>
            <w:tcW w:w="1020" w:type="dxa"/>
            <w:tcBorders>
              <w:left w:val="nil"/>
              <w:bottom w:val="nil"/>
              <w:right w:val="nil"/>
            </w:tcBorders>
            <w:vAlign w:val="center"/>
          </w:tcPr>
          <w:p w14:paraId="388E7E5C"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&lt;1-11&gt;</w:t>
            </w:r>
          </w:p>
        </w:tc>
        <w:tc>
          <w:tcPr>
            <w:tcW w:w="960" w:type="dxa"/>
            <w:tcBorders>
              <w:left w:val="nil"/>
              <w:bottom w:val="nil"/>
              <w:right w:val="nil"/>
            </w:tcBorders>
            <w:vAlign w:val="center"/>
          </w:tcPr>
          <w:p w14:paraId="4D92672A"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 3 1&gt;</w:t>
            </w:r>
          </w:p>
        </w:tc>
        <w:tc>
          <w:tcPr>
            <w:tcW w:w="1168" w:type="dxa"/>
            <w:tcBorders>
              <w:left w:val="nil"/>
              <w:bottom w:val="nil"/>
              <w:right w:val="nil"/>
            </w:tcBorders>
            <w:vAlign w:val="center"/>
          </w:tcPr>
          <w:p w14:paraId="048C9306"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 0 -1&gt;</w:t>
            </w:r>
          </w:p>
        </w:tc>
      </w:tr>
      <w:tr w:rsidR="00B145BE" w:rsidRPr="009B7299" w14:paraId="7004F254" w14:textId="77777777" w:rsidTr="00B145BE">
        <w:trPr>
          <w:trHeight w:hRule="exact" w:val="288"/>
          <w:jc w:val="center"/>
        </w:trPr>
        <w:tc>
          <w:tcPr>
            <w:tcW w:w="1042" w:type="dxa"/>
            <w:tcBorders>
              <w:top w:val="nil"/>
              <w:left w:val="nil"/>
              <w:bottom w:val="nil"/>
              <w:right w:val="nil"/>
            </w:tcBorders>
            <w:vAlign w:val="center"/>
          </w:tcPr>
          <w:p w14:paraId="7AF5473C"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II</w:t>
            </w:r>
          </w:p>
        </w:tc>
        <w:tc>
          <w:tcPr>
            <w:tcW w:w="1065" w:type="dxa"/>
            <w:tcBorders>
              <w:top w:val="nil"/>
              <w:left w:val="nil"/>
              <w:bottom w:val="nil"/>
              <w:right w:val="nil"/>
            </w:tcBorders>
            <w:vAlign w:val="center"/>
          </w:tcPr>
          <w:p w14:paraId="2EBACBFF"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0.3536</w:t>
            </w:r>
          </w:p>
        </w:tc>
        <w:tc>
          <w:tcPr>
            <w:tcW w:w="1237" w:type="dxa"/>
            <w:tcBorders>
              <w:top w:val="nil"/>
              <w:left w:val="nil"/>
              <w:bottom w:val="nil"/>
              <w:right w:val="nil"/>
            </w:tcBorders>
            <w:vAlign w:val="center"/>
          </w:tcPr>
          <w:p w14:paraId="4F30D193"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{3,2,3}</w:t>
            </w:r>
          </w:p>
        </w:tc>
        <w:tc>
          <w:tcPr>
            <w:tcW w:w="1068" w:type="dxa"/>
            <w:tcBorders>
              <w:top w:val="nil"/>
              <w:left w:val="nil"/>
              <w:bottom w:val="nil"/>
              <w:right w:val="nil"/>
            </w:tcBorders>
            <w:vAlign w:val="center"/>
          </w:tcPr>
          <w:p w14:paraId="1EE4C960"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{1,-2,1}</w:t>
            </w:r>
          </w:p>
        </w:tc>
        <w:tc>
          <w:tcPr>
            <w:tcW w:w="1020" w:type="dxa"/>
            <w:tcBorders>
              <w:top w:val="nil"/>
              <w:left w:val="nil"/>
              <w:bottom w:val="nil"/>
              <w:right w:val="nil"/>
            </w:tcBorders>
            <w:vAlign w:val="center"/>
          </w:tcPr>
          <w:p w14:paraId="4A0E1A9A"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&lt;1-31&gt;</w:t>
            </w:r>
          </w:p>
        </w:tc>
        <w:tc>
          <w:tcPr>
            <w:tcW w:w="960" w:type="dxa"/>
            <w:tcBorders>
              <w:top w:val="nil"/>
              <w:left w:val="nil"/>
              <w:bottom w:val="nil"/>
              <w:right w:val="nil"/>
            </w:tcBorders>
            <w:vAlign w:val="center"/>
          </w:tcPr>
          <w:p w14:paraId="1A1F5EAA"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 1 1&gt;</w:t>
            </w:r>
          </w:p>
        </w:tc>
        <w:tc>
          <w:tcPr>
            <w:tcW w:w="1168" w:type="dxa"/>
            <w:tcBorders>
              <w:top w:val="nil"/>
              <w:left w:val="nil"/>
              <w:bottom w:val="nil"/>
              <w:right w:val="nil"/>
            </w:tcBorders>
            <w:vAlign w:val="center"/>
          </w:tcPr>
          <w:p w14:paraId="407F55A2"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 0 -1&gt;</w:t>
            </w:r>
          </w:p>
        </w:tc>
      </w:tr>
      <w:tr w:rsidR="00B145BE" w:rsidRPr="009B7299" w14:paraId="1C24388C" w14:textId="77777777" w:rsidTr="00B145BE">
        <w:trPr>
          <w:trHeight w:hRule="exact" w:val="288"/>
          <w:jc w:val="center"/>
        </w:trPr>
        <w:tc>
          <w:tcPr>
            <w:tcW w:w="1042" w:type="dxa"/>
            <w:tcBorders>
              <w:top w:val="nil"/>
              <w:left w:val="nil"/>
              <w:bottom w:val="nil"/>
              <w:right w:val="nil"/>
            </w:tcBorders>
            <w:vAlign w:val="center"/>
          </w:tcPr>
          <w:p w14:paraId="08D16F7D"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III</w:t>
            </w:r>
          </w:p>
        </w:tc>
        <w:tc>
          <w:tcPr>
            <w:tcW w:w="1065" w:type="dxa"/>
            <w:tcBorders>
              <w:top w:val="nil"/>
              <w:left w:val="nil"/>
              <w:bottom w:val="nil"/>
              <w:right w:val="nil"/>
            </w:tcBorders>
            <w:vAlign w:val="center"/>
          </w:tcPr>
          <w:p w14:paraId="65AEC255"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0.6124</w:t>
            </w:r>
          </w:p>
        </w:tc>
        <w:tc>
          <w:tcPr>
            <w:tcW w:w="1237" w:type="dxa"/>
            <w:tcBorders>
              <w:top w:val="nil"/>
              <w:left w:val="nil"/>
              <w:bottom w:val="nil"/>
              <w:right w:val="nil"/>
            </w:tcBorders>
            <w:vAlign w:val="center"/>
          </w:tcPr>
          <w:p w14:paraId="7C62325B"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{1,0,1}</w:t>
            </w:r>
          </w:p>
        </w:tc>
        <w:tc>
          <w:tcPr>
            <w:tcW w:w="1068" w:type="dxa"/>
            <w:tcBorders>
              <w:top w:val="nil"/>
              <w:left w:val="nil"/>
              <w:bottom w:val="nil"/>
              <w:right w:val="nil"/>
            </w:tcBorders>
            <w:vAlign w:val="center"/>
          </w:tcPr>
          <w:p w14:paraId="5E32DA72"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{-5,8,11}</w:t>
            </w:r>
          </w:p>
        </w:tc>
        <w:tc>
          <w:tcPr>
            <w:tcW w:w="1020" w:type="dxa"/>
            <w:tcBorders>
              <w:top w:val="nil"/>
              <w:left w:val="nil"/>
              <w:bottom w:val="nil"/>
              <w:right w:val="nil"/>
            </w:tcBorders>
            <w:vAlign w:val="center"/>
          </w:tcPr>
          <w:p w14:paraId="5FF33E53"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&lt;-101&gt;</w:t>
            </w:r>
          </w:p>
        </w:tc>
        <w:tc>
          <w:tcPr>
            <w:tcW w:w="960" w:type="dxa"/>
            <w:tcBorders>
              <w:top w:val="nil"/>
              <w:left w:val="nil"/>
              <w:bottom w:val="nil"/>
              <w:right w:val="nil"/>
            </w:tcBorders>
            <w:vAlign w:val="center"/>
          </w:tcPr>
          <w:p w14:paraId="11AADA1C"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&lt;5 -1 3&gt;</w:t>
            </w:r>
          </w:p>
        </w:tc>
        <w:tc>
          <w:tcPr>
            <w:tcW w:w="1168" w:type="dxa"/>
            <w:tcBorders>
              <w:top w:val="nil"/>
              <w:left w:val="nil"/>
              <w:bottom w:val="nil"/>
              <w:right w:val="nil"/>
            </w:tcBorders>
            <w:vAlign w:val="center"/>
          </w:tcPr>
          <w:p w14:paraId="627E237C"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 0 -1&gt;</w:t>
            </w:r>
          </w:p>
        </w:tc>
      </w:tr>
      <w:tr w:rsidR="00B145BE" w:rsidRPr="009B7299" w14:paraId="7C04A3D8" w14:textId="77777777" w:rsidTr="00B145BE">
        <w:trPr>
          <w:trHeight w:hRule="exact" w:val="288"/>
          <w:jc w:val="center"/>
        </w:trPr>
        <w:tc>
          <w:tcPr>
            <w:tcW w:w="1042" w:type="dxa"/>
            <w:tcBorders>
              <w:top w:val="nil"/>
              <w:left w:val="nil"/>
              <w:bottom w:val="nil"/>
              <w:right w:val="nil"/>
            </w:tcBorders>
            <w:vAlign w:val="center"/>
          </w:tcPr>
          <w:p w14:paraId="349A06F0"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IV</w:t>
            </w:r>
          </w:p>
        </w:tc>
        <w:tc>
          <w:tcPr>
            <w:tcW w:w="1065" w:type="dxa"/>
            <w:tcBorders>
              <w:top w:val="nil"/>
              <w:left w:val="nil"/>
              <w:bottom w:val="nil"/>
              <w:right w:val="nil"/>
            </w:tcBorders>
            <w:vAlign w:val="center"/>
          </w:tcPr>
          <w:p w14:paraId="1408E1E2"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0.7071</w:t>
            </w:r>
          </w:p>
        </w:tc>
        <w:tc>
          <w:tcPr>
            <w:tcW w:w="1237" w:type="dxa"/>
            <w:tcBorders>
              <w:top w:val="nil"/>
              <w:left w:val="nil"/>
              <w:bottom w:val="nil"/>
              <w:right w:val="nil"/>
            </w:tcBorders>
            <w:vAlign w:val="center"/>
          </w:tcPr>
          <w:p w14:paraId="33CE5386"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{1,1,2}</w:t>
            </w:r>
          </w:p>
        </w:tc>
        <w:tc>
          <w:tcPr>
            <w:tcW w:w="1068" w:type="dxa"/>
            <w:tcBorders>
              <w:top w:val="nil"/>
              <w:left w:val="nil"/>
              <w:bottom w:val="nil"/>
              <w:right w:val="nil"/>
            </w:tcBorders>
            <w:vAlign w:val="center"/>
          </w:tcPr>
          <w:p w14:paraId="0D670CE8"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{-1,-1,2}</w:t>
            </w:r>
          </w:p>
        </w:tc>
        <w:tc>
          <w:tcPr>
            <w:tcW w:w="1020" w:type="dxa"/>
            <w:tcBorders>
              <w:top w:val="nil"/>
              <w:left w:val="nil"/>
              <w:bottom w:val="nil"/>
              <w:right w:val="nil"/>
            </w:tcBorders>
            <w:vAlign w:val="center"/>
          </w:tcPr>
          <w:p w14:paraId="4566CFDC"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&lt;11-1&gt;</w:t>
            </w:r>
          </w:p>
        </w:tc>
        <w:tc>
          <w:tcPr>
            <w:tcW w:w="960" w:type="dxa"/>
            <w:tcBorders>
              <w:top w:val="nil"/>
              <w:left w:val="nil"/>
              <w:bottom w:val="nil"/>
              <w:right w:val="nil"/>
            </w:tcBorders>
            <w:vAlign w:val="center"/>
          </w:tcPr>
          <w:p w14:paraId="144111E0"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 1 1&gt;</w:t>
            </w:r>
          </w:p>
        </w:tc>
        <w:tc>
          <w:tcPr>
            <w:tcW w:w="1168" w:type="dxa"/>
            <w:tcBorders>
              <w:top w:val="nil"/>
              <w:left w:val="nil"/>
              <w:bottom w:val="nil"/>
              <w:right w:val="nil"/>
            </w:tcBorders>
            <w:vAlign w:val="center"/>
          </w:tcPr>
          <w:p w14:paraId="1F5787E2"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&lt;1 -1 0&gt;</w:t>
            </w:r>
          </w:p>
        </w:tc>
      </w:tr>
      <w:tr w:rsidR="00B145BE" w:rsidRPr="009B7299" w14:paraId="62CA071F" w14:textId="77777777" w:rsidTr="00B145BE">
        <w:trPr>
          <w:trHeight w:hRule="exact" w:val="395"/>
          <w:jc w:val="center"/>
        </w:trPr>
        <w:tc>
          <w:tcPr>
            <w:tcW w:w="1042" w:type="dxa"/>
            <w:tcBorders>
              <w:top w:val="nil"/>
              <w:left w:val="nil"/>
              <w:right w:val="nil"/>
            </w:tcBorders>
            <w:vAlign w:val="center"/>
          </w:tcPr>
          <w:p w14:paraId="590E7EE4"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V</w:t>
            </w:r>
          </w:p>
        </w:tc>
        <w:tc>
          <w:tcPr>
            <w:tcW w:w="1065" w:type="dxa"/>
            <w:tcBorders>
              <w:top w:val="nil"/>
              <w:left w:val="nil"/>
              <w:right w:val="nil"/>
            </w:tcBorders>
            <w:vAlign w:val="center"/>
          </w:tcPr>
          <w:p w14:paraId="1C26E08C"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0.7071</w:t>
            </w:r>
          </w:p>
        </w:tc>
        <w:tc>
          <w:tcPr>
            <w:tcW w:w="1237" w:type="dxa"/>
            <w:tcBorders>
              <w:top w:val="nil"/>
              <w:left w:val="nil"/>
              <w:right w:val="nil"/>
            </w:tcBorders>
            <w:vAlign w:val="center"/>
          </w:tcPr>
          <w:p w14:paraId="1A812E08"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{1,1,2}</w:t>
            </w:r>
          </w:p>
        </w:tc>
        <w:tc>
          <w:tcPr>
            <w:tcW w:w="1068" w:type="dxa"/>
            <w:tcBorders>
              <w:top w:val="nil"/>
              <w:left w:val="nil"/>
              <w:right w:val="nil"/>
            </w:tcBorders>
            <w:vAlign w:val="center"/>
          </w:tcPr>
          <w:p w14:paraId="68CFB435"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{-1,-1,2}</w:t>
            </w:r>
          </w:p>
        </w:tc>
        <w:tc>
          <w:tcPr>
            <w:tcW w:w="1020" w:type="dxa"/>
            <w:tcBorders>
              <w:top w:val="nil"/>
              <w:left w:val="nil"/>
              <w:right w:val="nil"/>
            </w:tcBorders>
            <w:vAlign w:val="center"/>
          </w:tcPr>
          <w:p w14:paraId="03414427"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&lt;11-1&gt;</w:t>
            </w:r>
          </w:p>
        </w:tc>
        <w:tc>
          <w:tcPr>
            <w:tcW w:w="960" w:type="dxa"/>
            <w:tcBorders>
              <w:top w:val="nil"/>
              <w:left w:val="nil"/>
              <w:right w:val="nil"/>
            </w:tcBorders>
            <w:vAlign w:val="center"/>
          </w:tcPr>
          <w:p w14:paraId="79E0390C" w14:textId="77777777" w:rsidR="00B145BE" w:rsidRPr="009B7299" w:rsidRDefault="00B145BE" w:rsidP="00B145BE">
            <w:pPr>
              <w:pStyle w:val="af4"/>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 1 1&gt;</w:t>
            </w:r>
          </w:p>
        </w:tc>
        <w:tc>
          <w:tcPr>
            <w:tcW w:w="1168" w:type="dxa"/>
            <w:tcBorders>
              <w:top w:val="nil"/>
              <w:left w:val="nil"/>
              <w:right w:val="nil"/>
            </w:tcBorders>
            <w:vAlign w:val="center"/>
          </w:tcPr>
          <w:p w14:paraId="29F979FF" w14:textId="77777777" w:rsidR="00B145BE" w:rsidRPr="009B7299" w:rsidRDefault="00B145BE" w:rsidP="00B145BE">
            <w:pPr>
              <w:pStyle w:val="af4"/>
              <w:keepNext/>
              <w:spacing w:before="0" w:beforeAutospacing="0" w:after="60" w:afterAutospacing="0" w:line="360" w:lineRule="auto"/>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&lt;1 -1 0&gt;</w:t>
            </w:r>
          </w:p>
        </w:tc>
      </w:tr>
    </w:tbl>
    <w:p w14:paraId="7B802825" w14:textId="7D166B1C" w:rsidR="00B145BE" w:rsidRPr="006E5260" w:rsidRDefault="00B145BE" w:rsidP="00B145BE">
      <w:pPr>
        <w:spacing w:before="120" w:after="60" w:line="360" w:lineRule="auto"/>
        <w:jc w:val="both"/>
        <w:rPr>
          <w:rFonts w:cstheme="minorHAnsi"/>
        </w:rPr>
      </w:pPr>
      <w:r w:rsidRPr="006E5260">
        <w:rPr>
          <w:rFonts w:cstheme="minorHAnsi"/>
          <w:noProof/>
        </w:rPr>
        <w:t>Mode III represents type I {111}</w:t>
      </w:r>
      <w:r w:rsidRPr="006E5260">
        <w:rPr>
          <w:rFonts w:cstheme="minorHAnsi"/>
          <w:vertAlign w:val="subscript"/>
        </w:rPr>
        <w:t>α’’</w:t>
      </w:r>
      <w:r w:rsidRPr="006E5260">
        <w:rPr>
          <w:rFonts w:cstheme="minorHAnsi"/>
        </w:rPr>
        <w:t xml:space="preserve"> SA twin</w:t>
      </w:r>
      <w:r w:rsidR="0092554D">
        <w:rPr>
          <w:rFonts w:cstheme="minorHAnsi"/>
        </w:rPr>
        <w:t>ning</w:t>
      </w:r>
      <w:r w:rsidRPr="006E5260">
        <w:rPr>
          <w:rFonts w:cstheme="minorHAnsi"/>
        </w:rPr>
        <w:t xml:space="preserve"> while </w:t>
      </w:r>
      <w:r w:rsidR="0092554D">
        <w:rPr>
          <w:rFonts w:cstheme="minorHAnsi"/>
        </w:rPr>
        <w:t xml:space="preserve">the </w:t>
      </w:r>
      <w:r w:rsidRPr="006E5260">
        <w:rPr>
          <w:rFonts w:cstheme="minorHAnsi"/>
        </w:rPr>
        <w:t xml:space="preserve">rest of </w:t>
      </w:r>
      <w:r>
        <w:rPr>
          <w:rFonts w:cstheme="minorHAnsi"/>
        </w:rPr>
        <w:t xml:space="preserve">the </w:t>
      </w:r>
      <w:r w:rsidRPr="006E5260">
        <w:rPr>
          <w:rFonts w:cstheme="minorHAnsi"/>
        </w:rPr>
        <w:t>twin</w:t>
      </w:r>
      <w:r w:rsidR="0092554D">
        <w:rPr>
          <w:rFonts w:cstheme="minorHAnsi"/>
        </w:rPr>
        <w:t>ning</w:t>
      </w:r>
      <w:r w:rsidRPr="006E5260">
        <w:rPr>
          <w:rFonts w:cstheme="minorHAnsi"/>
        </w:rPr>
        <w:t xml:space="preserve"> modes indicate possible solutions for type II &lt;-211&gt;</w:t>
      </w:r>
      <w:r w:rsidRPr="006E5260">
        <w:rPr>
          <w:rFonts w:cstheme="minorHAnsi"/>
          <w:vertAlign w:val="subscript"/>
        </w:rPr>
        <w:t xml:space="preserve"> α’’</w:t>
      </w:r>
      <w:r w:rsidRPr="006E5260">
        <w:rPr>
          <w:rFonts w:cstheme="minorHAnsi"/>
        </w:rPr>
        <w:t xml:space="preserve"> SA twin</w:t>
      </w:r>
      <w:r w:rsidR="0092554D">
        <w:rPr>
          <w:rFonts w:cstheme="minorHAnsi"/>
        </w:rPr>
        <w:t>ning</w:t>
      </w:r>
      <w:r w:rsidRPr="006E5260">
        <w:rPr>
          <w:rFonts w:cstheme="minorHAnsi"/>
        </w:rPr>
        <w:t>. The existence of mode II</w:t>
      </w:r>
      <w:r w:rsidR="0092554D">
        <w:rPr>
          <w:rFonts w:cstheme="minorHAnsi"/>
        </w:rPr>
        <w:t>,</w:t>
      </w:r>
      <w:r w:rsidRPr="006E5260">
        <w:rPr>
          <w:rFonts w:cstheme="minorHAnsi"/>
        </w:rPr>
        <w:t xml:space="preserve"> which </w:t>
      </w:r>
      <w:r w:rsidRPr="006E5260">
        <w:rPr>
          <w:rFonts w:cstheme="minorHAnsi"/>
          <w:noProof/>
        </w:rPr>
        <w:t>utilise</w:t>
      </w:r>
      <w:r>
        <w:rPr>
          <w:rFonts w:cstheme="minorHAnsi"/>
          <w:noProof/>
        </w:rPr>
        <w:t>s</w:t>
      </w:r>
      <w:r w:rsidRPr="006E5260">
        <w:rPr>
          <w:rFonts w:cstheme="minorHAnsi"/>
        </w:rPr>
        <w:t xml:space="preserve"> {351}</w:t>
      </w:r>
      <w:r w:rsidRPr="006E5260">
        <w:rPr>
          <w:rFonts w:cstheme="minorHAnsi"/>
          <w:vertAlign w:val="subscript"/>
        </w:rPr>
        <w:t>α’’</w:t>
      </w:r>
      <w:r w:rsidRPr="006E5260">
        <w:rPr>
          <w:rFonts w:cstheme="minorHAnsi"/>
        </w:rPr>
        <w:t xml:space="preserve"> plane as an </w:t>
      </w:r>
      <w:r w:rsidRPr="006E5260">
        <w:rPr>
          <w:rFonts w:cstheme="minorHAnsi"/>
          <w:noProof/>
        </w:rPr>
        <w:t>invariant lattice</w:t>
      </w:r>
      <w:r w:rsidRPr="006E5260">
        <w:rPr>
          <w:rFonts w:cstheme="minorHAnsi"/>
        </w:rPr>
        <w:t xml:space="preserve"> plane</w:t>
      </w:r>
      <w:r w:rsidR="0092554D">
        <w:rPr>
          <w:rFonts w:cstheme="minorHAnsi"/>
        </w:rPr>
        <w:t>,</w:t>
      </w:r>
      <w:r w:rsidRPr="006E5260">
        <w:rPr>
          <w:rFonts w:cstheme="minorHAnsi"/>
        </w:rPr>
        <w:t xml:space="preserve"> </w:t>
      </w:r>
      <w:r w:rsidRPr="006E5260">
        <w:rPr>
          <w:rFonts w:cstheme="minorHAnsi"/>
          <w:noProof/>
        </w:rPr>
        <w:t xml:space="preserve">was experimentally </w:t>
      </w:r>
      <w:r>
        <w:rPr>
          <w:rFonts w:cstheme="minorHAnsi"/>
          <w:noProof/>
        </w:rPr>
        <w:t>determined</w:t>
      </w:r>
      <w:r w:rsidRPr="006E5260">
        <w:rPr>
          <w:rFonts w:cstheme="minorHAnsi"/>
        </w:rPr>
        <w:t xml:space="preserve"> in </w:t>
      </w:r>
      <w:r>
        <w:rPr>
          <w:rFonts w:cstheme="minorHAnsi"/>
        </w:rPr>
        <w:t>Fig. 5-12 in C</w:t>
      </w:r>
      <w:r w:rsidRPr="006E5260">
        <w:rPr>
          <w:rFonts w:cstheme="minorHAnsi"/>
        </w:rPr>
        <w:t xml:space="preserve">hapter 5. </w:t>
      </w:r>
      <w:r>
        <w:rPr>
          <w:rFonts w:cstheme="minorHAnsi"/>
        </w:rPr>
        <w:t>O</w:t>
      </w:r>
      <w:r w:rsidRPr="006E5260">
        <w:rPr>
          <w:rFonts w:cstheme="minorHAnsi"/>
        </w:rPr>
        <w:t>bservation</w:t>
      </w:r>
      <w:r>
        <w:rPr>
          <w:rFonts w:cstheme="minorHAnsi"/>
        </w:rPr>
        <w:t>s</w:t>
      </w:r>
      <w:r w:rsidRPr="006E5260">
        <w:rPr>
          <w:rFonts w:cstheme="minorHAnsi"/>
        </w:rPr>
        <w:t xml:space="preserve"> of mode IV</w:t>
      </w:r>
      <w:r w:rsidR="0092554D">
        <w:rPr>
          <w:rFonts w:cstheme="minorHAnsi"/>
        </w:rPr>
        <w:t>,</w:t>
      </w:r>
      <w:r w:rsidRPr="006E5260">
        <w:rPr>
          <w:rFonts w:cstheme="minorHAnsi"/>
        </w:rPr>
        <w:t xml:space="preserve"> which </w:t>
      </w:r>
      <w:r w:rsidRPr="006E5260">
        <w:rPr>
          <w:rFonts w:cstheme="minorHAnsi"/>
          <w:noProof/>
        </w:rPr>
        <w:t>utili</w:t>
      </w:r>
      <w:r>
        <w:rPr>
          <w:rFonts w:cstheme="minorHAnsi"/>
          <w:noProof/>
        </w:rPr>
        <w:t>s</w:t>
      </w:r>
      <w:r w:rsidRPr="006E5260">
        <w:rPr>
          <w:rFonts w:cstheme="minorHAnsi"/>
          <w:noProof/>
        </w:rPr>
        <w:t>e</w:t>
      </w:r>
      <w:r w:rsidRPr="006E5260">
        <w:rPr>
          <w:rFonts w:cstheme="minorHAnsi"/>
        </w:rPr>
        <w:t xml:space="preserve"> {131}</w:t>
      </w:r>
      <w:r w:rsidRPr="006E5260">
        <w:rPr>
          <w:rFonts w:cstheme="minorHAnsi"/>
          <w:vertAlign w:val="subscript"/>
        </w:rPr>
        <w:t xml:space="preserve"> α’’</w:t>
      </w:r>
      <w:r w:rsidRPr="006E5260">
        <w:rPr>
          <w:rFonts w:cstheme="minorHAnsi"/>
        </w:rPr>
        <w:t xml:space="preserve"> as </w:t>
      </w:r>
      <w:r>
        <w:rPr>
          <w:rFonts w:cstheme="minorHAnsi"/>
        </w:rPr>
        <w:t xml:space="preserve">the </w:t>
      </w:r>
      <w:r w:rsidRPr="006E5260">
        <w:rPr>
          <w:rFonts w:cstheme="minorHAnsi"/>
        </w:rPr>
        <w:t>lattice invariant plane for type II SA twin</w:t>
      </w:r>
      <w:r w:rsidR="0092554D">
        <w:rPr>
          <w:rFonts w:cstheme="minorHAnsi"/>
        </w:rPr>
        <w:t>ning,</w:t>
      </w:r>
      <w:r w:rsidRPr="006E5260">
        <w:rPr>
          <w:rFonts w:cstheme="minorHAnsi"/>
        </w:rPr>
        <w:t xml:space="preserve"> </w:t>
      </w:r>
      <w:r w:rsidRPr="006E5260">
        <w:rPr>
          <w:rFonts w:cstheme="minorHAnsi"/>
          <w:noProof/>
        </w:rPr>
        <w:t>was</w:t>
      </w:r>
      <w:r>
        <w:rPr>
          <w:rFonts w:cstheme="minorHAnsi"/>
          <w:noProof/>
        </w:rPr>
        <w:t xml:space="preserve"> aslo</w:t>
      </w:r>
      <w:r w:rsidRPr="006E5260">
        <w:rPr>
          <w:rFonts w:cstheme="minorHAnsi"/>
          <w:noProof/>
        </w:rPr>
        <w:t xml:space="preserve"> reported</w:t>
      </w:r>
      <w:r w:rsidRPr="006E5260">
        <w:rPr>
          <w:rFonts w:cstheme="minorHAnsi"/>
        </w:rPr>
        <w:t xml:space="preserve"> in a Ti-Nb metastable β Ti alloy</w:t>
      </w:r>
      <w:r>
        <w:rPr>
          <w:rFonts w:cstheme="minorHAnsi"/>
        </w:rPr>
        <w:t xml:space="preserve"> </w:t>
      </w:r>
      <w:r w:rsidRPr="006E5260">
        <w:rPr>
          <w:rFonts w:cstheme="minorHAnsi"/>
        </w:rPr>
        <w:fldChar w:fldCharType="begin" w:fldLock="1"/>
      </w:r>
      <w:r>
        <w:rPr>
          <w:rFonts w:cstheme="minorHAnsi" w:hint="eastAsia"/>
        </w:rPr>
        <w:instrText xml:space="preserve">ADDIN CSL_CITATION {"citationItems":[{"id":"ITEM-1","itemData":{"DOI":"10.1016/j.jallcom.2012.02.023","ISBN":"0925-8388","ISSN":"09258388","abstract":"Deformation behavior and shape memory properties of Ti-(20, 23) at.% Nb alloys in a single </w:instrText>
      </w:r>
      <w:r>
        <w:rPr>
          <w:rFonts w:cstheme="minorHAnsi" w:hint="eastAsia"/>
        </w:rPr>
        <w:instrText>α″</w:instrText>
      </w:r>
      <w:r>
        <w:rPr>
          <w:rFonts w:cstheme="minorHAnsi" w:hint="eastAsia"/>
        </w:rPr>
        <w:instrText xml:space="preserve"> martensite</w:instrText>
      </w:r>
      <w:r>
        <w:rPr>
          <w:rFonts w:cstheme="minorHAnsi"/>
        </w:rPr>
        <w:instrText xml:space="preserve"> state were investigated. The Ti-20Nb alloy exhibited a higher stress for the reorientation of martensite variants when compared with the Ti-23Nb alloy. The recovery strain due to the shape memory effect in the Ti-20Nb alloy was smaller than that in the T</w:instrText>
      </w:r>
      <w:r>
        <w:rPr>
          <w:rFonts w:cstheme="minorHAnsi" w:hint="eastAsia"/>
        </w:rPr>
        <w:instrText xml:space="preserve">i-23Nb alloy. Transmission electron microscope (TEM) observation revealed that the reorientation of martensite variants occurred by the deformation of {1 1 1} type I and </w:instrText>
      </w:r>
      <w:r>
        <w:rPr>
          <w:rFonts w:cstheme="minorHAnsi" w:hint="eastAsia"/>
        </w:rPr>
        <w:instrText>〈</w:instrText>
      </w:r>
      <w:r>
        <w:rPr>
          <w:rFonts w:cstheme="minorHAnsi" w:hint="eastAsia"/>
        </w:rPr>
        <w:instrText>2 1 1</w:instrText>
      </w:r>
      <w:r>
        <w:rPr>
          <w:rFonts w:cstheme="minorHAnsi" w:hint="eastAsia"/>
        </w:rPr>
        <w:instrText>〉</w:instrText>
      </w:r>
      <w:r>
        <w:rPr>
          <w:rFonts w:cstheme="minorHAnsi" w:hint="eastAsia"/>
        </w:rPr>
        <w:instrText xml:space="preserve"> type II twins. The Nb content dependence of the deformation behavior and shap</w:instrText>
      </w:r>
      <w:r>
        <w:rPr>
          <w:rFonts w:cstheme="minorHAnsi"/>
        </w:rPr>
        <w:instrText>e memory properties was discussed considering the magnitude of twinning shear of the twins. © 2012 Elsevier B.V.","author":[{"dropping-particle":"","family":"Tobe","given":"H.","non-dropping-particle":"","parse-names":false,"suffix":""},{"dropping-particle":"","family":"Kim","given":"H. Y.","non-dropping-particle":"","parse-names":false,"suffix":""},{"dropping-particle":"","family":"Inamura","given":"T.","non-dropping-particle":"","parse-names":false,"suffix":""},{"dropping-particle":"","family":"Hosoda","given":"H.","non-dropping-particle":"","parse-names":false,"suffix":""},{"dropping-particle":"","family":"Nam","given":"T. H.","non-dropping-particle":"","parse-names":false,"suffix":""},{"dropping-particle":"","family":"Miyazaki","given":"S.","non-dropping-particle":"","parse-names":false,"suffix":""}],"container-title":"Journal of Alloys and Compounds","id":"ITEM-1","issued":{"date-parts":[["2013"]]},"title":"Effect of Nb content on deformation behavior and shape memory properties of Ti-Nb alloys","type":"article-journal"},"uris":["http://www.mendeley.com/documents/?uuid=723653c8-ba50-4ee1-b1d5-e5ceb4f5b036"]}],"mendeley":{"formattedCitation":"[24]","plainTextFormattedCitation":"[24]","previouslyFormattedCitation":"[26]"},"properties":{"noteIndex":0},"schema":"https://github.com/citation-style-language/schema/raw/master/csl-citation.json"}</w:instrText>
      </w:r>
      <w:r w:rsidRPr="006E5260">
        <w:rPr>
          <w:rFonts w:cstheme="minorHAnsi"/>
        </w:rPr>
        <w:fldChar w:fldCharType="separate"/>
      </w:r>
      <w:r w:rsidRPr="008F7036">
        <w:rPr>
          <w:rFonts w:cstheme="minorHAnsi"/>
          <w:noProof/>
        </w:rPr>
        <w:t>[24]</w:t>
      </w:r>
      <w:r w:rsidRPr="006E5260">
        <w:rPr>
          <w:rFonts w:cstheme="minorHAnsi"/>
        </w:rPr>
        <w:fldChar w:fldCharType="end"/>
      </w:r>
      <w:r w:rsidRPr="006E5260">
        <w:rPr>
          <w:rFonts w:cstheme="minorHAnsi"/>
        </w:rPr>
        <w:t xml:space="preserve">. </w:t>
      </w:r>
      <w:r>
        <w:rPr>
          <w:rFonts w:cstheme="minorHAnsi"/>
        </w:rPr>
        <w:t>When</w:t>
      </w:r>
      <w:r w:rsidRPr="006E5260">
        <w:rPr>
          <w:rFonts w:cstheme="minorHAnsi"/>
        </w:rPr>
        <w:t xml:space="preserve"> </w:t>
      </w:r>
      <w:r w:rsidRPr="006E5260">
        <w:rPr>
          <w:rFonts w:cstheme="minorHAnsi"/>
          <w:noProof/>
        </w:rPr>
        <w:t>transforming</w:t>
      </w:r>
      <w:r w:rsidRPr="006E5260">
        <w:rPr>
          <w:rFonts w:cstheme="minorHAnsi"/>
        </w:rPr>
        <w:t xml:space="preserve"> the potential TTIP twin candidates into lattice correspond</w:t>
      </w:r>
      <w:r>
        <w:rPr>
          <w:rFonts w:cstheme="minorHAnsi"/>
        </w:rPr>
        <w:t>ing</w:t>
      </w:r>
      <w:r w:rsidRPr="006E5260">
        <w:rPr>
          <w:rFonts w:cstheme="minorHAnsi"/>
        </w:rPr>
        <w:t xml:space="preserve"> mechanical twin modes in </w:t>
      </w:r>
      <w:r w:rsidRPr="006E5260">
        <w:rPr>
          <w:rFonts w:cstheme="minorHAnsi"/>
          <w:noProof/>
        </w:rPr>
        <w:t>body-centric</w:t>
      </w:r>
      <w:r w:rsidRPr="006E5260">
        <w:rPr>
          <w:rFonts w:cstheme="minorHAnsi"/>
        </w:rPr>
        <w:t xml:space="preserve"> lattice in </w:t>
      </w:r>
      <w:r>
        <w:rPr>
          <w:rFonts w:cstheme="minorHAnsi"/>
        </w:rPr>
        <w:t>T</w:t>
      </w:r>
      <w:r w:rsidRPr="006E5260">
        <w:rPr>
          <w:rFonts w:cstheme="minorHAnsi"/>
        </w:rPr>
        <w:t>able</w:t>
      </w:r>
      <w:r>
        <w:rPr>
          <w:rFonts w:cstheme="minorHAnsi"/>
        </w:rPr>
        <w:t xml:space="preserve"> 6-2,</w:t>
      </w:r>
      <w:r w:rsidRPr="006E5260">
        <w:rPr>
          <w:rFonts w:cstheme="minorHAnsi"/>
        </w:rPr>
        <w:t xml:space="preserve"> mode</w:t>
      </w:r>
      <w:r>
        <w:rPr>
          <w:rFonts w:cstheme="minorHAnsi"/>
        </w:rPr>
        <w:t>s</w:t>
      </w:r>
      <w:r w:rsidRPr="006E5260">
        <w:rPr>
          <w:rFonts w:cstheme="minorHAnsi"/>
        </w:rPr>
        <w:t xml:space="preserve"> I, IV, V </w:t>
      </w:r>
      <w:r>
        <w:rPr>
          <w:rFonts w:cstheme="minorHAnsi"/>
          <w:noProof/>
        </w:rPr>
        <w:t>are</w:t>
      </w:r>
      <w:r w:rsidRPr="006E5260">
        <w:rPr>
          <w:rFonts w:cstheme="minorHAnsi"/>
          <w:noProof/>
        </w:rPr>
        <w:t xml:space="preserve"> concluded </w:t>
      </w:r>
      <w:r>
        <w:rPr>
          <w:rFonts w:cstheme="minorHAnsi"/>
          <w:noProof/>
        </w:rPr>
        <w:t>to</w:t>
      </w:r>
      <w:r w:rsidRPr="006E5260">
        <w:rPr>
          <w:rFonts w:cstheme="minorHAnsi"/>
          <w:noProof/>
        </w:rPr>
        <w:t xml:space="preserve"> relate</w:t>
      </w:r>
      <w:r w:rsidRPr="006E5260">
        <w:rPr>
          <w:rFonts w:cstheme="minorHAnsi"/>
        </w:rPr>
        <w:t xml:space="preserve"> to the {112}&lt;11-1&gt;</w:t>
      </w:r>
      <w:r w:rsidRPr="006E5260">
        <w:rPr>
          <w:rFonts w:cstheme="minorHAnsi"/>
          <w:vertAlign w:val="subscript"/>
        </w:rPr>
        <w:t>β</w:t>
      </w:r>
      <w:r w:rsidRPr="006E5260">
        <w:rPr>
          <w:rFonts w:cstheme="minorHAnsi"/>
        </w:rPr>
        <w:t xml:space="preserve"> mechanical twin</w:t>
      </w:r>
      <w:r>
        <w:rPr>
          <w:rFonts w:cstheme="minorHAnsi"/>
        </w:rPr>
        <w:t>,</w:t>
      </w:r>
      <w:r w:rsidRPr="006E5260">
        <w:rPr>
          <w:rFonts w:cstheme="minorHAnsi"/>
        </w:rPr>
        <w:t xml:space="preserve"> whil</w:t>
      </w:r>
      <w:r>
        <w:rPr>
          <w:rFonts w:cstheme="minorHAnsi"/>
        </w:rPr>
        <w:t>st</w:t>
      </w:r>
      <w:r w:rsidRPr="006E5260">
        <w:rPr>
          <w:rFonts w:cstheme="minorHAnsi"/>
        </w:rPr>
        <w:t xml:space="preserve"> mode II relate</w:t>
      </w:r>
      <w:r>
        <w:rPr>
          <w:rFonts w:cstheme="minorHAnsi"/>
        </w:rPr>
        <w:t>d</w:t>
      </w:r>
      <w:r w:rsidRPr="006E5260">
        <w:rPr>
          <w:rFonts w:cstheme="minorHAnsi"/>
        </w:rPr>
        <w:t xml:space="preserve"> to {332}&lt;11-3&gt;</w:t>
      </w:r>
      <w:r w:rsidRPr="006E5260">
        <w:rPr>
          <w:rFonts w:cstheme="minorHAnsi"/>
          <w:vertAlign w:val="subscript"/>
        </w:rPr>
        <w:t xml:space="preserve"> β</w:t>
      </w:r>
      <w:r w:rsidRPr="006E5260">
        <w:rPr>
          <w:rFonts w:cstheme="minorHAnsi"/>
        </w:rPr>
        <w:t xml:space="preserve"> mechanical twin</w:t>
      </w:r>
      <w:r w:rsidR="0092554D">
        <w:rPr>
          <w:rFonts w:cstheme="minorHAnsi"/>
        </w:rPr>
        <w:t>ning</w:t>
      </w:r>
      <w:r w:rsidRPr="006E5260">
        <w:rPr>
          <w:rFonts w:cstheme="minorHAnsi"/>
        </w:rPr>
        <w:t xml:space="preserve">. </w:t>
      </w:r>
    </w:p>
    <w:p w14:paraId="7E910541" w14:textId="3B1D9AAA" w:rsidR="00B145BE" w:rsidRPr="006E5260" w:rsidRDefault="00B145BE" w:rsidP="00B145BE">
      <w:pPr>
        <w:spacing w:before="60" w:afterLines="60" w:after="144" w:line="360" w:lineRule="auto"/>
        <w:jc w:val="both"/>
        <w:rPr>
          <w:rFonts w:cstheme="minorHAnsi"/>
          <w:noProof/>
        </w:rPr>
      </w:pPr>
      <w:r>
        <w:rPr>
          <w:rFonts w:cstheme="minorHAnsi"/>
        </w:rPr>
        <w:t>For the l</w:t>
      </w:r>
      <w:r w:rsidRPr="006E5260">
        <w:rPr>
          <w:rFonts w:cstheme="minorHAnsi"/>
        </w:rPr>
        <w:t>attice correspond</w:t>
      </w:r>
      <w:r>
        <w:rPr>
          <w:rFonts w:cstheme="minorHAnsi"/>
        </w:rPr>
        <w:t>ing</w:t>
      </w:r>
      <w:r w:rsidRPr="006E5260">
        <w:rPr>
          <w:rFonts w:cstheme="minorHAnsi"/>
        </w:rPr>
        <w:t xml:space="preserve"> to the {332}</w:t>
      </w:r>
      <w:r w:rsidRPr="006E5260">
        <w:rPr>
          <w:rFonts w:cstheme="minorHAnsi"/>
          <w:vertAlign w:val="subscript"/>
        </w:rPr>
        <w:t>β</w:t>
      </w:r>
      <w:r w:rsidRPr="006E5260">
        <w:rPr>
          <w:rFonts w:cstheme="minorHAnsi"/>
        </w:rPr>
        <w:t xml:space="preserve"> plane, the {351}</w:t>
      </w:r>
      <w:r w:rsidRPr="006E5260">
        <w:rPr>
          <w:rFonts w:cstheme="minorHAnsi"/>
          <w:vertAlign w:val="subscript"/>
        </w:rPr>
        <w:t>α’’</w:t>
      </w:r>
      <w:r w:rsidRPr="006E5260">
        <w:rPr>
          <w:rFonts w:cstheme="minorHAnsi"/>
        </w:rPr>
        <w:t xml:space="preserve"> lattice invariant plane in mode II &lt;-211&gt;</w:t>
      </w:r>
      <w:r w:rsidRPr="006E5260">
        <w:rPr>
          <w:rFonts w:cstheme="minorHAnsi"/>
          <w:vertAlign w:val="subscript"/>
        </w:rPr>
        <w:t>α’’</w:t>
      </w:r>
      <w:r w:rsidRPr="006E5260">
        <w:rPr>
          <w:rFonts w:cstheme="minorHAnsi"/>
        </w:rPr>
        <w:t xml:space="preserve"> SA twinning can coherently link </w:t>
      </w:r>
      <w:r w:rsidR="0092554D">
        <w:rPr>
          <w:rFonts w:cstheme="minorHAnsi"/>
        </w:rPr>
        <w:t xml:space="preserve">the </w:t>
      </w:r>
      <w:r w:rsidRPr="006E5260">
        <w:rPr>
          <w:rFonts w:cstheme="minorHAnsi"/>
        </w:rPr>
        <w:t>{332}&lt;11-3&gt;</w:t>
      </w:r>
      <w:r w:rsidRPr="006E5260">
        <w:rPr>
          <w:rFonts w:cstheme="minorHAnsi"/>
          <w:vertAlign w:val="subscript"/>
        </w:rPr>
        <w:t>β</w:t>
      </w:r>
      <w:r w:rsidRPr="006E5260">
        <w:rPr>
          <w:rFonts w:cstheme="minorHAnsi"/>
        </w:rPr>
        <w:t xml:space="preserve"> twinning structure in both</w:t>
      </w:r>
      <w:r w:rsidR="0092554D">
        <w:rPr>
          <w:rFonts w:cstheme="minorHAnsi"/>
        </w:rPr>
        <w:t xml:space="preserve"> the</w:t>
      </w:r>
      <w:r w:rsidRPr="006E5260">
        <w:rPr>
          <w:rFonts w:cstheme="minorHAnsi"/>
        </w:rPr>
        <w:t xml:space="preserve"> β phase and </w:t>
      </w:r>
      <w:r w:rsidR="0092554D">
        <w:rPr>
          <w:rFonts w:cstheme="minorHAnsi"/>
        </w:rPr>
        <w:t xml:space="preserve">the </w:t>
      </w:r>
      <w:r w:rsidRPr="006E5260">
        <w:rPr>
          <w:rFonts w:cstheme="minorHAnsi"/>
        </w:rPr>
        <w:t>α’’ phase by accommodat</w:t>
      </w:r>
      <w:r>
        <w:rPr>
          <w:rFonts w:cstheme="minorHAnsi"/>
        </w:rPr>
        <w:t>ing</w:t>
      </w:r>
      <w:r w:rsidRPr="006E5260">
        <w:rPr>
          <w:rFonts w:cstheme="minorHAnsi"/>
        </w:rPr>
        <w:t xml:space="preserve"> extensive stress along </w:t>
      </w:r>
      <w:r w:rsidR="0092554D">
        <w:rPr>
          <w:rFonts w:cstheme="minorHAnsi"/>
        </w:rPr>
        <w:t xml:space="preserve">the </w:t>
      </w:r>
      <w:r w:rsidRPr="006E5260">
        <w:rPr>
          <w:rFonts w:cstheme="minorHAnsi"/>
        </w:rPr>
        <w:t>{351}&lt;1-12&gt;</w:t>
      </w:r>
      <w:r w:rsidRPr="006E5260">
        <w:rPr>
          <w:rFonts w:cstheme="minorHAnsi"/>
          <w:vertAlign w:val="subscript"/>
        </w:rPr>
        <w:t>α’’</w:t>
      </w:r>
      <w:r w:rsidRPr="006E5260">
        <w:rPr>
          <w:rFonts w:cstheme="minorHAnsi"/>
        </w:rPr>
        <w:t xml:space="preserve"> direction. This discovery is in </w:t>
      </w:r>
      <w:r>
        <w:rPr>
          <w:rFonts w:cstheme="minorHAnsi"/>
        </w:rPr>
        <w:t xml:space="preserve">agreement </w:t>
      </w:r>
      <w:r w:rsidRPr="006E5260">
        <w:rPr>
          <w:rFonts w:cstheme="minorHAnsi"/>
        </w:rPr>
        <w:t>with the experimental result</w:t>
      </w:r>
      <w:r>
        <w:rPr>
          <w:rFonts w:cstheme="minorHAnsi"/>
        </w:rPr>
        <w:t>s</w:t>
      </w:r>
      <w:r w:rsidRPr="006E5260">
        <w:rPr>
          <w:rFonts w:cstheme="minorHAnsi"/>
        </w:rPr>
        <w:t xml:space="preserve"> </w:t>
      </w:r>
      <w:r>
        <w:rPr>
          <w:rFonts w:cstheme="minorHAnsi"/>
        </w:rPr>
        <w:t>detailed</w:t>
      </w:r>
      <w:r w:rsidRPr="006E5260">
        <w:rPr>
          <w:rFonts w:cstheme="minorHAnsi"/>
        </w:rPr>
        <w:t xml:space="preserve"> in </w:t>
      </w:r>
      <w:r>
        <w:rPr>
          <w:rFonts w:cstheme="minorHAnsi"/>
        </w:rPr>
        <w:t>Chapter 5,</w:t>
      </w:r>
      <w:r w:rsidRPr="006E5260">
        <w:rPr>
          <w:rFonts w:cstheme="minorHAnsi"/>
        </w:rPr>
        <w:t xml:space="preserve"> where the </w:t>
      </w:r>
      <w:r>
        <w:rPr>
          <w:rFonts w:cstheme="minorHAnsi"/>
        </w:rPr>
        <w:t>origin of</w:t>
      </w:r>
      <w:r w:rsidRPr="006E5260">
        <w:rPr>
          <w:rFonts w:cstheme="minorHAnsi"/>
        </w:rPr>
        <w:t xml:space="preserve"> {332}&lt;11-3&gt;</w:t>
      </w:r>
      <w:r w:rsidRPr="006E5260">
        <w:rPr>
          <w:rFonts w:cstheme="minorHAnsi"/>
          <w:vertAlign w:val="subscript"/>
        </w:rPr>
        <w:t>β</w:t>
      </w:r>
      <w:r w:rsidRPr="006E5260">
        <w:rPr>
          <w:rFonts w:cstheme="minorHAnsi"/>
        </w:rPr>
        <w:t xml:space="preserve"> </w:t>
      </w:r>
      <w:r w:rsidRPr="006E5260">
        <w:rPr>
          <w:rFonts w:cstheme="minorHAnsi"/>
          <w:noProof/>
        </w:rPr>
        <w:t>was proposed</w:t>
      </w:r>
      <w:r w:rsidRPr="006E5260">
        <w:rPr>
          <w:rFonts w:cstheme="minorHAnsi"/>
        </w:rPr>
        <w:t xml:space="preserve">. </w:t>
      </w:r>
      <w:r>
        <w:rPr>
          <w:rFonts w:cstheme="minorHAnsi"/>
        </w:rPr>
        <w:t>In addition to this</w:t>
      </w:r>
      <w:r w:rsidRPr="006E5260">
        <w:rPr>
          <w:rFonts w:cstheme="minorHAnsi"/>
        </w:rPr>
        <w:t xml:space="preserve">, for the </w:t>
      </w:r>
      <w:r>
        <w:rPr>
          <w:rFonts w:cstheme="minorHAnsi"/>
        </w:rPr>
        <w:t>abnormal</w:t>
      </w:r>
      <w:r w:rsidRPr="006E5260">
        <w:rPr>
          <w:rFonts w:cstheme="minorHAnsi"/>
        </w:rPr>
        <w:t xml:space="preserve"> cooperation between {332}&lt;11-3&gt;</w:t>
      </w:r>
      <w:r w:rsidRPr="006E5260">
        <w:rPr>
          <w:rFonts w:cstheme="minorHAnsi"/>
          <w:vertAlign w:val="subscript"/>
        </w:rPr>
        <w:t>β</w:t>
      </w:r>
      <w:r w:rsidRPr="006E5260">
        <w:rPr>
          <w:rFonts w:cstheme="minorHAnsi"/>
        </w:rPr>
        <w:t xml:space="preserve"> mechanical twin</w:t>
      </w:r>
      <w:r w:rsidR="0092554D">
        <w:rPr>
          <w:rFonts w:cstheme="minorHAnsi"/>
        </w:rPr>
        <w:t>ning</w:t>
      </w:r>
      <w:r w:rsidRPr="006E5260">
        <w:rPr>
          <w:rFonts w:cstheme="minorHAnsi"/>
        </w:rPr>
        <w:t xml:space="preserve"> and {112}&lt;11-1&gt;</w:t>
      </w:r>
      <w:r w:rsidRPr="006E5260">
        <w:rPr>
          <w:rFonts w:cstheme="minorHAnsi"/>
          <w:vertAlign w:val="subscript"/>
        </w:rPr>
        <w:t>β</w:t>
      </w:r>
      <w:r w:rsidRPr="006E5260">
        <w:rPr>
          <w:rFonts w:cstheme="minorHAnsi"/>
        </w:rPr>
        <w:t xml:space="preserve"> mechanical twin</w:t>
      </w:r>
      <w:r w:rsidR="0092554D">
        <w:rPr>
          <w:rFonts w:cstheme="minorHAnsi"/>
        </w:rPr>
        <w:t>ning</w:t>
      </w:r>
      <w:r w:rsidRPr="006E5260">
        <w:rPr>
          <w:rFonts w:cstheme="minorHAnsi"/>
        </w:rPr>
        <w:t xml:space="preserve">, a new explanation is proposed. </w:t>
      </w:r>
      <w:r>
        <w:rPr>
          <w:rFonts w:cstheme="minorHAnsi"/>
        </w:rPr>
        <w:t>This is described as a result of the inheritance</w:t>
      </w:r>
      <w:r w:rsidRPr="006E5260">
        <w:rPr>
          <w:rFonts w:cstheme="minorHAnsi"/>
        </w:rPr>
        <w:t xml:space="preserve"> from the existed SA twinning structure result</w:t>
      </w:r>
      <w:r>
        <w:rPr>
          <w:rFonts w:cstheme="minorHAnsi"/>
        </w:rPr>
        <w:t>ing</w:t>
      </w:r>
      <w:r w:rsidRPr="006E5260">
        <w:rPr>
          <w:rFonts w:cstheme="minorHAnsi"/>
        </w:rPr>
        <w:t xml:space="preserve"> from TRIP</w:t>
      </w:r>
      <w:r>
        <w:rPr>
          <w:rFonts w:cstheme="minorHAnsi"/>
          <w:noProof/>
        </w:rPr>
        <w:t xml:space="preserve">. Here, </w:t>
      </w:r>
      <w:r w:rsidRPr="006E5260">
        <w:rPr>
          <w:rFonts w:cstheme="minorHAnsi"/>
          <w:noProof/>
        </w:rPr>
        <w:t>the</w:t>
      </w:r>
      <w:r w:rsidRPr="006E5260">
        <w:rPr>
          <w:rFonts w:cstheme="minorHAnsi"/>
        </w:rPr>
        <w:t xml:space="preserve"> </w:t>
      </w:r>
      <w:r w:rsidRPr="006E5260">
        <w:rPr>
          <w:rFonts w:cstheme="minorHAnsi"/>
          <w:noProof/>
        </w:rPr>
        <w:t>grain</w:t>
      </w:r>
      <w:r w:rsidRPr="006E5260">
        <w:rPr>
          <w:rFonts w:cstheme="minorHAnsi"/>
        </w:rPr>
        <w:t xml:space="preserve"> </w:t>
      </w:r>
      <w:r>
        <w:rPr>
          <w:rFonts w:cstheme="minorHAnsi"/>
        </w:rPr>
        <w:t>prefers</w:t>
      </w:r>
      <w:r w:rsidRPr="006E5260">
        <w:rPr>
          <w:rFonts w:cstheme="minorHAnsi"/>
        </w:rPr>
        <w:t xml:space="preserve"> to </w:t>
      </w:r>
      <w:r w:rsidRPr="006E5260">
        <w:rPr>
          <w:rFonts w:cstheme="minorHAnsi"/>
          <w:noProof/>
        </w:rPr>
        <w:t>utilise</w:t>
      </w:r>
      <w:r w:rsidRPr="006E5260">
        <w:rPr>
          <w:rFonts w:cstheme="minorHAnsi"/>
        </w:rPr>
        <w:t xml:space="preserve"> exist</w:t>
      </w:r>
      <w:r>
        <w:rPr>
          <w:rFonts w:cstheme="minorHAnsi"/>
        </w:rPr>
        <w:t>ing</w:t>
      </w:r>
      <w:r w:rsidRPr="006E5260">
        <w:rPr>
          <w:rFonts w:cstheme="minorHAnsi"/>
        </w:rPr>
        <w:t xml:space="preserve"> lattice invariant plane</w:t>
      </w:r>
      <w:r>
        <w:rPr>
          <w:rFonts w:cstheme="minorHAnsi"/>
        </w:rPr>
        <w:t>s</w:t>
      </w:r>
      <w:r w:rsidRPr="006E5260">
        <w:rPr>
          <w:rFonts w:cstheme="minorHAnsi"/>
        </w:rPr>
        <w:t xml:space="preserve"> to accommodate </w:t>
      </w:r>
      <w:r w:rsidRPr="006E5260">
        <w:rPr>
          <w:rFonts w:cstheme="minorHAnsi"/>
          <w:noProof/>
        </w:rPr>
        <w:t>extensive</w:t>
      </w:r>
      <w:r w:rsidRPr="006E5260">
        <w:rPr>
          <w:rFonts w:cstheme="minorHAnsi"/>
        </w:rPr>
        <w:t xml:space="preserve"> mechanical deformation</w:t>
      </w:r>
      <w:r>
        <w:rPr>
          <w:rFonts w:cstheme="minorHAnsi"/>
        </w:rPr>
        <w:t xml:space="preserve"> o</w:t>
      </w:r>
      <w:r w:rsidRPr="006E5260">
        <w:rPr>
          <w:rFonts w:cstheme="minorHAnsi"/>
        </w:rPr>
        <w:t>nce the loading was released, due to the nature of athermal phase transformation in metastable IVB element</w:t>
      </w:r>
      <w:r>
        <w:rPr>
          <w:rFonts w:cstheme="minorHAnsi"/>
        </w:rPr>
        <w:t>s</w:t>
      </w:r>
      <w:r w:rsidRPr="006E5260">
        <w:rPr>
          <w:rFonts w:cstheme="minorHAnsi"/>
        </w:rPr>
        <w:t xml:space="preserve">-based alloy. In </w:t>
      </w:r>
      <w:r>
        <w:rPr>
          <w:rFonts w:cstheme="minorHAnsi"/>
        </w:rPr>
        <w:t xml:space="preserve">the study of the </w:t>
      </w:r>
      <w:r w:rsidRPr="006E5260">
        <w:rPr>
          <w:rFonts w:cstheme="minorHAnsi"/>
        </w:rPr>
        <w:t>TiZrHfTa</w:t>
      </w:r>
      <w:r w:rsidRPr="006E5260">
        <w:rPr>
          <w:rFonts w:cstheme="minorHAnsi"/>
          <w:vertAlign w:val="subscript"/>
        </w:rPr>
        <w:t>x(x=0.5-1)</w:t>
      </w:r>
      <w:r>
        <w:rPr>
          <w:rFonts w:cstheme="minorHAnsi"/>
        </w:rPr>
        <w:t xml:space="preserve"> system, </w:t>
      </w:r>
      <w:r w:rsidRPr="006E5260">
        <w:rPr>
          <w:rFonts w:cstheme="minorHAnsi"/>
        </w:rPr>
        <w:t>depend</w:t>
      </w:r>
      <w:r>
        <w:rPr>
          <w:rFonts w:cstheme="minorHAnsi"/>
        </w:rPr>
        <w:t>ing</w:t>
      </w:r>
      <w:r w:rsidRPr="006E5260">
        <w:rPr>
          <w:rFonts w:cstheme="minorHAnsi"/>
        </w:rPr>
        <w:t xml:space="preserve"> on the difference in β phase stability</w:t>
      </w:r>
      <w:r>
        <w:rPr>
          <w:rFonts w:cstheme="minorHAnsi"/>
        </w:rPr>
        <w:t>, with a</w:t>
      </w:r>
      <w:r w:rsidRPr="006E5260">
        <w:rPr>
          <w:rFonts w:cstheme="minorHAnsi"/>
        </w:rPr>
        <w:t xml:space="preserve"> higher β phase stability</w:t>
      </w:r>
      <w:r>
        <w:rPr>
          <w:rFonts w:cstheme="minorHAnsi"/>
        </w:rPr>
        <w:t xml:space="preserve"> </w:t>
      </w:r>
      <w:r w:rsidRPr="006E5260">
        <w:rPr>
          <w:rFonts w:cstheme="minorHAnsi"/>
        </w:rPr>
        <w:lastRenderedPageBreak/>
        <w:t>(TiZrHfTa</w:t>
      </w:r>
      <w:r w:rsidRPr="006E5260">
        <w:rPr>
          <w:rFonts w:cstheme="minorHAnsi"/>
          <w:vertAlign w:val="subscript"/>
        </w:rPr>
        <w:t>x=0.6-0.8</w:t>
      </w:r>
      <w:r w:rsidRPr="006E5260">
        <w:rPr>
          <w:rFonts w:cstheme="minorHAnsi"/>
        </w:rPr>
        <w:t>) the existing mode I, IV, V and II TTIP SA martensitic twin</w:t>
      </w:r>
      <w:r w:rsidR="0092554D">
        <w:rPr>
          <w:rFonts w:cstheme="minorHAnsi"/>
        </w:rPr>
        <w:t>ning</w:t>
      </w:r>
      <w:r w:rsidRPr="006E5260">
        <w:rPr>
          <w:rFonts w:cstheme="minorHAnsi"/>
        </w:rPr>
        <w:t xml:space="preserve"> will </w:t>
      </w:r>
      <w:r>
        <w:rPr>
          <w:rFonts w:cstheme="minorHAnsi"/>
        </w:rPr>
        <w:t>revers</w:t>
      </w:r>
      <w:r w:rsidR="0092554D">
        <w:rPr>
          <w:rFonts w:cstheme="minorHAnsi"/>
        </w:rPr>
        <w:t>e</w:t>
      </w:r>
      <w:r w:rsidRPr="006E5260">
        <w:rPr>
          <w:rFonts w:cstheme="minorHAnsi"/>
        </w:rPr>
        <w:t xml:space="preserve"> to the lattice correspond</w:t>
      </w:r>
      <w:r>
        <w:rPr>
          <w:rFonts w:cstheme="minorHAnsi"/>
        </w:rPr>
        <w:t>ing</w:t>
      </w:r>
      <w:r w:rsidRPr="006E5260">
        <w:rPr>
          <w:rFonts w:cstheme="minorHAnsi"/>
        </w:rPr>
        <w:t xml:space="preserve"> {112}&lt;11-1&gt;</w:t>
      </w:r>
      <w:r w:rsidRPr="006E5260">
        <w:rPr>
          <w:rFonts w:cstheme="minorHAnsi"/>
          <w:vertAlign w:val="subscript"/>
        </w:rPr>
        <w:t>β</w:t>
      </w:r>
      <w:r w:rsidRPr="006E5260">
        <w:rPr>
          <w:rFonts w:cstheme="minorHAnsi"/>
        </w:rPr>
        <w:t xml:space="preserve"> and {332}&lt;11-3&gt;</w:t>
      </w:r>
      <w:r w:rsidRPr="006E5260">
        <w:rPr>
          <w:rFonts w:cstheme="minorHAnsi"/>
          <w:vertAlign w:val="subscript"/>
        </w:rPr>
        <w:t xml:space="preserve"> β</w:t>
      </w:r>
      <w:r w:rsidRPr="006E5260">
        <w:rPr>
          <w:rFonts w:cstheme="minorHAnsi"/>
        </w:rPr>
        <w:t xml:space="preserve"> twin mode</w:t>
      </w:r>
      <w:r>
        <w:rPr>
          <w:rFonts w:cstheme="minorHAnsi"/>
        </w:rPr>
        <w:t xml:space="preserve">s, </w:t>
      </w:r>
      <w:r w:rsidRPr="006E5260">
        <w:rPr>
          <w:rFonts w:cstheme="minorHAnsi"/>
        </w:rPr>
        <w:t>respectively</w:t>
      </w:r>
      <w:r>
        <w:rPr>
          <w:rFonts w:cstheme="minorHAnsi"/>
        </w:rPr>
        <w:t>; whilst for</w:t>
      </w:r>
      <w:r w:rsidRPr="006E5260">
        <w:rPr>
          <w:rFonts w:cstheme="minorHAnsi"/>
        </w:rPr>
        <w:t xml:space="preserve"> TiZrHfTa</w:t>
      </w:r>
      <w:r w:rsidRPr="006E5260">
        <w:rPr>
          <w:rFonts w:cstheme="minorHAnsi"/>
          <w:vertAlign w:val="subscript"/>
        </w:rPr>
        <w:t>x=0.5</w:t>
      </w:r>
      <w:r w:rsidRPr="006E5260">
        <w:rPr>
          <w:rFonts w:cstheme="minorHAnsi"/>
        </w:rPr>
        <w:t xml:space="preserve">, </w:t>
      </w:r>
      <w:r>
        <w:rPr>
          <w:rFonts w:cstheme="minorHAnsi"/>
        </w:rPr>
        <w:t>which possessed a</w:t>
      </w:r>
      <w:r w:rsidRPr="006E5260">
        <w:rPr>
          <w:rFonts w:cstheme="minorHAnsi"/>
        </w:rPr>
        <w:t xml:space="preserve"> lower β phase stability, the martensite twin structure is favour</w:t>
      </w:r>
      <w:r>
        <w:rPr>
          <w:rFonts w:cstheme="minorHAnsi"/>
        </w:rPr>
        <w:t>ed</w:t>
      </w:r>
      <w:r w:rsidRPr="006E5260">
        <w:rPr>
          <w:rFonts w:cstheme="minorHAnsi"/>
        </w:rPr>
        <w:t xml:space="preserve"> to remain steady</w:t>
      </w:r>
      <w:r>
        <w:rPr>
          <w:rFonts w:cstheme="minorHAnsi"/>
        </w:rPr>
        <w:t>, hence</w:t>
      </w:r>
      <w:r w:rsidRPr="006E5260">
        <w:rPr>
          <w:rFonts w:cstheme="minorHAnsi"/>
        </w:rPr>
        <w:t xml:space="preserve"> </w:t>
      </w:r>
      <w:r>
        <w:rPr>
          <w:rFonts w:cstheme="minorHAnsi"/>
        </w:rPr>
        <w:t xml:space="preserve">enabling </w:t>
      </w:r>
      <w:r w:rsidRPr="006E5260">
        <w:rPr>
          <w:rFonts w:cstheme="minorHAnsi"/>
        </w:rPr>
        <w:t xml:space="preserve">the observation of mode II twinning </w:t>
      </w:r>
      <w:r>
        <w:rPr>
          <w:rFonts w:cstheme="minorHAnsi"/>
        </w:rPr>
        <w:t>as discussed in Chapter 5</w:t>
      </w:r>
      <w:r w:rsidRPr="006E5260">
        <w:rPr>
          <w:rFonts w:cstheme="minorHAnsi"/>
        </w:rPr>
        <w:t xml:space="preserve">. However, in </w:t>
      </w:r>
      <w:r>
        <w:rPr>
          <w:rFonts w:cstheme="minorHAnsi"/>
        </w:rPr>
        <w:t xml:space="preserve">the </w:t>
      </w:r>
      <w:r w:rsidRPr="006E5260">
        <w:rPr>
          <w:rFonts w:cstheme="minorHAnsi"/>
        </w:rPr>
        <w:t>current calculation</w:t>
      </w:r>
      <w:r>
        <w:rPr>
          <w:rFonts w:cstheme="minorHAnsi"/>
        </w:rPr>
        <w:t>s</w:t>
      </w:r>
      <w:r w:rsidRPr="006E5260">
        <w:rPr>
          <w:rFonts w:cstheme="minorHAnsi"/>
        </w:rPr>
        <w:t xml:space="preserve">, the lattice instability which </w:t>
      </w:r>
      <w:r>
        <w:rPr>
          <w:rFonts w:cstheme="minorHAnsi"/>
        </w:rPr>
        <w:t xml:space="preserve">is </w:t>
      </w:r>
      <w:r w:rsidRPr="006E5260">
        <w:rPr>
          <w:rFonts w:cstheme="minorHAnsi"/>
          <w:noProof/>
        </w:rPr>
        <w:t>determined by</w:t>
      </w:r>
      <w:r w:rsidRPr="006E5260">
        <w:rPr>
          <w:rFonts w:cstheme="minorHAnsi"/>
        </w:rPr>
        <w:t xml:space="preserve"> the displacement of </w:t>
      </w:r>
      <w:r w:rsidRPr="006E5260">
        <w:rPr>
          <w:rFonts w:cstheme="minorHAnsi"/>
          <w:noProof/>
        </w:rPr>
        <w:t>atom</w:t>
      </w:r>
      <w:r>
        <w:rPr>
          <w:rFonts w:cstheme="minorHAnsi"/>
          <w:noProof/>
        </w:rPr>
        <w:t>s</w:t>
      </w:r>
      <w:r w:rsidRPr="006E5260">
        <w:rPr>
          <w:rFonts w:cstheme="minorHAnsi"/>
        </w:rPr>
        <w:t xml:space="preserve"> along {011}</w:t>
      </w:r>
      <w:r w:rsidRPr="006E5260">
        <w:rPr>
          <w:rFonts w:cstheme="minorHAnsi"/>
          <w:vertAlign w:val="subscript"/>
        </w:rPr>
        <w:t>β</w:t>
      </w:r>
      <w:r w:rsidRPr="006E5260">
        <w:rPr>
          <w:rFonts w:cstheme="minorHAnsi"/>
        </w:rPr>
        <w:t xml:space="preserve"> during β</w:t>
      </w:r>
      <w:r>
        <w:rPr>
          <w:rFonts w:cstheme="minorHAnsi"/>
        </w:rPr>
        <w:t xml:space="preserve"> to </w:t>
      </w:r>
      <w:r w:rsidRPr="006E5260">
        <w:rPr>
          <w:rFonts w:cstheme="minorHAnsi"/>
        </w:rPr>
        <w:t xml:space="preserve">α’’ phase transformation </w:t>
      </w:r>
      <w:r>
        <w:rPr>
          <w:rFonts w:cstheme="minorHAnsi"/>
        </w:rPr>
        <w:t>was</w:t>
      </w:r>
      <w:r w:rsidRPr="006E5260">
        <w:rPr>
          <w:rFonts w:cstheme="minorHAnsi"/>
        </w:rPr>
        <w:t xml:space="preserve"> not involved. To further investigate the favoured TTIP twinning modes and preferred activation sequence among modes I to IV twin</w:t>
      </w:r>
      <w:r w:rsidR="0092554D">
        <w:rPr>
          <w:rFonts w:cstheme="minorHAnsi"/>
        </w:rPr>
        <w:t>s</w:t>
      </w:r>
      <w:r>
        <w:rPr>
          <w:rFonts w:cstheme="minorHAnsi"/>
        </w:rPr>
        <w:t>, t</w:t>
      </w:r>
      <w:r w:rsidRPr="006E5260">
        <w:rPr>
          <w:rFonts w:cstheme="minorHAnsi"/>
        </w:rPr>
        <w:t xml:space="preserve">he lattice instability </w:t>
      </w:r>
      <w:r w:rsidRPr="006E5260">
        <w:rPr>
          <w:rFonts w:cstheme="minorHAnsi"/>
          <w:noProof/>
        </w:rPr>
        <w:t>was considered</w:t>
      </w:r>
      <w:r w:rsidRPr="006E5260">
        <w:rPr>
          <w:rFonts w:cstheme="minorHAnsi"/>
        </w:rPr>
        <w:t xml:space="preserve"> </w:t>
      </w:r>
      <w:r w:rsidRPr="006E5260">
        <w:rPr>
          <w:rFonts w:cstheme="minorHAnsi"/>
          <w:noProof/>
        </w:rPr>
        <w:t>by</w:t>
      </w:r>
      <w:r w:rsidRPr="006E5260">
        <w:rPr>
          <w:rFonts w:cstheme="minorHAnsi"/>
        </w:rPr>
        <w:t xml:space="preserve"> applying </w:t>
      </w:r>
      <w:r w:rsidR="0092554D">
        <w:rPr>
          <w:rFonts w:cstheme="minorHAnsi"/>
        </w:rPr>
        <w:t xml:space="preserve">a </w:t>
      </w:r>
      <w:r w:rsidRPr="006E5260">
        <w:rPr>
          <w:rFonts w:cstheme="minorHAnsi"/>
        </w:rPr>
        <w:t xml:space="preserve">modulated structure and atomic shuffle mechanisms in the </w:t>
      </w:r>
      <w:r w:rsidRPr="006E5260">
        <w:rPr>
          <w:rFonts w:cstheme="minorHAnsi"/>
          <w:noProof/>
        </w:rPr>
        <w:t>following</w:t>
      </w:r>
      <w:r w:rsidRPr="006E5260">
        <w:rPr>
          <w:rFonts w:cstheme="minorHAnsi"/>
        </w:rPr>
        <w:t xml:space="preserve"> section.    </w:t>
      </w:r>
    </w:p>
    <w:p w14:paraId="1C838B85" w14:textId="77777777" w:rsidR="00B145BE" w:rsidRPr="00E40B2A" w:rsidRDefault="00B145BE" w:rsidP="00B145BE">
      <w:pPr>
        <w:pStyle w:val="2"/>
        <w:spacing w:before="0" w:afterLines="60" w:after="144" w:line="360" w:lineRule="auto"/>
        <w:rPr>
          <w:rFonts w:asciiTheme="minorHAnsi" w:hAnsiTheme="minorHAnsi"/>
          <w:b/>
          <w:color w:val="auto"/>
          <w:sz w:val="32"/>
          <w:lang w:bidi="hi-IN"/>
        </w:rPr>
      </w:pPr>
      <w:bookmarkStart w:id="295" w:name="_Toc22052548"/>
      <w:r w:rsidRPr="00E40B2A">
        <w:rPr>
          <w:rFonts w:asciiTheme="minorHAnsi" w:hAnsiTheme="minorHAnsi"/>
          <w:b/>
          <w:color w:val="auto"/>
          <w:sz w:val="32"/>
          <w:lang w:bidi="hi-IN"/>
        </w:rPr>
        <w:t xml:space="preserve">6.3 </w:t>
      </w:r>
      <w:r>
        <w:rPr>
          <w:rFonts w:asciiTheme="minorHAnsi" w:hAnsiTheme="minorHAnsi"/>
          <w:b/>
          <w:color w:val="auto"/>
          <w:sz w:val="32"/>
          <w:lang w:bidi="hi-IN"/>
        </w:rPr>
        <w:t xml:space="preserve">Identification of </w:t>
      </w:r>
      <w:r w:rsidRPr="00E40B2A">
        <w:rPr>
          <w:rFonts w:asciiTheme="minorHAnsi" w:hAnsiTheme="minorHAnsi"/>
          <w:b/>
          <w:color w:val="auto"/>
          <w:sz w:val="32"/>
          <w:lang w:bidi="hi-IN"/>
        </w:rPr>
        <w:t xml:space="preserve">TTIP twinning modes and </w:t>
      </w:r>
      <w:r>
        <w:rPr>
          <w:rFonts w:asciiTheme="minorHAnsi" w:hAnsiTheme="minorHAnsi"/>
          <w:b/>
          <w:color w:val="auto"/>
          <w:sz w:val="32"/>
          <w:lang w:bidi="hi-IN"/>
        </w:rPr>
        <w:t>potential</w:t>
      </w:r>
      <w:r w:rsidRPr="00E40B2A">
        <w:rPr>
          <w:rFonts w:asciiTheme="minorHAnsi" w:hAnsiTheme="minorHAnsi"/>
          <w:b/>
          <w:color w:val="auto"/>
          <w:sz w:val="32"/>
          <w:lang w:bidi="hi-IN"/>
        </w:rPr>
        <w:t xml:space="preserve"> shuffle mechanisms</w:t>
      </w:r>
      <w:bookmarkEnd w:id="295"/>
      <w:r w:rsidRPr="00E40B2A">
        <w:rPr>
          <w:rFonts w:asciiTheme="minorHAnsi" w:hAnsiTheme="minorHAnsi"/>
          <w:b/>
          <w:color w:val="auto"/>
          <w:sz w:val="32"/>
          <w:lang w:bidi="hi-IN"/>
        </w:rPr>
        <w:t xml:space="preserve"> </w:t>
      </w:r>
    </w:p>
    <w:p w14:paraId="7D8C3F5C" w14:textId="4C11F404" w:rsidR="00B145BE" w:rsidRDefault="00B145BE" w:rsidP="00B145BE">
      <w:pPr>
        <w:spacing w:afterLines="60" w:after="144" w:line="360" w:lineRule="auto"/>
        <w:jc w:val="both"/>
        <w:rPr>
          <w:rFonts w:cstheme="minorHAnsi"/>
        </w:rPr>
      </w:pPr>
      <w:r>
        <w:rPr>
          <w:rFonts w:cstheme="minorHAnsi"/>
        </w:rPr>
        <w:t>T</w:t>
      </w:r>
      <w:r w:rsidRPr="006E5260">
        <w:rPr>
          <w:rFonts w:cstheme="minorHAnsi"/>
        </w:rPr>
        <w:t xml:space="preserve">he reduction of shear modulus c’((c11-c12)/2) in the atomic displacement along </w:t>
      </w:r>
      <w:r w:rsidR="0092554D">
        <w:rPr>
          <w:rFonts w:cstheme="minorHAnsi"/>
        </w:rPr>
        <w:t xml:space="preserve">the </w:t>
      </w:r>
      <w:r w:rsidRPr="006E5260">
        <w:rPr>
          <w:rFonts w:cstheme="minorHAnsi"/>
        </w:rPr>
        <w:t>{01-1}&lt;011&gt;</w:t>
      </w:r>
      <w:r w:rsidRPr="003B25EA">
        <w:rPr>
          <w:rFonts w:cstheme="minorHAnsi"/>
          <w:vertAlign w:val="subscript"/>
        </w:rPr>
        <w:t>β</w:t>
      </w:r>
      <w:r w:rsidRPr="006E5260">
        <w:rPr>
          <w:rFonts w:cstheme="minorHAnsi"/>
        </w:rPr>
        <w:t xml:space="preserve"> direction</w:t>
      </w:r>
      <w:r>
        <w:rPr>
          <w:rFonts w:cstheme="minorHAnsi"/>
        </w:rPr>
        <w:t xml:space="preserve"> is a result of the</w:t>
      </w:r>
      <w:r w:rsidRPr="006E5260">
        <w:rPr>
          <w:rFonts w:cstheme="minorHAnsi"/>
        </w:rPr>
        <w:t xml:space="preserve"> destabilization of </w:t>
      </w:r>
      <w:r w:rsidR="0092554D">
        <w:rPr>
          <w:rFonts w:cstheme="minorHAnsi"/>
        </w:rPr>
        <w:t xml:space="preserve">the </w:t>
      </w:r>
      <w:r w:rsidRPr="003B25EA">
        <w:rPr>
          <w:rFonts w:cstheme="minorHAnsi"/>
        </w:rPr>
        <w:t>β</w:t>
      </w:r>
      <w:r>
        <w:rPr>
          <w:rFonts w:cstheme="minorHAnsi"/>
        </w:rPr>
        <w:t xml:space="preserve"> phase</w:t>
      </w:r>
      <w:r w:rsidRPr="006E5260">
        <w:rPr>
          <w:rFonts w:cstheme="minorHAnsi"/>
        </w:rPr>
        <w:t xml:space="preserve"> and further </w:t>
      </w:r>
      <w:r w:rsidR="0092554D">
        <w:rPr>
          <w:rFonts w:cstheme="minorHAnsi"/>
        </w:rPr>
        <w:t xml:space="preserve">activation of the </w:t>
      </w:r>
      <w:r w:rsidRPr="003B25EA">
        <w:rPr>
          <w:rFonts w:cstheme="minorHAnsi"/>
        </w:rPr>
        <w:t>β to α’’ phase transformation</w:t>
      </w:r>
      <w:r>
        <w:rPr>
          <w:rFonts w:cstheme="minorHAnsi"/>
        </w:rPr>
        <w:t xml:space="preserve"> </w:t>
      </w:r>
      <w:r w:rsidRPr="006E5260">
        <w:rPr>
          <w:rFonts w:cstheme="minorHAnsi"/>
        </w:rPr>
        <w:fldChar w:fldCharType="begin" w:fldLock="1"/>
      </w:r>
      <w:r>
        <w:rPr>
          <w:rFonts w:cstheme="minorHAnsi"/>
        </w:rPr>
        <w:instrText>ADDIN CSL_CITATION {"citationItems":[{"id":"ITEM-1","itemData":{"DOI":"10.1016/j.actamat.2013.10.048","ISBN":"13596454 (ISSN)","ISSN":"13596454","abstract":"In this paper, the origin of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which is a unique twinning mode in metastable β-Ti alloys, was investigated. The possible twinning modes in metastable β-Ti alloys are derived by considering lattice instability in addition to the theory of the crystallography of deformation twinning. In order to consider lattice instability in the body-centered-cubic (bcc) structure, a modulated structure was proposed. We then clarify how the modulated structure facilitates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preferentially compared to other possible twinning modes by evaluating the magnitude of twinning shear and the complexity of shuffle. It was found that the lattice instability makes {112}</w:instrText>
      </w:r>
      <w:r>
        <w:rPr>
          <w:rFonts w:cstheme="minorHAnsi" w:hint="eastAsia"/>
        </w:rPr>
        <w:instrText>〈</w:instrText>
      </w:r>
      <w:r>
        <w:rPr>
          <w:rFonts w:cstheme="minorHAnsi"/>
        </w:rPr>
        <w:instrText>1̄1̄1</w:instrText>
      </w:r>
      <w:r>
        <w:rPr>
          <w:rFonts w:cstheme="minorHAnsi" w:hint="eastAsia"/>
        </w:rPr>
        <w:instrText>〉</w:instrText>
      </w:r>
      <w:r>
        <w:rPr>
          <w:rFonts w:cstheme="minorHAnsi"/>
        </w:rPr>
        <w:instrText xml:space="preserve"> twinning, which is a major twinning mode observed in alloys with stable bcc structure, unlikely to occur because the lattice modulation causes additional shuffling to form the {112}</w:instrText>
      </w:r>
      <w:r>
        <w:rPr>
          <w:rFonts w:cstheme="minorHAnsi" w:hint="eastAsia"/>
        </w:rPr>
        <w:instrText>〈</w:instrText>
      </w:r>
      <w:r>
        <w:rPr>
          <w:rFonts w:cstheme="minorHAnsi"/>
        </w:rPr>
        <w:instrText>1̄1̄1</w:instrText>
      </w:r>
      <w:r>
        <w:rPr>
          <w:rFonts w:cstheme="minorHAnsi" w:hint="eastAsia"/>
        </w:rPr>
        <w:instrText>〉</w:instrText>
      </w:r>
      <w:r>
        <w:rPr>
          <w:rFonts w:cstheme="minorHAnsi"/>
        </w:rPr>
        <w:instrText xml:space="preserve"> twin. It was also found that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is the most possible twinning mode in the modulated structure in terms of the magnitude of twinning shear and the complexity of shuffle. The new formation model of the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 presented in this study can explain how the lattice instability preferentially activates the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in metastable β-Ti alloys. © 2013 Acta Materialia Inc. Published by Elsevier Ltd. All rights reserved.","author":[{"dropping-particle":"","family":"Tobe","given":"Hirobumi","non-dropping-particle":"","parse-names":false,"suffix":""},{"dropping-particle":"","family":"Kim","given":"Hee Young","non-dropping-particle":"","parse-names":false,"suffix":""},{"dropping-particle":"","family":"Inamura","given":"Tomonari","non-dropping-particle":"","parse-names":false,"suffix":""},{"dropping-particle":"","family":"Hosoda","given":"Hideki","non-dropping-particle":"","parse-names":false,"suffix":""},{"dropping-particle":"","family":"Miyazaki","given":"Shuichi","non-dropping-particle":"","parse-names":false,"suffix":""}],"container-title":"Acta Materialia","id":"ITEM-1","issued":{"date-parts":[["2014"]]},"title":"Origin of {3 3 2} twinning in metastable β-Ti alloys","type":"article"},"uris":["http://www.mendeley.com/documents/?uuid=071f1bf4-cdc8-45b3-8675-32071ee1f466"]},{"id":"ITEM-2","itemData":{"ISBN":"110951851X","abstract":"Motivated by the prospect of lower cost Ti production processes, new directions in Ti alloy design were explored for naval and automotive applications. Building on the experience of the Steel Research Group at Northwestern University, an analogous design process was taken with titanium. As a new project, essential kinetic databases and models were developed for the design process and used to create a prototype design. Diffusion kinetic models were developed to predict the change in phase compositions and microstructure during heat treatment. Combining a mobility database created in this research with a licensed thermodynamic database, ThermoCalc and DICTRA software was used to model kinetic compositional changes in titanium alloys. Experimental diffusion couples were created and compared to DICTRA simulations to refine mobility parameters in the titanium mobility database. The software and database were able to predict homogenization times and the beta&amp;rarr;alpha plate thickening kinetics during cooling in the near-alpha Ti5111 alloy. The results of these models were compared to LEAP microanalysis and found to be in reasonable agreement. Powder metallurgy was explored using SPS at GM R&amp;amp;D to reduce the cost of titanium alloys. Fully dense Ti5111 alloys were produced and achieved similar microstructures to wrought Ti5111. High levels of oxygen in these alloys increased the strength while reducing the ductility. Preliminary Ti5111+Y alloys were created, where yttrium additions successfully gettered excess oxygen to create oxides. However, undesirable large oxides formed, indicating more research is needed into the homogeneous distribution of the yttrium powder to create finer oxides. Principles established in steels were used to optimize the beta phase transformation stability for martensite transformation toughening in titanium alloys. The Olson-Cohen kinetic model is calibrated to shear strains in titanium. A frictional work database is established for common alloying elements in titanium to model the effect of alloying elements on the Ms temperature in titanium. Available atomic volume data and collaborative first principles quantum mechanical calculations are combined to model the composition dependence of the transformation molar volume change. Composition analysis of the beta phase from the LEAP and Bolling-Richman experimental measurement of the M ssigma temperature defining mechanical transformation stability of the beta phase in Ti5111 provide…","author":[{"dropping-particle":"","family":"Tran","given":"Jamie","non-dropping-particle":"","parse-names":false,"suffix":""}],"container-title":"ProQuest Dissertations and Theses Global","id":"ITEM-2","issued":{"date-parts":[["2009"]]},"title":"Titanium by design: Trip titanium alloy","type":"article-journal"},"uris":["http://www.mendeley.com/documents/?uuid=e3a5d5d2-54f6-4b02-b5cf-bbad44ff0b07"]}],"mendeley":{"formattedCitation":"[11,25]","plainTextFormattedCitation":"[11,25]","previouslyFormattedCitation":"[13,27]"},"properties":{"noteIndex":0},"schema":"https://github.com/citation-style-language/schema/raw/master/csl-citation.json"}</w:instrText>
      </w:r>
      <w:r w:rsidRPr="006E5260">
        <w:rPr>
          <w:rFonts w:cstheme="minorHAnsi"/>
        </w:rPr>
        <w:fldChar w:fldCharType="separate"/>
      </w:r>
      <w:r w:rsidRPr="008F7036">
        <w:rPr>
          <w:rFonts w:cstheme="minorHAnsi"/>
          <w:noProof/>
        </w:rPr>
        <w:t>[11,25]</w:t>
      </w:r>
      <w:r w:rsidRPr="006E5260">
        <w:rPr>
          <w:rFonts w:cstheme="minorHAnsi"/>
        </w:rPr>
        <w:fldChar w:fldCharType="end"/>
      </w:r>
      <w:r w:rsidRPr="003B25EA">
        <w:rPr>
          <w:rFonts w:cstheme="minorHAnsi"/>
        </w:rPr>
        <w:t>.</w:t>
      </w:r>
      <w:r w:rsidRPr="006E5260">
        <w:rPr>
          <w:rFonts w:cstheme="minorHAnsi"/>
        </w:rPr>
        <w:t xml:space="preserve"> </w:t>
      </w:r>
      <w:r>
        <w:rPr>
          <w:rFonts w:cstheme="minorHAnsi"/>
        </w:rPr>
        <w:t>When taking</w:t>
      </w:r>
      <w:r w:rsidRPr="006E5260">
        <w:rPr>
          <w:rFonts w:cstheme="minorHAnsi"/>
        </w:rPr>
        <w:t xml:space="preserve"> the </w:t>
      </w:r>
      <w:r>
        <w:rPr>
          <w:rFonts w:cstheme="minorHAnsi"/>
        </w:rPr>
        <w:t xml:space="preserve">destabilisation of </w:t>
      </w:r>
      <w:r w:rsidRPr="006E5260">
        <w:rPr>
          <w:rFonts w:cstheme="minorHAnsi"/>
        </w:rPr>
        <w:t xml:space="preserve">β phase into consideration, the lattice instability and </w:t>
      </w:r>
      <w:r w:rsidRPr="006E5260">
        <w:rPr>
          <w:rFonts w:cstheme="minorHAnsi"/>
          <w:noProof/>
        </w:rPr>
        <w:t>atomic</w:t>
      </w:r>
      <w:r w:rsidRPr="006E5260">
        <w:rPr>
          <w:rFonts w:cstheme="minorHAnsi"/>
        </w:rPr>
        <w:t xml:space="preserve"> shuffle</w:t>
      </w:r>
      <w:r>
        <w:rPr>
          <w:rFonts w:cstheme="minorHAnsi"/>
        </w:rPr>
        <w:t xml:space="preserve"> </w:t>
      </w:r>
      <w:r w:rsidRPr="006E5260">
        <w:rPr>
          <w:rFonts w:cstheme="minorHAnsi"/>
        </w:rPr>
        <w:fldChar w:fldCharType="begin" w:fldLock="1"/>
      </w:r>
      <w:r>
        <w:rPr>
          <w:rFonts w:cstheme="minorHAnsi"/>
        </w:rPr>
        <w:instrText>ADDIN CSL_CITATION {"citationItems":[{"id":"ITEM-1","itemData":{"DOI":"10.1016/j.actamat.2013.10.048","ISBN":"13596454 (ISSN)","ISSN":"13596454","abstract":"In this paper, the origin of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which is a unique twinning mode in metastable β-Ti alloys, was investigated. The possible twinning modes in metastable β-Ti alloys are derived by considering lattice instability in addition to the theory of the crystallography of deformation twinning. In order to consider lattice instability in the body-centered-cubic (bcc) structure, a modulated structure was proposed. We then clarify how the modulated structure facilitates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preferentially compared to other possible twinning modes by evaluating the magnitude of twinning shear and the complexity of shuffle. It was found that the lattice instability makes {112}</w:instrText>
      </w:r>
      <w:r>
        <w:rPr>
          <w:rFonts w:cstheme="minorHAnsi" w:hint="eastAsia"/>
        </w:rPr>
        <w:instrText>〈</w:instrText>
      </w:r>
      <w:r>
        <w:rPr>
          <w:rFonts w:cstheme="minorHAnsi"/>
        </w:rPr>
        <w:instrText>1̄1̄1</w:instrText>
      </w:r>
      <w:r>
        <w:rPr>
          <w:rFonts w:cstheme="minorHAnsi" w:hint="eastAsia"/>
        </w:rPr>
        <w:instrText>〉</w:instrText>
      </w:r>
      <w:r>
        <w:rPr>
          <w:rFonts w:cstheme="minorHAnsi"/>
        </w:rPr>
        <w:instrText xml:space="preserve"> twinning, which is a major twinning mode observed in alloys with stable bcc structure, unlikely to occur because the lattice modulation causes additional shuffling to form the {112}</w:instrText>
      </w:r>
      <w:r>
        <w:rPr>
          <w:rFonts w:cstheme="minorHAnsi" w:hint="eastAsia"/>
        </w:rPr>
        <w:instrText>〈</w:instrText>
      </w:r>
      <w:r>
        <w:rPr>
          <w:rFonts w:cstheme="minorHAnsi"/>
        </w:rPr>
        <w:instrText>1̄1̄1</w:instrText>
      </w:r>
      <w:r>
        <w:rPr>
          <w:rFonts w:cstheme="minorHAnsi" w:hint="eastAsia"/>
        </w:rPr>
        <w:instrText>〉</w:instrText>
      </w:r>
      <w:r>
        <w:rPr>
          <w:rFonts w:cstheme="minorHAnsi"/>
        </w:rPr>
        <w:instrText xml:space="preserve"> twin. It was also found that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is the most possible twinning mode in the modulated structure in terms of the magnitude of twinning shear and the complexity of shuffle. The new formation model of the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 presented in this study can explain how the lattice instability preferentially activates the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in metastable β-Ti alloys. © 2013 Acta Materialia Inc. Published by Elsevier Ltd. All rights reserved.","author":[{"dropping-particle":"","family":"Tobe","given":"Hirobumi","non-dropping-particle":"","parse-names":false,"suffix":""},{"dropping-particle":"","family":"Kim","given":"Hee Young","non-dropping-particle":"","parse-names":false,"suffix":""},{"dropping-particle":"","family":"Inamura","given":"Tomonari","non-dropping-particle":"","parse-names":false,"suffix":""},{"dropping-particle":"","family":"Hosoda","given":"Hideki","non-dropping-particle":"","parse-names":false,"suffix":""},{"dropping-particle":"","family":"Miyazaki","given":"Shuichi","non-dropping-particle":"","parse-names":false,"suffix":""}],"container-title":"Acta Materialia","id":"ITEM-1","issued":{"date-parts":[["2014"]]},"title":"Origin of {3 3 2} twinning in metastable β-Ti alloys","type":"article"},"uris":["http://www.mendeley.com/documents/?uuid=071f1bf4-cdc8-45b3-8675-32071ee1f466"]},{"id":"ITEM-2","itemData":{"DOI":"10.1016/0022-3115(71)90077-8","ISBN":"0022-3115","ISSN":"00223115","abstract":"An analysis is given of the crystallography of deformation twinning in α-plutonium, which has sixteen atoms in its monoclinic unit cell. The 20 twinning modes with the smallest possible shears consistent with all or one-half of the lattice points shearing directly to correct twin positions are tabulated. However in a structure with this degree of complexity the atomic shuffles accompanying any twinning shear must, of necessity, be very involved. In order to analyse these shuffles a simple pseudo-structure with only two atoms in its monoclinic unit cell is introduced. The twinning modes in this structure which correspond to the 20 modes obtained previously for the true structure are then examined and it is deduced that only two modes are acceptable. These have twinning elements K1K2η1η2g given by (001) (2&amp;#x0304;01) [1&amp;#x0304;00] [102]; 0.159 (2&amp;#x0304;01) (001) [102] [1&amp;#x0304;00]; 0.159. These modes were also predicted in an earlier analysis by Sebilleau. The detailed atomic shuffles associated with these modes are examined in both the pseudo-structure and in the true structure and it is concluded that both modes are likely to operate in practice. However, consideration of the production of twinning dislocations in the two interfaces suggests that (2&amp;#x0304;01) twins are favoured. The predictions are consistent with the very limited amount of experimental information which is available. © 1971.","author":[{"dropping-particle":"","family":"Crocker","given":"A. G.","non-dropping-particle":"","parse-names":false,"suffix":""}],"container-title":"Journal of Nuclear Materials","id":"ITEM-2","issued":{"date-parts":[["1971"]]},"title":"The crystallography of deformation-twinning in alpha-plutonium","type":"article-journal"},"uris":["http://www.mendeley.com/documents/?uuid=458038aa-30e2-44a8-8a74-ec9c55602b9e"]}],"mendeley":{"formattedCitation":"[11,16]","plainTextFormattedCitation":"[11,16]","previouslyFormattedCitation":"[13,18]"},"properties":{"noteIndex":0},"schema":"https://github.com/citation-style-language/schema/raw/master/csl-citation.json"}</w:instrText>
      </w:r>
      <w:r w:rsidRPr="006E5260">
        <w:rPr>
          <w:rFonts w:cstheme="minorHAnsi"/>
        </w:rPr>
        <w:fldChar w:fldCharType="separate"/>
      </w:r>
      <w:r w:rsidRPr="008F7036">
        <w:rPr>
          <w:rFonts w:cstheme="minorHAnsi"/>
          <w:noProof/>
        </w:rPr>
        <w:t>[11,16]</w:t>
      </w:r>
      <w:r w:rsidRPr="006E5260">
        <w:rPr>
          <w:rFonts w:cstheme="minorHAnsi"/>
        </w:rPr>
        <w:fldChar w:fldCharType="end"/>
      </w:r>
      <w:r w:rsidRPr="006E5260">
        <w:rPr>
          <w:rFonts w:cstheme="minorHAnsi"/>
          <w:noProof/>
        </w:rPr>
        <w:t xml:space="preserve"> were</w:t>
      </w:r>
      <w:r>
        <w:rPr>
          <w:rFonts w:cstheme="minorHAnsi"/>
          <w:noProof/>
        </w:rPr>
        <w:t xml:space="preserve"> found to aid in distinguishing</w:t>
      </w:r>
      <w:r w:rsidRPr="006E5260">
        <w:rPr>
          <w:rFonts w:cstheme="minorHAnsi"/>
          <w:noProof/>
        </w:rPr>
        <w:t xml:space="preserve"> the energetically favourable activation sequence of </w:t>
      </w:r>
      <w:r>
        <w:rPr>
          <w:rFonts w:cstheme="minorHAnsi"/>
          <w:noProof/>
        </w:rPr>
        <w:t>potential</w:t>
      </w:r>
      <w:r w:rsidRPr="006E5260">
        <w:rPr>
          <w:rFonts w:cstheme="minorHAnsi"/>
          <w:noProof/>
        </w:rPr>
        <w:t xml:space="preserve"> TTIP twin modes </w:t>
      </w:r>
      <w:r>
        <w:rPr>
          <w:rFonts w:cstheme="minorHAnsi"/>
          <w:noProof/>
        </w:rPr>
        <w:t xml:space="preserve">presented </w:t>
      </w:r>
      <w:r w:rsidRPr="006E5260">
        <w:rPr>
          <w:rFonts w:cstheme="minorHAnsi"/>
          <w:noProof/>
        </w:rPr>
        <w:t xml:space="preserve">in </w:t>
      </w:r>
      <w:r>
        <w:rPr>
          <w:rFonts w:cstheme="minorHAnsi"/>
          <w:noProof/>
        </w:rPr>
        <w:t>T</w:t>
      </w:r>
      <w:r w:rsidRPr="006E5260">
        <w:rPr>
          <w:rFonts w:cstheme="minorHAnsi"/>
          <w:noProof/>
        </w:rPr>
        <w:t xml:space="preserve">able </w:t>
      </w:r>
      <w:r>
        <w:rPr>
          <w:rFonts w:cstheme="minorHAnsi"/>
          <w:noProof/>
        </w:rPr>
        <w:t>6-2</w:t>
      </w:r>
      <w:r w:rsidRPr="006E5260">
        <w:rPr>
          <w:rFonts w:cstheme="minorHAnsi"/>
          <w:noProof/>
        </w:rPr>
        <w:t xml:space="preserve">. </w:t>
      </w:r>
      <w:r w:rsidRPr="006E5260">
        <w:rPr>
          <w:rFonts w:cstheme="minorHAnsi"/>
        </w:rPr>
        <w:t xml:space="preserve">The value of </w:t>
      </w:r>
      <w:r w:rsidRPr="006E5260">
        <w:rPr>
          <w:rFonts w:cstheme="minorHAnsi"/>
          <w:i/>
        </w:rPr>
        <w:t>q</w:t>
      </w:r>
      <w:r w:rsidRPr="006E5260">
        <w:rPr>
          <w:rFonts w:cstheme="minorHAnsi"/>
        </w:rPr>
        <w:t xml:space="preserve"> </w:t>
      </w:r>
      <w:r>
        <w:rPr>
          <w:rFonts w:cstheme="minorHAnsi"/>
        </w:rPr>
        <w:t xml:space="preserve">is </w:t>
      </w:r>
      <w:r w:rsidRPr="006E5260">
        <w:rPr>
          <w:rFonts w:cstheme="minorHAnsi"/>
        </w:rPr>
        <w:t>defined by the number of lattice planes parallel to the twinning plane (</w:t>
      </w:r>
      <m:oMath>
        <m:sSub>
          <m:sSubPr>
            <m:ctrlPr>
              <w:rPr>
                <w:rFonts w:ascii="Cambria Math" w:hAnsi="Cambria Math" w:cstheme="minorHAnsi"/>
              </w:rPr>
            </m:ctrlPr>
          </m:sSubPr>
          <m:e>
            <m:r>
              <w:rPr>
                <w:rFonts w:ascii="Cambria Math" w:hAnsi="Cambria Math" w:cstheme="minorHAnsi"/>
              </w:rPr>
              <m:t>K</m:t>
            </m:r>
          </m:e>
          <m:sub>
            <m:r>
              <w:rPr>
                <w:rFonts w:ascii="Cambria Math" w:hAnsi="Cambria Math" w:cstheme="minorHAnsi"/>
              </w:rPr>
              <m:t>1</m:t>
            </m:r>
          </m:sub>
        </m:sSub>
      </m:oMath>
      <w:r w:rsidRPr="006E5260">
        <w:rPr>
          <w:rFonts w:cstheme="minorHAnsi"/>
        </w:rPr>
        <w:t>)</w:t>
      </w:r>
      <w:r>
        <w:rPr>
          <w:rFonts w:cstheme="minorHAnsi"/>
        </w:rPr>
        <w:t>,</w:t>
      </w:r>
      <w:r w:rsidRPr="006E5260">
        <w:rPr>
          <w:rFonts w:cstheme="minorHAnsi"/>
        </w:rPr>
        <w:t xml:space="preserve"> that are intersected by a primitive lattice vector in the conjugate twinning direction (</w:t>
      </w:r>
      <m:oMath>
        <m:sSub>
          <m:sSubPr>
            <m:ctrlPr>
              <w:rPr>
                <w:rFonts w:ascii="Cambria Math" w:hAnsi="Cambria Math" w:cstheme="minorHAnsi"/>
              </w:rPr>
            </m:ctrlPr>
          </m:sSubPr>
          <m:e>
            <m:r>
              <w:rPr>
                <w:rFonts w:ascii="Cambria Math" w:hAnsi="Cambria Math" w:cstheme="minorHAnsi"/>
              </w:rPr>
              <m:t>η</m:t>
            </m:r>
          </m:e>
          <m:sub>
            <m:r>
              <w:rPr>
                <w:rFonts w:ascii="Cambria Math" w:hAnsi="Cambria Math" w:cstheme="minorHAnsi"/>
              </w:rPr>
              <m:t>2</m:t>
            </m:r>
          </m:sub>
        </m:sSub>
      </m:oMath>
      <w:r w:rsidRPr="006E5260">
        <w:rPr>
          <w:rFonts w:cstheme="minorHAnsi"/>
        </w:rPr>
        <w:t>)</w:t>
      </w:r>
      <w:r>
        <w:rPr>
          <w:rFonts w:cstheme="minorHAnsi"/>
        </w:rPr>
        <w:t>, This</w:t>
      </w:r>
      <w:r w:rsidRPr="006E5260">
        <w:rPr>
          <w:rFonts w:cstheme="minorHAnsi"/>
        </w:rPr>
        <w:t xml:space="preserve"> was used to describe the </w:t>
      </w:r>
      <w:r w:rsidRPr="006E5260">
        <w:rPr>
          <w:rFonts w:cstheme="minorHAnsi"/>
          <w:noProof/>
        </w:rPr>
        <w:t>shuffling mechanism complexity</w:t>
      </w:r>
      <w:r>
        <w:rPr>
          <w:rFonts w:cstheme="minorHAnsi"/>
          <w:noProof/>
        </w:rPr>
        <w:t xml:space="preserve"> </w:t>
      </w:r>
      <w:r w:rsidRPr="006E5260">
        <w:rPr>
          <w:rFonts w:cstheme="minorHAnsi"/>
          <w:noProof/>
        </w:rPr>
        <w:fldChar w:fldCharType="begin" w:fldLock="1"/>
      </w:r>
      <w:r>
        <w:rPr>
          <w:rFonts w:cstheme="minorHAnsi"/>
          <w:noProof/>
        </w:rPr>
        <w:instrText>ADDIN CSL_CITATION {"citationItems":[{"id":"ITEM-1","itemData":{"DOI":"10.1016/0022-3115(71)90077-8","ISBN":"0022-3115","ISSN":"00223115","abstract":"An analysis is given of the crystallography of deformation twinning in α-plutonium, which has sixteen atoms in its monoclinic unit cell. The 20 twinning modes with the smallest possible shears consistent with all or one-half of the lattice points shearing directly to correct twin positions are tabulated. However in a structure with this degree of complexity the atomic shuffles accompanying any twinning shear must, of necessity, be very involved. In order to analyse these shuffles a simple pseudo-structure with only two atoms in its monoclinic unit cell is introduced. The twinning modes in this structure which correspond to the 20 modes obtained previously for the true structure are then examined and it is deduced that only two modes are acceptable. These have twinning elements K1K2η1η2g given by (001) (2&amp;#x0304;01) [1&amp;#x0304;00] [102]; 0.159 (2&amp;#x0304;01) (001) [102] [1&amp;#x0304;00]; 0.159. These modes were also predicted in an earlier analysis by Sebilleau. The detailed atomic shuffles associated with these modes are examined in both the pseudo-structure and in the true structure and it is concluded that both modes are likely to operate in practice. However, consideration of the production of twinning dislocations in the two interfaces suggests that (2&amp;#x0304;01) twins are favoured. The predictions are consistent with the very limited amount of experimental information which is available. © 1971.","author":[{"dropping-particle":"","family":"Crocker","given":"A. G.","non-dropping-particle":"","parse-names":false,"suffix":""}],"container-title":"Journal of Nuclear Materials","id":"ITEM-1","issued":{"date-parts":[["1971"]]},"title":"The crystallography of deformation-twinning in alpha-plutonium","type":"article-journal"},"uris":["http://www.mendeley.com/documents/?uuid=458038aa-30e2-44a8-8a74-ec9c55602b9e"]}],"mendeley":{"formattedCitation":"[16]","plainTextFormattedCitation":"[16]","previouslyFormattedCitation":"[18]"},"properties":{"noteIndex":0},"schema":"https://github.com/citation-style-language/schema/raw/master/csl-citation.json"}</w:instrText>
      </w:r>
      <w:r w:rsidRPr="006E5260">
        <w:rPr>
          <w:rFonts w:cstheme="minorHAnsi"/>
          <w:noProof/>
        </w:rPr>
        <w:fldChar w:fldCharType="separate"/>
      </w:r>
      <w:r w:rsidRPr="008F7036">
        <w:rPr>
          <w:rFonts w:cstheme="minorHAnsi"/>
          <w:noProof/>
        </w:rPr>
        <w:t>[16]</w:t>
      </w:r>
      <w:r w:rsidRPr="006E5260">
        <w:rPr>
          <w:rFonts w:cstheme="minorHAnsi"/>
          <w:noProof/>
        </w:rPr>
        <w:fldChar w:fldCharType="end"/>
      </w:r>
      <w:r w:rsidRPr="006E5260">
        <w:rPr>
          <w:rFonts w:cstheme="minorHAnsi"/>
          <w:noProof/>
        </w:rPr>
        <w:t xml:space="preserve"> and listed in </w:t>
      </w:r>
      <w:r>
        <w:rPr>
          <w:rFonts w:cstheme="minorHAnsi"/>
          <w:noProof/>
        </w:rPr>
        <w:t>T</w:t>
      </w:r>
      <w:r w:rsidRPr="006E5260">
        <w:rPr>
          <w:rFonts w:cstheme="minorHAnsi"/>
          <w:noProof/>
        </w:rPr>
        <w:t>able.</w:t>
      </w:r>
      <w:r>
        <w:rPr>
          <w:rFonts w:cstheme="minorHAnsi"/>
          <w:noProof/>
        </w:rPr>
        <w:t xml:space="preserve"> 6-3</w:t>
      </w:r>
      <w:r w:rsidRPr="006E5260">
        <w:rPr>
          <w:rFonts w:cstheme="minorHAnsi"/>
          <w:noProof/>
        </w:rPr>
        <w:t>.</w:t>
      </w:r>
      <w:r w:rsidRPr="006E5260">
        <w:rPr>
          <w:rFonts w:cstheme="minorHAnsi"/>
        </w:rPr>
        <w:t xml:space="preserve"> This measure of shuffle complexity was considered to interrelate with the feasibility of </w:t>
      </w:r>
      <w:r>
        <w:rPr>
          <w:rFonts w:cstheme="minorHAnsi"/>
        </w:rPr>
        <w:t>activating</w:t>
      </w:r>
      <w:r w:rsidRPr="006E5260">
        <w:rPr>
          <w:rFonts w:cstheme="minorHAnsi"/>
        </w:rPr>
        <w:t xml:space="preserve"> TTIP type twinning. The shuffling modulation mechanisms for both the SA and mechanical twinning modes were then examined by applying a double lattice structure with different motif units</w:t>
      </w:r>
      <w:r>
        <w:rPr>
          <w:rFonts w:cstheme="minorHAnsi"/>
        </w:rPr>
        <w:t xml:space="preserve"> </w:t>
      </w:r>
      <w:r w:rsidRPr="006E5260">
        <w:rPr>
          <w:rFonts w:cstheme="minorHAnsi"/>
        </w:rPr>
        <w:fldChar w:fldCharType="begin" w:fldLock="1"/>
      </w:r>
      <w:r>
        <w:rPr>
          <w:rFonts w:cstheme="minorHAnsi"/>
        </w:rPr>
        <w:instrText>ADDIN CSL_CITATION {"citationItems":[{"id":"ITEM-1","itemData":{"DOI":"10.1016/0022-3115(71)90077-8","ISBN":"0022-3115","ISSN":"00223115","abstract":"An analysis is given of the crystallography of deformation twinning in α-plutonium, which has sixteen atoms in its monoclinic unit cell. The 20 twinning modes with the smallest possible shears consistent with all or one-half of the lattice points shearing directly to correct twin positions are tabulated. However in a structure with this degree of complexity the atomic shuffles accompanying any twinning shear must, of necessity, be very involved. In order to analyse these shuffles a simple pseudo-structure with only two atoms in its monoclinic unit cell is introduced. The twinning modes in this structure which correspond to the 20 modes obtained previously for the true structure are then examined and it is deduced that only two modes are acceptable. These have twinning elements K1K2η1η2g given by (001) (2&amp;#x0304;01) [1&amp;#x0304;00] [102]; 0.159 (2&amp;#x0304;01) (001) [102] [1&amp;#x0304;00]; 0.159. These modes were also predicted in an earlier analysis by Sebilleau. The detailed atomic shuffles associated with these modes are examined in both the pseudo-structure and in the true structure and it is concluded that both modes are likely to operate in practice. However, consideration of the production of twinning dislocations in the two interfaces suggests that (2&amp;#x0304;01) twins are favoured. The predictions are consistent with the very limited amount of experimental information which is available. © 1971.","author":[{"dropping-particle":"","family":"Crocker","given":"A. G.","non-dropping-particle":"","parse-names":false,"suffix":""}],"container-title":"Journal of Nuclear Materials","id":"ITEM-1","issued":{"date-parts":[["1971"]]},"title":"The crystallography of deformation-twinning in alpha-plutonium","type":"article-journal"},"uris":["http://www.mendeley.com/documents/?uuid=458038aa-30e2-44a8-8a74-ec9c55602b9e"]}],"mendeley":{"formattedCitation":"[16]","plainTextFormattedCitation":"[16]","previouslyFormattedCitation":"[18]"},"properties":{"noteIndex":0},"schema":"https://github.com/citation-style-language/schema/raw/master/csl-citation.json"}</w:instrText>
      </w:r>
      <w:r w:rsidRPr="006E5260">
        <w:rPr>
          <w:rFonts w:cstheme="minorHAnsi"/>
        </w:rPr>
        <w:fldChar w:fldCharType="separate"/>
      </w:r>
      <w:r w:rsidRPr="008F7036">
        <w:rPr>
          <w:rFonts w:cstheme="minorHAnsi"/>
          <w:noProof/>
        </w:rPr>
        <w:t>[16]</w:t>
      </w:r>
      <w:r w:rsidRPr="006E5260">
        <w:rPr>
          <w:rFonts w:cstheme="minorHAnsi"/>
        </w:rPr>
        <w:fldChar w:fldCharType="end"/>
      </w:r>
      <w:r w:rsidRPr="006E5260">
        <w:rPr>
          <w:rFonts w:cstheme="minorHAnsi"/>
        </w:rPr>
        <w:t xml:space="preserve">. </w:t>
      </w:r>
    </w:p>
    <w:p w14:paraId="0867A8A8" w14:textId="06E52FFC" w:rsidR="00B145BE" w:rsidRPr="006E5260" w:rsidRDefault="00B145BE" w:rsidP="00B145BE">
      <w:pPr>
        <w:spacing w:afterLines="60" w:after="144" w:line="360" w:lineRule="auto"/>
        <w:jc w:val="center"/>
        <w:rPr>
          <w:rFonts w:cstheme="minorHAnsi"/>
        </w:rPr>
      </w:pPr>
      <w:bookmarkStart w:id="296" w:name="_Toc39312743"/>
      <w:r w:rsidRPr="006E5260">
        <w:rPr>
          <w:rFonts w:cstheme="minorHAnsi"/>
          <w:b/>
          <w:sz w:val="20"/>
        </w:rPr>
        <w:t>Table</w:t>
      </w:r>
      <w:r>
        <w:rPr>
          <w:rFonts w:cstheme="minorHAnsi"/>
          <w:b/>
          <w:sz w:val="20"/>
        </w:rPr>
        <w:t xml:space="preserve"> 6-</w:t>
      </w:r>
      <w:r w:rsidRPr="00375705">
        <w:rPr>
          <w:b/>
          <w:sz w:val="20"/>
        </w:rPr>
        <w:fldChar w:fldCharType="begin"/>
      </w:r>
      <w:r w:rsidRPr="00375705">
        <w:rPr>
          <w:b/>
          <w:sz w:val="20"/>
        </w:rPr>
        <w:instrText xml:space="preserve"> SEQ Table \* ARABIC \s 1 </w:instrText>
      </w:r>
      <w:r w:rsidRPr="00375705">
        <w:rPr>
          <w:b/>
          <w:sz w:val="20"/>
        </w:rPr>
        <w:fldChar w:fldCharType="separate"/>
      </w:r>
      <w:r w:rsidRPr="00375705">
        <w:rPr>
          <w:b/>
          <w:noProof/>
          <w:sz w:val="20"/>
        </w:rPr>
        <w:t>3</w:t>
      </w:r>
      <w:r w:rsidRPr="00375705">
        <w:rPr>
          <w:b/>
          <w:sz w:val="20"/>
        </w:rPr>
        <w:fldChar w:fldCharType="end"/>
      </w:r>
      <w:r w:rsidRPr="006E5260">
        <w:rPr>
          <w:rFonts w:cstheme="minorHAnsi"/>
          <w:b/>
          <w:sz w:val="20"/>
        </w:rPr>
        <w:t xml:space="preserve"> </w:t>
      </w:r>
      <w:r w:rsidRPr="006E5260">
        <w:rPr>
          <w:rFonts w:cstheme="minorHAnsi"/>
          <w:sz w:val="20"/>
        </w:rPr>
        <w:t xml:space="preserve">Potential TTIP twinning modes with </w:t>
      </w:r>
      <w:r w:rsidRPr="006E5260">
        <w:rPr>
          <w:rFonts w:cstheme="minorHAnsi"/>
          <w:noProof/>
          <w:sz w:val="20"/>
        </w:rPr>
        <w:t>shuffling mechanism complexity</w:t>
      </w:r>
      <w:r>
        <w:rPr>
          <w:rFonts w:cstheme="minorHAnsi"/>
          <w:noProof/>
          <w:sz w:val="20"/>
        </w:rPr>
        <w:t>.</w:t>
      </w:r>
      <w:bookmarkEnd w:id="296"/>
      <w:r w:rsidRPr="006E5260">
        <w:rPr>
          <w:rFonts w:cstheme="minorHAnsi"/>
          <w:sz w:val="20"/>
        </w:rPr>
        <w:t xml:space="preserve"> </w:t>
      </w:r>
    </w:p>
    <w:tbl>
      <w:tblPr>
        <w:tblStyle w:val="afd"/>
        <w:tblW w:w="0" w:type="auto"/>
        <w:tblLook w:val="04A0" w:firstRow="1" w:lastRow="0" w:firstColumn="1" w:lastColumn="0" w:noHBand="0" w:noVBand="1"/>
      </w:tblPr>
      <w:tblGrid>
        <w:gridCol w:w="1152"/>
        <w:gridCol w:w="1152"/>
        <w:gridCol w:w="1152"/>
        <w:gridCol w:w="1152"/>
        <w:gridCol w:w="1152"/>
        <w:gridCol w:w="1152"/>
        <w:gridCol w:w="1152"/>
        <w:gridCol w:w="1152"/>
      </w:tblGrid>
      <w:tr w:rsidR="00B145BE" w:rsidRPr="006E5260" w14:paraId="3EB8A72C" w14:textId="77777777" w:rsidTr="00B145BE">
        <w:trPr>
          <w:trHeight w:hRule="exact" w:val="288"/>
        </w:trPr>
        <w:tc>
          <w:tcPr>
            <w:tcW w:w="1152" w:type="dxa"/>
            <w:tcBorders>
              <w:left w:val="nil"/>
              <w:bottom w:val="nil"/>
              <w:right w:val="nil"/>
            </w:tcBorders>
            <w:vAlign w:val="center"/>
          </w:tcPr>
          <w:p w14:paraId="0BBDEECE"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Mode</w:t>
            </w:r>
          </w:p>
        </w:tc>
        <w:tc>
          <w:tcPr>
            <w:tcW w:w="1152" w:type="dxa"/>
            <w:tcBorders>
              <w:left w:val="nil"/>
              <w:bottom w:val="nil"/>
              <w:right w:val="nil"/>
            </w:tcBorders>
            <w:vAlign w:val="center"/>
          </w:tcPr>
          <w:p w14:paraId="107F0A0A"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i/>
                <w:sz w:val="20"/>
                <w:szCs w:val="20"/>
                <w:lang w:val="en-GB"/>
              </w:rPr>
            </w:pPr>
            <w:r w:rsidRPr="009B7299">
              <w:rPr>
                <w:rFonts w:asciiTheme="minorHAnsi" w:eastAsiaTheme="minorEastAsia" w:hAnsiTheme="minorHAnsi" w:cstheme="minorHAnsi"/>
                <w:i/>
                <w:sz w:val="20"/>
                <w:szCs w:val="20"/>
                <w:lang w:val="en-GB"/>
              </w:rPr>
              <w:t>s</w:t>
            </w:r>
          </w:p>
        </w:tc>
        <w:tc>
          <w:tcPr>
            <w:tcW w:w="1152" w:type="dxa"/>
            <w:gridSpan w:val="6"/>
            <w:tcBorders>
              <w:left w:val="nil"/>
              <w:bottom w:val="single" w:sz="4" w:space="0" w:color="auto"/>
              <w:right w:val="nil"/>
            </w:tcBorders>
            <w:vAlign w:val="center"/>
          </w:tcPr>
          <w:p w14:paraId="74B0D3C2"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Orthorhombic α’’ martensite</w:t>
            </w:r>
          </w:p>
        </w:tc>
      </w:tr>
      <w:tr w:rsidR="00B145BE" w:rsidRPr="006E5260" w14:paraId="26DE481E" w14:textId="77777777" w:rsidTr="00B145BE">
        <w:trPr>
          <w:trHeight w:hRule="exact" w:val="370"/>
        </w:trPr>
        <w:tc>
          <w:tcPr>
            <w:tcW w:w="1152" w:type="dxa"/>
            <w:tcBorders>
              <w:top w:val="nil"/>
              <w:left w:val="nil"/>
              <w:bottom w:val="single" w:sz="4" w:space="0" w:color="auto"/>
              <w:right w:val="nil"/>
            </w:tcBorders>
            <w:vAlign w:val="center"/>
          </w:tcPr>
          <w:p w14:paraId="4CF219D3"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p>
        </w:tc>
        <w:tc>
          <w:tcPr>
            <w:tcW w:w="1152" w:type="dxa"/>
            <w:tcBorders>
              <w:top w:val="nil"/>
              <w:left w:val="nil"/>
              <w:bottom w:val="single" w:sz="4" w:space="0" w:color="auto"/>
              <w:right w:val="nil"/>
            </w:tcBorders>
            <w:vAlign w:val="center"/>
          </w:tcPr>
          <w:p w14:paraId="7ED5A17E"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p>
        </w:tc>
        <w:tc>
          <w:tcPr>
            <w:tcW w:w="1152" w:type="dxa"/>
            <w:tcBorders>
              <w:left w:val="nil"/>
              <w:bottom w:val="single" w:sz="4" w:space="0" w:color="auto"/>
              <w:right w:val="nil"/>
            </w:tcBorders>
            <w:vAlign w:val="center"/>
          </w:tcPr>
          <w:p w14:paraId="64A169EA" w14:textId="77777777" w:rsidR="00B145BE" w:rsidRPr="009B7299" w:rsidRDefault="00077961" w:rsidP="00B145BE">
            <w:pPr>
              <w:pStyle w:val="af4"/>
              <w:spacing w:before="0" w:beforeAutospacing="0" w:after="120" w:afterAutospacing="0"/>
              <w:jc w:val="center"/>
              <w:rPr>
                <w:rFonts w:asciiTheme="minorHAnsi" w:eastAsiaTheme="minorEastAsia" w:hAnsiTheme="minorHAnsi" w:cstheme="minorHAnsi"/>
                <w:sz w:val="20"/>
                <w:szCs w:val="20"/>
                <w:vertAlign w:val="subscript"/>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K</m:t>
                    </m:r>
                  </m:e>
                  <m:sub>
                    <m:r>
                      <w:rPr>
                        <w:rFonts w:ascii="Cambria Math" w:eastAsiaTheme="minorEastAsia" w:hAnsi="Cambria Math" w:cstheme="minorHAnsi"/>
                        <w:sz w:val="20"/>
                        <w:szCs w:val="20"/>
                        <w:lang w:val="en-GB"/>
                      </w:rPr>
                      <m:t>1/SA</m:t>
                    </m:r>
                  </m:sub>
                </m:sSub>
              </m:oMath>
            </m:oMathPara>
          </w:p>
        </w:tc>
        <w:tc>
          <w:tcPr>
            <w:tcW w:w="1152" w:type="dxa"/>
            <w:tcBorders>
              <w:left w:val="nil"/>
              <w:bottom w:val="single" w:sz="4" w:space="0" w:color="auto"/>
              <w:right w:val="nil"/>
            </w:tcBorders>
            <w:vAlign w:val="center"/>
          </w:tcPr>
          <w:p w14:paraId="1F691BB0" w14:textId="77777777" w:rsidR="00B145BE" w:rsidRPr="009B7299" w:rsidRDefault="00077961" w:rsidP="00B145BE">
            <w:pPr>
              <w:pStyle w:val="af4"/>
              <w:spacing w:before="0" w:beforeAutospacing="0" w:after="120" w:afterAutospacing="0"/>
              <w:jc w:val="center"/>
              <w:rPr>
                <w:rFonts w:asciiTheme="minorHAnsi" w:eastAsiaTheme="minorEastAsia" w:hAnsiTheme="minorHAnsi" w:cstheme="minorHAnsi"/>
                <w:sz w:val="20"/>
                <w:szCs w:val="20"/>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K</m:t>
                    </m:r>
                  </m:e>
                  <m:sub>
                    <m:r>
                      <w:rPr>
                        <w:rFonts w:ascii="Cambria Math" w:eastAsiaTheme="minorEastAsia" w:hAnsi="Cambria Math" w:cstheme="minorHAnsi"/>
                        <w:sz w:val="20"/>
                        <w:szCs w:val="20"/>
                        <w:lang w:val="en-GB"/>
                      </w:rPr>
                      <m:t>2</m:t>
                    </m:r>
                  </m:sub>
                </m:sSub>
              </m:oMath>
            </m:oMathPara>
          </w:p>
        </w:tc>
        <w:tc>
          <w:tcPr>
            <w:tcW w:w="1152" w:type="dxa"/>
            <w:tcBorders>
              <w:left w:val="nil"/>
              <w:bottom w:val="single" w:sz="4" w:space="0" w:color="auto"/>
              <w:right w:val="nil"/>
            </w:tcBorders>
            <w:vAlign w:val="center"/>
          </w:tcPr>
          <w:p w14:paraId="1E57F513" w14:textId="77777777" w:rsidR="00B145BE" w:rsidRPr="009B7299" w:rsidRDefault="00077961" w:rsidP="00B145BE">
            <w:pPr>
              <w:pStyle w:val="af4"/>
              <w:spacing w:before="0" w:beforeAutospacing="0" w:after="120" w:afterAutospacing="0"/>
              <w:jc w:val="center"/>
              <w:rPr>
                <w:rFonts w:asciiTheme="minorHAnsi" w:eastAsiaTheme="minorEastAsia" w:hAnsiTheme="minorHAnsi" w:cstheme="minorHAnsi"/>
                <w:sz w:val="20"/>
                <w:szCs w:val="20"/>
                <w:vertAlign w:val="subscript"/>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η</m:t>
                    </m:r>
                  </m:e>
                  <m:sub>
                    <m:r>
                      <w:rPr>
                        <w:rFonts w:ascii="Cambria Math" w:eastAsiaTheme="minorEastAsia" w:hAnsi="Cambria Math" w:cstheme="minorHAnsi"/>
                        <w:sz w:val="20"/>
                        <w:szCs w:val="20"/>
                        <w:lang w:val="en-GB"/>
                      </w:rPr>
                      <m:t>1</m:t>
                    </m:r>
                  </m:sub>
                </m:sSub>
              </m:oMath>
            </m:oMathPara>
          </w:p>
        </w:tc>
        <w:tc>
          <w:tcPr>
            <w:tcW w:w="1152" w:type="dxa"/>
            <w:tcBorders>
              <w:left w:val="nil"/>
              <w:bottom w:val="single" w:sz="4" w:space="0" w:color="auto"/>
              <w:right w:val="nil"/>
            </w:tcBorders>
            <w:vAlign w:val="center"/>
          </w:tcPr>
          <w:p w14:paraId="2F618DFB" w14:textId="77777777" w:rsidR="00B145BE" w:rsidRPr="009B7299" w:rsidRDefault="00077961" w:rsidP="00B145BE">
            <w:pPr>
              <w:pStyle w:val="af4"/>
              <w:spacing w:before="0" w:beforeAutospacing="0" w:after="120" w:afterAutospacing="0"/>
              <w:jc w:val="center"/>
              <w:rPr>
                <w:rFonts w:asciiTheme="minorHAnsi" w:eastAsiaTheme="minorEastAsia" w:hAnsiTheme="minorHAnsi" w:cstheme="minorHAnsi"/>
                <w:sz w:val="20"/>
                <w:szCs w:val="20"/>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η</m:t>
                    </m:r>
                  </m:e>
                  <m:sub>
                    <m:r>
                      <w:rPr>
                        <w:rFonts w:ascii="Cambria Math" w:eastAsiaTheme="minorEastAsia" w:hAnsi="Cambria Math" w:cstheme="minorHAnsi"/>
                        <w:sz w:val="20"/>
                        <w:szCs w:val="20"/>
                        <w:lang w:val="en-GB"/>
                      </w:rPr>
                      <m:t>2</m:t>
                    </m:r>
                  </m:sub>
                </m:sSub>
              </m:oMath>
            </m:oMathPara>
          </w:p>
        </w:tc>
        <w:tc>
          <w:tcPr>
            <w:tcW w:w="1152" w:type="dxa"/>
            <w:tcBorders>
              <w:left w:val="nil"/>
              <w:bottom w:val="single" w:sz="4" w:space="0" w:color="auto"/>
              <w:right w:val="nil"/>
            </w:tcBorders>
            <w:vAlign w:val="center"/>
          </w:tcPr>
          <w:p w14:paraId="4C9092E0" w14:textId="77777777" w:rsidR="00B145BE" w:rsidRPr="009B7299" w:rsidRDefault="00077961" w:rsidP="00B145BE">
            <w:pPr>
              <w:pStyle w:val="af4"/>
              <w:spacing w:before="0" w:beforeAutospacing="0" w:after="120" w:afterAutospacing="0"/>
              <w:jc w:val="center"/>
              <w:rPr>
                <w:rFonts w:asciiTheme="minorHAnsi" w:eastAsiaTheme="minorEastAsia" w:hAnsiTheme="minorHAnsi" w:cstheme="minorHAnsi"/>
                <w:sz w:val="20"/>
                <w:szCs w:val="20"/>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η</m:t>
                    </m:r>
                  </m:e>
                  <m:sub>
                    <m:r>
                      <w:rPr>
                        <w:rFonts w:ascii="Cambria Math" w:eastAsiaTheme="minorEastAsia" w:hAnsi="Cambria Math" w:cstheme="minorHAnsi"/>
                        <w:sz w:val="20"/>
                        <w:szCs w:val="20"/>
                        <w:lang w:val="en-GB"/>
                      </w:rPr>
                      <m:t>SA</m:t>
                    </m:r>
                  </m:sub>
                </m:sSub>
              </m:oMath>
            </m:oMathPara>
          </w:p>
        </w:tc>
        <w:tc>
          <w:tcPr>
            <w:tcW w:w="1152" w:type="dxa"/>
            <w:tcBorders>
              <w:left w:val="nil"/>
              <w:bottom w:val="single" w:sz="4" w:space="0" w:color="auto"/>
              <w:right w:val="nil"/>
            </w:tcBorders>
            <w:vAlign w:val="center"/>
          </w:tcPr>
          <w:p w14:paraId="615F7A28"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i/>
                <w:sz w:val="20"/>
                <w:szCs w:val="20"/>
                <w:lang w:val="en-GB"/>
              </w:rPr>
            </w:pPr>
            <m:oMathPara>
              <m:oMath>
                <m:r>
                  <w:rPr>
                    <w:rFonts w:ascii="Cambria Math" w:eastAsiaTheme="minorEastAsia" w:hAnsi="Cambria Math" w:cstheme="minorHAnsi"/>
                    <w:sz w:val="20"/>
                    <w:szCs w:val="20"/>
                    <w:lang w:val="en-GB"/>
                  </w:rPr>
                  <m:t>q</m:t>
                </m:r>
              </m:oMath>
            </m:oMathPara>
          </w:p>
        </w:tc>
      </w:tr>
      <w:tr w:rsidR="00B145BE" w:rsidRPr="006E5260" w14:paraId="6DF285CC" w14:textId="77777777" w:rsidTr="00B145BE">
        <w:trPr>
          <w:trHeight w:hRule="exact" w:val="288"/>
        </w:trPr>
        <w:tc>
          <w:tcPr>
            <w:tcW w:w="1152" w:type="dxa"/>
            <w:tcBorders>
              <w:left w:val="nil"/>
              <w:bottom w:val="nil"/>
              <w:right w:val="nil"/>
            </w:tcBorders>
            <w:vAlign w:val="center"/>
          </w:tcPr>
          <w:p w14:paraId="38817CD8"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w:t>
            </w:r>
          </w:p>
        </w:tc>
        <w:tc>
          <w:tcPr>
            <w:tcW w:w="1152" w:type="dxa"/>
            <w:tcBorders>
              <w:left w:val="nil"/>
              <w:bottom w:val="nil"/>
              <w:right w:val="nil"/>
            </w:tcBorders>
            <w:vAlign w:val="center"/>
          </w:tcPr>
          <w:p w14:paraId="5A9F2B0E"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0.3536</w:t>
            </w:r>
          </w:p>
        </w:tc>
        <w:tc>
          <w:tcPr>
            <w:tcW w:w="1152" w:type="dxa"/>
            <w:tcBorders>
              <w:left w:val="nil"/>
              <w:bottom w:val="nil"/>
              <w:right w:val="nil"/>
            </w:tcBorders>
            <w:vAlign w:val="center"/>
          </w:tcPr>
          <w:p w14:paraId="2743A7F5"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{1,1,3}</w:t>
            </w:r>
          </w:p>
        </w:tc>
        <w:tc>
          <w:tcPr>
            <w:tcW w:w="1152" w:type="dxa"/>
            <w:tcBorders>
              <w:left w:val="nil"/>
              <w:bottom w:val="nil"/>
              <w:right w:val="nil"/>
            </w:tcBorders>
            <w:vAlign w:val="center"/>
          </w:tcPr>
          <w:p w14:paraId="698F1CBF"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{3,-5,1}</w:t>
            </w:r>
          </w:p>
        </w:tc>
        <w:tc>
          <w:tcPr>
            <w:tcW w:w="1152" w:type="dxa"/>
            <w:tcBorders>
              <w:left w:val="nil"/>
              <w:bottom w:val="nil"/>
              <w:right w:val="nil"/>
            </w:tcBorders>
            <w:vAlign w:val="center"/>
          </w:tcPr>
          <w:p w14:paraId="324EB4D0"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&lt;1-10&gt;</w:t>
            </w:r>
          </w:p>
        </w:tc>
        <w:tc>
          <w:tcPr>
            <w:tcW w:w="1152" w:type="dxa"/>
            <w:tcBorders>
              <w:left w:val="nil"/>
              <w:bottom w:val="nil"/>
              <w:right w:val="nil"/>
            </w:tcBorders>
            <w:vAlign w:val="center"/>
          </w:tcPr>
          <w:p w14:paraId="107B58D8"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 1 2&gt;</w:t>
            </w:r>
          </w:p>
        </w:tc>
        <w:tc>
          <w:tcPr>
            <w:tcW w:w="1152" w:type="dxa"/>
            <w:tcBorders>
              <w:left w:val="nil"/>
              <w:bottom w:val="nil"/>
              <w:right w:val="nil"/>
            </w:tcBorders>
            <w:vAlign w:val="center"/>
          </w:tcPr>
          <w:p w14:paraId="670C22AB"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&lt;-2 -1 1&gt;</w:t>
            </w:r>
          </w:p>
        </w:tc>
        <w:tc>
          <w:tcPr>
            <w:tcW w:w="1152" w:type="dxa"/>
            <w:tcBorders>
              <w:left w:val="nil"/>
              <w:bottom w:val="nil"/>
              <w:right w:val="nil"/>
            </w:tcBorders>
            <w:vAlign w:val="center"/>
          </w:tcPr>
          <w:p w14:paraId="579AEFE8"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4</w:t>
            </w:r>
          </w:p>
        </w:tc>
      </w:tr>
      <w:tr w:rsidR="00B145BE" w:rsidRPr="006E5260" w14:paraId="2A56C5E0" w14:textId="77777777" w:rsidTr="00B145BE">
        <w:trPr>
          <w:trHeight w:hRule="exact" w:val="288"/>
        </w:trPr>
        <w:tc>
          <w:tcPr>
            <w:tcW w:w="1152" w:type="dxa"/>
            <w:tcBorders>
              <w:top w:val="nil"/>
              <w:left w:val="nil"/>
              <w:bottom w:val="nil"/>
              <w:right w:val="nil"/>
            </w:tcBorders>
            <w:vAlign w:val="center"/>
          </w:tcPr>
          <w:p w14:paraId="0C03E03E"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II</w:t>
            </w:r>
          </w:p>
        </w:tc>
        <w:tc>
          <w:tcPr>
            <w:tcW w:w="1152" w:type="dxa"/>
            <w:tcBorders>
              <w:top w:val="nil"/>
              <w:left w:val="nil"/>
              <w:bottom w:val="nil"/>
              <w:right w:val="nil"/>
            </w:tcBorders>
            <w:vAlign w:val="center"/>
          </w:tcPr>
          <w:p w14:paraId="0BBE6B31"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0.3536</w:t>
            </w:r>
          </w:p>
        </w:tc>
        <w:tc>
          <w:tcPr>
            <w:tcW w:w="1152" w:type="dxa"/>
            <w:tcBorders>
              <w:top w:val="nil"/>
              <w:left w:val="nil"/>
              <w:bottom w:val="nil"/>
              <w:right w:val="nil"/>
            </w:tcBorders>
            <w:vAlign w:val="center"/>
          </w:tcPr>
          <w:p w14:paraId="2322E0EA"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{3,5,1}</w:t>
            </w:r>
          </w:p>
        </w:tc>
        <w:tc>
          <w:tcPr>
            <w:tcW w:w="1152" w:type="dxa"/>
            <w:tcBorders>
              <w:top w:val="nil"/>
              <w:left w:val="nil"/>
              <w:bottom w:val="nil"/>
              <w:right w:val="nil"/>
            </w:tcBorders>
            <w:vAlign w:val="center"/>
          </w:tcPr>
          <w:p w14:paraId="0C1B27A2"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{1,-1,3}</w:t>
            </w:r>
          </w:p>
        </w:tc>
        <w:tc>
          <w:tcPr>
            <w:tcW w:w="1152" w:type="dxa"/>
            <w:tcBorders>
              <w:top w:val="nil"/>
              <w:left w:val="nil"/>
              <w:bottom w:val="nil"/>
              <w:right w:val="nil"/>
            </w:tcBorders>
            <w:vAlign w:val="center"/>
          </w:tcPr>
          <w:p w14:paraId="08CC354A"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&lt;1-12&gt;</w:t>
            </w:r>
          </w:p>
        </w:tc>
        <w:tc>
          <w:tcPr>
            <w:tcW w:w="1152" w:type="dxa"/>
            <w:tcBorders>
              <w:top w:val="nil"/>
              <w:left w:val="nil"/>
              <w:bottom w:val="nil"/>
              <w:right w:val="nil"/>
            </w:tcBorders>
            <w:vAlign w:val="center"/>
          </w:tcPr>
          <w:p w14:paraId="1D251DA5"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 1 0&gt;</w:t>
            </w:r>
          </w:p>
        </w:tc>
        <w:tc>
          <w:tcPr>
            <w:tcW w:w="1152" w:type="dxa"/>
            <w:tcBorders>
              <w:top w:val="nil"/>
              <w:left w:val="nil"/>
              <w:bottom w:val="nil"/>
              <w:right w:val="nil"/>
            </w:tcBorders>
            <w:vAlign w:val="center"/>
          </w:tcPr>
          <w:p w14:paraId="33EEFA8A"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&lt;-2 1 1&gt;</w:t>
            </w:r>
          </w:p>
        </w:tc>
        <w:tc>
          <w:tcPr>
            <w:tcW w:w="1152" w:type="dxa"/>
            <w:tcBorders>
              <w:top w:val="nil"/>
              <w:left w:val="nil"/>
              <w:bottom w:val="nil"/>
              <w:right w:val="nil"/>
            </w:tcBorders>
            <w:vAlign w:val="center"/>
          </w:tcPr>
          <w:p w14:paraId="720E516D"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4</w:t>
            </w:r>
          </w:p>
        </w:tc>
      </w:tr>
      <w:tr w:rsidR="00B145BE" w:rsidRPr="006E5260" w14:paraId="39E7EA44" w14:textId="77777777" w:rsidTr="00B145BE">
        <w:trPr>
          <w:trHeight w:hRule="exact" w:val="288"/>
        </w:trPr>
        <w:tc>
          <w:tcPr>
            <w:tcW w:w="1152" w:type="dxa"/>
            <w:tcBorders>
              <w:top w:val="nil"/>
              <w:left w:val="nil"/>
              <w:bottom w:val="nil"/>
              <w:right w:val="nil"/>
            </w:tcBorders>
            <w:vAlign w:val="center"/>
          </w:tcPr>
          <w:p w14:paraId="5DF1DED7"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III</w:t>
            </w:r>
          </w:p>
        </w:tc>
        <w:tc>
          <w:tcPr>
            <w:tcW w:w="1152" w:type="dxa"/>
            <w:tcBorders>
              <w:top w:val="nil"/>
              <w:left w:val="nil"/>
              <w:bottom w:val="nil"/>
              <w:right w:val="nil"/>
            </w:tcBorders>
            <w:vAlign w:val="center"/>
          </w:tcPr>
          <w:p w14:paraId="22FECE5A"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0.6124</w:t>
            </w:r>
          </w:p>
        </w:tc>
        <w:tc>
          <w:tcPr>
            <w:tcW w:w="1152" w:type="dxa"/>
            <w:tcBorders>
              <w:top w:val="nil"/>
              <w:left w:val="nil"/>
              <w:bottom w:val="nil"/>
              <w:right w:val="nil"/>
            </w:tcBorders>
            <w:vAlign w:val="center"/>
          </w:tcPr>
          <w:p w14:paraId="243F09EB"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{1,1,1}</w:t>
            </w:r>
          </w:p>
        </w:tc>
        <w:tc>
          <w:tcPr>
            <w:tcW w:w="1152" w:type="dxa"/>
            <w:tcBorders>
              <w:top w:val="nil"/>
              <w:left w:val="nil"/>
              <w:bottom w:val="nil"/>
              <w:right w:val="nil"/>
            </w:tcBorders>
            <w:vAlign w:val="center"/>
          </w:tcPr>
          <w:p w14:paraId="216C5131"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{-5,19,3}</w:t>
            </w:r>
          </w:p>
        </w:tc>
        <w:tc>
          <w:tcPr>
            <w:tcW w:w="1152" w:type="dxa"/>
            <w:tcBorders>
              <w:top w:val="nil"/>
              <w:left w:val="nil"/>
              <w:bottom w:val="nil"/>
              <w:right w:val="nil"/>
            </w:tcBorders>
            <w:vAlign w:val="center"/>
          </w:tcPr>
          <w:p w14:paraId="53738FF4"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&lt;-110&gt;</w:t>
            </w:r>
          </w:p>
        </w:tc>
        <w:tc>
          <w:tcPr>
            <w:tcW w:w="1152" w:type="dxa"/>
            <w:tcBorders>
              <w:top w:val="nil"/>
              <w:left w:val="nil"/>
              <w:bottom w:val="nil"/>
              <w:right w:val="nil"/>
            </w:tcBorders>
            <w:vAlign w:val="center"/>
          </w:tcPr>
          <w:p w14:paraId="1366649A"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&lt;5 1 2&gt;</w:t>
            </w:r>
          </w:p>
        </w:tc>
        <w:tc>
          <w:tcPr>
            <w:tcW w:w="1152" w:type="dxa"/>
            <w:tcBorders>
              <w:top w:val="nil"/>
              <w:left w:val="nil"/>
              <w:bottom w:val="nil"/>
              <w:right w:val="nil"/>
            </w:tcBorders>
            <w:vAlign w:val="center"/>
          </w:tcPr>
          <w:p w14:paraId="5A2E1D11"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&lt;-2 1 1&gt;</w:t>
            </w:r>
          </w:p>
        </w:tc>
        <w:tc>
          <w:tcPr>
            <w:tcW w:w="1152" w:type="dxa"/>
            <w:tcBorders>
              <w:top w:val="nil"/>
              <w:left w:val="nil"/>
              <w:bottom w:val="nil"/>
              <w:right w:val="nil"/>
            </w:tcBorders>
            <w:vAlign w:val="center"/>
          </w:tcPr>
          <w:p w14:paraId="361E0D10"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4</w:t>
            </w:r>
          </w:p>
        </w:tc>
      </w:tr>
      <w:tr w:rsidR="00B145BE" w:rsidRPr="006E5260" w14:paraId="09C73618" w14:textId="77777777" w:rsidTr="00B145BE">
        <w:trPr>
          <w:trHeight w:hRule="exact" w:val="288"/>
        </w:trPr>
        <w:tc>
          <w:tcPr>
            <w:tcW w:w="1152" w:type="dxa"/>
            <w:tcBorders>
              <w:top w:val="nil"/>
              <w:left w:val="nil"/>
              <w:bottom w:val="nil"/>
              <w:right w:val="nil"/>
            </w:tcBorders>
            <w:vAlign w:val="center"/>
          </w:tcPr>
          <w:p w14:paraId="1113092C"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IV</w:t>
            </w:r>
          </w:p>
        </w:tc>
        <w:tc>
          <w:tcPr>
            <w:tcW w:w="1152" w:type="dxa"/>
            <w:tcBorders>
              <w:top w:val="nil"/>
              <w:left w:val="nil"/>
              <w:bottom w:val="nil"/>
              <w:right w:val="nil"/>
            </w:tcBorders>
            <w:vAlign w:val="center"/>
          </w:tcPr>
          <w:p w14:paraId="2253A7FD"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0.7071</w:t>
            </w:r>
          </w:p>
        </w:tc>
        <w:tc>
          <w:tcPr>
            <w:tcW w:w="1152" w:type="dxa"/>
            <w:tcBorders>
              <w:top w:val="nil"/>
              <w:left w:val="nil"/>
              <w:bottom w:val="nil"/>
              <w:right w:val="nil"/>
            </w:tcBorders>
            <w:vAlign w:val="center"/>
          </w:tcPr>
          <w:p w14:paraId="7E6067ED"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{1,3,1}</w:t>
            </w:r>
          </w:p>
        </w:tc>
        <w:tc>
          <w:tcPr>
            <w:tcW w:w="1152" w:type="dxa"/>
            <w:tcBorders>
              <w:top w:val="nil"/>
              <w:left w:val="nil"/>
              <w:bottom w:val="nil"/>
              <w:right w:val="nil"/>
            </w:tcBorders>
            <w:vAlign w:val="center"/>
          </w:tcPr>
          <w:p w14:paraId="537FF931"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{-1,1,3}</w:t>
            </w:r>
          </w:p>
        </w:tc>
        <w:tc>
          <w:tcPr>
            <w:tcW w:w="1152" w:type="dxa"/>
            <w:tcBorders>
              <w:top w:val="nil"/>
              <w:left w:val="nil"/>
              <w:bottom w:val="nil"/>
              <w:right w:val="nil"/>
            </w:tcBorders>
            <w:vAlign w:val="center"/>
          </w:tcPr>
          <w:p w14:paraId="6F879DA5"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&lt;-101&gt;</w:t>
            </w:r>
          </w:p>
        </w:tc>
        <w:tc>
          <w:tcPr>
            <w:tcW w:w="1152" w:type="dxa"/>
            <w:tcBorders>
              <w:top w:val="nil"/>
              <w:left w:val="nil"/>
              <w:bottom w:val="nil"/>
              <w:right w:val="nil"/>
            </w:tcBorders>
            <w:vAlign w:val="center"/>
          </w:tcPr>
          <w:p w14:paraId="40B7C2C5"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 1 0&gt;</w:t>
            </w:r>
          </w:p>
        </w:tc>
        <w:tc>
          <w:tcPr>
            <w:tcW w:w="1152" w:type="dxa"/>
            <w:tcBorders>
              <w:top w:val="nil"/>
              <w:left w:val="nil"/>
              <w:bottom w:val="nil"/>
              <w:right w:val="nil"/>
            </w:tcBorders>
            <w:vAlign w:val="center"/>
          </w:tcPr>
          <w:p w14:paraId="64B7D4E8"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&lt;-2 1 -1&gt;</w:t>
            </w:r>
          </w:p>
        </w:tc>
        <w:tc>
          <w:tcPr>
            <w:tcW w:w="1152" w:type="dxa"/>
            <w:tcBorders>
              <w:top w:val="nil"/>
              <w:left w:val="nil"/>
              <w:bottom w:val="nil"/>
              <w:right w:val="nil"/>
            </w:tcBorders>
            <w:vAlign w:val="center"/>
          </w:tcPr>
          <w:p w14:paraId="7B6FC436"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2</w:t>
            </w:r>
          </w:p>
        </w:tc>
      </w:tr>
      <w:tr w:rsidR="00B145BE" w:rsidRPr="006E5260" w14:paraId="24584E25" w14:textId="77777777" w:rsidTr="00B145BE">
        <w:trPr>
          <w:trHeight w:hRule="exact" w:val="410"/>
        </w:trPr>
        <w:tc>
          <w:tcPr>
            <w:tcW w:w="1152" w:type="dxa"/>
            <w:tcBorders>
              <w:top w:val="nil"/>
              <w:left w:val="nil"/>
              <w:right w:val="nil"/>
            </w:tcBorders>
            <w:vAlign w:val="center"/>
          </w:tcPr>
          <w:p w14:paraId="3A72EE8A"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V</w:t>
            </w:r>
          </w:p>
        </w:tc>
        <w:tc>
          <w:tcPr>
            <w:tcW w:w="1152" w:type="dxa"/>
            <w:tcBorders>
              <w:top w:val="nil"/>
              <w:left w:val="nil"/>
              <w:right w:val="nil"/>
            </w:tcBorders>
            <w:vAlign w:val="center"/>
          </w:tcPr>
          <w:p w14:paraId="66360A55"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0.7071</w:t>
            </w:r>
          </w:p>
        </w:tc>
        <w:tc>
          <w:tcPr>
            <w:tcW w:w="1152" w:type="dxa"/>
            <w:tcBorders>
              <w:top w:val="nil"/>
              <w:left w:val="nil"/>
              <w:right w:val="nil"/>
            </w:tcBorders>
            <w:vAlign w:val="center"/>
          </w:tcPr>
          <w:p w14:paraId="423755CA"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{1,1,3}</w:t>
            </w:r>
          </w:p>
        </w:tc>
        <w:tc>
          <w:tcPr>
            <w:tcW w:w="1152" w:type="dxa"/>
            <w:tcBorders>
              <w:top w:val="nil"/>
              <w:left w:val="nil"/>
              <w:right w:val="nil"/>
            </w:tcBorders>
            <w:vAlign w:val="center"/>
          </w:tcPr>
          <w:p w14:paraId="5FE30A56"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{-1,3,1}</w:t>
            </w:r>
          </w:p>
        </w:tc>
        <w:tc>
          <w:tcPr>
            <w:tcW w:w="1152" w:type="dxa"/>
            <w:tcBorders>
              <w:top w:val="nil"/>
              <w:left w:val="nil"/>
              <w:right w:val="nil"/>
            </w:tcBorders>
            <w:vAlign w:val="center"/>
          </w:tcPr>
          <w:p w14:paraId="24106AEC"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&lt;-110&gt;</w:t>
            </w:r>
          </w:p>
        </w:tc>
        <w:tc>
          <w:tcPr>
            <w:tcW w:w="1152" w:type="dxa"/>
            <w:tcBorders>
              <w:top w:val="nil"/>
              <w:left w:val="nil"/>
              <w:right w:val="nil"/>
            </w:tcBorders>
            <w:vAlign w:val="center"/>
          </w:tcPr>
          <w:p w14:paraId="24E2A5DF"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 0 1&gt;</w:t>
            </w:r>
          </w:p>
        </w:tc>
        <w:tc>
          <w:tcPr>
            <w:tcW w:w="1152" w:type="dxa"/>
            <w:tcBorders>
              <w:top w:val="nil"/>
              <w:left w:val="nil"/>
              <w:right w:val="nil"/>
            </w:tcBorders>
            <w:vAlign w:val="center"/>
          </w:tcPr>
          <w:p w14:paraId="26021017"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&lt;-2 -1 1&gt;</w:t>
            </w:r>
          </w:p>
        </w:tc>
        <w:tc>
          <w:tcPr>
            <w:tcW w:w="1152" w:type="dxa"/>
            <w:tcBorders>
              <w:top w:val="nil"/>
              <w:left w:val="nil"/>
              <w:right w:val="nil"/>
            </w:tcBorders>
            <w:vAlign w:val="center"/>
          </w:tcPr>
          <w:p w14:paraId="382FFF0C" w14:textId="77777777" w:rsidR="00B145BE" w:rsidRPr="009B7299" w:rsidRDefault="00B145BE" w:rsidP="00B145BE">
            <w:pPr>
              <w:pStyle w:val="af4"/>
              <w:keepNext/>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4</w:t>
            </w:r>
          </w:p>
        </w:tc>
      </w:tr>
    </w:tbl>
    <w:p w14:paraId="6ABAB2A9" w14:textId="67CB29CC" w:rsidR="00B145BE" w:rsidRDefault="00B145BE" w:rsidP="00B145BE">
      <w:pPr>
        <w:spacing w:afterLines="60" w:after="144" w:line="360" w:lineRule="auto"/>
        <w:jc w:val="both"/>
        <w:rPr>
          <w:rFonts w:cstheme="minorHAnsi"/>
        </w:rPr>
      </w:pPr>
      <w:r w:rsidRPr="006E5260">
        <w:rPr>
          <w:rFonts w:cstheme="minorHAnsi"/>
          <w:noProof/>
        </w:rPr>
        <w:t>Primary</w:t>
      </w:r>
      <w:r w:rsidRPr="006E5260">
        <w:rPr>
          <w:rFonts w:cstheme="minorHAnsi"/>
        </w:rPr>
        <w:t xml:space="preserve"> selection </w:t>
      </w:r>
      <w:r w:rsidRPr="006E5260">
        <w:rPr>
          <w:rFonts w:cstheme="minorHAnsi"/>
          <w:noProof/>
        </w:rPr>
        <w:t>was conducted</w:t>
      </w:r>
      <w:r w:rsidRPr="006E5260">
        <w:rPr>
          <w:rFonts w:cstheme="minorHAnsi"/>
        </w:rPr>
        <w:t xml:space="preserve"> by comparing the magnitude of the </w:t>
      </w:r>
      <w:r w:rsidRPr="006E5260">
        <w:rPr>
          <w:rFonts w:cstheme="minorHAnsi"/>
          <w:noProof/>
        </w:rPr>
        <w:t>shear</w:t>
      </w:r>
      <w:r w:rsidRPr="006E5260">
        <w:rPr>
          <w:rFonts w:cstheme="minorHAnsi"/>
        </w:rPr>
        <w:t xml:space="preserve"> vector</w:t>
      </w:r>
      <w:r>
        <w:rPr>
          <w:rFonts w:cstheme="minorHAnsi"/>
        </w:rPr>
        <w:t>, as well as the</w:t>
      </w:r>
      <w:r w:rsidRPr="006E5260">
        <w:rPr>
          <w:rFonts w:cstheme="minorHAnsi"/>
        </w:rPr>
        <w:t xml:space="preserve"> shuffling mechanism complexity</w:t>
      </w:r>
      <w:r>
        <w:rPr>
          <w:rFonts w:cstheme="minorHAnsi"/>
        </w:rPr>
        <w:t>, in order</w:t>
      </w:r>
      <w:r w:rsidRPr="006E5260">
        <w:rPr>
          <w:rFonts w:cstheme="minorHAnsi"/>
          <w:noProof/>
        </w:rPr>
        <w:t xml:space="preserve"> to simplify the calculation process</w:t>
      </w:r>
      <w:r w:rsidRPr="006E5260">
        <w:rPr>
          <w:rFonts w:cstheme="minorHAnsi"/>
        </w:rPr>
        <w:t xml:space="preserve">. </w:t>
      </w:r>
      <w:r w:rsidRPr="006E5260">
        <w:rPr>
          <w:rFonts w:cstheme="minorHAnsi"/>
          <w:noProof/>
        </w:rPr>
        <w:t xml:space="preserve">Applying the theory of mechanical </w:t>
      </w:r>
      <w:r w:rsidRPr="006E5260">
        <w:rPr>
          <w:rFonts w:cstheme="minorHAnsi"/>
          <w:noProof/>
        </w:rPr>
        <w:lastRenderedPageBreak/>
        <w:t>deformation twinning</w:t>
      </w:r>
      <w:r w:rsidRPr="006E5260">
        <w:rPr>
          <w:rFonts w:cstheme="minorHAnsi"/>
        </w:rPr>
        <w:t>, the shear vector</w:t>
      </w:r>
      <w:r>
        <w:rPr>
          <w:rFonts w:cstheme="minorHAnsi"/>
        </w:rPr>
        <w:t>s</w:t>
      </w:r>
      <w:r w:rsidRPr="006E5260">
        <w:rPr>
          <w:rFonts w:cstheme="minorHAnsi"/>
        </w:rPr>
        <w:t xml:space="preserve"> of five modes SA twinning </w:t>
      </w:r>
      <w:r>
        <w:rPr>
          <w:rFonts w:cstheme="minorHAnsi"/>
          <w:noProof/>
        </w:rPr>
        <w:t>were</w:t>
      </w:r>
      <w:r w:rsidRPr="006E5260">
        <w:rPr>
          <w:rFonts w:cstheme="minorHAnsi"/>
          <w:noProof/>
        </w:rPr>
        <w:t xml:space="preserve"> calculated</w:t>
      </w:r>
      <w:r w:rsidRPr="006E5260">
        <w:rPr>
          <w:rFonts w:cstheme="minorHAnsi"/>
        </w:rPr>
        <w:t xml:space="preserve">. With conjugate twinning direction </w:t>
      </w:r>
      <w:r w:rsidRPr="006E5260">
        <w:rPr>
          <w:rFonts w:cstheme="minorHAnsi"/>
          <w:i/>
        </w:rPr>
        <w:t>η</w:t>
      </w:r>
      <w:r w:rsidRPr="006E5260">
        <w:rPr>
          <w:rFonts w:cstheme="minorHAnsi"/>
          <w:vertAlign w:val="subscript"/>
        </w:rPr>
        <w:t>C</w:t>
      </w:r>
      <w:r w:rsidRPr="006E5260">
        <w:rPr>
          <w:rFonts w:cstheme="minorHAnsi"/>
        </w:rPr>
        <w:t xml:space="preserve"> vertical to the SA twinning direction </w:t>
      </w:r>
      <w:r w:rsidRPr="006E5260">
        <w:rPr>
          <w:rFonts w:cstheme="minorHAnsi"/>
          <w:i/>
        </w:rPr>
        <w:t>η</w:t>
      </w:r>
      <w:r w:rsidRPr="006E5260">
        <w:rPr>
          <w:rFonts w:cstheme="minorHAnsi"/>
          <w:vertAlign w:val="subscript"/>
        </w:rPr>
        <w:t>SA</w:t>
      </w:r>
      <w:r w:rsidRPr="006E5260">
        <w:rPr>
          <w:rFonts w:cstheme="minorHAnsi"/>
        </w:rPr>
        <w:t xml:space="preserve">, in the non-deformed base-centred model shown in </w:t>
      </w:r>
      <w:r>
        <w:rPr>
          <w:rFonts w:cstheme="minorHAnsi"/>
        </w:rPr>
        <w:t>F</w:t>
      </w:r>
      <w:r w:rsidRPr="006E5260">
        <w:rPr>
          <w:rFonts w:cstheme="minorHAnsi"/>
        </w:rPr>
        <w:t xml:space="preserve">ig. </w:t>
      </w:r>
      <w:r>
        <w:rPr>
          <w:rFonts w:cstheme="minorHAnsi"/>
        </w:rPr>
        <w:t>6-</w:t>
      </w:r>
      <w:r w:rsidRPr="006E5260">
        <w:rPr>
          <w:rFonts w:cstheme="minorHAnsi"/>
        </w:rPr>
        <w:t xml:space="preserve">1, no macroscopic shear is needed for the formation of </w:t>
      </w:r>
      <w:r w:rsidRPr="006E5260">
        <w:rPr>
          <w:rFonts w:cstheme="minorHAnsi"/>
          <w:noProof/>
        </w:rPr>
        <w:t>type</w:t>
      </w:r>
      <w:r w:rsidRPr="006E5260">
        <w:rPr>
          <w:rFonts w:cstheme="minorHAnsi"/>
        </w:rPr>
        <w:t xml:space="preserve"> II &lt;-211&gt;</w:t>
      </w:r>
      <w:r w:rsidRPr="006E5260">
        <w:rPr>
          <w:rFonts w:cstheme="minorHAnsi"/>
          <w:vertAlign w:val="subscript"/>
        </w:rPr>
        <w:t>α’’</w:t>
      </w:r>
      <w:r w:rsidRPr="006E5260">
        <w:rPr>
          <w:rFonts w:cstheme="minorHAnsi"/>
        </w:rPr>
        <w:t xml:space="preserve"> SA twin</w:t>
      </w:r>
      <w:r w:rsidR="00F43EE4">
        <w:rPr>
          <w:rFonts w:cstheme="minorHAnsi"/>
        </w:rPr>
        <w:t>ning</w:t>
      </w:r>
      <w:r>
        <w:rPr>
          <w:rFonts w:cstheme="minorHAnsi"/>
        </w:rPr>
        <w:t xml:space="preserve">. This </w:t>
      </w:r>
      <w:r w:rsidRPr="006E5260">
        <w:rPr>
          <w:rFonts w:cstheme="minorHAnsi"/>
        </w:rPr>
        <w:t>explains why SA twinning is the most energetically favoured deformation product in TiZrHfTa</w:t>
      </w:r>
      <w:r w:rsidRPr="006E5260">
        <w:rPr>
          <w:rFonts w:cstheme="minorHAnsi"/>
          <w:vertAlign w:val="subscript"/>
        </w:rPr>
        <w:t>0.5</w:t>
      </w:r>
      <w:r w:rsidRPr="006E5260">
        <w:rPr>
          <w:rFonts w:cstheme="minorHAnsi"/>
        </w:rPr>
        <w:t xml:space="preserve"> at the early stage of </w:t>
      </w:r>
      <w:r w:rsidRPr="006E5260">
        <w:rPr>
          <w:rFonts w:cstheme="minorHAnsi"/>
          <w:noProof/>
        </w:rPr>
        <w:t>martensite</w:t>
      </w:r>
      <w:r w:rsidRPr="006E5260">
        <w:rPr>
          <w:rFonts w:cstheme="minorHAnsi"/>
        </w:rPr>
        <w:t xml:space="preserve"> phase transformation. Thus, to distinguish the activation sequence of the SA twinning modes listed in </w:t>
      </w:r>
      <w:r>
        <w:rPr>
          <w:rFonts w:cstheme="minorHAnsi"/>
          <w:noProof/>
        </w:rPr>
        <w:t>T</w:t>
      </w:r>
      <w:r w:rsidRPr="006E5260">
        <w:rPr>
          <w:rFonts w:cstheme="minorHAnsi"/>
          <w:noProof/>
        </w:rPr>
        <w:t>able</w:t>
      </w:r>
      <w:r w:rsidRPr="006E5260">
        <w:rPr>
          <w:rFonts w:cstheme="minorHAnsi"/>
        </w:rPr>
        <w:t xml:space="preserve">. </w:t>
      </w:r>
      <w:r>
        <w:rPr>
          <w:rFonts w:cstheme="minorHAnsi"/>
        </w:rPr>
        <w:t>6-3</w:t>
      </w:r>
      <w:r w:rsidRPr="006E5260">
        <w:rPr>
          <w:rFonts w:cstheme="minorHAnsi"/>
        </w:rPr>
        <w:t xml:space="preserve">, the lattice instability is considered. Regarding </w:t>
      </w:r>
      <w:r w:rsidRPr="006E5260">
        <w:rPr>
          <w:rFonts w:cstheme="minorHAnsi"/>
          <w:noProof/>
        </w:rPr>
        <w:t>mode</w:t>
      </w:r>
      <w:r w:rsidRPr="006E5260">
        <w:rPr>
          <w:rFonts w:cstheme="minorHAnsi"/>
        </w:rPr>
        <w:t xml:space="preserve"> I and mode V</w:t>
      </w:r>
      <w:r>
        <w:rPr>
          <w:rFonts w:cstheme="minorHAnsi"/>
        </w:rPr>
        <w:t>, these</w:t>
      </w:r>
      <w:r w:rsidRPr="006E5260">
        <w:rPr>
          <w:rFonts w:cstheme="minorHAnsi"/>
        </w:rPr>
        <w:t xml:space="preserve"> shar</w:t>
      </w:r>
      <w:r>
        <w:rPr>
          <w:rFonts w:cstheme="minorHAnsi"/>
        </w:rPr>
        <w:t>e the</w:t>
      </w:r>
      <w:r w:rsidRPr="006E5260">
        <w:rPr>
          <w:rFonts w:cstheme="minorHAnsi"/>
        </w:rPr>
        <w:t xml:space="preserve"> same lattice invariant plane</w:t>
      </w:r>
      <w:r>
        <w:rPr>
          <w:rFonts w:cstheme="minorHAnsi"/>
        </w:rPr>
        <w:t>,</w:t>
      </w:r>
      <w:r w:rsidRPr="006E5260">
        <w:rPr>
          <w:rFonts w:cstheme="minorHAnsi"/>
        </w:rPr>
        <w:t xml:space="preserve"> while the magnitude of the shear vector for mode I is near half of </w:t>
      </w:r>
      <w:r w:rsidRPr="006E5260">
        <w:rPr>
          <w:rFonts w:cstheme="minorHAnsi"/>
          <w:noProof/>
        </w:rPr>
        <w:t>mode</w:t>
      </w:r>
      <w:r w:rsidRPr="006E5260">
        <w:rPr>
          <w:rFonts w:cstheme="minorHAnsi"/>
        </w:rPr>
        <w:t xml:space="preserve"> V. Thus, only mode I-IV SA twin</w:t>
      </w:r>
      <w:r>
        <w:rPr>
          <w:rFonts w:cstheme="minorHAnsi"/>
        </w:rPr>
        <w:t>s</w:t>
      </w:r>
      <w:r w:rsidRPr="006E5260">
        <w:rPr>
          <w:rFonts w:cstheme="minorHAnsi"/>
        </w:rPr>
        <w:t xml:space="preserve"> </w:t>
      </w:r>
      <w:r w:rsidRPr="006E5260">
        <w:rPr>
          <w:rFonts w:cstheme="minorHAnsi"/>
          <w:noProof/>
        </w:rPr>
        <w:t>were considered</w:t>
      </w:r>
      <w:r w:rsidRPr="006E5260">
        <w:rPr>
          <w:rFonts w:cstheme="minorHAnsi"/>
        </w:rPr>
        <w:t xml:space="preserve"> with </w:t>
      </w:r>
      <w:r w:rsidRPr="006E5260">
        <w:rPr>
          <w:rFonts w:cstheme="minorHAnsi"/>
          <w:noProof/>
        </w:rPr>
        <w:t>double</w:t>
      </w:r>
      <w:r w:rsidRPr="006E5260">
        <w:rPr>
          <w:rFonts w:cstheme="minorHAnsi"/>
        </w:rPr>
        <w:t xml:space="preserve"> lattice structure. For the mechanical twin</w:t>
      </w:r>
      <w:r>
        <w:rPr>
          <w:rFonts w:cstheme="minorHAnsi"/>
        </w:rPr>
        <w:t>ning</w:t>
      </w:r>
      <w:r w:rsidRPr="006E5260">
        <w:rPr>
          <w:rFonts w:cstheme="minorHAnsi"/>
        </w:rPr>
        <w:t xml:space="preserve"> of </w:t>
      </w:r>
      <w:r w:rsidRPr="006E5260">
        <w:rPr>
          <w:rFonts w:cstheme="minorHAnsi"/>
          <w:noProof/>
        </w:rPr>
        <w:t>modes</w:t>
      </w:r>
      <w:r w:rsidRPr="006E5260">
        <w:rPr>
          <w:rFonts w:cstheme="minorHAnsi"/>
        </w:rPr>
        <w:t xml:space="preserve"> I-V, only </w:t>
      </w:r>
      <w:r w:rsidRPr="006E5260">
        <w:rPr>
          <w:rFonts w:cstheme="minorHAnsi"/>
          <w:noProof/>
        </w:rPr>
        <w:t>mode</w:t>
      </w:r>
      <w:r w:rsidR="00F43EE4">
        <w:rPr>
          <w:rFonts w:cstheme="minorHAnsi"/>
          <w:noProof/>
        </w:rPr>
        <w:t>s</w:t>
      </w:r>
      <w:r w:rsidRPr="006E5260">
        <w:rPr>
          <w:rFonts w:cstheme="minorHAnsi"/>
        </w:rPr>
        <w:t xml:space="preserve"> I and II possess</w:t>
      </w:r>
      <w:r>
        <w:rPr>
          <w:rFonts w:cstheme="minorHAnsi"/>
        </w:rPr>
        <w:t>ed</w:t>
      </w:r>
      <w:r w:rsidRPr="006E5260">
        <w:rPr>
          <w:rFonts w:cstheme="minorHAnsi"/>
        </w:rPr>
        <w:t xml:space="preserve"> the </w:t>
      </w:r>
      <w:r w:rsidRPr="006E5260">
        <w:rPr>
          <w:rFonts w:cstheme="minorHAnsi"/>
          <w:noProof/>
        </w:rPr>
        <w:t>smallest</w:t>
      </w:r>
      <w:r w:rsidRPr="006E5260">
        <w:rPr>
          <w:rFonts w:cstheme="minorHAnsi"/>
        </w:rPr>
        <w:t xml:space="preserve"> shear vector</w:t>
      </w:r>
      <w:r>
        <w:rPr>
          <w:rFonts w:cstheme="minorHAnsi"/>
        </w:rPr>
        <w:t>,</w:t>
      </w:r>
      <w:r w:rsidRPr="006E5260">
        <w:rPr>
          <w:rFonts w:cstheme="minorHAnsi"/>
        </w:rPr>
        <w:t xml:space="preserve"> which is </w:t>
      </w:r>
      <w:r>
        <w:rPr>
          <w:rFonts w:cstheme="minorHAnsi"/>
        </w:rPr>
        <w:t>of</w:t>
      </w:r>
      <w:r w:rsidRPr="006E5260">
        <w:rPr>
          <w:rFonts w:cstheme="minorHAnsi"/>
        </w:rPr>
        <w:t xml:space="preserve"> </w:t>
      </w:r>
      <w:r w:rsidRPr="006E5260">
        <w:rPr>
          <w:rFonts w:cstheme="minorHAnsi"/>
          <w:noProof/>
        </w:rPr>
        <w:t>primary</w:t>
      </w:r>
      <w:r w:rsidRPr="006E5260">
        <w:rPr>
          <w:rFonts w:cstheme="minorHAnsi"/>
        </w:rPr>
        <w:t xml:space="preserve"> concern for </w:t>
      </w:r>
      <w:r>
        <w:rPr>
          <w:rFonts w:cstheme="minorHAnsi"/>
        </w:rPr>
        <w:t>the</w:t>
      </w:r>
      <w:r w:rsidRPr="006E5260">
        <w:rPr>
          <w:rFonts w:cstheme="minorHAnsi"/>
        </w:rPr>
        <w:t xml:space="preserve"> activation sequence. However, mode IV </w:t>
      </w:r>
      <w:r>
        <w:rPr>
          <w:rFonts w:cstheme="minorHAnsi"/>
        </w:rPr>
        <w:t>possesses the</w:t>
      </w:r>
      <w:r w:rsidRPr="006E5260">
        <w:rPr>
          <w:rFonts w:cstheme="minorHAnsi"/>
        </w:rPr>
        <w:t xml:space="preserve"> </w:t>
      </w:r>
      <w:r w:rsidRPr="006E5260">
        <w:rPr>
          <w:rFonts w:cstheme="minorHAnsi"/>
          <w:noProof/>
        </w:rPr>
        <w:t>simplest</w:t>
      </w:r>
      <w:r w:rsidRPr="006E5260">
        <w:rPr>
          <w:rFonts w:cstheme="minorHAnsi"/>
        </w:rPr>
        <w:t xml:space="preserve"> shuffle complexity</w:t>
      </w:r>
      <w:r>
        <w:rPr>
          <w:rFonts w:cstheme="minorHAnsi"/>
        </w:rPr>
        <w:t>.</w:t>
      </w:r>
      <w:r w:rsidRPr="006E5260">
        <w:rPr>
          <w:rFonts w:cstheme="minorHAnsi"/>
        </w:rPr>
        <w:t xml:space="preserve"> </w:t>
      </w:r>
      <w:r>
        <w:rPr>
          <w:rFonts w:cstheme="minorHAnsi"/>
        </w:rPr>
        <w:t>Therefore</w:t>
      </w:r>
      <w:r w:rsidRPr="006E5260">
        <w:rPr>
          <w:rFonts w:cstheme="minorHAnsi"/>
        </w:rPr>
        <w:t xml:space="preserve">, together with the </w:t>
      </w:r>
      <w:r w:rsidRPr="006E5260">
        <w:rPr>
          <w:rFonts w:cstheme="minorHAnsi"/>
          <w:noProof/>
        </w:rPr>
        <w:t>mode</w:t>
      </w:r>
      <w:r w:rsidRPr="006E5260">
        <w:rPr>
          <w:rFonts w:cstheme="minorHAnsi"/>
        </w:rPr>
        <w:t xml:space="preserve"> I and II, </w:t>
      </w:r>
      <w:r>
        <w:rPr>
          <w:rFonts w:cstheme="minorHAnsi"/>
        </w:rPr>
        <w:t xml:space="preserve">the </w:t>
      </w:r>
      <w:r w:rsidRPr="006E5260">
        <w:rPr>
          <w:rFonts w:cstheme="minorHAnsi"/>
        </w:rPr>
        <w:t xml:space="preserve">mechanical twinning for </w:t>
      </w:r>
      <w:r w:rsidRPr="006E5260">
        <w:rPr>
          <w:rFonts w:cstheme="minorHAnsi"/>
          <w:noProof/>
        </w:rPr>
        <w:t>mode</w:t>
      </w:r>
      <w:r w:rsidRPr="006E5260">
        <w:rPr>
          <w:rFonts w:cstheme="minorHAnsi"/>
        </w:rPr>
        <w:t xml:space="preserve"> I, II and IV were considered under a </w:t>
      </w:r>
      <w:r w:rsidRPr="006E5260">
        <w:rPr>
          <w:rFonts w:cstheme="minorHAnsi"/>
          <w:noProof/>
        </w:rPr>
        <w:t>double</w:t>
      </w:r>
      <w:r w:rsidRPr="006E5260">
        <w:rPr>
          <w:rFonts w:cstheme="minorHAnsi"/>
        </w:rPr>
        <w:t xml:space="preserve"> lattice structure.       </w:t>
      </w:r>
    </w:p>
    <w:p w14:paraId="1764F9B4" w14:textId="0EAC75BD" w:rsidR="00B145BE" w:rsidRPr="0049696C" w:rsidRDefault="00B145BE" w:rsidP="00B145BE">
      <w:pPr>
        <w:spacing w:afterLines="60" w:after="144" w:line="360" w:lineRule="auto"/>
        <w:jc w:val="center"/>
        <w:rPr>
          <w:rFonts w:cstheme="minorHAnsi"/>
          <w:sz w:val="20"/>
          <w:vertAlign w:val="superscript"/>
        </w:rPr>
      </w:pPr>
      <w:bookmarkStart w:id="297" w:name="_Toc39312744"/>
      <w:r w:rsidRPr="006E5260">
        <w:rPr>
          <w:rFonts w:cstheme="minorHAnsi"/>
          <w:b/>
          <w:sz w:val="20"/>
        </w:rPr>
        <w:t>Table</w:t>
      </w:r>
      <w:r>
        <w:rPr>
          <w:rFonts w:cstheme="minorHAnsi"/>
          <w:b/>
          <w:sz w:val="20"/>
        </w:rPr>
        <w:t xml:space="preserve"> 6-</w:t>
      </w:r>
      <w:r>
        <w:rPr>
          <w:rFonts w:cstheme="minorHAnsi"/>
          <w:b/>
          <w:sz w:val="20"/>
        </w:rPr>
        <w:fldChar w:fldCharType="begin"/>
      </w:r>
      <w:r>
        <w:rPr>
          <w:rFonts w:cstheme="minorHAnsi"/>
          <w:b/>
          <w:sz w:val="20"/>
        </w:rPr>
        <w:instrText xml:space="preserve"> SEQ Table \* ARABIC \s 1 </w:instrText>
      </w:r>
      <w:r>
        <w:rPr>
          <w:rFonts w:cstheme="minorHAnsi"/>
          <w:b/>
          <w:sz w:val="20"/>
        </w:rPr>
        <w:fldChar w:fldCharType="separate"/>
      </w:r>
      <w:r>
        <w:rPr>
          <w:rFonts w:cstheme="minorHAnsi"/>
          <w:b/>
          <w:noProof/>
          <w:sz w:val="20"/>
        </w:rPr>
        <w:t>4</w:t>
      </w:r>
      <w:r>
        <w:rPr>
          <w:rFonts w:cstheme="minorHAnsi"/>
          <w:b/>
          <w:sz w:val="20"/>
        </w:rPr>
        <w:fldChar w:fldCharType="end"/>
      </w:r>
      <w:r w:rsidRPr="006E5260">
        <w:rPr>
          <w:rFonts w:cstheme="minorHAnsi"/>
          <w:b/>
          <w:sz w:val="20"/>
        </w:rPr>
        <w:t xml:space="preserve"> </w:t>
      </w:r>
      <w:r>
        <w:rPr>
          <w:rFonts w:cstheme="minorHAnsi"/>
          <w:sz w:val="20"/>
        </w:rPr>
        <w:t>Potential</w:t>
      </w:r>
      <w:r w:rsidRPr="006E5260">
        <w:rPr>
          <w:rFonts w:cstheme="minorHAnsi"/>
          <w:sz w:val="20"/>
        </w:rPr>
        <w:t xml:space="preserve"> motif units</w:t>
      </w:r>
      <w:r>
        <w:rPr>
          <w:rFonts w:cstheme="minorHAnsi"/>
          <w:sz w:val="20"/>
        </w:rPr>
        <w:t xml:space="preserve"> </w:t>
      </w:r>
      <w:r>
        <w:rPr>
          <w:rFonts w:cstheme="minorHAnsi" w:hint="eastAsia"/>
          <w:sz w:val="20"/>
        </w:rPr>
        <w:t>in</w:t>
      </w:r>
      <w:r>
        <w:rPr>
          <w:rFonts w:cstheme="minorHAnsi"/>
          <w:sz w:val="20"/>
        </w:rPr>
        <w:t xml:space="preserve"> </w:t>
      </w:r>
      <w:r w:rsidRPr="003B25EA">
        <w:rPr>
          <w:rFonts w:cstheme="minorHAnsi"/>
          <w:sz w:val="20"/>
        </w:rPr>
        <w:t>orthorhombic</w:t>
      </w:r>
      <w:r>
        <w:rPr>
          <w:rFonts w:cstheme="minorHAnsi"/>
          <w:sz w:val="20"/>
        </w:rPr>
        <w:t xml:space="preserve"> </w:t>
      </w:r>
      <w:r>
        <w:rPr>
          <w:rFonts w:cstheme="minorHAnsi" w:hint="eastAsia"/>
          <w:sz w:val="20"/>
        </w:rPr>
        <w:t>coordinates</w:t>
      </w:r>
      <w:r>
        <w:rPr>
          <w:rFonts w:cstheme="minorHAnsi"/>
          <w:sz w:val="20"/>
        </w:rPr>
        <w:t>.</w:t>
      </w:r>
      <w:bookmarkEnd w:id="297"/>
      <w:r w:rsidRPr="006E5260">
        <w:rPr>
          <w:rFonts w:cstheme="minorHAnsi"/>
          <w:sz w:val="20"/>
        </w:rPr>
        <w:t xml:space="preserve">  </w:t>
      </w:r>
    </w:p>
    <w:tbl>
      <w:tblPr>
        <w:tblStyle w:val="afd"/>
        <w:tblW w:w="0" w:type="auto"/>
        <w:jc w:val="center"/>
        <w:tblLook w:val="04A0" w:firstRow="1" w:lastRow="0" w:firstColumn="1" w:lastColumn="0" w:noHBand="0" w:noVBand="1"/>
      </w:tblPr>
      <w:tblGrid>
        <w:gridCol w:w="1037"/>
        <w:gridCol w:w="1037"/>
        <w:gridCol w:w="1037"/>
        <w:gridCol w:w="1037"/>
        <w:gridCol w:w="1037"/>
        <w:gridCol w:w="1037"/>
        <w:gridCol w:w="1037"/>
        <w:gridCol w:w="1037"/>
      </w:tblGrid>
      <w:tr w:rsidR="00B145BE" w:rsidRPr="009B7299" w14:paraId="71AE77BC" w14:textId="77777777" w:rsidTr="00B145BE">
        <w:trPr>
          <w:jc w:val="center"/>
        </w:trPr>
        <w:tc>
          <w:tcPr>
            <w:tcW w:w="1037" w:type="dxa"/>
            <w:tcBorders>
              <w:left w:val="nil"/>
              <w:bottom w:val="single" w:sz="4" w:space="0" w:color="auto"/>
              <w:right w:val="nil"/>
            </w:tcBorders>
          </w:tcPr>
          <w:p w14:paraId="17CC2EFB" w14:textId="77777777" w:rsidR="00B145BE" w:rsidRPr="009B7299" w:rsidRDefault="00B145BE" w:rsidP="00B145BE">
            <w:pPr>
              <w:spacing w:after="120"/>
              <w:jc w:val="center"/>
              <w:rPr>
                <w:rFonts w:cstheme="minorHAnsi"/>
                <w:sz w:val="20"/>
                <w:szCs w:val="20"/>
              </w:rPr>
            </w:pPr>
            <w:r w:rsidRPr="009B7299">
              <w:rPr>
                <w:rFonts w:cstheme="minorHAnsi"/>
                <w:sz w:val="20"/>
                <w:szCs w:val="20"/>
              </w:rPr>
              <w:t>Unit</w:t>
            </w:r>
          </w:p>
        </w:tc>
        <w:tc>
          <w:tcPr>
            <w:tcW w:w="1037" w:type="dxa"/>
            <w:tcBorders>
              <w:left w:val="nil"/>
              <w:bottom w:val="single" w:sz="4" w:space="0" w:color="auto"/>
              <w:right w:val="nil"/>
            </w:tcBorders>
          </w:tcPr>
          <w:p w14:paraId="0F331CB1" w14:textId="77777777" w:rsidR="00B145BE" w:rsidRPr="009B7299" w:rsidRDefault="00B145BE" w:rsidP="00B145BE">
            <w:pPr>
              <w:spacing w:after="120"/>
              <w:jc w:val="center"/>
              <w:rPr>
                <w:rFonts w:cstheme="minorHAnsi"/>
                <w:b/>
                <w:i/>
                <w:sz w:val="20"/>
                <w:szCs w:val="20"/>
              </w:rPr>
            </w:pPr>
            <w:r w:rsidRPr="009B7299">
              <w:rPr>
                <w:rFonts w:cstheme="minorHAnsi"/>
                <w:b/>
                <w:i/>
                <w:sz w:val="20"/>
                <w:szCs w:val="20"/>
              </w:rPr>
              <w:t>a</w:t>
            </w:r>
          </w:p>
        </w:tc>
        <w:tc>
          <w:tcPr>
            <w:tcW w:w="1037" w:type="dxa"/>
            <w:tcBorders>
              <w:left w:val="nil"/>
              <w:bottom w:val="single" w:sz="4" w:space="0" w:color="auto"/>
              <w:right w:val="nil"/>
            </w:tcBorders>
          </w:tcPr>
          <w:p w14:paraId="36E06D0C" w14:textId="77777777" w:rsidR="00B145BE" w:rsidRPr="009B7299" w:rsidRDefault="00B145BE" w:rsidP="00B145BE">
            <w:pPr>
              <w:spacing w:after="120"/>
              <w:jc w:val="center"/>
              <w:rPr>
                <w:rFonts w:cstheme="minorHAnsi"/>
                <w:b/>
                <w:i/>
                <w:sz w:val="20"/>
                <w:szCs w:val="20"/>
              </w:rPr>
            </w:pPr>
            <w:r w:rsidRPr="009B7299">
              <w:rPr>
                <w:rFonts w:cstheme="minorHAnsi"/>
                <w:b/>
                <w:i/>
                <w:sz w:val="20"/>
                <w:szCs w:val="20"/>
              </w:rPr>
              <w:t>b</w:t>
            </w:r>
          </w:p>
        </w:tc>
        <w:tc>
          <w:tcPr>
            <w:tcW w:w="1037" w:type="dxa"/>
            <w:tcBorders>
              <w:left w:val="nil"/>
              <w:bottom w:val="single" w:sz="4" w:space="0" w:color="auto"/>
              <w:right w:val="single" w:sz="4" w:space="0" w:color="auto"/>
            </w:tcBorders>
          </w:tcPr>
          <w:p w14:paraId="5AC4286B" w14:textId="77777777" w:rsidR="00B145BE" w:rsidRPr="009B7299" w:rsidRDefault="00B145BE" w:rsidP="00B145BE">
            <w:pPr>
              <w:spacing w:after="120"/>
              <w:jc w:val="center"/>
              <w:rPr>
                <w:rFonts w:cstheme="minorHAnsi"/>
                <w:b/>
                <w:i/>
                <w:sz w:val="20"/>
                <w:szCs w:val="20"/>
              </w:rPr>
            </w:pPr>
            <w:r w:rsidRPr="009B7299">
              <w:rPr>
                <w:rFonts w:cstheme="minorHAnsi"/>
                <w:b/>
                <w:i/>
                <w:sz w:val="20"/>
                <w:szCs w:val="20"/>
              </w:rPr>
              <w:t>c</w:t>
            </w:r>
          </w:p>
        </w:tc>
        <w:tc>
          <w:tcPr>
            <w:tcW w:w="1037" w:type="dxa"/>
            <w:tcBorders>
              <w:left w:val="single" w:sz="4" w:space="0" w:color="auto"/>
              <w:bottom w:val="single" w:sz="4" w:space="0" w:color="auto"/>
              <w:right w:val="nil"/>
            </w:tcBorders>
          </w:tcPr>
          <w:p w14:paraId="324F8084" w14:textId="77777777" w:rsidR="00B145BE" w:rsidRPr="009B7299" w:rsidRDefault="00B145BE" w:rsidP="00B145BE">
            <w:pPr>
              <w:spacing w:after="120"/>
              <w:jc w:val="center"/>
              <w:rPr>
                <w:rFonts w:cstheme="minorHAnsi"/>
                <w:sz w:val="20"/>
                <w:szCs w:val="20"/>
              </w:rPr>
            </w:pPr>
            <w:r w:rsidRPr="009B7299">
              <w:rPr>
                <w:rFonts w:cstheme="minorHAnsi"/>
                <w:sz w:val="20"/>
                <w:szCs w:val="20"/>
              </w:rPr>
              <w:t>Unit</w:t>
            </w:r>
          </w:p>
        </w:tc>
        <w:tc>
          <w:tcPr>
            <w:tcW w:w="1037" w:type="dxa"/>
            <w:tcBorders>
              <w:left w:val="nil"/>
              <w:bottom w:val="single" w:sz="4" w:space="0" w:color="auto"/>
              <w:right w:val="nil"/>
            </w:tcBorders>
          </w:tcPr>
          <w:p w14:paraId="2F021428" w14:textId="77777777" w:rsidR="00B145BE" w:rsidRPr="009B7299" w:rsidRDefault="00B145BE" w:rsidP="00B145BE">
            <w:pPr>
              <w:spacing w:after="120"/>
              <w:jc w:val="center"/>
              <w:rPr>
                <w:rFonts w:cstheme="minorHAnsi"/>
                <w:b/>
                <w:i/>
                <w:sz w:val="20"/>
                <w:szCs w:val="20"/>
              </w:rPr>
            </w:pPr>
            <w:r w:rsidRPr="009B7299">
              <w:rPr>
                <w:rFonts w:cstheme="minorHAnsi"/>
                <w:b/>
                <w:i/>
                <w:sz w:val="20"/>
                <w:szCs w:val="20"/>
              </w:rPr>
              <w:t>a</w:t>
            </w:r>
          </w:p>
        </w:tc>
        <w:tc>
          <w:tcPr>
            <w:tcW w:w="1037" w:type="dxa"/>
            <w:tcBorders>
              <w:left w:val="nil"/>
              <w:bottom w:val="single" w:sz="4" w:space="0" w:color="auto"/>
              <w:right w:val="nil"/>
            </w:tcBorders>
          </w:tcPr>
          <w:p w14:paraId="7DCC11F4" w14:textId="77777777" w:rsidR="00B145BE" w:rsidRPr="009B7299" w:rsidRDefault="00B145BE" w:rsidP="00B145BE">
            <w:pPr>
              <w:spacing w:after="120"/>
              <w:jc w:val="center"/>
              <w:rPr>
                <w:rFonts w:cstheme="minorHAnsi"/>
                <w:b/>
                <w:i/>
                <w:sz w:val="20"/>
                <w:szCs w:val="20"/>
              </w:rPr>
            </w:pPr>
            <w:r w:rsidRPr="009B7299">
              <w:rPr>
                <w:rFonts w:cstheme="minorHAnsi"/>
                <w:b/>
                <w:i/>
                <w:sz w:val="20"/>
                <w:szCs w:val="20"/>
              </w:rPr>
              <w:t>b</w:t>
            </w:r>
          </w:p>
        </w:tc>
        <w:tc>
          <w:tcPr>
            <w:tcW w:w="1037" w:type="dxa"/>
            <w:tcBorders>
              <w:left w:val="nil"/>
              <w:bottom w:val="single" w:sz="4" w:space="0" w:color="auto"/>
              <w:right w:val="nil"/>
            </w:tcBorders>
          </w:tcPr>
          <w:p w14:paraId="18D9AC2A" w14:textId="77777777" w:rsidR="00B145BE" w:rsidRPr="009B7299" w:rsidRDefault="00B145BE" w:rsidP="00B145BE">
            <w:pPr>
              <w:spacing w:after="120"/>
              <w:jc w:val="center"/>
              <w:rPr>
                <w:rFonts w:cstheme="minorHAnsi"/>
                <w:b/>
                <w:i/>
                <w:sz w:val="20"/>
                <w:szCs w:val="20"/>
              </w:rPr>
            </w:pPr>
            <w:r w:rsidRPr="009B7299">
              <w:rPr>
                <w:rFonts w:cstheme="minorHAnsi"/>
                <w:b/>
                <w:i/>
                <w:sz w:val="20"/>
                <w:szCs w:val="20"/>
              </w:rPr>
              <w:t>c</w:t>
            </w:r>
          </w:p>
        </w:tc>
      </w:tr>
      <w:tr w:rsidR="00B145BE" w:rsidRPr="009B7299" w14:paraId="04D7CF1F" w14:textId="77777777" w:rsidTr="00B145BE">
        <w:trPr>
          <w:jc w:val="center"/>
        </w:trPr>
        <w:tc>
          <w:tcPr>
            <w:tcW w:w="1037" w:type="dxa"/>
            <w:tcBorders>
              <w:left w:val="nil"/>
              <w:bottom w:val="nil"/>
              <w:right w:val="nil"/>
            </w:tcBorders>
          </w:tcPr>
          <w:p w14:paraId="4D345524" w14:textId="77777777" w:rsidR="00B145BE" w:rsidRPr="009B7299" w:rsidRDefault="00077961" w:rsidP="00B145BE">
            <w:pPr>
              <w:spacing w:after="120"/>
              <w:rPr>
                <w:rFonts w:cstheme="minorHAnsi"/>
                <w:sz w:val="20"/>
                <w:szCs w:val="20"/>
                <w:vertAlign w:val="subscript"/>
              </w:rPr>
            </w:pPr>
            <m:oMathPara>
              <m:oMath>
                <m:sSub>
                  <m:sSubPr>
                    <m:ctrlPr>
                      <w:rPr>
                        <w:rFonts w:ascii="Cambria Math" w:hAnsi="Cambria Math" w:cstheme="minorHAnsi"/>
                        <w:sz w:val="20"/>
                        <w:szCs w:val="20"/>
                        <w:vertAlign w:val="subscript"/>
                      </w:rPr>
                    </m:ctrlPr>
                  </m:sSubPr>
                  <m:e>
                    <m:r>
                      <w:rPr>
                        <w:rFonts w:ascii="Cambria Math" w:hAnsi="Cambria Math" w:cstheme="minorHAnsi"/>
                        <w:sz w:val="20"/>
                        <w:szCs w:val="20"/>
                      </w:rPr>
                      <m:t>κ</m:t>
                    </m:r>
                  </m:e>
                  <m:sub>
                    <m:r>
                      <w:rPr>
                        <w:rFonts w:ascii="Cambria Math" w:hAnsi="Cambria Math" w:cstheme="minorHAnsi"/>
                        <w:sz w:val="20"/>
                        <w:szCs w:val="20"/>
                        <w:vertAlign w:val="subscript"/>
                      </w:rPr>
                      <m:t>1</m:t>
                    </m:r>
                  </m:sub>
                </m:sSub>
              </m:oMath>
            </m:oMathPara>
          </w:p>
        </w:tc>
        <w:tc>
          <w:tcPr>
            <w:tcW w:w="1037" w:type="dxa"/>
            <w:tcBorders>
              <w:left w:val="nil"/>
              <w:bottom w:val="nil"/>
              <w:right w:val="nil"/>
            </w:tcBorders>
          </w:tcPr>
          <w:p w14:paraId="6BB32B01"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left w:val="nil"/>
              <w:bottom w:val="nil"/>
              <w:right w:val="nil"/>
            </w:tcBorders>
          </w:tcPr>
          <w:p w14:paraId="5385B8E7" w14:textId="77777777" w:rsidR="00B145BE" w:rsidRPr="009B7299" w:rsidRDefault="00B145BE" w:rsidP="00B145BE">
            <w:pPr>
              <w:spacing w:after="120"/>
              <w:jc w:val="center"/>
              <w:rPr>
                <w:rFonts w:cstheme="minorHAnsi"/>
                <w:b/>
                <w:i/>
                <w:sz w:val="20"/>
                <w:szCs w:val="20"/>
              </w:rPr>
            </w:pPr>
            <w:r w:rsidRPr="009B7299">
              <w:rPr>
                <w:rFonts w:cstheme="minorHAnsi"/>
                <w:b/>
                <w:i/>
                <w:sz w:val="20"/>
                <w:szCs w:val="20"/>
              </w:rPr>
              <w:t>σ</w:t>
            </w:r>
          </w:p>
        </w:tc>
        <w:tc>
          <w:tcPr>
            <w:tcW w:w="1037" w:type="dxa"/>
            <w:tcBorders>
              <w:left w:val="nil"/>
              <w:bottom w:val="nil"/>
            </w:tcBorders>
          </w:tcPr>
          <w:p w14:paraId="4C13535A"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bottom w:val="nil"/>
              <w:right w:val="nil"/>
            </w:tcBorders>
          </w:tcPr>
          <w:p w14:paraId="1C7190F1" w14:textId="77777777" w:rsidR="00B145BE" w:rsidRPr="009B7299" w:rsidRDefault="00077961" w:rsidP="00B145BE">
            <w:pPr>
              <w:spacing w:after="120"/>
              <w:rPr>
                <w:rFonts w:cstheme="minorHAnsi"/>
                <w:sz w:val="20"/>
                <w:szCs w:val="20"/>
              </w:rPr>
            </w:pPr>
            <m:oMathPara>
              <m:oMath>
                <m:sSub>
                  <m:sSubPr>
                    <m:ctrlPr>
                      <w:rPr>
                        <w:rFonts w:ascii="Cambria Math" w:hAnsi="Cambria Math" w:cstheme="minorHAnsi"/>
                        <w:sz w:val="20"/>
                        <w:szCs w:val="20"/>
                        <w:vertAlign w:val="subscript"/>
                      </w:rPr>
                    </m:ctrlPr>
                  </m:sSubPr>
                  <m:e>
                    <m:r>
                      <m:rPr>
                        <m:sty m:val="p"/>
                      </m:rPr>
                      <w:rPr>
                        <w:rFonts w:ascii="Cambria Math" w:hAnsi="Cambria Math" w:cstheme="minorHAnsi"/>
                        <w:sz w:val="20"/>
                        <w:szCs w:val="20"/>
                      </w:rPr>
                      <m:t>ν</m:t>
                    </m:r>
                  </m:e>
                  <m:sub>
                    <m:r>
                      <w:rPr>
                        <w:rFonts w:ascii="Cambria Math" w:hAnsi="Cambria Math" w:cstheme="minorHAnsi"/>
                        <w:sz w:val="20"/>
                        <w:szCs w:val="20"/>
                        <w:vertAlign w:val="subscript"/>
                      </w:rPr>
                      <m:t>1</m:t>
                    </m:r>
                  </m:sub>
                </m:sSub>
              </m:oMath>
            </m:oMathPara>
          </w:p>
        </w:tc>
        <w:tc>
          <w:tcPr>
            <w:tcW w:w="1037" w:type="dxa"/>
            <w:tcBorders>
              <w:left w:val="nil"/>
              <w:bottom w:val="nil"/>
              <w:right w:val="nil"/>
            </w:tcBorders>
          </w:tcPr>
          <w:p w14:paraId="4BD240F2"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left w:val="nil"/>
              <w:bottom w:val="nil"/>
              <w:right w:val="nil"/>
            </w:tcBorders>
          </w:tcPr>
          <w:p w14:paraId="5C12641F"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w:t>
            </w:r>
          </w:p>
        </w:tc>
        <w:tc>
          <w:tcPr>
            <w:tcW w:w="1037" w:type="dxa"/>
            <w:tcBorders>
              <w:left w:val="nil"/>
              <w:bottom w:val="nil"/>
              <w:right w:val="nil"/>
            </w:tcBorders>
          </w:tcPr>
          <w:p w14:paraId="4897DBCB"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r>
      <w:tr w:rsidR="00B145BE" w:rsidRPr="009B7299" w14:paraId="744B336A" w14:textId="77777777" w:rsidTr="00B145BE">
        <w:trPr>
          <w:jc w:val="center"/>
        </w:trPr>
        <w:tc>
          <w:tcPr>
            <w:tcW w:w="1037" w:type="dxa"/>
            <w:tcBorders>
              <w:top w:val="nil"/>
              <w:left w:val="nil"/>
              <w:bottom w:val="nil"/>
              <w:right w:val="nil"/>
            </w:tcBorders>
          </w:tcPr>
          <w:p w14:paraId="6631799A" w14:textId="77777777" w:rsidR="00B145BE" w:rsidRPr="009B7299" w:rsidRDefault="00077961" w:rsidP="00B145BE">
            <w:pPr>
              <w:spacing w:after="120"/>
              <w:rPr>
                <w:rFonts w:cstheme="minorHAnsi"/>
                <w:sz w:val="20"/>
                <w:szCs w:val="20"/>
              </w:rPr>
            </w:pPr>
            <m:oMathPara>
              <m:oMath>
                <m:sSub>
                  <m:sSubPr>
                    <m:ctrlPr>
                      <w:rPr>
                        <w:rFonts w:ascii="Cambria Math" w:hAnsi="Cambria Math" w:cstheme="minorHAnsi"/>
                        <w:sz w:val="20"/>
                        <w:szCs w:val="20"/>
                        <w:vertAlign w:val="subscript"/>
                      </w:rPr>
                    </m:ctrlPr>
                  </m:sSubPr>
                  <m:e>
                    <m:r>
                      <w:rPr>
                        <w:rFonts w:ascii="Cambria Math" w:hAnsi="Cambria Math" w:cstheme="minorHAnsi"/>
                        <w:sz w:val="20"/>
                        <w:szCs w:val="20"/>
                      </w:rPr>
                      <m:t>κ</m:t>
                    </m:r>
                  </m:e>
                  <m:sub>
                    <m:r>
                      <w:rPr>
                        <w:rFonts w:ascii="Cambria Math" w:hAnsi="Cambria Math" w:cstheme="minorHAnsi"/>
                        <w:sz w:val="20"/>
                        <w:szCs w:val="20"/>
                        <w:vertAlign w:val="subscript"/>
                      </w:rPr>
                      <m:t>2</m:t>
                    </m:r>
                  </m:sub>
                </m:sSub>
              </m:oMath>
            </m:oMathPara>
          </w:p>
        </w:tc>
        <w:tc>
          <w:tcPr>
            <w:tcW w:w="1037" w:type="dxa"/>
            <w:tcBorders>
              <w:top w:val="nil"/>
              <w:left w:val="nil"/>
              <w:bottom w:val="nil"/>
              <w:right w:val="nil"/>
            </w:tcBorders>
          </w:tcPr>
          <w:p w14:paraId="131302A2"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left w:val="nil"/>
              <w:bottom w:val="nil"/>
              <w:right w:val="nil"/>
            </w:tcBorders>
          </w:tcPr>
          <w:p w14:paraId="5B58B3BA"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p>
        </w:tc>
        <w:tc>
          <w:tcPr>
            <w:tcW w:w="1037" w:type="dxa"/>
            <w:tcBorders>
              <w:top w:val="nil"/>
              <w:left w:val="nil"/>
              <w:bottom w:val="nil"/>
            </w:tcBorders>
          </w:tcPr>
          <w:p w14:paraId="74F3CD38"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bottom w:val="nil"/>
              <w:right w:val="nil"/>
            </w:tcBorders>
          </w:tcPr>
          <w:p w14:paraId="4814D7B4" w14:textId="77777777" w:rsidR="00B145BE" w:rsidRPr="009B7299" w:rsidRDefault="00077961" w:rsidP="00B145BE">
            <w:pPr>
              <w:spacing w:after="120"/>
              <w:rPr>
                <w:rFonts w:cstheme="minorHAnsi"/>
                <w:sz w:val="20"/>
                <w:szCs w:val="20"/>
              </w:rPr>
            </w:pPr>
            <m:oMathPara>
              <m:oMath>
                <m:sSub>
                  <m:sSubPr>
                    <m:ctrlPr>
                      <w:rPr>
                        <w:rFonts w:ascii="Cambria Math" w:hAnsi="Cambria Math" w:cstheme="minorHAnsi"/>
                        <w:sz w:val="20"/>
                        <w:szCs w:val="20"/>
                        <w:vertAlign w:val="subscript"/>
                      </w:rPr>
                    </m:ctrlPr>
                  </m:sSubPr>
                  <m:e>
                    <m:r>
                      <m:rPr>
                        <m:sty m:val="p"/>
                      </m:rPr>
                      <w:rPr>
                        <w:rFonts w:ascii="Cambria Math" w:hAnsi="Cambria Math" w:cstheme="minorHAnsi"/>
                        <w:sz w:val="20"/>
                        <w:szCs w:val="20"/>
                      </w:rPr>
                      <m:t>ν</m:t>
                    </m:r>
                  </m:e>
                  <m:sub>
                    <m:r>
                      <w:rPr>
                        <w:rFonts w:ascii="Cambria Math" w:hAnsi="Cambria Math" w:cstheme="minorHAnsi"/>
                        <w:sz w:val="20"/>
                        <w:szCs w:val="20"/>
                        <w:vertAlign w:val="subscript"/>
                      </w:rPr>
                      <m:t>2</m:t>
                    </m:r>
                  </m:sub>
                </m:sSub>
              </m:oMath>
            </m:oMathPara>
          </w:p>
        </w:tc>
        <w:tc>
          <w:tcPr>
            <w:tcW w:w="1037" w:type="dxa"/>
            <w:tcBorders>
              <w:top w:val="nil"/>
              <w:left w:val="nil"/>
              <w:bottom w:val="nil"/>
              <w:right w:val="nil"/>
            </w:tcBorders>
          </w:tcPr>
          <w:p w14:paraId="62A3DFB1"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left w:val="nil"/>
              <w:bottom w:val="nil"/>
              <w:right w:val="nil"/>
            </w:tcBorders>
          </w:tcPr>
          <w:p w14:paraId="43C97832"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w:t>
            </w:r>
          </w:p>
        </w:tc>
        <w:tc>
          <w:tcPr>
            <w:tcW w:w="1037" w:type="dxa"/>
            <w:tcBorders>
              <w:top w:val="nil"/>
              <w:left w:val="nil"/>
              <w:bottom w:val="nil"/>
              <w:right w:val="nil"/>
            </w:tcBorders>
          </w:tcPr>
          <w:p w14:paraId="2314E969"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r>
      <w:tr w:rsidR="00B145BE" w:rsidRPr="009B7299" w14:paraId="1D8FF0E2" w14:textId="77777777" w:rsidTr="00B145BE">
        <w:trPr>
          <w:jc w:val="center"/>
        </w:trPr>
        <w:tc>
          <w:tcPr>
            <w:tcW w:w="1037" w:type="dxa"/>
            <w:tcBorders>
              <w:top w:val="nil"/>
              <w:left w:val="nil"/>
              <w:bottom w:val="nil"/>
              <w:right w:val="nil"/>
            </w:tcBorders>
          </w:tcPr>
          <w:p w14:paraId="04005449" w14:textId="77777777" w:rsidR="00B145BE" w:rsidRPr="009B7299" w:rsidRDefault="00077961" w:rsidP="00B145BE">
            <w:pPr>
              <w:spacing w:after="120"/>
              <w:rPr>
                <w:rFonts w:cstheme="minorHAnsi"/>
                <w:sz w:val="20"/>
                <w:szCs w:val="20"/>
              </w:rPr>
            </w:pPr>
            <m:oMathPara>
              <m:oMath>
                <m:sSub>
                  <m:sSubPr>
                    <m:ctrlPr>
                      <w:rPr>
                        <w:rFonts w:ascii="Cambria Math" w:hAnsi="Cambria Math" w:cstheme="minorHAnsi"/>
                        <w:sz w:val="20"/>
                        <w:szCs w:val="20"/>
                        <w:vertAlign w:val="subscript"/>
                      </w:rPr>
                    </m:ctrlPr>
                  </m:sSubPr>
                  <m:e>
                    <m:r>
                      <w:rPr>
                        <w:rFonts w:ascii="Cambria Math" w:hAnsi="Cambria Math" w:cstheme="minorHAnsi"/>
                        <w:sz w:val="20"/>
                        <w:szCs w:val="20"/>
                      </w:rPr>
                      <m:t>κ</m:t>
                    </m:r>
                  </m:e>
                  <m:sub>
                    <m:r>
                      <w:rPr>
                        <w:rFonts w:ascii="Cambria Math" w:hAnsi="Cambria Math" w:cstheme="minorHAnsi"/>
                        <w:sz w:val="20"/>
                        <w:szCs w:val="20"/>
                        <w:vertAlign w:val="subscript"/>
                      </w:rPr>
                      <m:t>3</m:t>
                    </m:r>
                  </m:sub>
                </m:sSub>
              </m:oMath>
            </m:oMathPara>
          </w:p>
        </w:tc>
        <w:tc>
          <w:tcPr>
            <w:tcW w:w="1037" w:type="dxa"/>
            <w:tcBorders>
              <w:top w:val="nil"/>
              <w:left w:val="nil"/>
              <w:bottom w:val="nil"/>
              <w:right w:val="nil"/>
            </w:tcBorders>
          </w:tcPr>
          <w:p w14:paraId="1BAE21DB"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left w:val="nil"/>
              <w:bottom w:val="nil"/>
              <w:right w:val="nil"/>
            </w:tcBorders>
          </w:tcPr>
          <w:p w14:paraId="02557DEB"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p>
        </w:tc>
        <w:tc>
          <w:tcPr>
            <w:tcW w:w="1037" w:type="dxa"/>
            <w:tcBorders>
              <w:top w:val="nil"/>
              <w:left w:val="nil"/>
              <w:bottom w:val="nil"/>
            </w:tcBorders>
          </w:tcPr>
          <w:p w14:paraId="24CC4C0E"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bottom w:val="nil"/>
              <w:right w:val="nil"/>
            </w:tcBorders>
          </w:tcPr>
          <w:p w14:paraId="4C8E8AF5" w14:textId="77777777" w:rsidR="00B145BE" w:rsidRPr="009B7299" w:rsidRDefault="00077961" w:rsidP="00B145BE">
            <w:pPr>
              <w:spacing w:after="120"/>
              <w:rPr>
                <w:rFonts w:cstheme="minorHAnsi"/>
                <w:sz w:val="20"/>
                <w:szCs w:val="20"/>
              </w:rPr>
            </w:pPr>
            <m:oMathPara>
              <m:oMath>
                <m:sSub>
                  <m:sSubPr>
                    <m:ctrlPr>
                      <w:rPr>
                        <w:rFonts w:ascii="Cambria Math" w:hAnsi="Cambria Math" w:cstheme="minorHAnsi"/>
                        <w:sz w:val="20"/>
                        <w:szCs w:val="20"/>
                        <w:vertAlign w:val="subscript"/>
                      </w:rPr>
                    </m:ctrlPr>
                  </m:sSubPr>
                  <m:e>
                    <m:r>
                      <m:rPr>
                        <m:sty m:val="p"/>
                      </m:rPr>
                      <w:rPr>
                        <w:rFonts w:ascii="Cambria Math" w:hAnsi="Cambria Math" w:cstheme="minorHAnsi"/>
                        <w:sz w:val="20"/>
                        <w:szCs w:val="20"/>
                      </w:rPr>
                      <m:t>ν</m:t>
                    </m:r>
                  </m:e>
                  <m:sub>
                    <m:r>
                      <w:rPr>
                        <w:rFonts w:ascii="Cambria Math" w:hAnsi="Cambria Math" w:cstheme="minorHAnsi"/>
                        <w:sz w:val="20"/>
                        <w:szCs w:val="20"/>
                        <w:vertAlign w:val="subscript"/>
                      </w:rPr>
                      <m:t>3</m:t>
                    </m:r>
                  </m:sub>
                </m:sSub>
              </m:oMath>
            </m:oMathPara>
          </w:p>
        </w:tc>
        <w:tc>
          <w:tcPr>
            <w:tcW w:w="1037" w:type="dxa"/>
            <w:tcBorders>
              <w:top w:val="nil"/>
              <w:left w:val="nil"/>
              <w:bottom w:val="nil"/>
              <w:right w:val="nil"/>
            </w:tcBorders>
          </w:tcPr>
          <w:p w14:paraId="1375A9A1"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left w:val="nil"/>
              <w:bottom w:val="nil"/>
              <w:right w:val="nil"/>
            </w:tcBorders>
          </w:tcPr>
          <w:p w14:paraId="23F94A0D"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w:t>
            </w:r>
          </w:p>
        </w:tc>
        <w:tc>
          <w:tcPr>
            <w:tcW w:w="1037" w:type="dxa"/>
            <w:tcBorders>
              <w:top w:val="nil"/>
              <w:left w:val="nil"/>
              <w:bottom w:val="nil"/>
              <w:right w:val="nil"/>
            </w:tcBorders>
          </w:tcPr>
          <w:p w14:paraId="2D9A8FEB"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r>
      <w:tr w:rsidR="00B145BE" w:rsidRPr="009B7299" w14:paraId="6A0AE633" w14:textId="77777777" w:rsidTr="00B145BE">
        <w:trPr>
          <w:jc w:val="center"/>
        </w:trPr>
        <w:tc>
          <w:tcPr>
            <w:tcW w:w="1037" w:type="dxa"/>
            <w:tcBorders>
              <w:top w:val="nil"/>
              <w:left w:val="nil"/>
              <w:bottom w:val="nil"/>
              <w:right w:val="nil"/>
            </w:tcBorders>
          </w:tcPr>
          <w:p w14:paraId="3618BEA8" w14:textId="77777777" w:rsidR="00B145BE" w:rsidRPr="009B7299" w:rsidRDefault="00077961" w:rsidP="00B145BE">
            <w:pPr>
              <w:spacing w:after="120"/>
              <w:rPr>
                <w:rFonts w:cstheme="minorHAnsi"/>
                <w:sz w:val="20"/>
                <w:szCs w:val="20"/>
              </w:rPr>
            </w:pPr>
            <m:oMathPara>
              <m:oMath>
                <m:sSub>
                  <m:sSubPr>
                    <m:ctrlPr>
                      <w:rPr>
                        <w:rFonts w:ascii="Cambria Math" w:hAnsi="Cambria Math" w:cstheme="minorHAnsi"/>
                        <w:sz w:val="20"/>
                        <w:szCs w:val="20"/>
                        <w:vertAlign w:val="subscript"/>
                      </w:rPr>
                    </m:ctrlPr>
                  </m:sSubPr>
                  <m:e>
                    <m:r>
                      <w:rPr>
                        <w:rFonts w:ascii="Cambria Math" w:hAnsi="Cambria Math" w:cstheme="minorHAnsi"/>
                        <w:sz w:val="20"/>
                        <w:szCs w:val="20"/>
                      </w:rPr>
                      <m:t>κ</m:t>
                    </m:r>
                  </m:e>
                  <m:sub>
                    <m:r>
                      <w:rPr>
                        <w:rFonts w:ascii="Cambria Math" w:hAnsi="Cambria Math" w:cstheme="minorHAnsi"/>
                        <w:sz w:val="20"/>
                        <w:szCs w:val="20"/>
                        <w:vertAlign w:val="subscript"/>
                      </w:rPr>
                      <m:t>4</m:t>
                    </m:r>
                  </m:sub>
                </m:sSub>
              </m:oMath>
            </m:oMathPara>
          </w:p>
        </w:tc>
        <w:tc>
          <w:tcPr>
            <w:tcW w:w="1037" w:type="dxa"/>
            <w:tcBorders>
              <w:top w:val="nil"/>
              <w:left w:val="nil"/>
              <w:bottom w:val="nil"/>
              <w:right w:val="nil"/>
            </w:tcBorders>
          </w:tcPr>
          <w:p w14:paraId="6E57017B"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left w:val="nil"/>
              <w:bottom w:val="nil"/>
              <w:right w:val="nil"/>
            </w:tcBorders>
          </w:tcPr>
          <w:p w14:paraId="1AE0AC58"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p>
        </w:tc>
        <w:tc>
          <w:tcPr>
            <w:tcW w:w="1037" w:type="dxa"/>
            <w:tcBorders>
              <w:top w:val="nil"/>
              <w:left w:val="nil"/>
              <w:bottom w:val="nil"/>
            </w:tcBorders>
          </w:tcPr>
          <w:p w14:paraId="38406BBC"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bottom w:val="nil"/>
              <w:right w:val="nil"/>
            </w:tcBorders>
          </w:tcPr>
          <w:p w14:paraId="1A71D4E1" w14:textId="77777777" w:rsidR="00B145BE" w:rsidRPr="009B7299" w:rsidRDefault="00077961" w:rsidP="00B145BE">
            <w:pPr>
              <w:spacing w:after="120"/>
              <w:rPr>
                <w:rFonts w:cstheme="minorHAnsi"/>
                <w:sz w:val="20"/>
                <w:szCs w:val="20"/>
              </w:rPr>
            </w:pPr>
            <m:oMathPara>
              <m:oMath>
                <m:sSub>
                  <m:sSubPr>
                    <m:ctrlPr>
                      <w:rPr>
                        <w:rFonts w:ascii="Cambria Math" w:hAnsi="Cambria Math" w:cstheme="minorHAnsi"/>
                        <w:sz w:val="20"/>
                        <w:szCs w:val="20"/>
                        <w:vertAlign w:val="subscript"/>
                      </w:rPr>
                    </m:ctrlPr>
                  </m:sSubPr>
                  <m:e>
                    <m:r>
                      <m:rPr>
                        <m:sty m:val="p"/>
                      </m:rPr>
                      <w:rPr>
                        <w:rFonts w:ascii="Cambria Math" w:hAnsi="Cambria Math" w:cstheme="minorHAnsi"/>
                        <w:sz w:val="20"/>
                        <w:szCs w:val="20"/>
                      </w:rPr>
                      <m:t>ν</m:t>
                    </m:r>
                  </m:e>
                  <m:sub>
                    <m:r>
                      <w:rPr>
                        <w:rFonts w:ascii="Cambria Math" w:hAnsi="Cambria Math" w:cstheme="minorHAnsi"/>
                        <w:sz w:val="20"/>
                        <w:szCs w:val="20"/>
                        <w:vertAlign w:val="subscript"/>
                      </w:rPr>
                      <m:t>4</m:t>
                    </m:r>
                  </m:sub>
                </m:sSub>
              </m:oMath>
            </m:oMathPara>
          </w:p>
        </w:tc>
        <w:tc>
          <w:tcPr>
            <w:tcW w:w="1037" w:type="dxa"/>
            <w:tcBorders>
              <w:top w:val="nil"/>
              <w:left w:val="nil"/>
              <w:bottom w:val="nil"/>
              <w:right w:val="nil"/>
            </w:tcBorders>
          </w:tcPr>
          <w:p w14:paraId="1C007D74"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left w:val="nil"/>
              <w:bottom w:val="nil"/>
              <w:right w:val="nil"/>
            </w:tcBorders>
          </w:tcPr>
          <w:p w14:paraId="59D98A14"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w:t>
            </w:r>
          </w:p>
        </w:tc>
        <w:tc>
          <w:tcPr>
            <w:tcW w:w="1037" w:type="dxa"/>
            <w:tcBorders>
              <w:top w:val="nil"/>
              <w:left w:val="nil"/>
              <w:bottom w:val="nil"/>
              <w:right w:val="nil"/>
            </w:tcBorders>
          </w:tcPr>
          <w:p w14:paraId="09931149"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r>
      <w:tr w:rsidR="00B145BE" w:rsidRPr="009B7299" w14:paraId="06ADD3BC" w14:textId="77777777" w:rsidTr="00B145BE">
        <w:trPr>
          <w:jc w:val="center"/>
        </w:trPr>
        <w:tc>
          <w:tcPr>
            <w:tcW w:w="1037" w:type="dxa"/>
            <w:tcBorders>
              <w:top w:val="nil"/>
              <w:left w:val="nil"/>
              <w:bottom w:val="nil"/>
              <w:right w:val="nil"/>
            </w:tcBorders>
          </w:tcPr>
          <w:p w14:paraId="3F2E13B6" w14:textId="77777777" w:rsidR="00B145BE" w:rsidRPr="009B7299" w:rsidRDefault="00B145BE" w:rsidP="00B145BE">
            <w:pPr>
              <w:spacing w:after="120"/>
              <w:rPr>
                <w:rFonts w:eastAsia="宋体" w:cstheme="minorHAnsi"/>
                <w:sz w:val="20"/>
                <w:szCs w:val="20"/>
                <w:vertAlign w:val="subscript"/>
              </w:rPr>
            </w:pPr>
          </w:p>
        </w:tc>
        <w:tc>
          <w:tcPr>
            <w:tcW w:w="1037" w:type="dxa"/>
            <w:tcBorders>
              <w:top w:val="nil"/>
              <w:left w:val="nil"/>
              <w:bottom w:val="nil"/>
              <w:right w:val="nil"/>
            </w:tcBorders>
          </w:tcPr>
          <w:p w14:paraId="65B6F725" w14:textId="77777777" w:rsidR="00B145BE" w:rsidRPr="009B7299" w:rsidRDefault="00B145BE" w:rsidP="00B145BE">
            <w:pPr>
              <w:spacing w:after="120"/>
              <w:jc w:val="center"/>
              <w:rPr>
                <w:rFonts w:cstheme="minorHAnsi"/>
                <w:sz w:val="20"/>
                <w:szCs w:val="20"/>
              </w:rPr>
            </w:pPr>
          </w:p>
        </w:tc>
        <w:tc>
          <w:tcPr>
            <w:tcW w:w="1037" w:type="dxa"/>
            <w:tcBorders>
              <w:top w:val="nil"/>
              <w:left w:val="nil"/>
              <w:bottom w:val="nil"/>
              <w:right w:val="nil"/>
            </w:tcBorders>
          </w:tcPr>
          <w:p w14:paraId="373431F7" w14:textId="77777777" w:rsidR="00B145BE" w:rsidRPr="009B7299" w:rsidRDefault="00B145BE" w:rsidP="00B145BE">
            <w:pPr>
              <w:spacing w:after="120"/>
              <w:jc w:val="center"/>
              <w:rPr>
                <w:rFonts w:cstheme="minorHAnsi"/>
                <w:sz w:val="20"/>
                <w:szCs w:val="20"/>
              </w:rPr>
            </w:pPr>
          </w:p>
        </w:tc>
        <w:tc>
          <w:tcPr>
            <w:tcW w:w="1037" w:type="dxa"/>
            <w:tcBorders>
              <w:top w:val="nil"/>
              <w:left w:val="nil"/>
              <w:bottom w:val="nil"/>
            </w:tcBorders>
          </w:tcPr>
          <w:p w14:paraId="686D9D4E" w14:textId="77777777" w:rsidR="00B145BE" w:rsidRPr="009B7299" w:rsidRDefault="00B145BE" w:rsidP="00B145BE">
            <w:pPr>
              <w:spacing w:after="120"/>
              <w:jc w:val="center"/>
              <w:rPr>
                <w:rFonts w:cstheme="minorHAnsi"/>
                <w:sz w:val="20"/>
                <w:szCs w:val="20"/>
              </w:rPr>
            </w:pPr>
          </w:p>
        </w:tc>
        <w:tc>
          <w:tcPr>
            <w:tcW w:w="1037" w:type="dxa"/>
            <w:tcBorders>
              <w:top w:val="nil"/>
              <w:bottom w:val="nil"/>
              <w:right w:val="nil"/>
            </w:tcBorders>
          </w:tcPr>
          <w:p w14:paraId="5038AB9A" w14:textId="77777777" w:rsidR="00B145BE" w:rsidRPr="009B7299" w:rsidRDefault="00B145BE" w:rsidP="00B145BE">
            <w:pPr>
              <w:spacing w:after="120"/>
              <w:rPr>
                <w:rFonts w:eastAsia="宋体" w:cstheme="minorHAnsi"/>
                <w:sz w:val="20"/>
                <w:szCs w:val="20"/>
                <w:vertAlign w:val="subscript"/>
              </w:rPr>
            </w:pPr>
          </w:p>
        </w:tc>
        <w:tc>
          <w:tcPr>
            <w:tcW w:w="1037" w:type="dxa"/>
            <w:tcBorders>
              <w:top w:val="nil"/>
              <w:left w:val="nil"/>
              <w:bottom w:val="nil"/>
              <w:right w:val="nil"/>
            </w:tcBorders>
          </w:tcPr>
          <w:p w14:paraId="291C0CDC" w14:textId="77777777" w:rsidR="00B145BE" w:rsidRPr="009B7299" w:rsidRDefault="00B145BE" w:rsidP="00B145BE">
            <w:pPr>
              <w:spacing w:after="120"/>
              <w:jc w:val="center"/>
              <w:rPr>
                <w:rFonts w:cstheme="minorHAnsi"/>
                <w:sz w:val="20"/>
                <w:szCs w:val="20"/>
              </w:rPr>
            </w:pPr>
          </w:p>
        </w:tc>
        <w:tc>
          <w:tcPr>
            <w:tcW w:w="1037" w:type="dxa"/>
            <w:tcBorders>
              <w:top w:val="nil"/>
              <w:left w:val="nil"/>
              <w:bottom w:val="nil"/>
              <w:right w:val="nil"/>
            </w:tcBorders>
          </w:tcPr>
          <w:p w14:paraId="34262C90" w14:textId="77777777" w:rsidR="00B145BE" w:rsidRPr="009B7299" w:rsidRDefault="00B145BE" w:rsidP="00B145BE">
            <w:pPr>
              <w:spacing w:after="120"/>
              <w:jc w:val="center"/>
              <w:rPr>
                <w:rFonts w:cstheme="minorHAnsi"/>
                <w:sz w:val="20"/>
                <w:szCs w:val="20"/>
              </w:rPr>
            </w:pPr>
          </w:p>
        </w:tc>
        <w:tc>
          <w:tcPr>
            <w:tcW w:w="1037" w:type="dxa"/>
            <w:tcBorders>
              <w:top w:val="nil"/>
              <w:left w:val="nil"/>
              <w:bottom w:val="nil"/>
              <w:right w:val="nil"/>
            </w:tcBorders>
          </w:tcPr>
          <w:p w14:paraId="37886595" w14:textId="77777777" w:rsidR="00B145BE" w:rsidRPr="009B7299" w:rsidRDefault="00B145BE" w:rsidP="00B145BE">
            <w:pPr>
              <w:spacing w:after="120"/>
              <w:jc w:val="center"/>
              <w:rPr>
                <w:rFonts w:cstheme="minorHAnsi"/>
                <w:sz w:val="20"/>
                <w:szCs w:val="20"/>
              </w:rPr>
            </w:pPr>
          </w:p>
        </w:tc>
      </w:tr>
      <w:tr w:rsidR="00B145BE" w:rsidRPr="009B7299" w14:paraId="314B6433" w14:textId="77777777" w:rsidTr="00B145BE">
        <w:trPr>
          <w:jc w:val="center"/>
        </w:trPr>
        <w:tc>
          <w:tcPr>
            <w:tcW w:w="1037" w:type="dxa"/>
            <w:tcBorders>
              <w:top w:val="nil"/>
              <w:left w:val="nil"/>
              <w:bottom w:val="nil"/>
              <w:right w:val="nil"/>
            </w:tcBorders>
          </w:tcPr>
          <w:p w14:paraId="55A0752A" w14:textId="77777777" w:rsidR="00B145BE" w:rsidRPr="009B7299" w:rsidRDefault="00077961" w:rsidP="00B145BE">
            <w:pPr>
              <w:spacing w:after="120"/>
              <w:rPr>
                <w:rFonts w:cstheme="minorHAnsi"/>
                <w:sz w:val="20"/>
                <w:szCs w:val="20"/>
              </w:rPr>
            </w:pPr>
            <m:oMathPara>
              <m:oMath>
                <m:sSub>
                  <m:sSubPr>
                    <m:ctrlPr>
                      <w:rPr>
                        <w:rFonts w:ascii="Cambria Math" w:hAnsi="Cambria Math" w:cstheme="minorHAnsi"/>
                        <w:sz w:val="20"/>
                        <w:szCs w:val="20"/>
                        <w:vertAlign w:val="subscript"/>
                      </w:rPr>
                    </m:ctrlPr>
                  </m:sSubPr>
                  <m:e>
                    <m:r>
                      <w:rPr>
                        <w:rFonts w:ascii="Cambria Math" w:hAnsi="Cambria Math" w:cstheme="minorHAnsi"/>
                        <w:sz w:val="20"/>
                        <w:szCs w:val="20"/>
                        <w:vertAlign w:val="subscript"/>
                      </w:rPr>
                      <m:t>λ</m:t>
                    </m:r>
                  </m:e>
                  <m:sub>
                    <m:r>
                      <w:rPr>
                        <w:rFonts w:ascii="Cambria Math" w:hAnsi="Cambria Math" w:cstheme="minorHAnsi"/>
                        <w:sz w:val="20"/>
                        <w:szCs w:val="20"/>
                        <w:vertAlign w:val="subscript"/>
                      </w:rPr>
                      <m:t>1</m:t>
                    </m:r>
                  </m:sub>
                </m:sSub>
              </m:oMath>
            </m:oMathPara>
          </w:p>
        </w:tc>
        <w:tc>
          <w:tcPr>
            <w:tcW w:w="1037" w:type="dxa"/>
            <w:tcBorders>
              <w:top w:val="nil"/>
              <w:left w:val="nil"/>
              <w:bottom w:val="nil"/>
              <w:right w:val="nil"/>
            </w:tcBorders>
          </w:tcPr>
          <w:p w14:paraId="07BBA9FF" w14:textId="77777777" w:rsidR="00B145BE" w:rsidRPr="009B7299" w:rsidRDefault="00B145BE" w:rsidP="00B145BE">
            <w:pPr>
              <w:spacing w:after="120"/>
              <w:jc w:val="center"/>
              <w:rPr>
                <w:rFonts w:cstheme="minorHAnsi"/>
                <w:sz w:val="20"/>
                <w:szCs w:val="20"/>
              </w:rPr>
            </w:pPr>
            <w:r w:rsidRPr="009B7299">
              <w:rPr>
                <w:rFonts w:cstheme="minorHAnsi"/>
                <w:sz w:val="20"/>
                <w:szCs w:val="20"/>
              </w:rPr>
              <w:t>1</w:t>
            </w:r>
          </w:p>
        </w:tc>
        <w:tc>
          <w:tcPr>
            <w:tcW w:w="1037" w:type="dxa"/>
            <w:tcBorders>
              <w:top w:val="nil"/>
              <w:left w:val="nil"/>
              <w:bottom w:val="nil"/>
              <w:right w:val="nil"/>
            </w:tcBorders>
          </w:tcPr>
          <w:p w14:paraId="45755807"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-1/2</w:t>
            </w:r>
          </w:p>
        </w:tc>
        <w:tc>
          <w:tcPr>
            <w:tcW w:w="1037" w:type="dxa"/>
            <w:tcBorders>
              <w:top w:val="nil"/>
              <w:left w:val="nil"/>
              <w:bottom w:val="nil"/>
            </w:tcBorders>
          </w:tcPr>
          <w:p w14:paraId="41BEEDD1"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bottom w:val="nil"/>
              <w:right w:val="nil"/>
            </w:tcBorders>
          </w:tcPr>
          <w:p w14:paraId="54B64CA2" w14:textId="77777777" w:rsidR="00B145BE" w:rsidRPr="009B7299" w:rsidRDefault="00077961" w:rsidP="00B145BE">
            <w:pPr>
              <w:spacing w:after="120"/>
              <w:rPr>
                <w:rFonts w:cstheme="minorHAnsi"/>
                <w:sz w:val="20"/>
                <w:szCs w:val="20"/>
              </w:rPr>
            </w:pPr>
            <m:oMathPara>
              <m:oMath>
                <m:sSub>
                  <m:sSubPr>
                    <m:ctrlPr>
                      <w:rPr>
                        <w:rFonts w:ascii="Cambria Math" w:hAnsi="Cambria Math" w:cstheme="minorHAnsi"/>
                        <w:sz w:val="20"/>
                        <w:szCs w:val="20"/>
                        <w:vertAlign w:val="subscript"/>
                      </w:rPr>
                    </m:ctrlPr>
                  </m:sSubPr>
                  <m:e>
                    <m:r>
                      <m:rPr>
                        <m:sty m:val="p"/>
                      </m:rPr>
                      <w:rPr>
                        <w:rFonts w:ascii="Cambria Math" w:hAnsi="Cambria Math" w:cstheme="minorHAnsi"/>
                        <w:sz w:val="20"/>
                        <w:szCs w:val="20"/>
                      </w:rPr>
                      <m:t>ξ</m:t>
                    </m:r>
                  </m:e>
                  <m:sub>
                    <m:r>
                      <w:rPr>
                        <w:rFonts w:ascii="Cambria Math" w:hAnsi="Cambria Math" w:cstheme="minorHAnsi"/>
                        <w:sz w:val="20"/>
                        <w:szCs w:val="20"/>
                        <w:vertAlign w:val="subscript"/>
                      </w:rPr>
                      <m:t>1</m:t>
                    </m:r>
                  </m:sub>
                </m:sSub>
              </m:oMath>
            </m:oMathPara>
          </w:p>
        </w:tc>
        <w:tc>
          <w:tcPr>
            <w:tcW w:w="1037" w:type="dxa"/>
            <w:tcBorders>
              <w:top w:val="nil"/>
              <w:left w:val="nil"/>
              <w:bottom w:val="nil"/>
              <w:right w:val="nil"/>
            </w:tcBorders>
          </w:tcPr>
          <w:p w14:paraId="70A6B74B" w14:textId="77777777" w:rsidR="00B145BE" w:rsidRPr="009B7299" w:rsidRDefault="00B145BE" w:rsidP="00B145BE">
            <w:pPr>
              <w:spacing w:after="120"/>
              <w:jc w:val="center"/>
              <w:rPr>
                <w:rFonts w:cstheme="minorHAnsi"/>
                <w:sz w:val="20"/>
                <w:szCs w:val="20"/>
              </w:rPr>
            </w:pPr>
            <w:r w:rsidRPr="009B7299">
              <w:rPr>
                <w:rFonts w:cstheme="minorHAnsi"/>
                <w:sz w:val="20"/>
                <w:szCs w:val="20"/>
              </w:rPr>
              <w:t>0</w:t>
            </w:r>
          </w:p>
        </w:tc>
        <w:tc>
          <w:tcPr>
            <w:tcW w:w="1037" w:type="dxa"/>
            <w:tcBorders>
              <w:top w:val="nil"/>
              <w:left w:val="nil"/>
              <w:bottom w:val="nil"/>
              <w:right w:val="nil"/>
            </w:tcBorders>
          </w:tcPr>
          <w:p w14:paraId="46D2AD49"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-1/2</w:t>
            </w:r>
          </w:p>
        </w:tc>
        <w:tc>
          <w:tcPr>
            <w:tcW w:w="1037" w:type="dxa"/>
            <w:tcBorders>
              <w:top w:val="nil"/>
              <w:left w:val="nil"/>
              <w:bottom w:val="nil"/>
              <w:right w:val="nil"/>
            </w:tcBorders>
          </w:tcPr>
          <w:p w14:paraId="1B4E98DF"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r>
      <w:tr w:rsidR="00B145BE" w:rsidRPr="009B7299" w14:paraId="4FE6359E" w14:textId="77777777" w:rsidTr="00B145BE">
        <w:trPr>
          <w:jc w:val="center"/>
        </w:trPr>
        <w:tc>
          <w:tcPr>
            <w:tcW w:w="1037" w:type="dxa"/>
            <w:tcBorders>
              <w:top w:val="nil"/>
              <w:left w:val="nil"/>
              <w:bottom w:val="nil"/>
              <w:right w:val="nil"/>
            </w:tcBorders>
          </w:tcPr>
          <w:p w14:paraId="344FD36B" w14:textId="77777777" w:rsidR="00B145BE" w:rsidRPr="009B7299" w:rsidRDefault="00077961" w:rsidP="00B145BE">
            <w:pPr>
              <w:spacing w:after="120"/>
              <w:rPr>
                <w:rFonts w:cstheme="minorHAnsi"/>
                <w:sz w:val="20"/>
                <w:szCs w:val="20"/>
              </w:rPr>
            </w:pPr>
            <m:oMathPara>
              <m:oMath>
                <m:sSub>
                  <m:sSubPr>
                    <m:ctrlPr>
                      <w:rPr>
                        <w:rFonts w:ascii="Cambria Math" w:hAnsi="Cambria Math" w:cstheme="minorHAnsi"/>
                        <w:sz w:val="20"/>
                        <w:szCs w:val="20"/>
                        <w:vertAlign w:val="subscript"/>
                      </w:rPr>
                    </m:ctrlPr>
                  </m:sSubPr>
                  <m:e>
                    <m:r>
                      <w:rPr>
                        <w:rFonts w:ascii="Cambria Math" w:hAnsi="Cambria Math" w:cstheme="minorHAnsi"/>
                        <w:sz w:val="20"/>
                        <w:szCs w:val="20"/>
                        <w:vertAlign w:val="subscript"/>
                      </w:rPr>
                      <m:t>λ</m:t>
                    </m:r>
                  </m:e>
                  <m:sub>
                    <m:r>
                      <w:rPr>
                        <w:rFonts w:ascii="Cambria Math" w:hAnsi="Cambria Math" w:cstheme="minorHAnsi"/>
                        <w:sz w:val="20"/>
                        <w:szCs w:val="20"/>
                        <w:vertAlign w:val="subscript"/>
                      </w:rPr>
                      <m:t>2</m:t>
                    </m:r>
                  </m:sub>
                </m:sSub>
              </m:oMath>
            </m:oMathPara>
          </w:p>
        </w:tc>
        <w:tc>
          <w:tcPr>
            <w:tcW w:w="1037" w:type="dxa"/>
            <w:tcBorders>
              <w:top w:val="nil"/>
              <w:left w:val="nil"/>
              <w:bottom w:val="nil"/>
              <w:right w:val="nil"/>
            </w:tcBorders>
          </w:tcPr>
          <w:p w14:paraId="756E7002" w14:textId="77777777" w:rsidR="00B145BE" w:rsidRPr="009B7299" w:rsidRDefault="00B145BE" w:rsidP="00B145BE">
            <w:pPr>
              <w:spacing w:after="120"/>
              <w:jc w:val="center"/>
              <w:rPr>
                <w:rFonts w:cstheme="minorHAnsi"/>
                <w:sz w:val="20"/>
                <w:szCs w:val="20"/>
              </w:rPr>
            </w:pPr>
            <w:r w:rsidRPr="009B7299">
              <w:rPr>
                <w:rFonts w:cstheme="minorHAnsi"/>
                <w:sz w:val="20"/>
                <w:szCs w:val="20"/>
              </w:rPr>
              <w:t>1</w:t>
            </w:r>
          </w:p>
        </w:tc>
        <w:tc>
          <w:tcPr>
            <w:tcW w:w="1037" w:type="dxa"/>
            <w:tcBorders>
              <w:top w:val="nil"/>
              <w:left w:val="nil"/>
              <w:bottom w:val="nil"/>
              <w:right w:val="nil"/>
            </w:tcBorders>
          </w:tcPr>
          <w:p w14:paraId="28CBE926"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-1/2</w:t>
            </w:r>
          </w:p>
        </w:tc>
        <w:tc>
          <w:tcPr>
            <w:tcW w:w="1037" w:type="dxa"/>
            <w:tcBorders>
              <w:top w:val="nil"/>
              <w:left w:val="nil"/>
              <w:bottom w:val="nil"/>
            </w:tcBorders>
          </w:tcPr>
          <w:p w14:paraId="31BC2A5A"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bottom w:val="nil"/>
              <w:right w:val="nil"/>
            </w:tcBorders>
          </w:tcPr>
          <w:p w14:paraId="1AB1867B" w14:textId="77777777" w:rsidR="00B145BE" w:rsidRPr="009B7299" w:rsidRDefault="00077961" w:rsidP="00B145BE">
            <w:pPr>
              <w:spacing w:after="120"/>
              <w:rPr>
                <w:rFonts w:cstheme="minorHAnsi"/>
                <w:sz w:val="20"/>
                <w:szCs w:val="20"/>
              </w:rPr>
            </w:pPr>
            <m:oMathPara>
              <m:oMath>
                <m:sSub>
                  <m:sSubPr>
                    <m:ctrlPr>
                      <w:rPr>
                        <w:rFonts w:ascii="Cambria Math" w:hAnsi="Cambria Math" w:cstheme="minorHAnsi"/>
                        <w:sz w:val="20"/>
                        <w:szCs w:val="20"/>
                        <w:vertAlign w:val="subscript"/>
                      </w:rPr>
                    </m:ctrlPr>
                  </m:sSubPr>
                  <m:e>
                    <m:r>
                      <m:rPr>
                        <m:sty m:val="p"/>
                      </m:rPr>
                      <w:rPr>
                        <w:rFonts w:ascii="Cambria Math" w:hAnsi="Cambria Math" w:cstheme="minorHAnsi"/>
                        <w:sz w:val="20"/>
                        <w:szCs w:val="20"/>
                      </w:rPr>
                      <m:t>ξ</m:t>
                    </m:r>
                  </m:e>
                  <m:sub>
                    <m:r>
                      <w:rPr>
                        <w:rFonts w:ascii="Cambria Math" w:hAnsi="Cambria Math" w:cstheme="minorHAnsi"/>
                        <w:sz w:val="20"/>
                        <w:szCs w:val="20"/>
                        <w:vertAlign w:val="subscript"/>
                      </w:rPr>
                      <m:t>2</m:t>
                    </m:r>
                  </m:sub>
                </m:sSub>
              </m:oMath>
            </m:oMathPara>
          </w:p>
        </w:tc>
        <w:tc>
          <w:tcPr>
            <w:tcW w:w="1037" w:type="dxa"/>
            <w:tcBorders>
              <w:top w:val="nil"/>
              <w:left w:val="nil"/>
              <w:bottom w:val="nil"/>
              <w:right w:val="nil"/>
            </w:tcBorders>
          </w:tcPr>
          <w:p w14:paraId="2780D09C" w14:textId="77777777" w:rsidR="00B145BE" w:rsidRPr="009B7299" w:rsidRDefault="00B145BE" w:rsidP="00B145BE">
            <w:pPr>
              <w:spacing w:after="120"/>
              <w:jc w:val="center"/>
              <w:rPr>
                <w:rFonts w:cstheme="minorHAnsi"/>
                <w:sz w:val="20"/>
                <w:szCs w:val="20"/>
              </w:rPr>
            </w:pPr>
            <w:r w:rsidRPr="009B7299">
              <w:rPr>
                <w:rFonts w:cstheme="minorHAnsi"/>
                <w:sz w:val="20"/>
                <w:szCs w:val="20"/>
              </w:rPr>
              <w:t>0</w:t>
            </w:r>
          </w:p>
        </w:tc>
        <w:tc>
          <w:tcPr>
            <w:tcW w:w="1037" w:type="dxa"/>
            <w:tcBorders>
              <w:top w:val="nil"/>
              <w:left w:val="nil"/>
              <w:bottom w:val="nil"/>
              <w:right w:val="nil"/>
            </w:tcBorders>
          </w:tcPr>
          <w:p w14:paraId="13CFC5CB"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-1/2</w:t>
            </w:r>
          </w:p>
        </w:tc>
        <w:tc>
          <w:tcPr>
            <w:tcW w:w="1037" w:type="dxa"/>
            <w:tcBorders>
              <w:top w:val="nil"/>
              <w:left w:val="nil"/>
              <w:bottom w:val="nil"/>
              <w:right w:val="nil"/>
            </w:tcBorders>
          </w:tcPr>
          <w:p w14:paraId="24E3BD69"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r>
      <w:tr w:rsidR="00B145BE" w:rsidRPr="009B7299" w14:paraId="7274BE2A" w14:textId="77777777" w:rsidTr="00B145BE">
        <w:trPr>
          <w:jc w:val="center"/>
        </w:trPr>
        <w:tc>
          <w:tcPr>
            <w:tcW w:w="1037" w:type="dxa"/>
            <w:tcBorders>
              <w:top w:val="nil"/>
              <w:left w:val="nil"/>
              <w:bottom w:val="nil"/>
              <w:right w:val="nil"/>
            </w:tcBorders>
          </w:tcPr>
          <w:p w14:paraId="4DA3CB62" w14:textId="77777777" w:rsidR="00B145BE" w:rsidRPr="009B7299" w:rsidRDefault="00077961" w:rsidP="00B145BE">
            <w:pPr>
              <w:spacing w:after="120"/>
              <w:rPr>
                <w:rFonts w:eastAsia="宋体" w:cstheme="minorHAnsi"/>
                <w:sz w:val="20"/>
                <w:szCs w:val="20"/>
                <w:vertAlign w:val="subscript"/>
              </w:rPr>
            </w:pPr>
            <m:oMathPara>
              <m:oMath>
                <m:sSub>
                  <m:sSubPr>
                    <m:ctrlPr>
                      <w:rPr>
                        <w:rFonts w:ascii="Cambria Math" w:hAnsi="Cambria Math" w:cstheme="minorHAnsi"/>
                        <w:sz w:val="20"/>
                        <w:szCs w:val="20"/>
                        <w:vertAlign w:val="subscript"/>
                      </w:rPr>
                    </m:ctrlPr>
                  </m:sSubPr>
                  <m:e>
                    <m:r>
                      <w:rPr>
                        <w:rFonts w:ascii="Cambria Math" w:hAnsi="Cambria Math" w:cstheme="minorHAnsi"/>
                        <w:sz w:val="20"/>
                        <w:szCs w:val="20"/>
                        <w:vertAlign w:val="subscript"/>
                      </w:rPr>
                      <m:t>λ</m:t>
                    </m:r>
                  </m:e>
                  <m:sub>
                    <m:r>
                      <w:rPr>
                        <w:rFonts w:ascii="Cambria Math" w:hAnsi="Cambria Math" w:cstheme="minorHAnsi"/>
                        <w:sz w:val="20"/>
                        <w:szCs w:val="20"/>
                        <w:vertAlign w:val="subscript"/>
                      </w:rPr>
                      <m:t>3</m:t>
                    </m:r>
                  </m:sub>
                </m:sSub>
              </m:oMath>
            </m:oMathPara>
          </w:p>
        </w:tc>
        <w:tc>
          <w:tcPr>
            <w:tcW w:w="1037" w:type="dxa"/>
            <w:tcBorders>
              <w:top w:val="nil"/>
              <w:left w:val="nil"/>
              <w:bottom w:val="nil"/>
              <w:right w:val="nil"/>
            </w:tcBorders>
          </w:tcPr>
          <w:p w14:paraId="1FBE5867" w14:textId="77777777" w:rsidR="00B145BE" w:rsidRPr="009B7299" w:rsidRDefault="00B145BE" w:rsidP="00B145BE">
            <w:pPr>
              <w:spacing w:after="120"/>
              <w:jc w:val="center"/>
              <w:rPr>
                <w:rFonts w:cstheme="minorHAnsi"/>
                <w:sz w:val="20"/>
                <w:szCs w:val="20"/>
              </w:rPr>
            </w:pPr>
            <w:r w:rsidRPr="009B7299">
              <w:rPr>
                <w:rFonts w:cstheme="minorHAnsi"/>
                <w:sz w:val="20"/>
                <w:szCs w:val="20"/>
              </w:rPr>
              <w:t>-1</w:t>
            </w:r>
          </w:p>
        </w:tc>
        <w:tc>
          <w:tcPr>
            <w:tcW w:w="1037" w:type="dxa"/>
            <w:tcBorders>
              <w:top w:val="nil"/>
              <w:left w:val="nil"/>
              <w:bottom w:val="nil"/>
              <w:right w:val="nil"/>
            </w:tcBorders>
          </w:tcPr>
          <w:p w14:paraId="64522D2D"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-1/2</w:t>
            </w:r>
          </w:p>
        </w:tc>
        <w:tc>
          <w:tcPr>
            <w:tcW w:w="1037" w:type="dxa"/>
            <w:tcBorders>
              <w:top w:val="nil"/>
              <w:left w:val="nil"/>
              <w:bottom w:val="nil"/>
            </w:tcBorders>
          </w:tcPr>
          <w:p w14:paraId="3F9BF54F"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bottom w:val="nil"/>
              <w:right w:val="nil"/>
            </w:tcBorders>
          </w:tcPr>
          <w:p w14:paraId="5D1EA8FF" w14:textId="77777777" w:rsidR="00B145BE" w:rsidRPr="009B7299" w:rsidRDefault="00077961" w:rsidP="00B145BE">
            <w:pPr>
              <w:spacing w:after="120"/>
              <w:rPr>
                <w:rFonts w:eastAsia="宋体" w:cstheme="minorHAnsi"/>
                <w:sz w:val="20"/>
                <w:szCs w:val="20"/>
                <w:vertAlign w:val="subscript"/>
              </w:rPr>
            </w:pPr>
            <m:oMathPara>
              <m:oMath>
                <m:sSub>
                  <m:sSubPr>
                    <m:ctrlPr>
                      <w:rPr>
                        <w:rFonts w:ascii="Cambria Math" w:hAnsi="Cambria Math" w:cstheme="minorHAnsi"/>
                        <w:sz w:val="20"/>
                        <w:szCs w:val="20"/>
                        <w:vertAlign w:val="subscript"/>
                      </w:rPr>
                    </m:ctrlPr>
                  </m:sSubPr>
                  <m:e>
                    <m:r>
                      <m:rPr>
                        <m:sty m:val="p"/>
                      </m:rPr>
                      <w:rPr>
                        <w:rFonts w:ascii="Cambria Math" w:hAnsi="Cambria Math" w:cstheme="minorHAnsi"/>
                        <w:sz w:val="20"/>
                        <w:szCs w:val="20"/>
                      </w:rPr>
                      <m:t>ρ</m:t>
                    </m:r>
                  </m:e>
                  <m:sub>
                    <m:r>
                      <w:rPr>
                        <w:rFonts w:ascii="Cambria Math" w:hAnsi="Cambria Math" w:cstheme="minorHAnsi"/>
                        <w:sz w:val="20"/>
                        <w:szCs w:val="20"/>
                        <w:vertAlign w:val="subscript"/>
                      </w:rPr>
                      <m:t>1</m:t>
                    </m:r>
                  </m:sub>
                </m:sSub>
              </m:oMath>
            </m:oMathPara>
          </w:p>
        </w:tc>
        <w:tc>
          <w:tcPr>
            <w:tcW w:w="1037" w:type="dxa"/>
            <w:tcBorders>
              <w:top w:val="nil"/>
              <w:left w:val="nil"/>
              <w:bottom w:val="nil"/>
              <w:right w:val="nil"/>
            </w:tcBorders>
          </w:tcPr>
          <w:p w14:paraId="7C461B8B" w14:textId="77777777" w:rsidR="00B145BE" w:rsidRPr="009B7299" w:rsidRDefault="00B145BE" w:rsidP="00B145BE">
            <w:pPr>
              <w:spacing w:after="120"/>
              <w:jc w:val="center"/>
              <w:rPr>
                <w:rFonts w:cstheme="minorHAnsi"/>
                <w:sz w:val="20"/>
                <w:szCs w:val="20"/>
              </w:rPr>
            </w:pPr>
            <w:r w:rsidRPr="009B7299">
              <w:rPr>
                <w:rFonts w:cstheme="minorHAnsi"/>
                <w:sz w:val="20"/>
                <w:szCs w:val="20"/>
              </w:rPr>
              <w:t>0</w:t>
            </w:r>
          </w:p>
        </w:tc>
        <w:tc>
          <w:tcPr>
            <w:tcW w:w="1037" w:type="dxa"/>
            <w:tcBorders>
              <w:top w:val="nil"/>
              <w:left w:val="nil"/>
              <w:bottom w:val="nil"/>
              <w:right w:val="nil"/>
            </w:tcBorders>
          </w:tcPr>
          <w:p w14:paraId="289BACB1"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+1/2</w:t>
            </w:r>
          </w:p>
        </w:tc>
        <w:tc>
          <w:tcPr>
            <w:tcW w:w="1037" w:type="dxa"/>
            <w:tcBorders>
              <w:top w:val="nil"/>
              <w:left w:val="nil"/>
              <w:bottom w:val="nil"/>
              <w:right w:val="nil"/>
            </w:tcBorders>
          </w:tcPr>
          <w:p w14:paraId="773CCC41"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r>
      <w:tr w:rsidR="00B145BE" w:rsidRPr="009B7299" w14:paraId="6E79EEB5" w14:textId="77777777" w:rsidTr="00B145BE">
        <w:trPr>
          <w:jc w:val="center"/>
        </w:trPr>
        <w:tc>
          <w:tcPr>
            <w:tcW w:w="1037" w:type="dxa"/>
            <w:tcBorders>
              <w:top w:val="nil"/>
              <w:left w:val="nil"/>
              <w:bottom w:val="nil"/>
              <w:right w:val="nil"/>
            </w:tcBorders>
          </w:tcPr>
          <w:p w14:paraId="03B04879" w14:textId="77777777" w:rsidR="00B145BE" w:rsidRPr="009B7299" w:rsidRDefault="00077961" w:rsidP="00B145BE">
            <w:pPr>
              <w:spacing w:after="120"/>
              <w:rPr>
                <w:rFonts w:cstheme="minorHAnsi"/>
                <w:sz w:val="20"/>
                <w:szCs w:val="20"/>
              </w:rPr>
            </w:pPr>
            <m:oMathPara>
              <m:oMath>
                <m:sSub>
                  <m:sSubPr>
                    <m:ctrlPr>
                      <w:rPr>
                        <w:rFonts w:ascii="Cambria Math" w:hAnsi="Cambria Math" w:cstheme="minorHAnsi"/>
                        <w:sz w:val="20"/>
                        <w:szCs w:val="20"/>
                        <w:vertAlign w:val="subscript"/>
                      </w:rPr>
                    </m:ctrlPr>
                  </m:sSubPr>
                  <m:e>
                    <m:r>
                      <w:rPr>
                        <w:rFonts w:ascii="Cambria Math" w:hAnsi="Cambria Math" w:cstheme="minorHAnsi"/>
                        <w:sz w:val="20"/>
                        <w:szCs w:val="20"/>
                        <w:vertAlign w:val="subscript"/>
                      </w:rPr>
                      <m:t>λ</m:t>
                    </m:r>
                  </m:e>
                  <m:sub>
                    <m:r>
                      <w:rPr>
                        <w:rFonts w:ascii="Cambria Math" w:hAnsi="Cambria Math" w:cstheme="minorHAnsi"/>
                        <w:sz w:val="20"/>
                        <w:szCs w:val="20"/>
                        <w:vertAlign w:val="subscript"/>
                      </w:rPr>
                      <m:t>4</m:t>
                    </m:r>
                  </m:sub>
                </m:sSub>
              </m:oMath>
            </m:oMathPara>
          </w:p>
        </w:tc>
        <w:tc>
          <w:tcPr>
            <w:tcW w:w="1037" w:type="dxa"/>
            <w:tcBorders>
              <w:top w:val="nil"/>
              <w:left w:val="nil"/>
              <w:bottom w:val="nil"/>
              <w:right w:val="nil"/>
            </w:tcBorders>
          </w:tcPr>
          <w:p w14:paraId="1CD8FD23" w14:textId="77777777" w:rsidR="00B145BE" w:rsidRPr="009B7299" w:rsidRDefault="00B145BE" w:rsidP="00B145BE">
            <w:pPr>
              <w:spacing w:after="120"/>
              <w:jc w:val="center"/>
              <w:rPr>
                <w:rFonts w:cstheme="minorHAnsi"/>
                <w:sz w:val="20"/>
                <w:szCs w:val="20"/>
              </w:rPr>
            </w:pPr>
            <w:r w:rsidRPr="009B7299">
              <w:rPr>
                <w:rFonts w:cstheme="minorHAnsi"/>
                <w:sz w:val="20"/>
                <w:szCs w:val="20"/>
              </w:rPr>
              <w:t>-1</w:t>
            </w:r>
          </w:p>
        </w:tc>
        <w:tc>
          <w:tcPr>
            <w:tcW w:w="1037" w:type="dxa"/>
            <w:tcBorders>
              <w:top w:val="nil"/>
              <w:left w:val="nil"/>
              <w:bottom w:val="nil"/>
              <w:right w:val="nil"/>
            </w:tcBorders>
          </w:tcPr>
          <w:p w14:paraId="4B73DD83"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-1/2</w:t>
            </w:r>
          </w:p>
        </w:tc>
        <w:tc>
          <w:tcPr>
            <w:tcW w:w="1037" w:type="dxa"/>
            <w:tcBorders>
              <w:top w:val="nil"/>
              <w:left w:val="nil"/>
              <w:bottom w:val="nil"/>
            </w:tcBorders>
          </w:tcPr>
          <w:p w14:paraId="3705D477"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bottom w:val="nil"/>
              <w:right w:val="nil"/>
            </w:tcBorders>
          </w:tcPr>
          <w:p w14:paraId="75B4A5F4" w14:textId="77777777" w:rsidR="00B145BE" w:rsidRPr="009B7299" w:rsidRDefault="00077961" w:rsidP="00B145BE">
            <w:pPr>
              <w:spacing w:after="120"/>
              <w:rPr>
                <w:rFonts w:cstheme="minorHAnsi"/>
                <w:sz w:val="20"/>
                <w:szCs w:val="20"/>
              </w:rPr>
            </w:pPr>
            <m:oMathPara>
              <m:oMath>
                <m:sSub>
                  <m:sSubPr>
                    <m:ctrlPr>
                      <w:rPr>
                        <w:rFonts w:ascii="Cambria Math" w:hAnsi="Cambria Math" w:cstheme="minorHAnsi"/>
                        <w:sz w:val="20"/>
                        <w:szCs w:val="20"/>
                        <w:vertAlign w:val="subscript"/>
                      </w:rPr>
                    </m:ctrlPr>
                  </m:sSubPr>
                  <m:e>
                    <m:r>
                      <m:rPr>
                        <m:sty m:val="p"/>
                      </m:rPr>
                      <w:rPr>
                        <w:rFonts w:ascii="Cambria Math" w:hAnsi="Cambria Math" w:cstheme="minorHAnsi"/>
                        <w:sz w:val="20"/>
                        <w:szCs w:val="20"/>
                      </w:rPr>
                      <m:t>ρ</m:t>
                    </m:r>
                  </m:e>
                  <m:sub>
                    <m:r>
                      <w:rPr>
                        <w:rFonts w:ascii="Cambria Math" w:hAnsi="Cambria Math" w:cstheme="minorHAnsi"/>
                        <w:sz w:val="20"/>
                        <w:szCs w:val="20"/>
                        <w:vertAlign w:val="subscript"/>
                      </w:rPr>
                      <m:t>2</m:t>
                    </m:r>
                  </m:sub>
                </m:sSub>
              </m:oMath>
            </m:oMathPara>
          </w:p>
        </w:tc>
        <w:tc>
          <w:tcPr>
            <w:tcW w:w="1037" w:type="dxa"/>
            <w:tcBorders>
              <w:top w:val="nil"/>
              <w:left w:val="nil"/>
              <w:bottom w:val="nil"/>
              <w:right w:val="nil"/>
            </w:tcBorders>
          </w:tcPr>
          <w:p w14:paraId="2E4F81D8" w14:textId="77777777" w:rsidR="00B145BE" w:rsidRPr="009B7299" w:rsidRDefault="00B145BE" w:rsidP="00B145BE">
            <w:pPr>
              <w:spacing w:after="120"/>
              <w:jc w:val="center"/>
              <w:rPr>
                <w:rFonts w:cstheme="minorHAnsi"/>
                <w:sz w:val="20"/>
                <w:szCs w:val="20"/>
              </w:rPr>
            </w:pPr>
            <w:r w:rsidRPr="009B7299">
              <w:rPr>
                <w:rFonts w:cstheme="minorHAnsi"/>
                <w:sz w:val="20"/>
                <w:szCs w:val="20"/>
              </w:rPr>
              <w:t>0</w:t>
            </w:r>
          </w:p>
        </w:tc>
        <w:tc>
          <w:tcPr>
            <w:tcW w:w="1037" w:type="dxa"/>
            <w:tcBorders>
              <w:top w:val="nil"/>
              <w:left w:val="nil"/>
              <w:bottom w:val="nil"/>
              <w:right w:val="nil"/>
            </w:tcBorders>
          </w:tcPr>
          <w:p w14:paraId="3B350D37"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+1/2</w:t>
            </w:r>
          </w:p>
        </w:tc>
        <w:tc>
          <w:tcPr>
            <w:tcW w:w="1037" w:type="dxa"/>
            <w:tcBorders>
              <w:top w:val="nil"/>
              <w:left w:val="nil"/>
              <w:bottom w:val="nil"/>
              <w:right w:val="nil"/>
            </w:tcBorders>
          </w:tcPr>
          <w:p w14:paraId="7D48D756"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r>
      <w:tr w:rsidR="00B145BE" w:rsidRPr="009B7299" w14:paraId="2E48193A" w14:textId="77777777" w:rsidTr="00B145BE">
        <w:trPr>
          <w:jc w:val="center"/>
        </w:trPr>
        <w:tc>
          <w:tcPr>
            <w:tcW w:w="1037" w:type="dxa"/>
            <w:tcBorders>
              <w:top w:val="nil"/>
              <w:left w:val="nil"/>
              <w:bottom w:val="nil"/>
              <w:right w:val="nil"/>
            </w:tcBorders>
          </w:tcPr>
          <w:p w14:paraId="56C78851" w14:textId="77777777" w:rsidR="00B145BE" w:rsidRPr="009B7299" w:rsidRDefault="00B145BE" w:rsidP="00B145BE">
            <w:pPr>
              <w:spacing w:after="120"/>
              <w:rPr>
                <w:rFonts w:cstheme="minorHAnsi"/>
                <w:sz w:val="20"/>
                <w:szCs w:val="20"/>
              </w:rPr>
            </w:pPr>
          </w:p>
        </w:tc>
        <w:tc>
          <w:tcPr>
            <w:tcW w:w="1037" w:type="dxa"/>
            <w:tcBorders>
              <w:top w:val="nil"/>
              <w:left w:val="nil"/>
              <w:bottom w:val="nil"/>
              <w:right w:val="nil"/>
            </w:tcBorders>
          </w:tcPr>
          <w:p w14:paraId="3FC5814A" w14:textId="77777777" w:rsidR="00B145BE" w:rsidRPr="009B7299" w:rsidRDefault="00B145BE" w:rsidP="00B145BE">
            <w:pPr>
              <w:spacing w:after="120"/>
              <w:jc w:val="center"/>
              <w:rPr>
                <w:rFonts w:cstheme="minorHAnsi"/>
                <w:sz w:val="20"/>
                <w:szCs w:val="20"/>
              </w:rPr>
            </w:pPr>
          </w:p>
        </w:tc>
        <w:tc>
          <w:tcPr>
            <w:tcW w:w="1037" w:type="dxa"/>
            <w:tcBorders>
              <w:top w:val="nil"/>
              <w:left w:val="nil"/>
              <w:bottom w:val="nil"/>
              <w:right w:val="nil"/>
            </w:tcBorders>
          </w:tcPr>
          <w:p w14:paraId="16FDC303" w14:textId="77777777" w:rsidR="00B145BE" w:rsidRPr="009B7299" w:rsidRDefault="00B145BE" w:rsidP="00B145BE">
            <w:pPr>
              <w:spacing w:after="120"/>
              <w:jc w:val="center"/>
              <w:rPr>
                <w:rFonts w:cstheme="minorHAnsi"/>
                <w:sz w:val="20"/>
                <w:szCs w:val="20"/>
              </w:rPr>
            </w:pPr>
          </w:p>
        </w:tc>
        <w:tc>
          <w:tcPr>
            <w:tcW w:w="1037" w:type="dxa"/>
            <w:tcBorders>
              <w:top w:val="nil"/>
              <w:left w:val="nil"/>
              <w:bottom w:val="nil"/>
            </w:tcBorders>
          </w:tcPr>
          <w:p w14:paraId="202EF660" w14:textId="77777777" w:rsidR="00B145BE" w:rsidRPr="009B7299" w:rsidRDefault="00B145BE" w:rsidP="00B145BE">
            <w:pPr>
              <w:spacing w:after="120"/>
              <w:jc w:val="center"/>
              <w:rPr>
                <w:rFonts w:cstheme="minorHAnsi"/>
                <w:sz w:val="20"/>
                <w:szCs w:val="20"/>
              </w:rPr>
            </w:pPr>
          </w:p>
        </w:tc>
        <w:tc>
          <w:tcPr>
            <w:tcW w:w="1037" w:type="dxa"/>
            <w:tcBorders>
              <w:top w:val="nil"/>
              <w:bottom w:val="nil"/>
              <w:right w:val="nil"/>
            </w:tcBorders>
          </w:tcPr>
          <w:p w14:paraId="44AE81C3" w14:textId="77777777" w:rsidR="00B145BE" w:rsidRPr="009B7299" w:rsidRDefault="00B145BE" w:rsidP="00B145BE">
            <w:pPr>
              <w:spacing w:after="120"/>
              <w:rPr>
                <w:rFonts w:cstheme="minorHAnsi"/>
                <w:sz w:val="20"/>
                <w:szCs w:val="20"/>
              </w:rPr>
            </w:pPr>
          </w:p>
        </w:tc>
        <w:tc>
          <w:tcPr>
            <w:tcW w:w="1037" w:type="dxa"/>
            <w:tcBorders>
              <w:top w:val="nil"/>
              <w:left w:val="nil"/>
              <w:bottom w:val="nil"/>
              <w:right w:val="nil"/>
            </w:tcBorders>
          </w:tcPr>
          <w:p w14:paraId="75B4FB37" w14:textId="77777777" w:rsidR="00B145BE" w:rsidRPr="009B7299" w:rsidRDefault="00B145BE" w:rsidP="00B145BE">
            <w:pPr>
              <w:spacing w:after="120"/>
              <w:jc w:val="center"/>
              <w:rPr>
                <w:rFonts w:cstheme="minorHAnsi"/>
                <w:sz w:val="20"/>
                <w:szCs w:val="20"/>
              </w:rPr>
            </w:pPr>
          </w:p>
        </w:tc>
        <w:tc>
          <w:tcPr>
            <w:tcW w:w="1037" w:type="dxa"/>
            <w:tcBorders>
              <w:top w:val="nil"/>
              <w:left w:val="nil"/>
              <w:bottom w:val="nil"/>
              <w:right w:val="nil"/>
            </w:tcBorders>
          </w:tcPr>
          <w:p w14:paraId="3B1663F8" w14:textId="77777777" w:rsidR="00B145BE" w:rsidRPr="009B7299" w:rsidRDefault="00B145BE" w:rsidP="00B145BE">
            <w:pPr>
              <w:spacing w:after="120"/>
              <w:jc w:val="center"/>
              <w:rPr>
                <w:rFonts w:cstheme="minorHAnsi"/>
                <w:sz w:val="20"/>
                <w:szCs w:val="20"/>
              </w:rPr>
            </w:pPr>
          </w:p>
        </w:tc>
        <w:tc>
          <w:tcPr>
            <w:tcW w:w="1037" w:type="dxa"/>
            <w:tcBorders>
              <w:top w:val="nil"/>
              <w:left w:val="nil"/>
              <w:bottom w:val="nil"/>
              <w:right w:val="nil"/>
            </w:tcBorders>
          </w:tcPr>
          <w:p w14:paraId="6505E5A7" w14:textId="77777777" w:rsidR="00B145BE" w:rsidRPr="009B7299" w:rsidRDefault="00B145BE" w:rsidP="00B145BE">
            <w:pPr>
              <w:spacing w:after="120"/>
              <w:jc w:val="center"/>
              <w:rPr>
                <w:rFonts w:cstheme="minorHAnsi"/>
                <w:sz w:val="20"/>
                <w:szCs w:val="20"/>
              </w:rPr>
            </w:pPr>
          </w:p>
        </w:tc>
      </w:tr>
      <w:tr w:rsidR="00B145BE" w:rsidRPr="009B7299" w14:paraId="533C35FD" w14:textId="77777777" w:rsidTr="00B145BE">
        <w:trPr>
          <w:jc w:val="center"/>
        </w:trPr>
        <w:tc>
          <w:tcPr>
            <w:tcW w:w="1037" w:type="dxa"/>
            <w:tcBorders>
              <w:top w:val="nil"/>
              <w:left w:val="nil"/>
              <w:bottom w:val="nil"/>
              <w:right w:val="nil"/>
            </w:tcBorders>
          </w:tcPr>
          <w:p w14:paraId="1EFC8C95" w14:textId="77777777" w:rsidR="00B145BE" w:rsidRPr="009B7299" w:rsidRDefault="00077961" w:rsidP="00B145BE">
            <w:pPr>
              <w:spacing w:after="120"/>
              <w:rPr>
                <w:rFonts w:eastAsia="宋体" w:cstheme="minorHAnsi"/>
                <w:sz w:val="20"/>
                <w:szCs w:val="20"/>
                <w:vertAlign w:val="subscript"/>
              </w:rPr>
            </w:pPr>
            <m:oMathPara>
              <m:oMath>
                <m:sSub>
                  <m:sSubPr>
                    <m:ctrlPr>
                      <w:rPr>
                        <w:rFonts w:ascii="Cambria Math" w:hAnsi="Cambria Math" w:cstheme="minorHAnsi"/>
                        <w:sz w:val="20"/>
                        <w:szCs w:val="20"/>
                        <w:vertAlign w:val="subscript"/>
                      </w:rPr>
                    </m:ctrlPr>
                  </m:sSubPr>
                  <m:e>
                    <m:r>
                      <w:rPr>
                        <w:rFonts w:ascii="Cambria Math" w:hAnsi="Cambria Math" w:cstheme="minorHAnsi"/>
                        <w:sz w:val="20"/>
                        <w:szCs w:val="20"/>
                        <w:vertAlign w:val="subscript"/>
                      </w:rPr>
                      <m:t>θ</m:t>
                    </m:r>
                  </m:e>
                  <m:sub>
                    <m:r>
                      <w:rPr>
                        <w:rFonts w:ascii="Cambria Math" w:hAnsi="Cambria Math" w:cstheme="minorHAnsi"/>
                        <w:sz w:val="20"/>
                        <w:szCs w:val="20"/>
                        <w:vertAlign w:val="subscript"/>
                      </w:rPr>
                      <m:t>1</m:t>
                    </m:r>
                  </m:sub>
                </m:sSub>
              </m:oMath>
            </m:oMathPara>
          </w:p>
        </w:tc>
        <w:tc>
          <w:tcPr>
            <w:tcW w:w="1037" w:type="dxa"/>
            <w:tcBorders>
              <w:top w:val="nil"/>
              <w:left w:val="nil"/>
              <w:bottom w:val="nil"/>
              <w:right w:val="nil"/>
            </w:tcBorders>
          </w:tcPr>
          <w:p w14:paraId="59A9E0AE" w14:textId="77777777" w:rsidR="00B145BE" w:rsidRPr="009B7299" w:rsidRDefault="00B145BE" w:rsidP="00B145BE">
            <w:pPr>
              <w:spacing w:after="120"/>
              <w:jc w:val="center"/>
              <w:rPr>
                <w:rFonts w:cstheme="minorHAnsi"/>
                <w:sz w:val="20"/>
                <w:szCs w:val="20"/>
              </w:rPr>
            </w:pPr>
            <w:r w:rsidRPr="009B7299">
              <w:rPr>
                <w:rFonts w:cstheme="minorHAnsi"/>
                <w:sz w:val="20"/>
                <w:szCs w:val="20"/>
              </w:rPr>
              <w:t>1</w:t>
            </w:r>
          </w:p>
        </w:tc>
        <w:tc>
          <w:tcPr>
            <w:tcW w:w="1037" w:type="dxa"/>
            <w:tcBorders>
              <w:top w:val="nil"/>
              <w:left w:val="nil"/>
              <w:bottom w:val="nil"/>
              <w:right w:val="nil"/>
            </w:tcBorders>
          </w:tcPr>
          <w:p w14:paraId="651D6806"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+1/2</w:t>
            </w:r>
          </w:p>
        </w:tc>
        <w:tc>
          <w:tcPr>
            <w:tcW w:w="1037" w:type="dxa"/>
            <w:tcBorders>
              <w:top w:val="nil"/>
              <w:left w:val="nil"/>
              <w:bottom w:val="nil"/>
            </w:tcBorders>
          </w:tcPr>
          <w:p w14:paraId="342C8ED7"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bottom w:val="nil"/>
              <w:right w:val="nil"/>
            </w:tcBorders>
          </w:tcPr>
          <w:p w14:paraId="2C708DB9" w14:textId="77777777" w:rsidR="00B145BE" w:rsidRPr="009B7299" w:rsidRDefault="00077961" w:rsidP="00B145BE">
            <w:pPr>
              <w:spacing w:after="120"/>
              <w:rPr>
                <w:rFonts w:cstheme="minorHAnsi"/>
                <w:sz w:val="20"/>
                <w:szCs w:val="20"/>
              </w:rPr>
            </w:pPr>
            <m:oMathPara>
              <m:oMath>
                <m:sSub>
                  <m:sSubPr>
                    <m:ctrlPr>
                      <w:rPr>
                        <w:rFonts w:ascii="Cambria Math" w:eastAsia="宋体" w:hAnsi="Cambria Math" w:cstheme="minorHAnsi"/>
                        <w:sz w:val="20"/>
                        <w:szCs w:val="20"/>
                        <w:vertAlign w:val="subscript"/>
                      </w:rPr>
                    </m:ctrlPr>
                  </m:sSubPr>
                  <m:e>
                    <m:r>
                      <w:rPr>
                        <w:rFonts w:ascii="Cambria Math" w:eastAsia="宋体" w:hAnsi="Cambria Math" w:cstheme="minorHAnsi"/>
                        <w:sz w:val="20"/>
                        <w:szCs w:val="20"/>
                        <w:vertAlign w:val="subscript"/>
                      </w:rPr>
                      <m:t>ψ</m:t>
                    </m:r>
                  </m:e>
                  <m:sub>
                    <m:r>
                      <w:rPr>
                        <w:rFonts w:ascii="Cambria Math" w:eastAsia="宋体" w:hAnsi="Cambria Math" w:cstheme="minorHAnsi"/>
                        <w:sz w:val="20"/>
                        <w:szCs w:val="20"/>
                        <w:vertAlign w:val="subscript"/>
                      </w:rPr>
                      <m:t>1</m:t>
                    </m:r>
                  </m:sub>
                </m:sSub>
              </m:oMath>
            </m:oMathPara>
          </w:p>
        </w:tc>
        <w:tc>
          <w:tcPr>
            <w:tcW w:w="1037" w:type="dxa"/>
            <w:tcBorders>
              <w:top w:val="nil"/>
              <w:left w:val="nil"/>
              <w:bottom w:val="nil"/>
              <w:right w:val="nil"/>
            </w:tcBorders>
          </w:tcPr>
          <w:p w14:paraId="74F9ADD9"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left w:val="nil"/>
              <w:bottom w:val="nil"/>
              <w:right w:val="nil"/>
            </w:tcBorders>
          </w:tcPr>
          <w:p w14:paraId="298F4E27"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w:t>
            </w:r>
          </w:p>
        </w:tc>
        <w:tc>
          <w:tcPr>
            <w:tcW w:w="1037" w:type="dxa"/>
            <w:tcBorders>
              <w:top w:val="nil"/>
              <w:left w:val="nil"/>
              <w:bottom w:val="nil"/>
              <w:right w:val="nil"/>
            </w:tcBorders>
          </w:tcPr>
          <w:p w14:paraId="79B5EC6E"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r>
      <w:tr w:rsidR="00B145BE" w:rsidRPr="009B7299" w14:paraId="180332DE" w14:textId="77777777" w:rsidTr="00B145BE">
        <w:trPr>
          <w:jc w:val="center"/>
        </w:trPr>
        <w:tc>
          <w:tcPr>
            <w:tcW w:w="1037" w:type="dxa"/>
            <w:tcBorders>
              <w:top w:val="nil"/>
              <w:left w:val="nil"/>
              <w:bottom w:val="nil"/>
              <w:right w:val="nil"/>
            </w:tcBorders>
          </w:tcPr>
          <w:p w14:paraId="47F018D4" w14:textId="77777777" w:rsidR="00B145BE" w:rsidRPr="009B7299" w:rsidRDefault="00077961" w:rsidP="00B145BE">
            <w:pPr>
              <w:spacing w:after="120"/>
              <w:rPr>
                <w:rFonts w:cstheme="minorHAnsi"/>
                <w:sz w:val="20"/>
                <w:szCs w:val="20"/>
              </w:rPr>
            </w:pPr>
            <m:oMathPara>
              <m:oMath>
                <m:sSub>
                  <m:sSubPr>
                    <m:ctrlPr>
                      <w:rPr>
                        <w:rFonts w:ascii="Cambria Math" w:hAnsi="Cambria Math" w:cstheme="minorHAnsi"/>
                        <w:sz w:val="20"/>
                        <w:szCs w:val="20"/>
                        <w:vertAlign w:val="subscript"/>
                      </w:rPr>
                    </m:ctrlPr>
                  </m:sSubPr>
                  <m:e>
                    <m:r>
                      <w:rPr>
                        <w:rFonts w:ascii="Cambria Math" w:hAnsi="Cambria Math" w:cstheme="minorHAnsi"/>
                        <w:sz w:val="20"/>
                        <w:szCs w:val="20"/>
                        <w:vertAlign w:val="subscript"/>
                      </w:rPr>
                      <m:t>θ</m:t>
                    </m:r>
                  </m:e>
                  <m:sub>
                    <m:r>
                      <w:rPr>
                        <w:rFonts w:ascii="Cambria Math" w:hAnsi="Cambria Math" w:cstheme="minorHAnsi"/>
                        <w:sz w:val="20"/>
                        <w:szCs w:val="20"/>
                        <w:vertAlign w:val="subscript"/>
                      </w:rPr>
                      <m:t>2</m:t>
                    </m:r>
                  </m:sub>
                </m:sSub>
              </m:oMath>
            </m:oMathPara>
          </w:p>
        </w:tc>
        <w:tc>
          <w:tcPr>
            <w:tcW w:w="1037" w:type="dxa"/>
            <w:tcBorders>
              <w:top w:val="nil"/>
              <w:left w:val="nil"/>
              <w:bottom w:val="nil"/>
              <w:right w:val="nil"/>
            </w:tcBorders>
          </w:tcPr>
          <w:p w14:paraId="60F568C3" w14:textId="77777777" w:rsidR="00B145BE" w:rsidRPr="009B7299" w:rsidRDefault="00B145BE" w:rsidP="00B145BE">
            <w:pPr>
              <w:spacing w:after="120"/>
              <w:jc w:val="center"/>
              <w:rPr>
                <w:rFonts w:cstheme="minorHAnsi"/>
                <w:sz w:val="20"/>
                <w:szCs w:val="20"/>
              </w:rPr>
            </w:pPr>
            <w:r w:rsidRPr="009B7299">
              <w:rPr>
                <w:rFonts w:cstheme="minorHAnsi"/>
                <w:sz w:val="20"/>
                <w:szCs w:val="20"/>
              </w:rPr>
              <w:t>1</w:t>
            </w:r>
          </w:p>
        </w:tc>
        <w:tc>
          <w:tcPr>
            <w:tcW w:w="1037" w:type="dxa"/>
            <w:tcBorders>
              <w:top w:val="nil"/>
              <w:left w:val="nil"/>
              <w:bottom w:val="nil"/>
              <w:right w:val="nil"/>
            </w:tcBorders>
          </w:tcPr>
          <w:p w14:paraId="41C0E252"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+1/2</w:t>
            </w:r>
          </w:p>
        </w:tc>
        <w:tc>
          <w:tcPr>
            <w:tcW w:w="1037" w:type="dxa"/>
            <w:tcBorders>
              <w:top w:val="nil"/>
              <w:left w:val="nil"/>
              <w:bottom w:val="nil"/>
            </w:tcBorders>
          </w:tcPr>
          <w:p w14:paraId="1FB749B2"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bottom w:val="nil"/>
              <w:right w:val="nil"/>
            </w:tcBorders>
          </w:tcPr>
          <w:p w14:paraId="5592E656" w14:textId="77777777" w:rsidR="00B145BE" w:rsidRPr="009B7299" w:rsidRDefault="00077961" w:rsidP="00B145BE">
            <w:pPr>
              <w:spacing w:after="120"/>
              <w:rPr>
                <w:rFonts w:eastAsia="宋体" w:cstheme="minorHAnsi"/>
                <w:sz w:val="20"/>
                <w:szCs w:val="20"/>
                <w:vertAlign w:val="subscript"/>
              </w:rPr>
            </w:pPr>
            <m:oMathPara>
              <m:oMath>
                <m:sSub>
                  <m:sSubPr>
                    <m:ctrlPr>
                      <w:rPr>
                        <w:rFonts w:ascii="Cambria Math" w:eastAsia="宋体" w:hAnsi="Cambria Math" w:cstheme="minorHAnsi"/>
                        <w:sz w:val="20"/>
                        <w:szCs w:val="20"/>
                        <w:vertAlign w:val="subscript"/>
                      </w:rPr>
                    </m:ctrlPr>
                  </m:sSubPr>
                  <m:e>
                    <m:r>
                      <w:rPr>
                        <w:rFonts w:ascii="Cambria Math" w:eastAsia="宋体" w:hAnsi="Cambria Math" w:cstheme="minorHAnsi"/>
                        <w:sz w:val="20"/>
                        <w:szCs w:val="20"/>
                        <w:vertAlign w:val="subscript"/>
                      </w:rPr>
                      <m:t>ψ</m:t>
                    </m:r>
                  </m:e>
                  <m:sub>
                    <m:r>
                      <w:rPr>
                        <w:rFonts w:ascii="Cambria Math" w:eastAsia="宋体" w:hAnsi="Cambria Math" w:cstheme="minorHAnsi"/>
                        <w:sz w:val="20"/>
                        <w:szCs w:val="20"/>
                        <w:vertAlign w:val="subscript"/>
                      </w:rPr>
                      <m:t>2</m:t>
                    </m:r>
                  </m:sub>
                </m:sSub>
              </m:oMath>
            </m:oMathPara>
          </w:p>
        </w:tc>
        <w:tc>
          <w:tcPr>
            <w:tcW w:w="1037" w:type="dxa"/>
            <w:tcBorders>
              <w:top w:val="nil"/>
              <w:left w:val="nil"/>
              <w:bottom w:val="nil"/>
              <w:right w:val="nil"/>
            </w:tcBorders>
          </w:tcPr>
          <w:p w14:paraId="7F9B65AD"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left w:val="nil"/>
              <w:bottom w:val="nil"/>
              <w:right w:val="nil"/>
            </w:tcBorders>
          </w:tcPr>
          <w:p w14:paraId="0798A865"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w:t>
            </w:r>
          </w:p>
        </w:tc>
        <w:tc>
          <w:tcPr>
            <w:tcW w:w="1037" w:type="dxa"/>
            <w:tcBorders>
              <w:top w:val="nil"/>
              <w:left w:val="nil"/>
              <w:bottom w:val="nil"/>
              <w:right w:val="nil"/>
            </w:tcBorders>
          </w:tcPr>
          <w:p w14:paraId="0680D8A0"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r>
      <w:tr w:rsidR="00B145BE" w:rsidRPr="009B7299" w14:paraId="2C1460E4" w14:textId="77777777" w:rsidTr="00B145BE">
        <w:trPr>
          <w:jc w:val="center"/>
        </w:trPr>
        <w:tc>
          <w:tcPr>
            <w:tcW w:w="1037" w:type="dxa"/>
            <w:tcBorders>
              <w:top w:val="nil"/>
              <w:left w:val="nil"/>
              <w:bottom w:val="nil"/>
              <w:right w:val="nil"/>
            </w:tcBorders>
          </w:tcPr>
          <w:p w14:paraId="4DC31FBA" w14:textId="77777777" w:rsidR="00B145BE" w:rsidRPr="009B7299" w:rsidRDefault="00077961" w:rsidP="00B145BE">
            <w:pPr>
              <w:spacing w:after="120"/>
              <w:rPr>
                <w:rFonts w:cstheme="minorHAnsi"/>
                <w:sz w:val="20"/>
                <w:szCs w:val="20"/>
              </w:rPr>
            </w:pPr>
            <m:oMathPara>
              <m:oMath>
                <m:sSub>
                  <m:sSubPr>
                    <m:ctrlPr>
                      <w:rPr>
                        <w:rFonts w:ascii="Cambria Math" w:hAnsi="Cambria Math" w:cstheme="minorHAnsi"/>
                        <w:sz w:val="20"/>
                        <w:szCs w:val="20"/>
                        <w:vertAlign w:val="subscript"/>
                      </w:rPr>
                    </m:ctrlPr>
                  </m:sSubPr>
                  <m:e>
                    <m:r>
                      <w:rPr>
                        <w:rFonts w:ascii="Cambria Math" w:hAnsi="Cambria Math" w:cstheme="minorHAnsi"/>
                        <w:sz w:val="20"/>
                        <w:szCs w:val="20"/>
                        <w:vertAlign w:val="subscript"/>
                      </w:rPr>
                      <m:t>θ</m:t>
                    </m:r>
                  </m:e>
                  <m:sub>
                    <m:r>
                      <w:rPr>
                        <w:rFonts w:ascii="Cambria Math" w:hAnsi="Cambria Math" w:cstheme="minorHAnsi"/>
                        <w:sz w:val="20"/>
                        <w:szCs w:val="20"/>
                        <w:vertAlign w:val="subscript"/>
                      </w:rPr>
                      <m:t>3</m:t>
                    </m:r>
                  </m:sub>
                </m:sSub>
              </m:oMath>
            </m:oMathPara>
          </w:p>
        </w:tc>
        <w:tc>
          <w:tcPr>
            <w:tcW w:w="1037" w:type="dxa"/>
            <w:tcBorders>
              <w:top w:val="nil"/>
              <w:left w:val="nil"/>
              <w:bottom w:val="nil"/>
              <w:right w:val="nil"/>
            </w:tcBorders>
          </w:tcPr>
          <w:p w14:paraId="51A4FB6F" w14:textId="77777777" w:rsidR="00B145BE" w:rsidRPr="009B7299" w:rsidRDefault="00B145BE" w:rsidP="00B145BE">
            <w:pPr>
              <w:spacing w:after="120"/>
              <w:jc w:val="center"/>
              <w:rPr>
                <w:rFonts w:cstheme="minorHAnsi"/>
                <w:sz w:val="20"/>
                <w:szCs w:val="20"/>
              </w:rPr>
            </w:pPr>
            <w:r w:rsidRPr="009B7299">
              <w:rPr>
                <w:rFonts w:cstheme="minorHAnsi"/>
                <w:sz w:val="20"/>
                <w:szCs w:val="20"/>
              </w:rPr>
              <w:t>-1</w:t>
            </w:r>
          </w:p>
        </w:tc>
        <w:tc>
          <w:tcPr>
            <w:tcW w:w="1037" w:type="dxa"/>
            <w:tcBorders>
              <w:top w:val="nil"/>
              <w:left w:val="nil"/>
              <w:bottom w:val="nil"/>
              <w:right w:val="nil"/>
            </w:tcBorders>
          </w:tcPr>
          <w:p w14:paraId="414EBB7F"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+1/2</w:t>
            </w:r>
          </w:p>
        </w:tc>
        <w:tc>
          <w:tcPr>
            <w:tcW w:w="1037" w:type="dxa"/>
            <w:tcBorders>
              <w:top w:val="nil"/>
              <w:left w:val="nil"/>
              <w:bottom w:val="nil"/>
            </w:tcBorders>
          </w:tcPr>
          <w:p w14:paraId="047BDFBE"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bottom w:val="nil"/>
              <w:right w:val="nil"/>
            </w:tcBorders>
          </w:tcPr>
          <w:p w14:paraId="1F431F04" w14:textId="77777777" w:rsidR="00B145BE" w:rsidRPr="009B7299" w:rsidRDefault="00077961" w:rsidP="00B145BE">
            <w:pPr>
              <w:spacing w:after="120"/>
              <w:rPr>
                <w:rFonts w:cstheme="minorHAnsi"/>
                <w:sz w:val="20"/>
                <w:szCs w:val="20"/>
              </w:rPr>
            </w:pPr>
            <m:oMathPara>
              <m:oMath>
                <m:sSub>
                  <m:sSubPr>
                    <m:ctrlPr>
                      <w:rPr>
                        <w:rFonts w:ascii="Cambria Math" w:eastAsia="宋体" w:hAnsi="Cambria Math" w:cstheme="minorHAnsi"/>
                        <w:sz w:val="20"/>
                        <w:szCs w:val="20"/>
                        <w:vertAlign w:val="subscript"/>
                      </w:rPr>
                    </m:ctrlPr>
                  </m:sSubPr>
                  <m:e>
                    <m:r>
                      <w:rPr>
                        <w:rFonts w:ascii="Cambria Math" w:eastAsia="宋体" w:hAnsi="Cambria Math" w:cstheme="minorHAnsi"/>
                        <w:sz w:val="20"/>
                        <w:szCs w:val="20"/>
                        <w:vertAlign w:val="subscript"/>
                      </w:rPr>
                      <m:t>ψ</m:t>
                    </m:r>
                  </m:e>
                  <m:sub>
                    <m:r>
                      <w:rPr>
                        <w:rFonts w:ascii="Cambria Math" w:eastAsia="宋体" w:hAnsi="Cambria Math" w:cstheme="minorHAnsi"/>
                        <w:sz w:val="20"/>
                        <w:szCs w:val="20"/>
                        <w:vertAlign w:val="subscript"/>
                      </w:rPr>
                      <m:t>3</m:t>
                    </m:r>
                  </m:sub>
                </m:sSub>
              </m:oMath>
            </m:oMathPara>
          </w:p>
        </w:tc>
        <w:tc>
          <w:tcPr>
            <w:tcW w:w="1037" w:type="dxa"/>
            <w:tcBorders>
              <w:top w:val="nil"/>
              <w:left w:val="nil"/>
              <w:bottom w:val="nil"/>
              <w:right w:val="nil"/>
            </w:tcBorders>
          </w:tcPr>
          <w:p w14:paraId="6D09AF9F"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left w:val="nil"/>
              <w:bottom w:val="nil"/>
              <w:right w:val="nil"/>
            </w:tcBorders>
          </w:tcPr>
          <w:p w14:paraId="27A3586E"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w:t>
            </w:r>
          </w:p>
        </w:tc>
        <w:tc>
          <w:tcPr>
            <w:tcW w:w="1037" w:type="dxa"/>
            <w:tcBorders>
              <w:top w:val="nil"/>
              <w:left w:val="nil"/>
              <w:bottom w:val="nil"/>
              <w:right w:val="nil"/>
            </w:tcBorders>
          </w:tcPr>
          <w:p w14:paraId="40843C91"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r>
      <w:tr w:rsidR="00B145BE" w:rsidRPr="009B7299" w14:paraId="6D56D381" w14:textId="77777777" w:rsidTr="00B145BE">
        <w:trPr>
          <w:jc w:val="center"/>
        </w:trPr>
        <w:tc>
          <w:tcPr>
            <w:tcW w:w="1037" w:type="dxa"/>
            <w:tcBorders>
              <w:top w:val="nil"/>
              <w:left w:val="nil"/>
              <w:right w:val="nil"/>
            </w:tcBorders>
          </w:tcPr>
          <w:p w14:paraId="24D5D8FB" w14:textId="77777777" w:rsidR="00B145BE" w:rsidRPr="009B7299" w:rsidRDefault="00077961" w:rsidP="00B145BE">
            <w:pPr>
              <w:spacing w:after="120"/>
              <w:rPr>
                <w:rFonts w:cstheme="minorHAnsi"/>
                <w:sz w:val="20"/>
                <w:szCs w:val="20"/>
              </w:rPr>
            </w:pPr>
            <m:oMathPara>
              <m:oMath>
                <m:sSub>
                  <m:sSubPr>
                    <m:ctrlPr>
                      <w:rPr>
                        <w:rFonts w:ascii="Cambria Math" w:hAnsi="Cambria Math" w:cstheme="minorHAnsi"/>
                        <w:sz w:val="20"/>
                        <w:szCs w:val="20"/>
                        <w:vertAlign w:val="subscript"/>
                      </w:rPr>
                    </m:ctrlPr>
                  </m:sSubPr>
                  <m:e>
                    <m:r>
                      <w:rPr>
                        <w:rFonts w:ascii="Cambria Math" w:hAnsi="Cambria Math" w:cstheme="minorHAnsi"/>
                        <w:sz w:val="20"/>
                        <w:szCs w:val="20"/>
                        <w:vertAlign w:val="subscript"/>
                      </w:rPr>
                      <m:t>θ</m:t>
                    </m:r>
                  </m:e>
                  <m:sub>
                    <m:r>
                      <w:rPr>
                        <w:rFonts w:ascii="Cambria Math" w:hAnsi="Cambria Math" w:cstheme="minorHAnsi"/>
                        <w:sz w:val="20"/>
                        <w:szCs w:val="20"/>
                        <w:vertAlign w:val="subscript"/>
                      </w:rPr>
                      <m:t>4</m:t>
                    </m:r>
                  </m:sub>
                </m:sSub>
              </m:oMath>
            </m:oMathPara>
          </w:p>
        </w:tc>
        <w:tc>
          <w:tcPr>
            <w:tcW w:w="1037" w:type="dxa"/>
            <w:tcBorders>
              <w:top w:val="nil"/>
              <w:left w:val="nil"/>
              <w:right w:val="nil"/>
            </w:tcBorders>
          </w:tcPr>
          <w:p w14:paraId="3AF1D9F8" w14:textId="77777777" w:rsidR="00B145BE" w:rsidRPr="009B7299" w:rsidRDefault="00B145BE" w:rsidP="00B145BE">
            <w:pPr>
              <w:spacing w:after="120"/>
              <w:jc w:val="center"/>
              <w:rPr>
                <w:rFonts w:cstheme="minorHAnsi"/>
                <w:sz w:val="20"/>
                <w:szCs w:val="20"/>
              </w:rPr>
            </w:pPr>
            <w:r w:rsidRPr="009B7299">
              <w:rPr>
                <w:rFonts w:cstheme="minorHAnsi"/>
                <w:sz w:val="20"/>
                <w:szCs w:val="20"/>
              </w:rPr>
              <w:t>-1</w:t>
            </w:r>
          </w:p>
        </w:tc>
        <w:tc>
          <w:tcPr>
            <w:tcW w:w="1037" w:type="dxa"/>
            <w:tcBorders>
              <w:top w:val="nil"/>
              <w:left w:val="nil"/>
              <w:right w:val="nil"/>
            </w:tcBorders>
          </w:tcPr>
          <w:p w14:paraId="6B43CF31"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+1/2</w:t>
            </w:r>
          </w:p>
        </w:tc>
        <w:tc>
          <w:tcPr>
            <w:tcW w:w="1037" w:type="dxa"/>
            <w:tcBorders>
              <w:top w:val="nil"/>
              <w:left w:val="nil"/>
            </w:tcBorders>
          </w:tcPr>
          <w:p w14:paraId="23706B4F"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bottom w:val="single" w:sz="4" w:space="0" w:color="auto"/>
              <w:right w:val="nil"/>
            </w:tcBorders>
          </w:tcPr>
          <w:p w14:paraId="2AD18DBE" w14:textId="77777777" w:rsidR="00B145BE" w:rsidRPr="009B7299" w:rsidRDefault="00077961" w:rsidP="00B145BE">
            <w:pPr>
              <w:spacing w:after="120"/>
              <w:rPr>
                <w:rFonts w:cstheme="minorHAnsi"/>
                <w:sz w:val="20"/>
                <w:szCs w:val="20"/>
              </w:rPr>
            </w:pPr>
            <m:oMathPara>
              <m:oMath>
                <m:sSub>
                  <m:sSubPr>
                    <m:ctrlPr>
                      <w:rPr>
                        <w:rFonts w:ascii="Cambria Math" w:eastAsia="宋体" w:hAnsi="Cambria Math" w:cstheme="minorHAnsi"/>
                        <w:sz w:val="20"/>
                        <w:szCs w:val="20"/>
                        <w:vertAlign w:val="subscript"/>
                      </w:rPr>
                    </m:ctrlPr>
                  </m:sSubPr>
                  <m:e>
                    <m:r>
                      <w:rPr>
                        <w:rFonts w:ascii="Cambria Math" w:eastAsia="宋体" w:hAnsi="Cambria Math" w:cstheme="minorHAnsi"/>
                        <w:sz w:val="20"/>
                        <w:szCs w:val="20"/>
                        <w:vertAlign w:val="subscript"/>
                      </w:rPr>
                      <m:t>ψ</m:t>
                    </m:r>
                  </m:e>
                  <m:sub>
                    <m:r>
                      <w:rPr>
                        <w:rFonts w:ascii="Cambria Math" w:eastAsia="宋体" w:hAnsi="Cambria Math" w:cstheme="minorHAnsi"/>
                        <w:sz w:val="20"/>
                        <w:szCs w:val="20"/>
                        <w:vertAlign w:val="subscript"/>
                      </w:rPr>
                      <m:t>4</m:t>
                    </m:r>
                  </m:sub>
                </m:sSub>
              </m:oMath>
            </m:oMathPara>
          </w:p>
        </w:tc>
        <w:tc>
          <w:tcPr>
            <w:tcW w:w="1037" w:type="dxa"/>
            <w:tcBorders>
              <w:top w:val="nil"/>
              <w:left w:val="nil"/>
              <w:bottom w:val="single" w:sz="4" w:space="0" w:color="auto"/>
              <w:right w:val="nil"/>
            </w:tcBorders>
          </w:tcPr>
          <w:p w14:paraId="443775E9" w14:textId="77777777" w:rsidR="00B145BE" w:rsidRPr="009B7299" w:rsidRDefault="00B145BE" w:rsidP="00B145BE">
            <w:pPr>
              <w:spacing w:after="120"/>
              <w:jc w:val="center"/>
              <w:rPr>
                <w:rFonts w:cstheme="minorHAnsi"/>
                <w:sz w:val="20"/>
                <w:szCs w:val="20"/>
              </w:rPr>
            </w:pPr>
            <w:r w:rsidRPr="009B7299">
              <w:rPr>
                <w:rFonts w:cstheme="minorHAnsi"/>
                <w:sz w:val="20"/>
                <w:szCs w:val="20"/>
              </w:rPr>
              <w:t>-1/2</w:t>
            </w:r>
          </w:p>
        </w:tc>
        <w:tc>
          <w:tcPr>
            <w:tcW w:w="1037" w:type="dxa"/>
            <w:tcBorders>
              <w:top w:val="nil"/>
              <w:left w:val="nil"/>
              <w:bottom w:val="single" w:sz="4" w:space="0" w:color="auto"/>
              <w:right w:val="nil"/>
            </w:tcBorders>
          </w:tcPr>
          <w:p w14:paraId="1EB334DA" w14:textId="77777777" w:rsidR="00B145BE" w:rsidRPr="009B7299" w:rsidRDefault="00B145BE" w:rsidP="00B145BE">
            <w:pPr>
              <w:spacing w:after="120"/>
              <w:jc w:val="center"/>
              <w:rPr>
                <w:rFonts w:cstheme="minorHAnsi"/>
                <w:sz w:val="20"/>
                <w:szCs w:val="20"/>
              </w:rPr>
            </w:pPr>
            <w:r w:rsidRPr="009B7299">
              <w:rPr>
                <w:rFonts w:cstheme="minorHAnsi"/>
                <w:b/>
                <w:i/>
                <w:sz w:val="20"/>
                <w:szCs w:val="20"/>
              </w:rPr>
              <w:t>σ</w:t>
            </w:r>
            <w:r w:rsidRPr="009B7299">
              <w:rPr>
                <w:rFonts w:cstheme="minorHAnsi"/>
                <w:sz w:val="20"/>
                <w:szCs w:val="20"/>
              </w:rPr>
              <w:t xml:space="preserve"> +1</w:t>
            </w:r>
          </w:p>
        </w:tc>
        <w:tc>
          <w:tcPr>
            <w:tcW w:w="1037" w:type="dxa"/>
            <w:tcBorders>
              <w:top w:val="nil"/>
              <w:left w:val="nil"/>
              <w:bottom w:val="single" w:sz="4" w:space="0" w:color="auto"/>
              <w:right w:val="nil"/>
            </w:tcBorders>
          </w:tcPr>
          <w:p w14:paraId="5BFF546D" w14:textId="77777777" w:rsidR="00B145BE" w:rsidRPr="009B7299" w:rsidRDefault="00B145BE" w:rsidP="00B145BE">
            <w:pPr>
              <w:keepNext/>
              <w:spacing w:after="120"/>
              <w:jc w:val="center"/>
              <w:rPr>
                <w:rFonts w:cstheme="minorHAnsi"/>
                <w:sz w:val="20"/>
                <w:szCs w:val="20"/>
              </w:rPr>
            </w:pPr>
            <w:r w:rsidRPr="009B7299">
              <w:rPr>
                <w:rFonts w:cstheme="minorHAnsi"/>
                <w:sz w:val="20"/>
                <w:szCs w:val="20"/>
              </w:rPr>
              <w:t>-1/2</w:t>
            </w:r>
          </w:p>
        </w:tc>
      </w:tr>
    </w:tbl>
    <w:p w14:paraId="36FCEA02" w14:textId="50B74B26" w:rsidR="00B145BE" w:rsidRPr="006E5260" w:rsidRDefault="00B145BE" w:rsidP="00B145BE">
      <w:pPr>
        <w:spacing w:before="120" w:afterLines="60" w:after="144" w:line="360" w:lineRule="auto"/>
        <w:jc w:val="both"/>
        <w:rPr>
          <w:rFonts w:cstheme="minorHAnsi"/>
        </w:rPr>
      </w:pPr>
      <w:r>
        <w:rPr>
          <w:rFonts w:cstheme="minorHAnsi"/>
        </w:rPr>
        <w:t>In comparison</w:t>
      </w:r>
      <w:r w:rsidRPr="006E5260">
        <w:rPr>
          <w:rFonts w:cstheme="minorHAnsi"/>
        </w:rPr>
        <w:t xml:space="preserve"> </w:t>
      </w:r>
      <w:r w:rsidRPr="00F43EE4">
        <w:rPr>
          <w:rFonts w:cstheme="minorHAnsi"/>
        </w:rPr>
        <w:t xml:space="preserve">with </w:t>
      </w:r>
      <w:r w:rsidRPr="00F43EE4">
        <w:rPr>
          <w:rFonts w:cstheme="minorHAnsi"/>
          <w:noProof/>
        </w:rPr>
        <w:t>the original</w:t>
      </w:r>
      <w:r w:rsidRPr="00F43EE4">
        <w:rPr>
          <w:rFonts w:cstheme="minorHAnsi"/>
        </w:rPr>
        <w:t xml:space="preserve"> </w:t>
      </w:r>
      <w:r w:rsidRPr="00F43EE4">
        <w:rPr>
          <w:rFonts w:cstheme="minorHAnsi"/>
          <w:noProof/>
        </w:rPr>
        <w:t>BCC matrix</w:t>
      </w:r>
      <w:r w:rsidRPr="00F43EE4">
        <w:rPr>
          <w:rFonts w:cstheme="minorHAnsi"/>
        </w:rPr>
        <w:t xml:space="preserve">, the transformation to orthorhombic martensite is attributed to atomic displacement </w:t>
      </w:r>
      <w:r w:rsidRPr="00F43EE4">
        <w:rPr>
          <w:rFonts w:cstheme="minorHAnsi"/>
          <w:i/>
        </w:rPr>
        <w:t>σ</w:t>
      </w:r>
      <w:r w:rsidRPr="00F43EE4">
        <w:rPr>
          <w:rFonts w:cstheme="minorHAnsi"/>
        </w:rPr>
        <w:t>[011]</w:t>
      </w:r>
      <w:r w:rsidRPr="00F43EE4">
        <w:rPr>
          <w:rFonts w:cstheme="minorHAnsi"/>
          <w:vertAlign w:val="subscript"/>
        </w:rPr>
        <w:t>β</w:t>
      </w:r>
      <w:r w:rsidRPr="00F43EE4">
        <w:rPr>
          <w:rFonts w:cstheme="minorHAnsi"/>
        </w:rPr>
        <w:t xml:space="preserve"> along </w:t>
      </w:r>
      <w:r w:rsidR="00F43EE4">
        <w:rPr>
          <w:rFonts w:cstheme="minorHAnsi"/>
        </w:rPr>
        <w:t xml:space="preserve">the </w:t>
      </w:r>
      <w:r w:rsidRPr="00F43EE4">
        <w:rPr>
          <w:rFonts w:cstheme="minorHAnsi"/>
          <w:noProof/>
        </w:rPr>
        <w:t>{0-11}</w:t>
      </w:r>
      <w:r w:rsidRPr="00F43EE4">
        <w:rPr>
          <w:rFonts w:cstheme="minorHAnsi"/>
          <w:noProof/>
          <w:vertAlign w:val="subscript"/>
        </w:rPr>
        <w:t>β</w:t>
      </w:r>
      <w:r w:rsidRPr="00F43EE4">
        <w:rPr>
          <w:rFonts w:cstheme="minorHAnsi"/>
        </w:rPr>
        <w:t xml:space="preserve"> plane as a result of the low shear modulus </w:t>
      </w:r>
      <w:r w:rsidRPr="00F43EE4">
        <w:rPr>
          <w:rFonts w:cstheme="minorHAnsi"/>
        </w:rPr>
        <w:br/>
        <w:t>c’((c</w:t>
      </w:r>
      <w:r w:rsidRPr="00F43EE4">
        <w:rPr>
          <w:rFonts w:cstheme="minorHAnsi"/>
          <w:vertAlign w:val="subscript"/>
        </w:rPr>
        <w:t>11</w:t>
      </w:r>
      <w:r w:rsidRPr="00F43EE4">
        <w:rPr>
          <w:rFonts w:cstheme="minorHAnsi"/>
        </w:rPr>
        <w:t>-c</w:t>
      </w:r>
      <w:r w:rsidRPr="00F43EE4">
        <w:rPr>
          <w:rFonts w:cstheme="minorHAnsi"/>
          <w:vertAlign w:val="subscript"/>
        </w:rPr>
        <w:t>12</w:t>
      </w:r>
      <w:r w:rsidRPr="00F43EE4">
        <w:rPr>
          <w:rFonts w:cstheme="minorHAnsi"/>
        </w:rPr>
        <w:t>)/2)</w:t>
      </w:r>
      <w:r w:rsidRPr="00F43EE4">
        <w:rPr>
          <w:rFonts w:cstheme="minorHAnsi"/>
        </w:rPr>
        <w:fldChar w:fldCharType="begin" w:fldLock="1"/>
      </w:r>
      <w:r w:rsidRPr="00F43EE4">
        <w:rPr>
          <w:rFonts w:cstheme="minorHAnsi"/>
        </w:rPr>
        <w:instrText>ADDIN CSL_CITATION {"citationItems":[{"id":"ITEM-1","itemData":{"ISBN":"110951851X","abstract":"Motivated by the prospect of lower cost Ti production processes, new directions in Ti alloy design were explored for naval and automotive applications. Building on the experience of the Steel Research Group at Northwestern University, an analogous design process was taken with titanium. As a new project, essential kinetic databases and models were developed for the design process and used to create a prototype design. Diffusion kinetic models were developed to predict the change in phase compositions and microstructure during heat treatment. Combining a mobility database created in this research with a licensed thermodynamic database, ThermoCalc and DICTRA software was used to model kinetic compositional changes in titanium alloys. Experimental diffusion couples were created and compared to DICTRA simulations to refine mobility parameters in the titanium mobility database. The software and database were able to predict homogenization times and the beta&amp;rarr;alpha plate thickening kinetics during cooling in the near-alpha Ti5111 alloy. The results of these models were compared to LEAP microanalysis and found to be in reasonable agreement. Powder metallurgy was explored using SPS at GM R&amp;amp;D to reduce the cost of titanium alloys. Fully dense Ti5111 alloys were produced and achieved similar microstructures to wrought Ti5111. High levels of oxygen in these alloys increased the strength while reducing the ductility. Preliminary Ti5111+Y alloys were created, where yttrium additions successfully gettered excess oxygen to create oxides. However, undesirable large oxides formed, indicating more research is needed into the homogeneous distribution of the yttrium powder to create finer oxides. Principles established in steels were used to optimize the beta phase transformation stability for martensite transformation toughening in titanium alloys. The Olson-Cohen kinetic model is calibrated to shear strains in titanium. A frictional work database is established for common alloying elements in titanium to model the effect of alloying elements on the Ms temperature in titanium. Available atomic volume data and collaborative first principles quantum mechanical calculations are combined to model the composition dependence of the transformation molar volume change. Composition analysis of the beta phase from the LEAP and Bolling-Richman experimental measurement of the M ssigma temperature defining mechanical transformation stability of the beta phase in Ti5111 provide…","author":[{"dropping-particle":"","family":"Tran","given":"Jamie","non-dropping-particle":"","parse-names":false,"suffix":""}],"container-title":"ProQuest Dissertations and Theses Global","id":"ITEM-1","issued":{"date-parts":[["2009"]]},"title":"Titanium by design: Trip titanium alloy","type":"article-journal"},"uris":["http://www.mendeley.com/documents/?uuid=e3a5d5d2-54f6-4b02-b5cf-bbad44ff0b07"]},{"id":"ITEM-2","itemData":{"DOI":"10.1016/j.actamat.2013.10.048","ISBN":"13596454 (ISSN)","ISSN":"13596454","abstract":"In this paper, the origin of {332}</w:instrText>
      </w:r>
      <w:r w:rsidRPr="00F43EE4">
        <w:rPr>
          <w:rFonts w:cstheme="minorHAnsi" w:hint="eastAsia"/>
        </w:rPr>
        <w:instrText>〈</w:instrText>
      </w:r>
      <w:r w:rsidRPr="00F43EE4">
        <w:rPr>
          <w:rFonts w:cstheme="minorHAnsi"/>
        </w:rPr>
        <w:instrText>113̄</w:instrText>
      </w:r>
      <w:r w:rsidRPr="00F43EE4">
        <w:rPr>
          <w:rFonts w:cstheme="minorHAnsi" w:hint="eastAsia"/>
        </w:rPr>
        <w:instrText>〉</w:instrText>
      </w:r>
      <w:r w:rsidRPr="00F43EE4">
        <w:rPr>
          <w:rFonts w:cstheme="minorHAnsi"/>
        </w:rPr>
        <w:instrText xml:space="preserve"> twinning, which is a unique twinning mode in metastable β-Ti alloys, was investigated. The possible twinning modes in metastable β-Ti alloys are derived by considering lattice instability in addition to the theory of the crystallography of deformation twinning. In order to consider lattice instability in the body-centered-cubic (bcc) structure, a modulated structure was proposed. We then clarify how the modulated structure facilitates {332}</w:instrText>
      </w:r>
      <w:r w:rsidRPr="00F43EE4">
        <w:rPr>
          <w:rFonts w:cstheme="minorHAnsi" w:hint="eastAsia"/>
        </w:rPr>
        <w:instrText>〈</w:instrText>
      </w:r>
      <w:r w:rsidRPr="00F43EE4">
        <w:rPr>
          <w:rFonts w:cstheme="minorHAnsi"/>
        </w:rPr>
        <w:instrText>113̄</w:instrText>
      </w:r>
      <w:r w:rsidRPr="00F43EE4">
        <w:rPr>
          <w:rFonts w:cstheme="minorHAnsi" w:hint="eastAsia"/>
        </w:rPr>
        <w:instrText>〉</w:instrText>
      </w:r>
      <w:r w:rsidRPr="00F43EE4">
        <w:rPr>
          <w:rFonts w:cstheme="minorHAnsi"/>
        </w:rPr>
        <w:instrText xml:space="preserve"> twinning preferentially compared to other possible twinning modes by evaluating the magnitude of twinning shear and the complexity of shuffle. It was found that the lattice instability makes {112}</w:instrText>
      </w:r>
      <w:r w:rsidRPr="00F43EE4">
        <w:rPr>
          <w:rFonts w:cstheme="minorHAnsi" w:hint="eastAsia"/>
        </w:rPr>
        <w:instrText>〈</w:instrText>
      </w:r>
      <w:r w:rsidRPr="00F43EE4">
        <w:rPr>
          <w:rFonts w:cstheme="minorHAnsi"/>
        </w:rPr>
        <w:instrText>1̄1̄1</w:instrText>
      </w:r>
      <w:r w:rsidRPr="00F43EE4">
        <w:rPr>
          <w:rFonts w:cstheme="minorHAnsi" w:hint="eastAsia"/>
        </w:rPr>
        <w:instrText>〉</w:instrText>
      </w:r>
      <w:r w:rsidRPr="00F43EE4">
        <w:rPr>
          <w:rFonts w:cstheme="minorHAnsi"/>
        </w:rPr>
        <w:instrText xml:space="preserve"> twinning, which is a major twinning mode observed in alloys with stable bcc structure, unlikely to occur because the lattice modulation causes additional shuffling to form the {112}</w:instrText>
      </w:r>
      <w:r w:rsidRPr="00F43EE4">
        <w:rPr>
          <w:rFonts w:cstheme="minorHAnsi" w:hint="eastAsia"/>
        </w:rPr>
        <w:instrText>〈</w:instrText>
      </w:r>
      <w:r w:rsidRPr="00F43EE4">
        <w:rPr>
          <w:rFonts w:cstheme="minorHAnsi"/>
        </w:rPr>
        <w:instrText>1̄1̄1</w:instrText>
      </w:r>
      <w:r w:rsidRPr="00F43EE4">
        <w:rPr>
          <w:rFonts w:cstheme="minorHAnsi" w:hint="eastAsia"/>
        </w:rPr>
        <w:instrText>〉</w:instrText>
      </w:r>
      <w:r w:rsidRPr="00F43EE4">
        <w:rPr>
          <w:rFonts w:cstheme="minorHAnsi"/>
        </w:rPr>
        <w:instrText xml:space="preserve"> twin. It was also found that {332}</w:instrText>
      </w:r>
      <w:r w:rsidRPr="00F43EE4">
        <w:rPr>
          <w:rFonts w:cstheme="minorHAnsi" w:hint="eastAsia"/>
        </w:rPr>
        <w:instrText>〈</w:instrText>
      </w:r>
      <w:r w:rsidRPr="00F43EE4">
        <w:rPr>
          <w:rFonts w:cstheme="minorHAnsi"/>
        </w:rPr>
        <w:instrText>113̄</w:instrText>
      </w:r>
      <w:r w:rsidRPr="00F43EE4">
        <w:rPr>
          <w:rFonts w:cstheme="minorHAnsi" w:hint="eastAsia"/>
        </w:rPr>
        <w:instrText>〉</w:instrText>
      </w:r>
      <w:r w:rsidRPr="00F43EE4">
        <w:rPr>
          <w:rFonts w:cstheme="minorHAnsi"/>
        </w:rPr>
        <w:instrText xml:space="preserve"> twinning is the most possible twinning mode in the modulated structure in terms of the magnitude of twinning shear and the complexity of shuffle. The new formation model of the {332}</w:instrText>
      </w:r>
      <w:r w:rsidRPr="00F43EE4">
        <w:rPr>
          <w:rFonts w:cstheme="minorHAnsi" w:hint="eastAsia"/>
        </w:rPr>
        <w:instrText>〈</w:instrText>
      </w:r>
      <w:r w:rsidRPr="00F43EE4">
        <w:rPr>
          <w:rFonts w:cstheme="minorHAnsi"/>
        </w:rPr>
        <w:instrText>113̄</w:instrText>
      </w:r>
      <w:r w:rsidRPr="00F43EE4">
        <w:rPr>
          <w:rFonts w:cstheme="minorHAnsi" w:hint="eastAsia"/>
        </w:rPr>
        <w:instrText>〉</w:instrText>
      </w:r>
      <w:r w:rsidRPr="00F43EE4">
        <w:rPr>
          <w:rFonts w:cstheme="minorHAnsi"/>
        </w:rPr>
        <w:instrText xml:space="preserve"> twin presented in this study can explain how the lattice instability preferentially activates the {332}</w:instrText>
      </w:r>
      <w:r w:rsidRPr="00F43EE4">
        <w:rPr>
          <w:rFonts w:cstheme="minorHAnsi" w:hint="eastAsia"/>
        </w:rPr>
        <w:instrText>〈</w:instrText>
      </w:r>
      <w:r w:rsidRPr="00F43EE4">
        <w:rPr>
          <w:rFonts w:cstheme="minorHAnsi"/>
        </w:rPr>
        <w:instrText>113̄</w:instrText>
      </w:r>
      <w:r w:rsidRPr="00F43EE4">
        <w:rPr>
          <w:rFonts w:cstheme="minorHAnsi" w:hint="eastAsia"/>
        </w:rPr>
        <w:instrText>〉</w:instrText>
      </w:r>
      <w:r w:rsidRPr="00F43EE4">
        <w:rPr>
          <w:rFonts w:cstheme="minorHAnsi"/>
        </w:rPr>
        <w:instrText xml:space="preserve"> twinning in metastable β-Ti alloys. © 2013 Acta Materialia Inc. Published by Elsevier Ltd. All rights reserved.","author":[{"dropping-particle":"","family":"Tobe","given":"Hirobumi","non-dropping-particle":"","parse-names":false,"suffix":""},{"dropping-particle":"","family":"Kim","given":"Hee Young","non-dropping-particle":"","parse-names":false,"suffix":""},{"dropping-particle":"","family":"Inamura","given":"Tomonari","non-dropping-particle":"","parse-names":false,"suffix":""},{"dropping-particle":"","family":"Hosoda","given":"Hideki","non-dropping-particle":"","parse-names":false,"suffix":""},{"dropping-particle":"","family":"Miyazaki","given":"Shuichi","non-dropping-particle":"","parse-names":false,"suffix":""}],"container-title":"Acta Materialia","id":"ITEM-2","issued":{"date-parts":[["2014"]]},"title":"Origin of {3 3 2} twinning in metastable β-Ti alloys","type":"article"},"uris":["http://www.mendeley.com/documents/?uuid=071f1bf4-cdc8-45b3-8675-32071ee1f466"]}],"mendeley":{"formattedCitation":"[11,25]","plainTextFormattedCitation":"[11,25]","previouslyFormattedCitation":"[13,27]"},"properties":{"noteIndex":0},"schema":"https://github.com/citation-style-language/schema/raw/master/csl-citation.json"}</w:instrText>
      </w:r>
      <w:r w:rsidRPr="00F43EE4">
        <w:rPr>
          <w:rFonts w:cstheme="minorHAnsi"/>
        </w:rPr>
        <w:fldChar w:fldCharType="separate"/>
      </w:r>
      <w:r w:rsidRPr="00F43EE4">
        <w:rPr>
          <w:rFonts w:cstheme="minorHAnsi"/>
          <w:noProof/>
        </w:rPr>
        <w:t>[11,25]</w:t>
      </w:r>
      <w:r w:rsidRPr="00F43EE4">
        <w:rPr>
          <w:rFonts w:cstheme="minorHAnsi"/>
        </w:rPr>
        <w:fldChar w:fldCharType="end"/>
      </w:r>
      <w:r w:rsidRPr="00F43EE4">
        <w:rPr>
          <w:rFonts w:cstheme="minorHAnsi"/>
        </w:rPr>
        <w:t xml:space="preserve">. For the </w:t>
      </w:r>
      <w:r w:rsidRPr="00F43EE4">
        <w:rPr>
          <w:rFonts w:cstheme="minorHAnsi"/>
          <w:noProof/>
        </w:rPr>
        <w:t>orthorhombic</w:t>
      </w:r>
      <w:r w:rsidRPr="00F43EE4">
        <w:rPr>
          <w:rFonts w:cstheme="minorHAnsi"/>
        </w:rPr>
        <w:t xml:space="preserve"> double lattice structure, there are seven crystallographically distinct pairs of atoms that may be used to represent th</w:t>
      </w:r>
      <w:r w:rsidRPr="006E5260">
        <w:rPr>
          <w:rFonts w:cstheme="minorHAnsi"/>
        </w:rPr>
        <w:t>e motif unit</w:t>
      </w:r>
      <w:r>
        <w:rPr>
          <w:rFonts w:cstheme="minorHAnsi"/>
        </w:rPr>
        <w:t xml:space="preserve"> </w:t>
      </w:r>
      <w:r w:rsidRPr="006E5260">
        <w:rPr>
          <w:rFonts w:cstheme="minorHAnsi"/>
        </w:rPr>
        <w:fldChar w:fldCharType="begin" w:fldLock="1"/>
      </w:r>
      <w:r>
        <w:rPr>
          <w:rFonts w:cstheme="minorHAnsi"/>
        </w:rPr>
        <w:instrText>ADDIN CSL_CITATION {"citationItems":[{"id":"ITEM-1","itemData":{"DOI":"10.1016/j.actamat.2013.10.048","ISBN":"13596454 (ISSN)","ISSN":"13596454","abstract":"In this paper, the origin of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which is a unique twinning mode in metastable β-Ti alloys, was investigated. The possible twinning modes in metastable β-Ti alloys are derived by considering lattice instability in addition to the theory of the crystallography of deformation twinning. In order to consider lattice instability in the body-centered-cubic (bcc) structure, a modulated structure was proposed. We then clarify how the modulated structure facilitates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preferentially compared to other possible twinning modes by evaluating the magnitude of twinning shear and the complexity of shuffle. It was found that the lattice instability makes {112}</w:instrText>
      </w:r>
      <w:r>
        <w:rPr>
          <w:rFonts w:cstheme="minorHAnsi" w:hint="eastAsia"/>
        </w:rPr>
        <w:instrText>〈</w:instrText>
      </w:r>
      <w:r>
        <w:rPr>
          <w:rFonts w:cstheme="minorHAnsi"/>
        </w:rPr>
        <w:instrText>1̄1̄1</w:instrText>
      </w:r>
      <w:r>
        <w:rPr>
          <w:rFonts w:cstheme="minorHAnsi" w:hint="eastAsia"/>
        </w:rPr>
        <w:instrText>〉</w:instrText>
      </w:r>
      <w:r>
        <w:rPr>
          <w:rFonts w:cstheme="minorHAnsi"/>
        </w:rPr>
        <w:instrText xml:space="preserve"> twinning, which is a major twinning mode observed in alloys with stable bcc structure, unlikely to occur because the lattice modulation causes additional shuffling to form the {112}</w:instrText>
      </w:r>
      <w:r>
        <w:rPr>
          <w:rFonts w:cstheme="minorHAnsi" w:hint="eastAsia"/>
        </w:rPr>
        <w:instrText>〈</w:instrText>
      </w:r>
      <w:r>
        <w:rPr>
          <w:rFonts w:cstheme="minorHAnsi"/>
        </w:rPr>
        <w:instrText>1̄1̄1</w:instrText>
      </w:r>
      <w:r>
        <w:rPr>
          <w:rFonts w:cstheme="minorHAnsi" w:hint="eastAsia"/>
        </w:rPr>
        <w:instrText>〉</w:instrText>
      </w:r>
      <w:r>
        <w:rPr>
          <w:rFonts w:cstheme="minorHAnsi"/>
        </w:rPr>
        <w:instrText xml:space="preserve"> twin. It was also found that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is the most possible twinning mode in the modulated structure in terms of the magnitude of twinning shear and the complexity of shuffle. The new formation model of the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 presented in this study can explain how the lattice instability preferentially activates the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in metastable β-Ti alloys. © 2013 Acta Materialia Inc. Published by Elsevier Ltd. All rights reserved.","author":[{"dropping-particle":"","family":"Tobe","given":"Hirobumi","non-dropping-particle":"","parse-names":false,"suffix":""},{"dropping-particle":"","family":"Kim","given":"Hee Young","non-dropping-particle":"","parse-names":false,"suffix":""},{"dropping-particle":"","family":"Inamura","given":"Tomonari","non-dropping-particle":"","parse-names":false,"suffix":""},{"dropping-particle":"","family":"Hosoda","given":"Hideki","non-dropping-particle":"","parse-names":false,"suffix":""},{"dropping-particle":"","family":"Miyazaki","given":"Shuichi","non-dropping-particle":"","parse-names":false,"suffix":""}],"container-title":"Acta Materialia","id":"ITEM-1","issued":{"date-parts":[["2014"]]},"title":"Origin of {3 3 2} twinning in metastable β-Ti alloys","type":"article"},"uris":["http://www.mendeley.com/documents/?uuid=071f1bf4-cdc8-45b3-8675-32071ee1f466"]}],"mendeley":{"formattedCitation":"[11]","plainTextFormattedCitation":"[11]","previouslyFormattedCitation":"[13]"},"properties":{"noteIndex":0},"schema":"https://github.com/citation-style-language/schema/raw/master/csl-citation.json"}</w:instrText>
      </w:r>
      <w:r w:rsidRPr="006E5260">
        <w:rPr>
          <w:rFonts w:cstheme="minorHAnsi"/>
        </w:rPr>
        <w:fldChar w:fldCharType="separate"/>
      </w:r>
      <w:r w:rsidRPr="008F7036">
        <w:rPr>
          <w:rFonts w:cstheme="minorHAnsi"/>
          <w:noProof/>
        </w:rPr>
        <w:t>[11]</w:t>
      </w:r>
      <w:r w:rsidRPr="006E5260">
        <w:rPr>
          <w:rFonts w:cstheme="minorHAnsi"/>
        </w:rPr>
        <w:fldChar w:fldCharType="end"/>
      </w:r>
      <w:r>
        <w:rPr>
          <w:rFonts w:cstheme="minorHAnsi"/>
        </w:rPr>
        <w:t xml:space="preserve">. These were termed as </w:t>
      </w:r>
      <w:r w:rsidRPr="006E5260">
        <w:rPr>
          <w:rFonts w:cstheme="minorHAnsi"/>
        </w:rPr>
        <w:t xml:space="preserve">κ, λ, θ, ν, </w:t>
      </w:r>
      <m:oMath>
        <m:r>
          <m:rPr>
            <m:sty m:val="p"/>
          </m:rPr>
          <w:rPr>
            <w:rFonts w:ascii="Cambria Math" w:hAnsi="Cambria Math" w:cstheme="minorHAnsi"/>
          </w:rPr>
          <w:lastRenderedPageBreak/>
          <m:t>ξ</m:t>
        </m:r>
      </m:oMath>
      <w:r w:rsidRPr="006E5260">
        <w:rPr>
          <w:rFonts w:cstheme="minorHAnsi"/>
        </w:rPr>
        <w:t xml:space="preserve">, ρ and </w:t>
      </w:r>
      <m:oMath>
        <m:r>
          <w:rPr>
            <w:rFonts w:ascii="Cambria Math" w:hAnsi="Cambria Math" w:cstheme="minorHAnsi"/>
          </w:rPr>
          <m:t>ψ</m:t>
        </m:r>
      </m:oMath>
      <w:r w:rsidRPr="006E5260">
        <w:rPr>
          <w:rFonts w:cstheme="minorHAnsi"/>
        </w:rPr>
        <w:t xml:space="preserve">. A schematic of the motif units in this modulated double lattice structure is </w:t>
      </w:r>
      <w:r>
        <w:rPr>
          <w:rFonts w:cstheme="minorHAnsi"/>
        </w:rPr>
        <w:t>given</w:t>
      </w:r>
      <w:r w:rsidRPr="006E5260">
        <w:rPr>
          <w:rFonts w:cstheme="minorHAnsi"/>
        </w:rPr>
        <w:t xml:space="preserve"> in </w:t>
      </w:r>
      <w:r>
        <w:rPr>
          <w:rFonts w:cstheme="minorHAnsi"/>
        </w:rPr>
        <w:br/>
        <w:t>F</w:t>
      </w:r>
      <w:r w:rsidRPr="006E5260">
        <w:rPr>
          <w:rFonts w:cstheme="minorHAnsi"/>
        </w:rPr>
        <w:t xml:space="preserve">ig. </w:t>
      </w:r>
      <w:r>
        <w:rPr>
          <w:rFonts w:cstheme="minorHAnsi"/>
        </w:rPr>
        <w:t>6-</w:t>
      </w:r>
      <w:r w:rsidRPr="006E5260">
        <w:rPr>
          <w:rFonts w:cstheme="minorHAnsi"/>
        </w:rPr>
        <w:t>2</w:t>
      </w:r>
      <w:r>
        <w:rPr>
          <w:rFonts w:cstheme="minorHAnsi"/>
        </w:rPr>
        <w:t>(</w:t>
      </w:r>
      <w:r w:rsidRPr="006E5260">
        <w:rPr>
          <w:rFonts w:cstheme="minorHAnsi"/>
        </w:rPr>
        <w:t>c</w:t>
      </w:r>
      <w:r>
        <w:rPr>
          <w:rFonts w:cstheme="minorHAnsi"/>
        </w:rPr>
        <w:t>)</w:t>
      </w:r>
      <w:r w:rsidRPr="006E5260">
        <w:rPr>
          <w:rFonts w:cstheme="minorHAnsi"/>
        </w:rPr>
        <w:t>. The possible motif unit</w:t>
      </w:r>
      <w:r>
        <w:rPr>
          <w:rFonts w:cstheme="minorHAnsi"/>
        </w:rPr>
        <w:t>s</w:t>
      </w:r>
      <w:r w:rsidRPr="006E5260">
        <w:rPr>
          <w:rFonts w:cstheme="minorHAnsi"/>
        </w:rPr>
        <w:t xml:space="preserve"> are listed in </w:t>
      </w:r>
      <w:r>
        <w:rPr>
          <w:rFonts w:cstheme="minorHAnsi"/>
        </w:rPr>
        <w:t>T</w:t>
      </w:r>
      <w:r w:rsidRPr="006E5260">
        <w:rPr>
          <w:rFonts w:cstheme="minorHAnsi"/>
        </w:rPr>
        <w:t>able.</w:t>
      </w:r>
      <w:r>
        <w:rPr>
          <w:rFonts w:cstheme="minorHAnsi"/>
        </w:rPr>
        <w:t xml:space="preserve"> 6-4</w:t>
      </w:r>
      <w:r w:rsidRPr="006E5260">
        <w:rPr>
          <w:rFonts w:cstheme="minorHAnsi"/>
        </w:rPr>
        <w:t xml:space="preserve"> in orthorhombic coordinate with </w:t>
      </w:r>
      <w:r w:rsidRPr="006E5260">
        <w:rPr>
          <w:rFonts w:cstheme="minorHAnsi"/>
          <w:b/>
          <w:i/>
        </w:rPr>
        <w:t>a</w:t>
      </w:r>
      <w:r w:rsidRPr="006E5260">
        <w:rPr>
          <w:rFonts w:cstheme="minorHAnsi"/>
        </w:rPr>
        <w:t xml:space="preserve">, </w:t>
      </w:r>
      <w:r w:rsidRPr="006E5260">
        <w:rPr>
          <w:rFonts w:cstheme="minorHAnsi"/>
          <w:b/>
          <w:i/>
        </w:rPr>
        <w:t>b</w:t>
      </w:r>
      <w:r w:rsidRPr="006E5260">
        <w:rPr>
          <w:rFonts w:cstheme="minorHAnsi"/>
        </w:rPr>
        <w:t xml:space="preserve">, and </w:t>
      </w:r>
      <w:r w:rsidRPr="006E5260">
        <w:rPr>
          <w:rFonts w:cstheme="minorHAnsi"/>
          <w:b/>
          <w:i/>
        </w:rPr>
        <w:t>c</w:t>
      </w:r>
      <w:r w:rsidRPr="006E5260">
        <w:rPr>
          <w:rFonts w:cstheme="minorHAnsi"/>
        </w:rPr>
        <w:t xml:space="preserve"> primitive lattice vector</w:t>
      </w:r>
      <w:r w:rsidR="00F43EE4">
        <w:rPr>
          <w:rFonts w:cstheme="minorHAnsi"/>
        </w:rPr>
        <w:t>s</w:t>
      </w:r>
      <w:r w:rsidRPr="006E5260">
        <w:rPr>
          <w:rFonts w:cstheme="minorHAnsi"/>
        </w:rPr>
        <w:t xml:space="preserve">. </w:t>
      </w:r>
    </w:p>
    <w:p w14:paraId="1FAA292B" w14:textId="77777777" w:rsidR="00B145BE" w:rsidRDefault="00B145BE" w:rsidP="00B145BE">
      <w:pPr>
        <w:keepNext/>
        <w:spacing w:afterLines="60" w:after="144" w:line="360" w:lineRule="auto"/>
        <w:jc w:val="center"/>
      </w:pPr>
      <w:r w:rsidRPr="006E5260">
        <w:rPr>
          <w:rFonts w:cstheme="minorHAnsi"/>
          <w:noProof/>
          <w:lang w:val="en-US" w:eastAsia="en-US"/>
        </w:rPr>
        <w:drawing>
          <wp:inline distT="0" distB="0" distL="0" distR="0" wp14:anchorId="182650FB" wp14:editId="10FD6190">
            <wp:extent cx="3460750" cy="2084116"/>
            <wp:effectExtent l="0" t="0" r="6350" b="0"/>
            <wp:docPr id="73" name="图片 9" descr="图片包含 文字, 地图&#10;&#10;自动生成的说明">
              <a:extLst xmlns:a="http://schemas.openxmlformats.org/drawingml/2006/main">
                <a:ext uri="{FF2B5EF4-FFF2-40B4-BE49-F238E27FC236}">
                  <a16:creationId xmlns:a16="http://schemas.microsoft.com/office/drawing/2014/main" id="{82022AEA-42A8-4FE1-8DEF-40D8C8594C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图片包含 文字, 地图&#10;&#10;自动生成的说明">
                      <a:extLst>
                        <a:ext uri="{FF2B5EF4-FFF2-40B4-BE49-F238E27FC236}">
                          <a16:creationId xmlns:a16="http://schemas.microsoft.com/office/drawing/2014/main" id="{82022AEA-42A8-4FE1-8DEF-40D8C8594C61}"/>
                        </a:ext>
                      </a:extLst>
                    </pic:cNvPr>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465468" cy="2086957"/>
                    </a:xfrm>
                    <a:prstGeom prst="rect">
                      <a:avLst/>
                    </a:prstGeom>
                  </pic:spPr>
                </pic:pic>
              </a:graphicData>
            </a:graphic>
          </wp:inline>
        </w:drawing>
      </w:r>
    </w:p>
    <w:p w14:paraId="5DFA1350" w14:textId="0995A2DE" w:rsidR="00B145BE" w:rsidRPr="00D15A8F" w:rsidRDefault="00B145BE" w:rsidP="00B145BE">
      <w:pPr>
        <w:spacing w:afterLines="60" w:after="144" w:line="360" w:lineRule="auto"/>
        <w:jc w:val="both"/>
        <w:rPr>
          <w:rFonts w:cstheme="minorHAnsi"/>
          <w:sz w:val="20"/>
        </w:rPr>
      </w:pPr>
      <w:bookmarkStart w:id="298" w:name="_Toc7364608"/>
      <w:bookmarkStart w:id="299" w:name="_Toc39312722"/>
      <w:r w:rsidRPr="00D15A8F">
        <w:rPr>
          <w:rFonts w:cstheme="minorHAnsi"/>
          <w:b/>
          <w:sz w:val="20"/>
        </w:rPr>
        <w:t>Figure 6-</w:t>
      </w:r>
      <w:r w:rsidRPr="00D15A8F">
        <w:rPr>
          <w:b/>
          <w:sz w:val="20"/>
        </w:rPr>
        <w:fldChar w:fldCharType="begin"/>
      </w:r>
      <w:r w:rsidRPr="00D15A8F">
        <w:rPr>
          <w:b/>
          <w:sz w:val="20"/>
        </w:rPr>
        <w:instrText xml:space="preserve"> SEQ Figure \* ARABIC </w:instrText>
      </w:r>
      <w:r w:rsidRPr="00D15A8F">
        <w:rPr>
          <w:b/>
          <w:sz w:val="20"/>
        </w:rPr>
        <w:fldChar w:fldCharType="separate"/>
      </w:r>
      <w:r>
        <w:rPr>
          <w:b/>
          <w:noProof/>
          <w:sz w:val="20"/>
        </w:rPr>
        <w:t>2</w:t>
      </w:r>
      <w:r w:rsidRPr="00D15A8F">
        <w:rPr>
          <w:b/>
          <w:sz w:val="20"/>
        </w:rPr>
        <w:fldChar w:fldCharType="end"/>
      </w:r>
      <w:r w:rsidRPr="00D15A8F">
        <w:rPr>
          <w:rFonts w:cstheme="minorHAnsi"/>
          <w:sz w:val="18"/>
        </w:rPr>
        <w:t xml:space="preserve"> </w:t>
      </w:r>
      <w:r>
        <w:rPr>
          <w:rFonts w:cstheme="minorHAnsi"/>
          <w:b/>
          <w:sz w:val="20"/>
        </w:rPr>
        <w:t>A schematic</w:t>
      </w:r>
      <w:r w:rsidRPr="00D15A8F">
        <w:rPr>
          <w:rFonts w:cstheme="minorHAnsi"/>
          <w:b/>
          <w:sz w:val="20"/>
        </w:rPr>
        <w:t xml:space="preserve"> of the atomic shuffle mechanism with q=1 and 4 in the </w:t>
      </w:r>
      <w:r w:rsidRPr="00D15A8F">
        <w:rPr>
          <w:rFonts w:cstheme="minorHAnsi"/>
          <w:b/>
          <w:noProof/>
          <w:sz w:val="20"/>
        </w:rPr>
        <w:t>double</w:t>
      </w:r>
      <w:r w:rsidRPr="00D15A8F">
        <w:rPr>
          <w:rFonts w:cstheme="minorHAnsi"/>
          <w:b/>
          <w:sz w:val="20"/>
        </w:rPr>
        <w:t xml:space="preserve"> lattice structure</w:t>
      </w:r>
      <w:r>
        <w:rPr>
          <w:rFonts w:cstheme="minorHAnsi"/>
          <w:b/>
          <w:sz w:val="20"/>
        </w:rPr>
        <w:t xml:space="preserve"> </w:t>
      </w:r>
      <w:r w:rsidRPr="00D15A8F">
        <w:rPr>
          <w:rFonts w:cstheme="minorHAnsi"/>
          <w:sz w:val="20"/>
        </w:rPr>
        <w:fldChar w:fldCharType="begin" w:fldLock="1"/>
      </w:r>
      <w:r>
        <w:rPr>
          <w:rFonts w:cstheme="minorHAnsi"/>
          <w:sz w:val="20"/>
        </w:rPr>
        <w:instrText>ADDIN CSL_CITATION {"citationItems":[{"id":"ITEM-1","itemData":{"DOI":"10.1016/j.actamat.2013.10.048","ISBN":"13596454 (ISSN)","ISSN":"13596454","abstract":"In this paper, the origin of {332}</w:instrText>
      </w:r>
      <w:r>
        <w:rPr>
          <w:rFonts w:cstheme="minorHAnsi" w:hint="eastAsia"/>
          <w:sz w:val="20"/>
        </w:rPr>
        <w:instrText>〈</w:instrText>
      </w:r>
      <w:r>
        <w:rPr>
          <w:rFonts w:cstheme="minorHAnsi"/>
          <w:sz w:val="20"/>
        </w:rPr>
        <w:instrText>113̄</w:instrText>
      </w:r>
      <w:r>
        <w:rPr>
          <w:rFonts w:cstheme="minorHAnsi" w:hint="eastAsia"/>
          <w:sz w:val="20"/>
        </w:rPr>
        <w:instrText>〉</w:instrText>
      </w:r>
      <w:r>
        <w:rPr>
          <w:rFonts w:cstheme="minorHAnsi"/>
          <w:sz w:val="20"/>
        </w:rPr>
        <w:instrText xml:space="preserve"> twinning, which is a unique twinning mode in metastable β-Ti alloys, was investigated. The possible twinning modes in metastable β-Ti alloys are derived by considering lattice instability in addition to the theory of the crystallography of deformation twinning. In order to consider lattice instability in the body-centered-cubic (bcc) structure, a modulated structure was proposed. We then clarify how the modulated structure facilitates {332}</w:instrText>
      </w:r>
      <w:r>
        <w:rPr>
          <w:rFonts w:cstheme="minorHAnsi" w:hint="eastAsia"/>
          <w:sz w:val="20"/>
        </w:rPr>
        <w:instrText>〈</w:instrText>
      </w:r>
      <w:r>
        <w:rPr>
          <w:rFonts w:cstheme="minorHAnsi"/>
          <w:sz w:val="20"/>
        </w:rPr>
        <w:instrText>113̄</w:instrText>
      </w:r>
      <w:r>
        <w:rPr>
          <w:rFonts w:cstheme="minorHAnsi" w:hint="eastAsia"/>
          <w:sz w:val="20"/>
        </w:rPr>
        <w:instrText>〉</w:instrText>
      </w:r>
      <w:r>
        <w:rPr>
          <w:rFonts w:cstheme="minorHAnsi"/>
          <w:sz w:val="20"/>
        </w:rPr>
        <w:instrText xml:space="preserve"> twinning preferentially compared to other possible twinning modes by evaluating the magnitude of twinning shear and the complexity of shuffle. It was found that the lattice instability makes {112}</w:instrText>
      </w:r>
      <w:r>
        <w:rPr>
          <w:rFonts w:cstheme="minorHAnsi" w:hint="eastAsia"/>
          <w:sz w:val="20"/>
        </w:rPr>
        <w:instrText>〈</w:instrText>
      </w:r>
      <w:r>
        <w:rPr>
          <w:rFonts w:cstheme="minorHAnsi"/>
          <w:sz w:val="20"/>
        </w:rPr>
        <w:instrText>1̄1̄1</w:instrText>
      </w:r>
      <w:r>
        <w:rPr>
          <w:rFonts w:cstheme="minorHAnsi" w:hint="eastAsia"/>
          <w:sz w:val="20"/>
        </w:rPr>
        <w:instrText>〉</w:instrText>
      </w:r>
      <w:r>
        <w:rPr>
          <w:rFonts w:cstheme="minorHAnsi"/>
          <w:sz w:val="20"/>
        </w:rPr>
        <w:instrText xml:space="preserve"> twinning, which is a major twinning mode observed in alloys with stable bcc structure, unlikely to occur because the lattice modulation causes additional shuffling to form the {112}</w:instrText>
      </w:r>
      <w:r>
        <w:rPr>
          <w:rFonts w:cstheme="minorHAnsi" w:hint="eastAsia"/>
          <w:sz w:val="20"/>
        </w:rPr>
        <w:instrText>〈</w:instrText>
      </w:r>
      <w:r>
        <w:rPr>
          <w:rFonts w:cstheme="minorHAnsi"/>
          <w:sz w:val="20"/>
        </w:rPr>
        <w:instrText>1̄1̄1</w:instrText>
      </w:r>
      <w:r>
        <w:rPr>
          <w:rFonts w:cstheme="minorHAnsi" w:hint="eastAsia"/>
          <w:sz w:val="20"/>
        </w:rPr>
        <w:instrText>〉</w:instrText>
      </w:r>
      <w:r>
        <w:rPr>
          <w:rFonts w:cstheme="minorHAnsi"/>
          <w:sz w:val="20"/>
        </w:rPr>
        <w:instrText xml:space="preserve"> twin. It was also found that {332}</w:instrText>
      </w:r>
      <w:r>
        <w:rPr>
          <w:rFonts w:cstheme="minorHAnsi" w:hint="eastAsia"/>
          <w:sz w:val="20"/>
        </w:rPr>
        <w:instrText>〈</w:instrText>
      </w:r>
      <w:r>
        <w:rPr>
          <w:rFonts w:cstheme="minorHAnsi"/>
          <w:sz w:val="20"/>
        </w:rPr>
        <w:instrText>113̄</w:instrText>
      </w:r>
      <w:r>
        <w:rPr>
          <w:rFonts w:cstheme="minorHAnsi" w:hint="eastAsia"/>
          <w:sz w:val="20"/>
        </w:rPr>
        <w:instrText>〉</w:instrText>
      </w:r>
      <w:r>
        <w:rPr>
          <w:rFonts w:cstheme="minorHAnsi"/>
          <w:sz w:val="20"/>
        </w:rPr>
        <w:instrText xml:space="preserve"> twinning is the most possible twinning mode in the modulated structure in terms of the magnitude of twinning shear and the complexity of shuffle. The new formation model of the {332}</w:instrText>
      </w:r>
      <w:r>
        <w:rPr>
          <w:rFonts w:cstheme="minorHAnsi" w:hint="eastAsia"/>
          <w:sz w:val="20"/>
        </w:rPr>
        <w:instrText>〈</w:instrText>
      </w:r>
      <w:r>
        <w:rPr>
          <w:rFonts w:cstheme="minorHAnsi"/>
          <w:sz w:val="20"/>
        </w:rPr>
        <w:instrText>113̄</w:instrText>
      </w:r>
      <w:r>
        <w:rPr>
          <w:rFonts w:cstheme="minorHAnsi" w:hint="eastAsia"/>
          <w:sz w:val="20"/>
        </w:rPr>
        <w:instrText>〉</w:instrText>
      </w:r>
      <w:r>
        <w:rPr>
          <w:rFonts w:cstheme="minorHAnsi"/>
          <w:sz w:val="20"/>
        </w:rPr>
        <w:instrText xml:space="preserve"> twin presented in this study can explain how the lattice instability preferentially activates the {332}</w:instrText>
      </w:r>
      <w:r>
        <w:rPr>
          <w:rFonts w:cstheme="minorHAnsi" w:hint="eastAsia"/>
          <w:sz w:val="20"/>
        </w:rPr>
        <w:instrText>〈</w:instrText>
      </w:r>
      <w:r>
        <w:rPr>
          <w:rFonts w:cstheme="minorHAnsi"/>
          <w:sz w:val="20"/>
        </w:rPr>
        <w:instrText>113̄</w:instrText>
      </w:r>
      <w:r>
        <w:rPr>
          <w:rFonts w:cstheme="minorHAnsi" w:hint="eastAsia"/>
          <w:sz w:val="20"/>
        </w:rPr>
        <w:instrText>〉</w:instrText>
      </w:r>
      <w:r>
        <w:rPr>
          <w:rFonts w:cstheme="minorHAnsi"/>
          <w:sz w:val="20"/>
        </w:rPr>
        <w:instrText xml:space="preserve"> twinning in metastable β-Ti alloys. © 2013 Acta Materialia Inc. Published by Elsevier Ltd. All rights reserved.","author":[{"dropping-particle":"","family":"Tobe","given":"Hirobumi","non-dropping-particle":"","parse-names":false,"suffix":""},{"dropping-particle":"","family":"Kim","given":"Hee Young","non-dropping-particle":"","parse-names":false,"suffix":""},{"dropping-particle":"","family":"Inamura","given":"Tomonari","non-dropping-particle":"","parse-names":false,"suffix":""},{"dropping-particle":"","family":"Hosoda","given":"Hideki","non-dropping-particle":"","parse-names":false,"suffix":""},{"dropping-particle":"","family":"Miyazaki","given":"Shuichi","non-dropping-particle":"","parse-names":false,"suffix":""}],"container-title":"Acta Materialia","id":"ITEM-1","issued":{"date-parts":[["2014"]]},"title":"Origin of {3 3 2} twinning in metastable β-Ti alloys","type":"article"},"uris":["http://www.mendeley.com/documents/?uuid=071f1bf4-cdc8-45b3-8675-32071ee1f466"]},{"id":"ITEM-2","itemData":{"DOI":"10.1016/0022-3115(71)90077-8","ISBN":"0022-3115","ISSN":"00223115","abstract":"An analysis is given of the crystallography of deformation twinning in α-plutonium, which has sixteen atoms in its monoclinic unit cell. The 20 twinning modes with the smallest possible shears consistent with all or one-half of the lattice points shearing directly to correct twin positions are tabulated. However in a structure with this degree of complexity the atomic shuffles accompanying any twinning shear must, of necessity, be very involved. In order to analyse these shuffles a simple pseudo-structure with only two atoms in its monoclinic unit cell is introduced. The twinning modes in this structure which correspond to the 20 modes obtained previously for the true structure are then examined and it is deduced that only two modes are acceptable. These have twinning elements K1K2η1η2g given by (001) (2&amp;#x0304;01) [1&amp;#x0304;00] [102]; 0.159 (2&amp;#x0304;01) (001) [102] [1&amp;#x0304;00]; 0.159. These modes were also predicted in an earlier analysis by Sebilleau. The detailed atomic shuffles associated with these modes are examined in both the pseudo-structure and in the true structure and it is concluded that both modes are likely to operate in practice. However, consideration of the production of twinning dislocations in the two interfaces suggests that (2&amp;#x0304;01) twins are favoured. The predictions are consistent with the very limited amount of experimental information which is available. © 1971.","author":[{"dropping-particle":"","family":"Crocker","given":"A. G.","non-dropping-particle":"","parse-names":false,"suffix":""}],"container-title":"Journal of Nuclear Materials","id":"ITEM-2","issued":{"date-parts":[["1971"]]},"title":"The crystallography of deformation-twinning in alpha-plutonium","type":"article-journal"},"uris":["http://www.mendeley.com/documents/?uuid=458038aa-30e2-44a8-8a74-ec9c55602b9e"]}],"mendeley":{"formattedCitation":"[11,16]","plainTextFormattedCitation":"[11,16]","previouslyFormattedCitation":"[13,18]"},"properties":{"noteIndex":0},"schema":"https://github.com/citation-style-language/schema/raw/master/csl-citation.json"}</w:instrText>
      </w:r>
      <w:r w:rsidRPr="00D15A8F">
        <w:rPr>
          <w:rFonts w:cstheme="minorHAnsi"/>
          <w:sz w:val="20"/>
        </w:rPr>
        <w:fldChar w:fldCharType="separate"/>
      </w:r>
      <w:r w:rsidRPr="008F7036">
        <w:rPr>
          <w:rFonts w:cstheme="minorHAnsi"/>
          <w:noProof/>
          <w:sz w:val="20"/>
        </w:rPr>
        <w:t>[11,16]</w:t>
      </w:r>
      <w:r w:rsidRPr="00D15A8F">
        <w:rPr>
          <w:rFonts w:cstheme="minorHAnsi"/>
          <w:sz w:val="20"/>
        </w:rPr>
        <w:fldChar w:fldCharType="end"/>
      </w:r>
      <w:r w:rsidRPr="00D15A8F">
        <w:rPr>
          <w:rFonts w:cstheme="minorHAnsi"/>
          <w:sz w:val="20"/>
        </w:rPr>
        <w:t>. (</w:t>
      </w:r>
      <w:r w:rsidRPr="004712F8">
        <w:rPr>
          <w:rFonts w:cstheme="minorHAnsi"/>
          <w:b/>
          <w:sz w:val="20"/>
        </w:rPr>
        <w:t>a</w:t>
      </w:r>
      <w:r w:rsidRPr="00D15A8F">
        <w:rPr>
          <w:rFonts w:cstheme="minorHAnsi"/>
          <w:sz w:val="20"/>
        </w:rPr>
        <w:t xml:space="preserve">) the possible </w:t>
      </w:r>
      <w:r w:rsidRPr="00D15A8F">
        <w:rPr>
          <w:rFonts w:cstheme="minorHAnsi"/>
          <w:noProof/>
          <w:sz w:val="20"/>
        </w:rPr>
        <w:t>mechanism</w:t>
      </w:r>
      <w:r w:rsidRPr="00D15A8F">
        <w:rPr>
          <w:rFonts w:cstheme="minorHAnsi"/>
          <w:sz w:val="20"/>
        </w:rPr>
        <w:t xml:space="preserve"> for rearrangement of motif unit with q=1 </w:t>
      </w:r>
      <w:r w:rsidRPr="00D15A8F">
        <w:rPr>
          <w:rFonts w:cstheme="minorHAnsi"/>
          <w:noProof/>
          <w:sz w:val="20"/>
        </w:rPr>
        <w:t>is</w:t>
      </w:r>
      <w:r w:rsidRPr="00D15A8F">
        <w:rPr>
          <w:rFonts w:cstheme="minorHAnsi"/>
          <w:sz w:val="20"/>
        </w:rPr>
        <w:t xml:space="preserve"> shown in (i) and (ii) for type I twinning and type II twinning</w:t>
      </w:r>
      <w:r>
        <w:rPr>
          <w:rFonts w:cstheme="minorHAnsi"/>
          <w:sz w:val="20"/>
        </w:rPr>
        <w:t>,</w:t>
      </w:r>
      <w:r w:rsidRPr="00D15A8F">
        <w:rPr>
          <w:rFonts w:cstheme="minorHAnsi"/>
          <w:sz w:val="20"/>
        </w:rPr>
        <w:t xml:space="preserve"> respectively</w:t>
      </w:r>
      <w:r>
        <w:rPr>
          <w:rFonts w:cstheme="minorHAnsi"/>
          <w:sz w:val="20"/>
        </w:rPr>
        <w:t>;</w:t>
      </w:r>
      <w:r w:rsidRPr="00D15A8F">
        <w:rPr>
          <w:rFonts w:cstheme="minorHAnsi"/>
          <w:sz w:val="20"/>
        </w:rPr>
        <w:t xml:space="preserve"> (</w:t>
      </w:r>
      <w:r w:rsidRPr="004712F8">
        <w:rPr>
          <w:rFonts w:cstheme="minorHAnsi"/>
          <w:b/>
          <w:sz w:val="20"/>
        </w:rPr>
        <w:t>b</w:t>
      </w:r>
      <w:r w:rsidRPr="00D15A8F">
        <w:rPr>
          <w:rFonts w:cstheme="minorHAnsi"/>
          <w:sz w:val="20"/>
        </w:rPr>
        <w:t xml:space="preserve">) </w:t>
      </w:r>
      <w:r>
        <w:rPr>
          <w:rFonts w:cstheme="minorHAnsi"/>
          <w:noProof/>
          <w:sz w:val="20"/>
        </w:rPr>
        <w:t>r</w:t>
      </w:r>
      <w:r w:rsidRPr="00D15A8F">
        <w:rPr>
          <w:rFonts w:cstheme="minorHAnsi"/>
          <w:noProof/>
          <w:sz w:val="20"/>
        </w:rPr>
        <w:t>earrangement</w:t>
      </w:r>
      <w:r w:rsidRPr="00D15A8F">
        <w:rPr>
          <w:rFonts w:cstheme="minorHAnsi"/>
          <w:sz w:val="20"/>
        </w:rPr>
        <w:t xml:space="preserve"> and disruption of motif unit with q=4 </w:t>
      </w:r>
      <w:r w:rsidRPr="00D15A8F">
        <w:rPr>
          <w:rFonts w:cstheme="minorHAnsi"/>
          <w:noProof/>
          <w:sz w:val="20"/>
        </w:rPr>
        <w:t>are shown</w:t>
      </w:r>
      <w:r w:rsidRPr="00D15A8F">
        <w:rPr>
          <w:rFonts w:cstheme="minorHAnsi"/>
          <w:sz w:val="20"/>
        </w:rPr>
        <w:t xml:space="preserve"> in (iii)-(iv) and (v)-(vi) for type I and type II twinning</w:t>
      </w:r>
      <w:r>
        <w:rPr>
          <w:rFonts w:cstheme="minorHAnsi"/>
          <w:sz w:val="20"/>
        </w:rPr>
        <w:t>,</w:t>
      </w:r>
      <w:r w:rsidRPr="00D15A8F">
        <w:rPr>
          <w:rFonts w:cstheme="minorHAnsi"/>
          <w:sz w:val="20"/>
        </w:rPr>
        <w:t xml:space="preserve"> respectively. Atoms represented by open and closed circles lie above and below</w:t>
      </w:r>
      <w:r>
        <w:rPr>
          <w:rFonts w:cstheme="minorHAnsi"/>
          <w:sz w:val="20"/>
        </w:rPr>
        <w:t>;</w:t>
      </w:r>
      <w:r w:rsidRPr="00D15A8F">
        <w:rPr>
          <w:rFonts w:cstheme="minorHAnsi"/>
          <w:sz w:val="20"/>
        </w:rPr>
        <w:t xml:space="preserve"> (</w:t>
      </w:r>
      <w:r w:rsidRPr="004712F8">
        <w:rPr>
          <w:rFonts w:cstheme="minorHAnsi"/>
          <w:b/>
          <w:sz w:val="20"/>
        </w:rPr>
        <w:t>c</w:t>
      </w:r>
      <w:r w:rsidRPr="00D15A8F">
        <w:rPr>
          <w:rFonts w:cstheme="minorHAnsi"/>
          <w:sz w:val="20"/>
        </w:rPr>
        <w:t xml:space="preserve">) </w:t>
      </w:r>
      <w:r>
        <w:rPr>
          <w:rFonts w:cstheme="minorHAnsi"/>
          <w:noProof/>
          <w:sz w:val="20"/>
        </w:rPr>
        <w:t>the m</w:t>
      </w:r>
      <w:r w:rsidRPr="00D15A8F">
        <w:rPr>
          <w:rFonts w:cstheme="minorHAnsi"/>
          <w:noProof/>
          <w:sz w:val="20"/>
        </w:rPr>
        <w:t>odulated</w:t>
      </w:r>
      <w:r w:rsidRPr="00D15A8F">
        <w:rPr>
          <w:rFonts w:cstheme="minorHAnsi"/>
          <w:sz w:val="20"/>
        </w:rPr>
        <w:t xml:space="preserve"> structure for </w:t>
      </w:r>
      <w:r w:rsidR="00F43EE4">
        <w:rPr>
          <w:rFonts w:cstheme="minorHAnsi"/>
          <w:sz w:val="20"/>
        </w:rPr>
        <w:t xml:space="preserve">the </w:t>
      </w:r>
      <w:r w:rsidRPr="00D15A8F">
        <w:rPr>
          <w:rFonts w:cstheme="minorHAnsi"/>
          <w:sz w:val="20"/>
        </w:rPr>
        <w:t>orthorhombic lattice</w:t>
      </w:r>
      <w:r>
        <w:rPr>
          <w:rFonts w:cstheme="minorHAnsi"/>
          <w:sz w:val="20"/>
        </w:rPr>
        <w:t>, with</w:t>
      </w:r>
      <w:r w:rsidRPr="00D15A8F">
        <w:rPr>
          <w:rFonts w:cstheme="minorHAnsi"/>
          <w:sz w:val="20"/>
        </w:rPr>
        <w:t xml:space="preserve"> </w:t>
      </w:r>
      <w:r w:rsidR="00F43EE4">
        <w:rPr>
          <w:rFonts w:cstheme="minorHAnsi"/>
          <w:sz w:val="20"/>
        </w:rPr>
        <w:t xml:space="preserve">the </w:t>
      </w:r>
      <w:r w:rsidRPr="00D15A8F">
        <w:rPr>
          <w:rFonts w:cstheme="minorHAnsi"/>
          <w:noProof/>
          <w:sz w:val="20"/>
        </w:rPr>
        <w:t>red</w:t>
      </w:r>
      <w:r w:rsidRPr="00D15A8F">
        <w:rPr>
          <w:rFonts w:cstheme="minorHAnsi"/>
          <w:sz w:val="20"/>
        </w:rPr>
        <w:t xml:space="preserve"> </w:t>
      </w:r>
      <w:r w:rsidRPr="00D15A8F">
        <w:rPr>
          <w:rFonts w:cstheme="minorHAnsi"/>
          <w:noProof/>
          <w:sz w:val="20"/>
        </w:rPr>
        <w:t>arrow</w:t>
      </w:r>
      <w:r w:rsidRPr="00D15A8F">
        <w:rPr>
          <w:rFonts w:cstheme="minorHAnsi"/>
          <w:sz w:val="20"/>
        </w:rPr>
        <w:t xml:space="preserve"> </w:t>
      </w:r>
      <w:r w:rsidRPr="00D15A8F">
        <w:rPr>
          <w:rFonts w:cstheme="minorHAnsi"/>
          <w:noProof/>
          <w:sz w:val="20"/>
        </w:rPr>
        <w:t>indicat</w:t>
      </w:r>
      <w:r>
        <w:rPr>
          <w:rFonts w:cstheme="minorHAnsi"/>
          <w:noProof/>
          <w:sz w:val="20"/>
        </w:rPr>
        <w:t>ing</w:t>
      </w:r>
      <w:r w:rsidRPr="00D15A8F">
        <w:rPr>
          <w:rFonts w:cstheme="minorHAnsi"/>
          <w:sz w:val="20"/>
        </w:rPr>
        <w:t xml:space="preserve"> the displacement of </w:t>
      </w:r>
      <w:r w:rsidRPr="00D15A8F">
        <w:rPr>
          <w:rFonts w:cstheme="minorHAnsi"/>
          <w:noProof/>
          <w:sz w:val="20"/>
        </w:rPr>
        <w:t>atom</w:t>
      </w:r>
      <w:r>
        <w:rPr>
          <w:rFonts w:cstheme="minorHAnsi"/>
          <w:noProof/>
          <w:sz w:val="20"/>
        </w:rPr>
        <w:t>s</w:t>
      </w:r>
      <w:r w:rsidRPr="00D15A8F">
        <w:rPr>
          <w:rFonts w:cstheme="minorHAnsi"/>
          <w:sz w:val="20"/>
        </w:rPr>
        <w:t xml:space="preserve"> in </w:t>
      </w:r>
      <w:r w:rsidR="00F43EE4">
        <w:rPr>
          <w:rFonts w:cstheme="minorHAnsi"/>
          <w:sz w:val="20"/>
        </w:rPr>
        <w:t xml:space="preserve">the </w:t>
      </w:r>
      <w:r w:rsidRPr="00D15A8F">
        <w:rPr>
          <w:rFonts w:cstheme="minorHAnsi"/>
          <w:sz w:val="20"/>
        </w:rPr>
        <w:t>(0-11)</w:t>
      </w:r>
      <w:r w:rsidRPr="00D15A8F">
        <w:rPr>
          <w:rFonts w:cstheme="minorHAnsi"/>
          <w:sz w:val="20"/>
          <w:vertAlign w:val="subscript"/>
        </w:rPr>
        <w:t>β</w:t>
      </w:r>
      <w:r w:rsidRPr="00D15A8F">
        <w:rPr>
          <w:rFonts w:cstheme="minorHAnsi"/>
          <w:sz w:val="20"/>
        </w:rPr>
        <w:t xml:space="preserve"> plane along </w:t>
      </w:r>
      <w:r w:rsidR="00F43EE4">
        <w:rPr>
          <w:rFonts w:cstheme="minorHAnsi"/>
          <w:sz w:val="20"/>
        </w:rPr>
        <w:t xml:space="preserve">the </w:t>
      </w:r>
      <w:r w:rsidRPr="00D15A8F">
        <w:rPr>
          <w:rFonts w:cstheme="minorHAnsi"/>
          <w:sz w:val="20"/>
        </w:rPr>
        <w:t>[011]</w:t>
      </w:r>
      <w:r w:rsidRPr="00D15A8F">
        <w:rPr>
          <w:rFonts w:cstheme="minorHAnsi"/>
          <w:sz w:val="20"/>
          <w:vertAlign w:val="subscript"/>
        </w:rPr>
        <w:t>β</w:t>
      </w:r>
      <w:r w:rsidRPr="00D15A8F">
        <w:rPr>
          <w:rFonts w:cstheme="minorHAnsi"/>
          <w:sz w:val="20"/>
        </w:rPr>
        <w:t xml:space="preserve"> direction. </w:t>
      </w:r>
      <w:r>
        <w:rPr>
          <w:rFonts w:cstheme="minorHAnsi"/>
          <w:sz w:val="20"/>
        </w:rPr>
        <w:t>The g</w:t>
      </w:r>
      <w:r w:rsidRPr="00D15A8F">
        <w:rPr>
          <w:rFonts w:cstheme="minorHAnsi"/>
          <w:sz w:val="20"/>
        </w:rPr>
        <w:t>reen dash</w:t>
      </w:r>
      <w:r>
        <w:rPr>
          <w:rFonts w:cstheme="minorHAnsi"/>
          <w:sz w:val="20"/>
        </w:rPr>
        <w:t>ed</w:t>
      </w:r>
      <w:r w:rsidRPr="00D15A8F">
        <w:rPr>
          <w:rFonts w:cstheme="minorHAnsi"/>
          <w:sz w:val="20"/>
        </w:rPr>
        <w:t xml:space="preserve"> line </w:t>
      </w:r>
      <w:r>
        <w:rPr>
          <w:rFonts w:cstheme="minorHAnsi"/>
          <w:noProof/>
          <w:sz w:val="20"/>
        </w:rPr>
        <w:t xml:space="preserve">represents the </w:t>
      </w:r>
      <w:r w:rsidRPr="00D15A8F">
        <w:rPr>
          <w:rFonts w:cstheme="minorHAnsi"/>
          <w:sz w:val="20"/>
        </w:rPr>
        <w:t>motif units for the double lattice structure.</w:t>
      </w:r>
      <w:bookmarkEnd w:id="298"/>
      <w:bookmarkEnd w:id="299"/>
      <w:r w:rsidRPr="00D15A8F">
        <w:rPr>
          <w:rFonts w:cstheme="minorHAnsi"/>
          <w:sz w:val="20"/>
        </w:rPr>
        <w:t xml:space="preserve">   </w:t>
      </w:r>
    </w:p>
    <w:p w14:paraId="5DC3C2D8" w14:textId="7406FCE3" w:rsidR="00B145BE" w:rsidRDefault="00B145BE" w:rsidP="00B145BE">
      <w:pPr>
        <w:spacing w:afterLines="60" w:after="144" w:line="360" w:lineRule="auto"/>
        <w:jc w:val="both"/>
        <w:rPr>
          <w:rFonts w:cstheme="minorHAnsi"/>
          <w:noProof/>
          <w:lang w:val="en-US" w:eastAsia="en-US"/>
        </w:rPr>
      </w:pPr>
      <w:r w:rsidRPr="006E5260">
        <w:rPr>
          <w:rFonts w:cstheme="minorHAnsi"/>
        </w:rPr>
        <w:t>The selection of motif unit towards different twinning system</w:t>
      </w:r>
      <w:r w:rsidR="00F43EE4">
        <w:rPr>
          <w:rFonts w:cstheme="minorHAnsi"/>
        </w:rPr>
        <w:t>s</w:t>
      </w:r>
      <w:r w:rsidRPr="006E5260">
        <w:rPr>
          <w:rFonts w:cstheme="minorHAnsi"/>
        </w:rPr>
        <w:t xml:space="preserve"> </w:t>
      </w:r>
      <w:r>
        <w:rPr>
          <w:rFonts w:cstheme="minorHAnsi"/>
          <w:noProof/>
        </w:rPr>
        <w:t>follows the</w:t>
      </w:r>
      <w:r w:rsidRPr="006E5260">
        <w:rPr>
          <w:rFonts w:cstheme="minorHAnsi"/>
        </w:rPr>
        <w:t xml:space="preserve"> premise that the </w:t>
      </w:r>
      <w:r w:rsidRPr="006E5260">
        <w:rPr>
          <w:rFonts w:cstheme="minorHAnsi"/>
          <w:noProof/>
        </w:rPr>
        <w:t>unit</w:t>
      </w:r>
      <w:r w:rsidRPr="006E5260">
        <w:rPr>
          <w:rFonts w:cstheme="minorHAnsi"/>
        </w:rPr>
        <w:t xml:space="preserve"> is small and approximately parallel to </w:t>
      </w:r>
      <w:r w:rsidR="00F43EE4">
        <w:rPr>
          <w:rFonts w:cstheme="minorHAnsi"/>
        </w:rPr>
        <w:t xml:space="preserve">the </w:t>
      </w:r>
      <w:r w:rsidRPr="006E5260">
        <w:rPr>
          <w:rFonts w:cstheme="minorHAnsi"/>
        </w:rPr>
        <w:t xml:space="preserve">twining plane </w:t>
      </w:r>
      <m:oMath>
        <m:sSub>
          <m:sSubPr>
            <m:ctrlPr>
              <w:rPr>
                <w:rFonts w:ascii="Cambria Math" w:hAnsi="Cambria Math" w:cstheme="minorHAnsi"/>
                <w:i/>
              </w:rPr>
            </m:ctrlPr>
          </m:sSubPr>
          <m:e>
            <m:r>
              <w:rPr>
                <w:rFonts w:ascii="Cambria Math" w:hAnsi="Cambria Math" w:cstheme="minorHAnsi"/>
              </w:rPr>
              <m:t>K</m:t>
            </m:r>
          </m:e>
          <m:sub>
            <m:r>
              <w:rPr>
                <w:rFonts w:ascii="Cambria Math" w:hAnsi="Cambria Math" w:cstheme="minorHAnsi"/>
              </w:rPr>
              <m:t>1</m:t>
            </m:r>
          </m:sub>
        </m:sSub>
      </m:oMath>
      <w:r w:rsidR="00F43EE4">
        <w:rPr>
          <w:rFonts w:cstheme="minorHAnsi" w:hint="eastAsia"/>
        </w:rPr>
        <w:t>,</w:t>
      </w:r>
      <w:r w:rsidRPr="006E5260">
        <w:rPr>
          <w:rFonts w:cstheme="minorHAnsi"/>
        </w:rPr>
        <w:t xml:space="preserve"> which r</w:t>
      </w:r>
      <w:r w:rsidRPr="006E5260">
        <w:rPr>
          <w:rFonts w:cstheme="minorHAnsi"/>
          <w:noProof/>
        </w:rPr>
        <w:t>esult</w:t>
      </w:r>
      <w:r>
        <w:rPr>
          <w:rFonts w:cstheme="minorHAnsi"/>
          <w:noProof/>
        </w:rPr>
        <w:t>s</w:t>
      </w:r>
      <w:r w:rsidRPr="006E5260">
        <w:rPr>
          <w:rFonts w:cstheme="minorHAnsi"/>
          <w:noProof/>
        </w:rPr>
        <w:t xml:space="preserve"> in</w:t>
      </w:r>
      <w:r w:rsidRPr="006E5260">
        <w:rPr>
          <w:rFonts w:cstheme="minorHAnsi"/>
        </w:rPr>
        <w:t xml:space="preserve"> small shuffle movement</w:t>
      </w:r>
      <w:r w:rsidR="00F43EE4">
        <w:rPr>
          <w:rFonts w:cstheme="minorHAnsi"/>
        </w:rPr>
        <w:t>s</w:t>
      </w:r>
      <w:r>
        <w:rPr>
          <w:rFonts w:cstheme="minorHAnsi"/>
        </w:rPr>
        <w:t xml:space="preserve"> </w:t>
      </w:r>
      <w:r w:rsidRPr="006E5260">
        <w:rPr>
          <w:rFonts w:cstheme="minorHAnsi"/>
        </w:rPr>
        <w:fldChar w:fldCharType="begin" w:fldLock="1"/>
      </w:r>
      <w:r>
        <w:rPr>
          <w:rFonts w:cstheme="minorHAnsi"/>
        </w:rPr>
        <w:instrText>ADDIN CSL_CITATION {"citationItems":[{"id":"ITEM-1","itemData":{"DOI":"10.1016/0001-6160(62)90056-1","ISBN":"00016160","ISSN":"00016160","abstract":"In view of the recent thin film work which has shown that at least some plates of martensite are twinned on a fine scale, the possible twinning modes of the martensite structure are examined in detail. These reduce to fourteen different shear modes, which are used as initial data for a current theory of martensite crystallography. It is shown that only six of these modes can in fact result in twinned martensite plates and a comparison of the corresponding predictions and the observed crystallographic features indicates that only one type of twinned martensite is likely to occur in practice. This type has been observed in several steels. Further developments of the theory which appear to be necessary in order to explain all the observed features are also discussed. © 1962.","author":[{"dropping-particle":"","family":"Crocker","given":"A. G.","non-dropping-particle":"","parse-names":false,"suffix":""}],"container-title":"Acta Metallurgica","id":"ITEM-1","issued":{"date-parts":[["1962"]]},"title":"Twinned martensite","type":"article-journal"},"uris":["http://www.mendeley.com/documents/?uuid=a9472a4c-54ba-4e8f-9fe1-08937f7684d1"]},{"id":"ITEM-2","itemData":{"DOI":"10.1016/0022-3115(71)90077-8","ISBN":"0022-3115","ISSN":"00223115","abstract":"An analysis is given of the crystallography of deformation twinning in α-plutonium, which has sixteen atoms in its monoclinic unit cell. The 20 twinning modes with the smallest possible shears consistent with all or one-half of the lattice points shearing directly to correct twin positions are tabulated. However in a structure with this degree of complexity the atomic shuffles accompanying any twinning shear must, of necessity, be very involved. In order to analyse these shuffles a simple pseudo-structure with only two atoms in its monoclinic unit cell is introduced. The twinning modes in this structure which correspond to the 20 modes obtained previously for the true structure are then examined and it is deduced that only two modes are acceptable. These have twinning elements K1K2η1η2g given by (001) (2&amp;#x0304;01) [1&amp;#x0304;00] [102]; 0.159 (2&amp;#x0304;01) (001) [102] [1&amp;#x0304;00]; 0.159. These modes were also predicted in an earlier analysis by Sebilleau. The detailed atomic shuffles associated with these modes are examined in both the pseudo-structure and in the true structure and it is concluded that both modes are likely to operate in practice. However, consideration of the production of twinning dislocations in the two interfaces suggests that (2&amp;#x0304;01) twins are favoured. The predictions are consistent with the very limited amount of experimental information which is available. © 1971.","author":[{"dropping-particle":"","family":"Crocker","given":"A. G.","non-dropping-particle":"","parse-names":false,"suffix":""}],"container-title":"Journal of Nuclear Materials","id":"ITEM-2","issued":{"date-parts":[["1971"]]},"title":"The crystallography of deformation-twinning in alpha-plutonium","type":"article-journal"},"uris":["http://www.mendeley.com/documents/?uuid=458038aa-30e2-44a8-8a74-ec9c55602b9e"]}],"mendeley":{"formattedCitation":"[14,16]","plainTextFormattedCitation":"[14,16]","previouslyFormattedCitation":"[16,18]"},"properties":{"noteIndex":0},"schema":"https://github.com/citation-style-language/schema/raw/master/csl-citation.json"}</w:instrText>
      </w:r>
      <w:r w:rsidRPr="006E5260">
        <w:rPr>
          <w:rFonts w:cstheme="minorHAnsi"/>
        </w:rPr>
        <w:fldChar w:fldCharType="separate"/>
      </w:r>
      <w:r w:rsidRPr="008F7036">
        <w:rPr>
          <w:rFonts w:cstheme="minorHAnsi"/>
          <w:noProof/>
        </w:rPr>
        <w:t>[14,16]</w:t>
      </w:r>
      <w:r w:rsidRPr="006E5260">
        <w:rPr>
          <w:rFonts w:cstheme="minorHAnsi"/>
        </w:rPr>
        <w:fldChar w:fldCharType="end"/>
      </w:r>
      <w:r w:rsidRPr="006E5260">
        <w:rPr>
          <w:rFonts w:cstheme="minorHAnsi"/>
        </w:rPr>
        <w:t xml:space="preserve">. The illustration of possible shuffle mechanisms were derived in </w:t>
      </w:r>
      <w:r>
        <w:rPr>
          <w:rFonts w:cstheme="minorHAnsi"/>
        </w:rPr>
        <w:t>F</w:t>
      </w:r>
      <w:r w:rsidRPr="006E5260">
        <w:rPr>
          <w:rFonts w:cstheme="minorHAnsi"/>
        </w:rPr>
        <w:t xml:space="preserve">ig. </w:t>
      </w:r>
      <w:r>
        <w:rPr>
          <w:rFonts w:cstheme="minorHAnsi"/>
        </w:rPr>
        <w:t>6-</w:t>
      </w:r>
      <w:r w:rsidRPr="006E5260">
        <w:rPr>
          <w:rFonts w:cstheme="minorHAnsi"/>
        </w:rPr>
        <w:t xml:space="preserve">2, for the condition of </w:t>
      </w:r>
      <w:r w:rsidRPr="006E5260">
        <w:rPr>
          <w:rFonts w:cstheme="minorHAnsi"/>
          <w:i/>
        </w:rPr>
        <w:t>q</w:t>
      </w:r>
      <w:r w:rsidRPr="006E5260">
        <w:rPr>
          <w:rFonts w:cstheme="minorHAnsi"/>
        </w:rPr>
        <w:t>=1 and 4. The projection of the selected motif for mode I,</w:t>
      </w:r>
      <w:r>
        <w:rPr>
          <w:rFonts w:cstheme="minorHAnsi"/>
        </w:rPr>
        <w:t xml:space="preserve"> </w:t>
      </w:r>
      <w:r w:rsidRPr="006E5260">
        <w:rPr>
          <w:rFonts w:cstheme="minorHAnsi"/>
          <w:noProof/>
        </w:rPr>
        <w:t>II</w:t>
      </w:r>
      <w:r>
        <w:rPr>
          <w:rFonts w:cstheme="minorHAnsi"/>
          <w:noProof/>
        </w:rPr>
        <w:t xml:space="preserve"> and </w:t>
      </w:r>
      <w:r w:rsidRPr="006E5260">
        <w:rPr>
          <w:rFonts w:cstheme="minorHAnsi"/>
          <w:noProof/>
        </w:rPr>
        <w:t xml:space="preserve">IV </w:t>
      </w:r>
      <w:r w:rsidRPr="006E5260">
        <w:rPr>
          <w:rFonts w:cstheme="minorHAnsi"/>
        </w:rPr>
        <w:t>mechanical twin</w:t>
      </w:r>
      <w:r>
        <w:rPr>
          <w:rFonts w:cstheme="minorHAnsi"/>
        </w:rPr>
        <w:t>s</w:t>
      </w:r>
      <w:r w:rsidRPr="006E5260">
        <w:rPr>
          <w:rFonts w:cstheme="minorHAnsi"/>
        </w:rPr>
        <w:t xml:space="preserve"> on the {-111}</w:t>
      </w:r>
      <w:r w:rsidRPr="006E5260">
        <w:rPr>
          <w:rFonts w:cstheme="minorHAnsi"/>
          <w:vertAlign w:val="subscript"/>
        </w:rPr>
        <w:t>α’’</w:t>
      </w:r>
      <w:r w:rsidRPr="006E5260">
        <w:rPr>
          <w:rFonts w:cstheme="minorHAnsi"/>
        </w:rPr>
        <w:t xml:space="preserve"> plane </w:t>
      </w:r>
      <w:r w:rsidRPr="006E5260">
        <w:rPr>
          <w:rFonts w:cstheme="minorHAnsi"/>
          <w:noProof/>
        </w:rPr>
        <w:t>are shown</w:t>
      </w:r>
      <w:r w:rsidRPr="006E5260">
        <w:rPr>
          <w:rFonts w:cstheme="minorHAnsi"/>
        </w:rPr>
        <w:t xml:space="preserve"> in </w:t>
      </w:r>
      <w:r>
        <w:rPr>
          <w:rFonts w:cstheme="minorHAnsi"/>
        </w:rPr>
        <w:t>F</w:t>
      </w:r>
      <w:r w:rsidRPr="006E5260">
        <w:rPr>
          <w:rFonts w:cstheme="minorHAnsi"/>
        </w:rPr>
        <w:t>ig.</w:t>
      </w:r>
      <w:r>
        <w:rPr>
          <w:rFonts w:cstheme="minorHAnsi"/>
        </w:rPr>
        <w:t xml:space="preserve"> 6-</w:t>
      </w:r>
      <w:r w:rsidRPr="006E5260">
        <w:rPr>
          <w:rFonts w:cstheme="minorHAnsi"/>
        </w:rPr>
        <w:t>3(a-c)</w:t>
      </w:r>
      <w:r>
        <w:rPr>
          <w:rFonts w:cstheme="minorHAnsi"/>
        </w:rPr>
        <w:t>,</w:t>
      </w:r>
      <w:r w:rsidRPr="006E5260">
        <w:rPr>
          <w:rFonts w:cstheme="minorHAnsi"/>
        </w:rPr>
        <w:t xml:space="preserve"> whil</w:t>
      </w:r>
      <w:r>
        <w:rPr>
          <w:rFonts w:cstheme="minorHAnsi"/>
        </w:rPr>
        <w:t>st</w:t>
      </w:r>
      <w:r w:rsidRPr="006E5260">
        <w:rPr>
          <w:rFonts w:cstheme="minorHAnsi"/>
        </w:rPr>
        <w:t xml:space="preserve"> for </w:t>
      </w:r>
      <w:r>
        <w:rPr>
          <w:rFonts w:cstheme="minorHAnsi"/>
        </w:rPr>
        <w:t xml:space="preserve">the </w:t>
      </w:r>
      <w:r w:rsidRPr="006E5260">
        <w:rPr>
          <w:rFonts w:cstheme="minorHAnsi"/>
        </w:rPr>
        <w:t>correspond</w:t>
      </w:r>
      <w:r>
        <w:rPr>
          <w:rFonts w:cstheme="minorHAnsi"/>
        </w:rPr>
        <w:t>ing</w:t>
      </w:r>
      <w:r w:rsidRPr="006E5260">
        <w:rPr>
          <w:rFonts w:cstheme="minorHAnsi"/>
        </w:rPr>
        <w:t xml:space="preserve"> SA twin</w:t>
      </w:r>
      <w:r>
        <w:rPr>
          <w:rFonts w:cstheme="minorHAnsi"/>
        </w:rPr>
        <w:t>s</w:t>
      </w:r>
      <w:r w:rsidRPr="006E5260">
        <w:rPr>
          <w:rFonts w:cstheme="minorHAnsi"/>
        </w:rPr>
        <w:t>, the motif selection</w:t>
      </w:r>
      <w:r w:rsidR="00F43EE4">
        <w:rPr>
          <w:rFonts w:cstheme="minorHAnsi"/>
        </w:rPr>
        <w:t>s</w:t>
      </w:r>
      <w:r w:rsidRPr="006E5260">
        <w:rPr>
          <w:rFonts w:cstheme="minorHAnsi"/>
        </w:rPr>
        <w:t xml:space="preserve"> are shown in </w:t>
      </w:r>
      <w:r>
        <w:rPr>
          <w:rFonts w:cstheme="minorHAnsi"/>
        </w:rPr>
        <w:t>F</w:t>
      </w:r>
      <w:r w:rsidRPr="006E5260">
        <w:rPr>
          <w:rFonts w:cstheme="minorHAnsi"/>
        </w:rPr>
        <w:t xml:space="preserve">ig. </w:t>
      </w:r>
      <w:r>
        <w:rPr>
          <w:rFonts w:cstheme="minorHAnsi"/>
        </w:rPr>
        <w:t>6-</w:t>
      </w:r>
      <w:r w:rsidRPr="006E5260">
        <w:rPr>
          <w:rFonts w:cstheme="minorHAnsi"/>
        </w:rPr>
        <w:t>3(d-f).</w:t>
      </w:r>
      <w:r w:rsidRPr="00F734BA">
        <w:rPr>
          <w:rFonts w:cstheme="minorHAnsi"/>
          <w:noProof/>
          <w:lang w:val="en-US" w:eastAsia="en-US"/>
        </w:rPr>
        <w:t xml:space="preserve"> </w:t>
      </w:r>
    </w:p>
    <w:p w14:paraId="3A16D00E" w14:textId="77777777" w:rsidR="00B145BE" w:rsidRDefault="00B145BE" w:rsidP="00B145BE">
      <w:pPr>
        <w:spacing w:after="60" w:line="360" w:lineRule="auto"/>
        <w:jc w:val="center"/>
        <w:rPr>
          <w:rFonts w:cstheme="minorHAnsi"/>
        </w:rPr>
      </w:pPr>
      <w:r w:rsidRPr="006E5260">
        <w:rPr>
          <w:rFonts w:cstheme="minorHAnsi"/>
          <w:noProof/>
          <w:lang w:val="en-US" w:eastAsia="en-US"/>
        </w:rPr>
        <w:lastRenderedPageBreak/>
        <w:drawing>
          <wp:inline distT="0" distB="0" distL="0" distR="0" wp14:anchorId="63948383" wp14:editId="53862D41">
            <wp:extent cx="5046345" cy="3158067"/>
            <wp:effectExtent l="0" t="0" r="1905" b="4445"/>
            <wp:docPr id="74" name="图片 7" descr="图片包含 文字, 地图&#10;&#10;自动生成的说明">
              <a:extLst xmlns:a="http://schemas.openxmlformats.org/drawingml/2006/main">
                <a:ext uri="{FF2B5EF4-FFF2-40B4-BE49-F238E27FC236}">
                  <a16:creationId xmlns:a16="http://schemas.microsoft.com/office/drawing/2014/main" id="{8C422580-9408-49E1-854D-9E48831A36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图片包含 文字, 地图&#10;&#10;自动生成的说明">
                      <a:extLst>
                        <a:ext uri="{FF2B5EF4-FFF2-40B4-BE49-F238E27FC236}">
                          <a16:creationId xmlns:a16="http://schemas.microsoft.com/office/drawing/2014/main" id="{8C422580-9408-49E1-854D-9E48831A366E}"/>
                        </a:ext>
                      </a:extLst>
                    </pic:cNvPr>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071774" cy="3173981"/>
                    </a:xfrm>
                    <a:prstGeom prst="rect">
                      <a:avLst/>
                    </a:prstGeom>
                  </pic:spPr>
                </pic:pic>
              </a:graphicData>
            </a:graphic>
          </wp:inline>
        </w:drawing>
      </w:r>
    </w:p>
    <w:p w14:paraId="18387F08" w14:textId="1F5D65F6" w:rsidR="00B145BE" w:rsidRPr="00F734BA" w:rsidRDefault="00B145BE" w:rsidP="00B145BE">
      <w:pPr>
        <w:spacing w:after="60" w:line="360" w:lineRule="auto"/>
        <w:rPr>
          <w:rFonts w:cstheme="minorHAnsi"/>
          <w:sz w:val="20"/>
        </w:rPr>
      </w:pPr>
      <w:bookmarkStart w:id="300" w:name="_Toc7364609"/>
      <w:bookmarkStart w:id="301" w:name="_Toc39312723"/>
      <w:r w:rsidRPr="006E5260">
        <w:rPr>
          <w:rFonts w:cstheme="minorHAnsi"/>
          <w:b/>
          <w:sz w:val="20"/>
        </w:rPr>
        <w:t>Figure</w:t>
      </w:r>
      <w:r>
        <w:rPr>
          <w:rFonts w:cstheme="minorHAnsi"/>
          <w:b/>
          <w:sz w:val="20"/>
        </w:rPr>
        <w:t xml:space="preserve"> 6-</w:t>
      </w:r>
      <w:r w:rsidRPr="00D15A8F">
        <w:rPr>
          <w:b/>
          <w:sz w:val="20"/>
        </w:rPr>
        <w:fldChar w:fldCharType="begin"/>
      </w:r>
      <w:r w:rsidRPr="00D15A8F">
        <w:rPr>
          <w:b/>
          <w:sz w:val="20"/>
        </w:rPr>
        <w:instrText xml:space="preserve"> SEQ Figure \* ARABIC </w:instrText>
      </w:r>
      <w:r w:rsidRPr="00D15A8F">
        <w:rPr>
          <w:b/>
          <w:sz w:val="20"/>
        </w:rPr>
        <w:fldChar w:fldCharType="separate"/>
      </w:r>
      <w:r>
        <w:rPr>
          <w:b/>
          <w:noProof/>
          <w:sz w:val="20"/>
        </w:rPr>
        <w:t>3</w:t>
      </w:r>
      <w:r w:rsidRPr="00D15A8F">
        <w:rPr>
          <w:b/>
          <w:sz w:val="20"/>
        </w:rPr>
        <w:fldChar w:fldCharType="end"/>
      </w:r>
      <w:r w:rsidRPr="006E5260">
        <w:rPr>
          <w:rFonts w:cstheme="minorHAnsi"/>
          <w:b/>
          <w:sz w:val="20"/>
        </w:rPr>
        <w:t xml:space="preserve"> </w:t>
      </w:r>
      <w:r w:rsidRPr="003B25EA">
        <w:rPr>
          <w:rFonts w:cstheme="minorHAnsi"/>
          <w:b/>
          <w:sz w:val="20"/>
        </w:rPr>
        <w:t>Motif unit selections for mode</w:t>
      </w:r>
      <w:r w:rsidR="00F43EE4">
        <w:rPr>
          <w:rFonts w:cstheme="minorHAnsi"/>
          <w:b/>
          <w:sz w:val="20"/>
        </w:rPr>
        <w:t>s</w:t>
      </w:r>
      <w:r w:rsidRPr="003B25EA">
        <w:rPr>
          <w:rFonts w:cstheme="minorHAnsi"/>
          <w:b/>
          <w:sz w:val="20"/>
        </w:rPr>
        <w:t xml:space="preserve"> 1,2,4.</w:t>
      </w:r>
      <w:r w:rsidRPr="006E5260">
        <w:rPr>
          <w:rFonts w:cstheme="minorHAnsi"/>
          <w:sz w:val="20"/>
        </w:rPr>
        <w:t xml:space="preserve"> (</w:t>
      </w:r>
      <w:r w:rsidRPr="004712F8">
        <w:rPr>
          <w:rFonts w:cstheme="minorHAnsi"/>
          <w:b/>
          <w:sz w:val="20"/>
        </w:rPr>
        <w:t>a</w:t>
      </w:r>
      <w:r w:rsidRPr="006E5260">
        <w:rPr>
          <w:rFonts w:cstheme="minorHAnsi"/>
          <w:sz w:val="20"/>
        </w:rPr>
        <w:t>)</w:t>
      </w:r>
      <w:r>
        <w:rPr>
          <w:rFonts w:cstheme="minorHAnsi"/>
          <w:sz w:val="20"/>
        </w:rPr>
        <w:t xml:space="preserve"> m</w:t>
      </w:r>
      <w:r w:rsidRPr="006E5260">
        <w:rPr>
          <w:rFonts w:cstheme="minorHAnsi"/>
          <w:sz w:val="20"/>
        </w:rPr>
        <w:t xml:space="preserve">otif unit </w:t>
      </w:r>
      <w:r w:rsidRPr="002307DB">
        <w:rPr>
          <w:rFonts w:cstheme="minorHAnsi"/>
          <w:i/>
          <w:sz w:val="20"/>
        </w:rPr>
        <w:t xml:space="preserve">λ </w:t>
      </w:r>
      <w:r w:rsidRPr="006E5260">
        <w:rPr>
          <w:rFonts w:cstheme="minorHAnsi"/>
          <w:sz w:val="20"/>
        </w:rPr>
        <w:t xml:space="preserve">selected </w:t>
      </w:r>
      <w:r w:rsidRPr="006E5260">
        <w:rPr>
          <w:rFonts w:cstheme="minorHAnsi"/>
          <w:noProof/>
          <w:sz w:val="20"/>
        </w:rPr>
        <w:t>for mode</w:t>
      </w:r>
      <w:r w:rsidRPr="006E5260">
        <w:rPr>
          <w:rFonts w:cstheme="minorHAnsi"/>
          <w:sz w:val="20"/>
        </w:rPr>
        <w:t xml:space="preserve"> I mechanical twinning. (</w:t>
      </w:r>
      <w:r w:rsidRPr="004712F8">
        <w:rPr>
          <w:rFonts w:cstheme="minorHAnsi"/>
          <w:b/>
          <w:sz w:val="20"/>
        </w:rPr>
        <w:t>b</w:t>
      </w:r>
      <w:r w:rsidRPr="006E5260">
        <w:rPr>
          <w:rFonts w:cstheme="minorHAnsi"/>
          <w:sz w:val="20"/>
        </w:rPr>
        <w:t xml:space="preserve">) </w:t>
      </w:r>
      <w:r>
        <w:rPr>
          <w:rFonts w:cstheme="minorHAnsi"/>
          <w:sz w:val="20"/>
        </w:rPr>
        <w:t>m</w:t>
      </w:r>
      <w:r w:rsidRPr="006E5260">
        <w:rPr>
          <w:rFonts w:cstheme="minorHAnsi"/>
          <w:sz w:val="20"/>
        </w:rPr>
        <w:t xml:space="preserve">otif unit </w:t>
      </w:r>
      <w:r w:rsidRPr="002307DB">
        <w:rPr>
          <w:rFonts w:cstheme="minorHAnsi"/>
          <w:i/>
          <w:sz w:val="20"/>
        </w:rPr>
        <w:t>λ</w:t>
      </w:r>
      <w:r w:rsidRPr="006E5260">
        <w:rPr>
          <w:rFonts w:cstheme="minorHAnsi"/>
          <w:sz w:val="20"/>
        </w:rPr>
        <w:t xml:space="preserve"> selected for mode II mechanical twinning</w:t>
      </w:r>
      <w:r>
        <w:rPr>
          <w:rFonts w:cstheme="minorHAnsi"/>
          <w:sz w:val="20"/>
        </w:rPr>
        <w:t>;</w:t>
      </w:r>
      <w:r w:rsidRPr="006E5260">
        <w:rPr>
          <w:rFonts w:cstheme="minorHAnsi"/>
          <w:sz w:val="20"/>
        </w:rPr>
        <w:t xml:space="preserve"> (</w:t>
      </w:r>
      <w:r w:rsidRPr="004712F8">
        <w:rPr>
          <w:rFonts w:cstheme="minorHAnsi"/>
          <w:b/>
          <w:sz w:val="20"/>
        </w:rPr>
        <w:t>c</w:t>
      </w:r>
      <w:r w:rsidRPr="006E5260">
        <w:rPr>
          <w:rFonts w:cstheme="minorHAnsi"/>
          <w:sz w:val="20"/>
        </w:rPr>
        <w:t xml:space="preserve">) </w:t>
      </w:r>
      <w:r>
        <w:rPr>
          <w:rFonts w:cstheme="minorHAnsi"/>
          <w:sz w:val="20"/>
        </w:rPr>
        <w:t>m</w:t>
      </w:r>
      <w:r w:rsidRPr="006E5260">
        <w:rPr>
          <w:rFonts w:cstheme="minorHAnsi"/>
          <w:sz w:val="20"/>
        </w:rPr>
        <w:t xml:space="preserve">otif unit </w:t>
      </w:r>
      <w:r w:rsidRPr="002307DB">
        <w:rPr>
          <w:rFonts w:cstheme="minorHAnsi"/>
          <w:i/>
          <w:sz w:val="20"/>
        </w:rPr>
        <w:t>κ</w:t>
      </w:r>
      <w:r w:rsidRPr="006E5260">
        <w:rPr>
          <w:rFonts w:cstheme="minorHAnsi"/>
          <w:sz w:val="20"/>
        </w:rPr>
        <w:t xml:space="preserve"> selected for mode IV mechanical twinning</w:t>
      </w:r>
      <w:r>
        <w:rPr>
          <w:rFonts w:cstheme="minorHAnsi"/>
          <w:sz w:val="20"/>
        </w:rPr>
        <w:t>;</w:t>
      </w:r>
      <w:r w:rsidRPr="006E5260">
        <w:rPr>
          <w:rFonts w:cstheme="minorHAnsi"/>
          <w:sz w:val="20"/>
        </w:rPr>
        <w:t xml:space="preserve"> (</w:t>
      </w:r>
      <w:r w:rsidRPr="004712F8">
        <w:rPr>
          <w:rFonts w:cstheme="minorHAnsi"/>
          <w:b/>
          <w:sz w:val="20"/>
        </w:rPr>
        <w:t>d</w:t>
      </w:r>
      <w:r w:rsidRPr="006E5260">
        <w:rPr>
          <w:rFonts w:cstheme="minorHAnsi"/>
          <w:sz w:val="20"/>
        </w:rPr>
        <w:t>)</w:t>
      </w:r>
      <w:r>
        <w:rPr>
          <w:rFonts w:cstheme="minorHAnsi"/>
          <w:sz w:val="20"/>
        </w:rPr>
        <w:t xml:space="preserve"> m</w:t>
      </w:r>
      <w:r w:rsidRPr="006E5260">
        <w:rPr>
          <w:rFonts w:cstheme="minorHAnsi"/>
          <w:sz w:val="20"/>
        </w:rPr>
        <w:t>otif unit</w:t>
      </w:r>
      <w:r w:rsidRPr="002307DB">
        <w:rPr>
          <w:rFonts w:cstheme="minorHAnsi"/>
          <w:i/>
          <w:sz w:val="20"/>
        </w:rPr>
        <w:t xml:space="preserve"> λ</w:t>
      </w:r>
      <w:r w:rsidRPr="006E5260">
        <w:rPr>
          <w:rFonts w:cstheme="minorHAnsi"/>
          <w:sz w:val="20"/>
        </w:rPr>
        <w:t xml:space="preserve"> selected </w:t>
      </w:r>
      <w:r w:rsidRPr="006E5260">
        <w:rPr>
          <w:rFonts w:cstheme="minorHAnsi"/>
          <w:noProof/>
          <w:sz w:val="20"/>
        </w:rPr>
        <w:t>for mode</w:t>
      </w:r>
      <w:r w:rsidRPr="006E5260">
        <w:rPr>
          <w:rFonts w:cstheme="minorHAnsi"/>
          <w:sz w:val="20"/>
        </w:rPr>
        <w:t xml:space="preserve"> I SA twinning</w:t>
      </w:r>
      <w:r>
        <w:rPr>
          <w:rFonts w:cstheme="minorHAnsi"/>
          <w:sz w:val="20"/>
        </w:rPr>
        <w:t>;</w:t>
      </w:r>
      <w:r w:rsidRPr="006E5260">
        <w:rPr>
          <w:rFonts w:cstheme="minorHAnsi"/>
          <w:sz w:val="20"/>
        </w:rPr>
        <w:t xml:space="preserve"> (</w:t>
      </w:r>
      <w:r w:rsidRPr="004712F8">
        <w:rPr>
          <w:rFonts w:cstheme="minorHAnsi"/>
          <w:b/>
          <w:sz w:val="20"/>
        </w:rPr>
        <w:t>e</w:t>
      </w:r>
      <w:r w:rsidRPr="006E5260">
        <w:rPr>
          <w:rFonts w:cstheme="minorHAnsi"/>
          <w:sz w:val="20"/>
        </w:rPr>
        <w:t xml:space="preserve">) </w:t>
      </w:r>
      <w:r>
        <w:rPr>
          <w:rFonts w:cstheme="minorHAnsi"/>
          <w:noProof/>
          <w:sz w:val="20"/>
        </w:rPr>
        <w:t>m</w:t>
      </w:r>
      <w:r w:rsidRPr="006E5260">
        <w:rPr>
          <w:rFonts w:cstheme="minorHAnsi"/>
          <w:noProof/>
          <w:sz w:val="20"/>
        </w:rPr>
        <w:t>otif</w:t>
      </w:r>
      <w:r w:rsidRPr="006E5260">
        <w:rPr>
          <w:rFonts w:cstheme="minorHAnsi"/>
          <w:sz w:val="20"/>
        </w:rPr>
        <w:t xml:space="preserve"> unit </w:t>
      </w:r>
      <w:r w:rsidRPr="002307DB">
        <w:rPr>
          <w:rFonts w:cstheme="minorHAnsi"/>
          <w:i/>
          <w:sz w:val="20"/>
        </w:rPr>
        <w:t>λ</w:t>
      </w:r>
      <w:r w:rsidRPr="006E5260">
        <w:rPr>
          <w:rFonts w:cstheme="minorHAnsi"/>
          <w:sz w:val="20"/>
        </w:rPr>
        <w:t xml:space="preserve"> selected for mode II SA twinnin</w:t>
      </w:r>
      <w:r>
        <w:rPr>
          <w:rFonts w:cstheme="minorHAnsi"/>
          <w:sz w:val="20"/>
        </w:rPr>
        <w:t>g; and.</w:t>
      </w:r>
      <w:r w:rsidRPr="006E5260">
        <w:rPr>
          <w:rFonts w:cstheme="minorHAnsi"/>
          <w:sz w:val="20"/>
        </w:rPr>
        <w:t xml:space="preserve"> (</w:t>
      </w:r>
      <w:r w:rsidRPr="004712F8">
        <w:rPr>
          <w:rFonts w:cstheme="minorHAnsi"/>
          <w:b/>
          <w:sz w:val="20"/>
        </w:rPr>
        <w:t>f</w:t>
      </w:r>
      <w:r w:rsidRPr="006E5260">
        <w:rPr>
          <w:rFonts w:cstheme="minorHAnsi"/>
          <w:sz w:val="20"/>
        </w:rPr>
        <w:t xml:space="preserve">) </w:t>
      </w:r>
      <w:r>
        <w:rPr>
          <w:rFonts w:cstheme="minorHAnsi"/>
          <w:sz w:val="20"/>
        </w:rPr>
        <w:t>m</w:t>
      </w:r>
      <w:r w:rsidRPr="006E5260">
        <w:rPr>
          <w:rFonts w:cstheme="minorHAnsi"/>
          <w:sz w:val="20"/>
        </w:rPr>
        <w:t xml:space="preserve">otif unit </w:t>
      </w:r>
      <w:r w:rsidRPr="002307DB">
        <w:rPr>
          <w:rFonts w:cstheme="minorHAnsi"/>
          <w:i/>
          <w:sz w:val="20"/>
        </w:rPr>
        <w:t>κ</w:t>
      </w:r>
      <w:r w:rsidRPr="006E5260">
        <w:rPr>
          <w:rFonts w:cstheme="minorHAnsi"/>
          <w:sz w:val="20"/>
        </w:rPr>
        <w:t xml:space="preserve"> selected for mode IV SA twinning. All motif unit vectors are coloured with black, while </w:t>
      </w:r>
      <w:r w:rsidRPr="006E5260">
        <w:rPr>
          <w:rFonts w:cstheme="minorHAnsi"/>
          <w:noProof/>
          <w:sz w:val="20"/>
        </w:rPr>
        <w:t>brown</w:t>
      </w:r>
      <w:r w:rsidRPr="006E5260">
        <w:rPr>
          <w:rFonts w:cstheme="minorHAnsi"/>
          <w:sz w:val="20"/>
        </w:rPr>
        <w:t xml:space="preserve"> atom</w:t>
      </w:r>
      <w:r>
        <w:rPr>
          <w:rFonts w:cstheme="minorHAnsi"/>
          <w:sz w:val="20"/>
        </w:rPr>
        <w:t>s</w:t>
      </w:r>
      <w:r w:rsidRPr="006E5260">
        <w:rPr>
          <w:rFonts w:cstheme="minorHAnsi"/>
          <w:sz w:val="20"/>
        </w:rPr>
        <w:t xml:space="preserve"> </w:t>
      </w:r>
      <w:r>
        <w:rPr>
          <w:rFonts w:cstheme="minorHAnsi"/>
          <w:noProof/>
          <w:sz w:val="20"/>
        </w:rPr>
        <w:t>are the</w:t>
      </w:r>
      <w:r w:rsidRPr="006E5260">
        <w:rPr>
          <w:rFonts w:cstheme="minorHAnsi"/>
          <w:sz w:val="20"/>
        </w:rPr>
        <w:t xml:space="preserve"> modulated structure along </w:t>
      </w:r>
      <w:r w:rsidR="00F43EE4">
        <w:rPr>
          <w:rFonts w:cstheme="minorHAnsi"/>
          <w:sz w:val="20"/>
        </w:rPr>
        <w:t xml:space="preserve">the </w:t>
      </w:r>
      <w:r w:rsidRPr="006E5260">
        <w:rPr>
          <w:rFonts w:cstheme="minorHAnsi"/>
          <w:noProof/>
          <w:sz w:val="20"/>
          <w:szCs w:val="20"/>
        </w:rPr>
        <w:t>{0-11}</w:t>
      </w:r>
      <w:r w:rsidRPr="006E5260">
        <w:rPr>
          <w:rFonts w:cstheme="minorHAnsi"/>
          <w:noProof/>
          <w:sz w:val="20"/>
          <w:szCs w:val="20"/>
          <w:vertAlign w:val="subscript"/>
        </w:rPr>
        <w:t>β</w:t>
      </w:r>
      <w:r w:rsidRPr="006E5260">
        <w:rPr>
          <w:rFonts w:cstheme="minorHAnsi"/>
          <w:noProof/>
          <w:sz w:val="20"/>
          <w:szCs w:val="20"/>
        </w:rPr>
        <w:t xml:space="preserve"> </w:t>
      </w:r>
      <w:r w:rsidRPr="006E5260">
        <w:rPr>
          <w:rFonts w:cstheme="minorHAnsi"/>
          <w:sz w:val="20"/>
          <w:szCs w:val="20"/>
        </w:rPr>
        <w:t>plane</w:t>
      </w:r>
      <w:r w:rsidRPr="006E5260">
        <w:rPr>
          <w:rFonts w:cstheme="minorHAnsi"/>
          <w:sz w:val="20"/>
        </w:rPr>
        <w:t>.</w:t>
      </w:r>
      <w:bookmarkEnd w:id="300"/>
      <w:bookmarkEnd w:id="301"/>
      <w:r w:rsidRPr="006E5260">
        <w:rPr>
          <w:rFonts w:cstheme="minorHAnsi"/>
          <w:sz w:val="20"/>
        </w:rPr>
        <w:t xml:space="preserve">  </w:t>
      </w:r>
    </w:p>
    <w:p w14:paraId="4A6E167E" w14:textId="469DF4CF" w:rsidR="00B145BE" w:rsidRPr="00F734BA" w:rsidRDefault="00B145BE" w:rsidP="00B145BE">
      <w:pPr>
        <w:spacing w:after="60" w:line="360" w:lineRule="auto"/>
        <w:jc w:val="both"/>
        <w:rPr>
          <w:rFonts w:cstheme="minorHAnsi"/>
        </w:rPr>
      </w:pPr>
      <w:r w:rsidRPr="006E5260">
        <w:rPr>
          <w:rFonts w:cstheme="minorHAnsi"/>
        </w:rPr>
        <w:t>The possible atomic shuffle mechanisms for mode I</w:t>
      </w:r>
      <w:r w:rsidRPr="006E5260">
        <w:rPr>
          <w:rFonts w:cstheme="minorHAnsi"/>
          <w:noProof/>
        </w:rPr>
        <w:t>, II</w:t>
      </w:r>
      <w:r>
        <w:rPr>
          <w:rFonts w:cstheme="minorHAnsi"/>
          <w:noProof/>
        </w:rPr>
        <w:t xml:space="preserve"> and </w:t>
      </w:r>
      <w:r w:rsidRPr="006E5260">
        <w:rPr>
          <w:rFonts w:cstheme="minorHAnsi"/>
          <w:noProof/>
        </w:rPr>
        <w:t>IV</w:t>
      </w:r>
      <w:r w:rsidRPr="006E5260">
        <w:rPr>
          <w:rFonts w:cstheme="minorHAnsi"/>
        </w:rPr>
        <w:t xml:space="preserve"> mechanical and SA type II twin</w:t>
      </w:r>
      <w:r>
        <w:rPr>
          <w:rFonts w:cstheme="minorHAnsi"/>
        </w:rPr>
        <w:t>ning</w:t>
      </w:r>
      <w:r w:rsidRPr="006E5260">
        <w:rPr>
          <w:rFonts w:cstheme="minorHAnsi"/>
        </w:rPr>
        <w:t xml:space="preserve"> are all listed in </w:t>
      </w:r>
      <w:r>
        <w:rPr>
          <w:rFonts w:cstheme="minorHAnsi"/>
        </w:rPr>
        <w:t>T</w:t>
      </w:r>
      <w:r w:rsidRPr="006E5260">
        <w:rPr>
          <w:rFonts w:cstheme="minorHAnsi"/>
        </w:rPr>
        <w:t>able.</w:t>
      </w:r>
      <w:r>
        <w:rPr>
          <w:rFonts w:cstheme="minorHAnsi"/>
        </w:rPr>
        <w:t xml:space="preserve"> 6-5</w:t>
      </w:r>
      <w:r w:rsidRPr="006E5260">
        <w:rPr>
          <w:rFonts w:cstheme="minorHAnsi"/>
        </w:rPr>
        <w:t xml:space="preserve">. For the SA twin </w:t>
      </w:r>
      <w:r w:rsidRPr="006E5260">
        <w:rPr>
          <w:rFonts w:cstheme="minorHAnsi"/>
          <w:noProof/>
        </w:rPr>
        <w:t>situation,</w:t>
      </w:r>
      <w:r w:rsidRPr="006E5260">
        <w:rPr>
          <w:rFonts w:cstheme="minorHAnsi"/>
        </w:rPr>
        <w:t xml:space="preserve"> only the type II twin mode </w:t>
      </w:r>
      <w:r w:rsidRPr="006E5260">
        <w:rPr>
          <w:rFonts w:cstheme="minorHAnsi"/>
          <w:noProof/>
        </w:rPr>
        <w:t>was considered</w:t>
      </w:r>
      <w:r w:rsidRPr="006E5260">
        <w:rPr>
          <w:rFonts w:cstheme="minorHAnsi"/>
        </w:rPr>
        <w:t>. Including mode III {111}&lt;-211&gt;</w:t>
      </w:r>
      <w:r w:rsidRPr="006E5260">
        <w:rPr>
          <w:rFonts w:cstheme="minorHAnsi"/>
          <w:vertAlign w:val="subscript"/>
        </w:rPr>
        <w:t>α’’</w:t>
      </w:r>
      <w:r w:rsidRPr="006E5260">
        <w:rPr>
          <w:rFonts w:cstheme="minorHAnsi"/>
        </w:rPr>
        <w:t xml:space="preserve"> type II twin</w:t>
      </w:r>
      <w:r w:rsidR="00F43EE4">
        <w:rPr>
          <w:rFonts w:cstheme="minorHAnsi"/>
        </w:rPr>
        <w:t>ning</w:t>
      </w:r>
      <w:r w:rsidRPr="006E5260">
        <w:rPr>
          <w:rFonts w:cstheme="minorHAnsi"/>
        </w:rPr>
        <w:t xml:space="preserve">, the solution of all four SA twin modes </w:t>
      </w:r>
      <w:r>
        <w:rPr>
          <w:rFonts w:cstheme="minorHAnsi"/>
        </w:rPr>
        <w:t xml:space="preserve">showed that </w:t>
      </w:r>
      <w:r w:rsidRPr="006E5260">
        <w:rPr>
          <w:rFonts w:cstheme="minorHAnsi"/>
        </w:rPr>
        <w:t xml:space="preserve">shuffle mechanisms are </w:t>
      </w:r>
      <w:r w:rsidRPr="009820C6">
        <w:rPr>
          <w:rFonts w:cstheme="minorHAnsi"/>
        </w:rPr>
        <w:t xml:space="preserve">proportional to the magnitude of the atomic displacement </w:t>
      </w:r>
      <w:r w:rsidRPr="009820C6">
        <w:rPr>
          <w:rFonts w:cstheme="minorHAnsi"/>
          <w:i/>
        </w:rPr>
        <w:t>σ</w:t>
      </w:r>
      <w:r w:rsidRPr="009820C6">
        <w:rPr>
          <w:rFonts w:cstheme="minorHAnsi"/>
        </w:rPr>
        <w:t xml:space="preserve"> as shown in </w:t>
      </w:r>
      <w:r>
        <w:rPr>
          <w:rFonts w:cstheme="minorHAnsi"/>
        </w:rPr>
        <w:t>T</w:t>
      </w:r>
      <w:r w:rsidRPr="009820C6">
        <w:rPr>
          <w:rFonts w:cstheme="minorHAnsi"/>
        </w:rPr>
        <w:t>able.</w:t>
      </w:r>
      <w:r>
        <w:rPr>
          <w:rFonts w:cstheme="minorHAnsi"/>
        </w:rPr>
        <w:t xml:space="preserve"> 6-6</w:t>
      </w:r>
      <w:r w:rsidRPr="009820C6">
        <w:rPr>
          <w:rFonts w:cstheme="minorHAnsi"/>
        </w:rPr>
        <w:t>.</w:t>
      </w:r>
    </w:p>
    <w:p w14:paraId="7C61CFA3" w14:textId="0F6D60D6" w:rsidR="00B145BE" w:rsidRPr="004712F8" w:rsidRDefault="00B145BE" w:rsidP="00B145BE">
      <w:pPr>
        <w:spacing w:after="60" w:line="360" w:lineRule="auto"/>
        <w:rPr>
          <w:rFonts w:cstheme="minorHAnsi"/>
          <w:sz w:val="20"/>
        </w:rPr>
      </w:pPr>
      <w:bookmarkStart w:id="302" w:name="_Toc39312745"/>
      <w:r w:rsidRPr="009820C6">
        <w:rPr>
          <w:rFonts w:cstheme="minorHAnsi"/>
          <w:b/>
          <w:sz w:val="20"/>
        </w:rPr>
        <w:t>Table</w:t>
      </w:r>
      <w:r>
        <w:rPr>
          <w:rFonts w:cstheme="minorHAnsi"/>
          <w:b/>
          <w:sz w:val="20"/>
        </w:rPr>
        <w:t xml:space="preserve"> 6-</w:t>
      </w:r>
      <w:r>
        <w:rPr>
          <w:rFonts w:cstheme="minorHAnsi"/>
          <w:b/>
          <w:sz w:val="20"/>
        </w:rPr>
        <w:fldChar w:fldCharType="begin"/>
      </w:r>
      <w:r>
        <w:rPr>
          <w:rFonts w:cstheme="minorHAnsi"/>
          <w:b/>
          <w:sz w:val="20"/>
        </w:rPr>
        <w:instrText xml:space="preserve"> SEQ Table \* ARABIC \s 1 </w:instrText>
      </w:r>
      <w:r>
        <w:rPr>
          <w:rFonts w:cstheme="minorHAnsi"/>
          <w:b/>
          <w:sz w:val="20"/>
        </w:rPr>
        <w:fldChar w:fldCharType="separate"/>
      </w:r>
      <w:r>
        <w:rPr>
          <w:rFonts w:cstheme="minorHAnsi"/>
          <w:b/>
          <w:noProof/>
          <w:sz w:val="20"/>
        </w:rPr>
        <w:t>5</w:t>
      </w:r>
      <w:r>
        <w:rPr>
          <w:rFonts w:cstheme="minorHAnsi"/>
          <w:b/>
          <w:sz w:val="20"/>
        </w:rPr>
        <w:fldChar w:fldCharType="end"/>
      </w:r>
      <w:r w:rsidRPr="009820C6">
        <w:rPr>
          <w:rFonts w:cstheme="minorHAnsi"/>
          <w:b/>
          <w:sz w:val="20"/>
        </w:rPr>
        <w:t xml:space="preserve"> </w:t>
      </w:r>
      <w:r w:rsidRPr="003B25EA">
        <w:rPr>
          <w:rFonts w:cstheme="minorHAnsi"/>
          <w:b/>
          <w:sz w:val="20"/>
        </w:rPr>
        <w:t>Shuffle mechanism</w:t>
      </w:r>
      <w:r>
        <w:rPr>
          <w:rFonts w:cstheme="minorHAnsi"/>
          <w:b/>
          <w:sz w:val="20"/>
        </w:rPr>
        <w:t>s</w:t>
      </w:r>
      <w:r w:rsidRPr="003B25EA">
        <w:rPr>
          <w:rFonts w:cstheme="minorHAnsi"/>
          <w:b/>
          <w:sz w:val="20"/>
        </w:rPr>
        <w:t xml:space="preserve"> of potential mechanical TTIP twinning modes and SA twinning modes.</w:t>
      </w:r>
      <w:r>
        <w:rPr>
          <w:rFonts w:cstheme="minorHAnsi"/>
          <w:b/>
          <w:sz w:val="20"/>
        </w:rPr>
        <w:t xml:space="preserve"> </w:t>
      </w:r>
      <w:r w:rsidRPr="009820C6">
        <w:rPr>
          <w:rFonts w:cstheme="minorHAnsi"/>
          <w:sz w:val="20"/>
        </w:rPr>
        <w:t xml:space="preserve">Group </w:t>
      </w:r>
      <w:r w:rsidRPr="009820C6">
        <w:rPr>
          <w:rFonts w:cstheme="minorHAnsi"/>
          <w:noProof/>
          <w:sz w:val="20"/>
        </w:rPr>
        <w:t>i</w:t>
      </w:r>
      <w:r w:rsidRPr="009820C6">
        <w:rPr>
          <w:rFonts w:cstheme="minorHAnsi"/>
          <w:sz w:val="20"/>
        </w:rPr>
        <w:t xml:space="preserve"> represents the solution for SA twin</w:t>
      </w:r>
      <w:r w:rsidR="00F43EE4">
        <w:rPr>
          <w:rFonts w:cstheme="minorHAnsi"/>
          <w:sz w:val="20"/>
        </w:rPr>
        <w:t>ning</w:t>
      </w:r>
      <w:r w:rsidRPr="009820C6">
        <w:rPr>
          <w:rFonts w:cstheme="minorHAnsi"/>
          <w:sz w:val="20"/>
        </w:rPr>
        <w:t xml:space="preserve"> and </w:t>
      </w:r>
      <w:r>
        <w:rPr>
          <w:rFonts w:cstheme="minorHAnsi"/>
          <w:sz w:val="20"/>
        </w:rPr>
        <w:t>G</w:t>
      </w:r>
      <w:r w:rsidRPr="009820C6">
        <w:rPr>
          <w:rFonts w:cstheme="minorHAnsi"/>
          <w:sz w:val="20"/>
        </w:rPr>
        <w:t xml:space="preserve">roup ii are the </w:t>
      </w:r>
      <w:r w:rsidRPr="009820C6">
        <w:rPr>
          <w:rFonts w:cstheme="minorHAnsi"/>
          <w:noProof/>
          <w:sz w:val="20"/>
        </w:rPr>
        <w:t>solution</w:t>
      </w:r>
      <w:r>
        <w:rPr>
          <w:rFonts w:cstheme="minorHAnsi"/>
          <w:noProof/>
          <w:sz w:val="20"/>
        </w:rPr>
        <w:t>s</w:t>
      </w:r>
      <w:r w:rsidRPr="009820C6">
        <w:rPr>
          <w:rFonts w:cstheme="minorHAnsi"/>
          <w:sz w:val="20"/>
        </w:rPr>
        <w:t xml:space="preserve"> for mechanical twin</w:t>
      </w:r>
      <w:r w:rsidR="00F43EE4">
        <w:rPr>
          <w:rFonts w:cstheme="minorHAnsi"/>
          <w:sz w:val="20"/>
        </w:rPr>
        <w:t>ning</w:t>
      </w:r>
      <w:r w:rsidRPr="009820C6">
        <w:rPr>
          <w:rFonts w:cstheme="minorHAnsi"/>
          <w:sz w:val="20"/>
        </w:rPr>
        <w:t xml:space="preserve"> situation</w:t>
      </w:r>
      <w:r>
        <w:rPr>
          <w:rFonts w:cstheme="minorHAnsi"/>
          <w:sz w:val="20"/>
        </w:rPr>
        <w:t>s</w:t>
      </w:r>
      <w:r w:rsidRPr="009820C6">
        <w:rPr>
          <w:rFonts w:cstheme="minorHAnsi"/>
          <w:sz w:val="20"/>
        </w:rPr>
        <w:t>.</w:t>
      </w:r>
      <w:bookmarkEnd w:id="302"/>
      <w:r w:rsidRPr="006E5260">
        <w:rPr>
          <w:rFonts w:cstheme="minorHAnsi"/>
          <w:sz w:val="20"/>
        </w:rPr>
        <w:t xml:space="preserve">    </w:t>
      </w:r>
    </w:p>
    <w:tbl>
      <w:tblPr>
        <w:tblStyle w:val="afd"/>
        <w:tblW w:w="9216" w:type="dxa"/>
        <w:jc w:val="center"/>
        <w:tblLayout w:type="fixed"/>
        <w:tblLook w:val="04A0" w:firstRow="1" w:lastRow="0" w:firstColumn="1" w:lastColumn="0" w:noHBand="0" w:noVBand="1"/>
      </w:tblPr>
      <w:tblGrid>
        <w:gridCol w:w="840"/>
        <w:gridCol w:w="239"/>
        <w:gridCol w:w="70"/>
        <w:gridCol w:w="551"/>
        <w:gridCol w:w="305"/>
        <w:gridCol w:w="312"/>
        <w:gridCol w:w="461"/>
        <w:gridCol w:w="196"/>
        <w:gridCol w:w="522"/>
        <w:gridCol w:w="363"/>
        <w:gridCol w:w="618"/>
        <w:gridCol w:w="154"/>
        <w:gridCol w:w="309"/>
        <w:gridCol w:w="772"/>
        <w:gridCol w:w="1084"/>
        <w:gridCol w:w="155"/>
        <w:gridCol w:w="102"/>
        <w:gridCol w:w="1415"/>
        <w:gridCol w:w="748"/>
      </w:tblGrid>
      <w:tr w:rsidR="00B145BE" w:rsidRPr="009820C6" w14:paraId="54A2595B" w14:textId="77777777" w:rsidTr="00B145BE">
        <w:trPr>
          <w:trHeight w:hRule="exact" w:val="259"/>
          <w:jc w:val="center"/>
        </w:trPr>
        <w:tc>
          <w:tcPr>
            <w:tcW w:w="1055" w:type="dxa"/>
            <w:gridSpan w:val="3"/>
            <w:vMerge w:val="restart"/>
            <w:tcBorders>
              <w:left w:val="nil"/>
              <w:right w:val="nil"/>
            </w:tcBorders>
          </w:tcPr>
          <w:p w14:paraId="4F67A7AF"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Group i</w:t>
            </w:r>
          </w:p>
        </w:tc>
        <w:tc>
          <w:tcPr>
            <w:tcW w:w="5325" w:type="dxa"/>
            <w:gridSpan w:val="13"/>
            <w:tcBorders>
              <w:left w:val="nil"/>
              <w:bottom w:val="single" w:sz="4" w:space="0" w:color="auto"/>
              <w:right w:val="nil"/>
            </w:tcBorders>
          </w:tcPr>
          <w:p w14:paraId="5698CDFF"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Orthorhombic α’’ martensite</w:t>
            </w:r>
          </w:p>
        </w:tc>
        <w:tc>
          <w:tcPr>
            <w:tcW w:w="2080" w:type="dxa"/>
            <w:gridSpan w:val="3"/>
            <w:tcBorders>
              <w:left w:val="nil"/>
              <w:bottom w:val="single" w:sz="4" w:space="0" w:color="auto"/>
              <w:right w:val="nil"/>
            </w:tcBorders>
          </w:tcPr>
          <w:p w14:paraId="3F239F48"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hAnsiTheme="minorHAnsi" w:cstheme="minorHAnsi"/>
                <w:sz w:val="20"/>
                <w:szCs w:val="20"/>
                <w:lang w:val="en-GB"/>
              </w:rPr>
              <w:t>Mechanism</w:t>
            </w:r>
          </w:p>
        </w:tc>
      </w:tr>
      <w:tr w:rsidR="00B145BE" w:rsidRPr="009820C6" w14:paraId="5E9868D1" w14:textId="77777777" w:rsidTr="00B145BE">
        <w:trPr>
          <w:trHeight w:hRule="exact" w:val="259"/>
          <w:jc w:val="center"/>
        </w:trPr>
        <w:tc>
          <w:tcPr>
            <w:tcW w:w="1055" w:type="dxa"/>
            <w:gridSpan w:val="3"/>
            <w:vMerge/>
            <w:tcBorders>
              <w:left w:val="nil"/>
              <w:bottom w:val="single" w:sz="4" w:space="0" w:color="auto"/>
              <w:right w:val="nil"/>
            </w:tcBorders>
          </w:tcPr>
          <w:p w14:paraId="734AEDD8"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p>
        </w:tc>
        <w:tc>
          <w:tcPr>
            <w:tcW w:w="1072" w:type="dxa"/>
            <w:gridSpan w:val="3"/>
            <w:tcBorders>
              <w:left w:val="nil"/>
              <w:bottom w:val="single" w:sz="4" w:space="0" w:color="auto"/>
              <w:right w:val="nil"/>
            </w:tcBorders>
          </w:tcPr>
          <w:p w14:paraId="1C9365FE" w14:textId="77777777" w:rsidR="00B145BE" w:rsidRPr="009B7299" w:rsidRDefault="00077961" w:rsidP="00B145BE">
            <w:pPr>
              <w:pStyle w:val="af4"/>
              <w:spacing w:before="0" w:beforeAutospacing="0" w:after="120" w:afterAutospacing="0"/>
              <w:jc w:val="center"/>
              <w:rPr>
                <w:rFonts w:asciiTheme="minorHAnsi" w:eastAsiaTheme="minorEastAsia" w:hAnsiTheme="minorHAnsi" w:cstheme="minorHAnsi"/>
                <w:sz w:val="20"/>
                <w:szCs w:val="20"/>
                <w:vertAlign w:val="subscript"/>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K</m:t>
                    </m:r>
                  </m:e>
                  <m:sub>
                    <m:r>
                      <w:rPr>
                        <w:rFonts w:ascii="Cambria Math" w:eastAsiaTheme="minorEastAsia" w:hAnsi="Cambria Math" w:cstheme="minorHAnsi"/>
                        <w:sz w:val="20"/>
                        <w:szCs w:val="20"/>
                        <w:lang w:val="en-GB"/>
                      </w:rPr>
                      <m:t>SA</m:t>
                    </m:r>
                  </m:sub>
                </m:sSub>
              </m:oMath>
            </m:oMathPara>
          </w:p>
        </w:tc>
        <w:tc>
          <w:tcPr>
            <w:tcW w:w="1082" w:type="dxa"/>
            <w:gridSpan w:val="3"/>
            <w:tcBorders>
              <w:left w:val="nil"/>
              <w:bottom w:val="single" w:sz="4" w:space="0" w:color="auto"/>
              <w:right w:val="nil"/>
            </w:tcBorders>
          </w:tcPr>
          <w:p w14:paraId="5DBC71C0" w14:textId="77777777" w:rsidR="00B145BE" w:rsidRPr="009B7299" w:rsidRDefault="00077961" w:rsidP="00B145BE">
            <w:pPr>
              <w:pStyle w:val="af4"/>
              <w:spacing w:before="0" w:beforeAutospacing="0" w:after="120" w:afterAutospacing="0"/>
              <w:jc w:val="center"/>
              <w:rPr>
                <w:rFonts w:asciiTheme="minorHAnsi" w:eastAsiaTheme="minorEastAsia" w:hAnsiTheme="minorHAnsi" w:cstheme="minorHAnsi"/>
                <w:sz w:val="20"/>
                <w:szCs w:val="20"/>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K</m:t>
                    </m:r>
                  </m:e>
                  <m:sub>
                    <m:r>
                      <w:rPr>
                        <w:rFonts w:ascii="Cambria Math" w:eastAsiaTheme="minorEastAsia" w:hAnsi="Cambria Math" w:cstheme="minorHAnsi"/>
                        <w:sz w:val="20"/>
                        <w:szCs w:val="20"/>
                        <w:lang w:val="en-GB"/>
                      </w:rPr>
                      <m:t>c</m:t>
                    </m:r>
                  </m:sub>
                </m:sSub>
              </m:oMath>
            </m:oMathPara>
          </w:p>
        </w:tc>
        <w:tc>
          <w:tcPr>
            <w:tcW w:w="1041" w:type="dxa"/>
            <w:gridSpan w:val="3"/>
            <w:tcBorders>
              <w:left w:val="nil"/>
              <w:bottom w:val="single" w:sz="4" w:space="0" w:color="auto"/>
              <w:right w:val="nil"/>
            </w:tcBorders>
          </w:tcPr>
          <w:p w14:paraId="2164C099" w14:textId="77777777" w:rsidR="00B145BE" w:rsidRPr="009B7299" w:rsidRDefault="00077961" w:rsidP="00B145BE">
            <w:pPr>
              <w:pStyle w:val="af4"/>
              <w:spacing w:before="0" w:beforeAutospacing="0" w:after="120" w:afterAutospacing="0"/>
              <w:jc w:val="center"/>
              <w:rPr>
                <w:rFonts w:asciiTheme="minorHAnsi" w:eastAsiaTheme="minorEastAsia" w:hAnsiTheme="minorHAnsi" w:cstheme="minorHAnsi"/>
                <w:sz w:val="20"/>
                <w:szCs w:val="20"/>
                <w:vertAlign w:val="subscript"/>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η</m:t>
                    </m:r>
                  </m:e>
                  <m:sub>
                    <m:r>
                      <w:rPr>
                        <w:rFonts w:ascii="Cambria Math" w:eastAsiaTheme="minorEastAsia" w:hAnsi="Cambria Math" w:cstheme="minorHAnsi"/>
                        <w:sz w:val="20"/>
                        <w:szCs w:val="20"/>
                        <w:lang w:val="en-GB"/>
                      </w:rPr>
                      <m:t>SA</m:t>
                    </m:r>
                  </m:sub>
                </m:sSub>
              </m:oMath>
            </m:oMathPara>
          </w:p>
        </w:tc>
        <w:tc>
          <w:tcPr>
            <w:tcW w:w="993" w:type="dxa"/>
            <w:gridSpan w:val="2"/>
            <w:tcBorders>
              <w:left w:val="nil"/>
              <w:bottom w:val="single" w:sz="4" w:space="0" w:color="auto"/>
              <w:right w:val="nil"/>
            </w:tcBorders>
          </w:tcPr>
          <w:p w14:paraId="313D6C00" w14:textId="77777777" w:rsidR="00B145BE" w:rsidRPr="009B7299" w:rsidRDefault="00077961" w:rsidP="00B145BE">
            <w:pPr>
              <w:pStyle w:val="af4"/>
              <w:spacing w:before="0" w:beforeAutospacing="0" w:after="120" w:afterAutospacing="0"/>
              <w:jc w:val="center"/>
              <w:rPr>
                <w:rFonts w:asciiTheme="minorHAnsi" w:eastAsiaTheme="minorEastAsia" w:hAnsiTheme="minorHAnsi" w:cstheme="minorHAnsi"/>
                <w:sz w:val="20"/>
                <w:szCs w:val="20"/>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η</m:t>
                    </m:r>
                  </m:e>
                  <m:sub>
                    <m:r>
                      <w:rPr>
                        <w:rFonts w:ascii="Cambria Math" w:eastAsiaTheme="minorEastAsia" w:hAnsi="Cambria Math" w:cstheme="minorHAnsi"/>
                        <w:sz w:val="20"/>
                        <w:szCs w:val="20"/>
                        <w:lang w:val="en-GB"/>
                      </w:rPr>
                      <m:t>c</m:t>
                    </m:r>
                  </m:sub>
                </m:sSub>
              </m:oMath>
            </m:oMathPara>
          </w:p>
        </w:tc>
        <w:tc>
          <w:tcPr>
            <w:tcW w:w="995" w:type="dxa"/>
            <w:tcBorders>
              <w:left w:val="nil"/>
              <w:bottom w:val="single" w:sz="4" w:space="0" w:color="auto"/>
              <w:right w:val="nil"/>
            </w:tcBorders>
          </w:tcPr>
          <w:p w14:paraId="1C64FB3E"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m:oMathPara>
              <m:oMath>
                <m:r>
                  <m:rPr>
                    <m:sty m:val="p"/>
                  </m:rPr>
                  <w:rPr>
                    <w:rFonts w:ascii="Cambria Math" w:eastAsiaTheme="minorEastAsia" w:hAnsi="Cambria Math" w:cstheme="minorHAnsi"/>
                    <w:sz w:val="20"/>
                    <w:szCs w:val="20"/>
                    <w:lang w:val="en-GB"/>
                  </w:rPr>
                  <m:t>unit</m:t>
                </m:r>
              </m:oMath>
            </m:oMathPara>
          </w:p>
        </w:tc>
        <w:tc>
          <w:tcPr>
            <w:tcW w:w="236" w:type="dxa"/>
            <w:gridSpan w:val="2"/>
            <w:tcBorders>
              <w:left w:val="nil"/>
              <w:bottom w:val="single" w:sz="4" w:space="0" w:color="auto"/>
              <w:right w:val="nil"/>
            </w:tcBorders>
          </w:tcPr>
          <w:p w14:paraId="690738B0"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b/>
                <w:i/>
                <w:sz w:val="20"/>
                <w:szCs w:val="20"/>
                <w:lang w:val="en-GB"/>
              </w:rPr>
            </w:pPr>
            <m:oMathPara>
              <m:oMath>
                <m:r>
                  <m:rPr>
                    <m:sty m:val="bi"/>
                  </m:rPr>
                  <w:rPr>
                    <w:rFonts w:ascii="Cambria Math" w:eastAsiaTheme="minorEastAsia" w:hAnsi="Cambria Math" w:cstheme="minorHAnsi"/>
                    <w:sz w:val="20"/>
                    <w:szCs w:val="20"/>
                    <w:lang w:val="en-GB"/>
                  </w:rPr>
                  <m:t>q</m:t>
                </m:r>
              </m:oMath>
            </m:oMathPara>
          </w:p>
        </w:tc>
        <w:tc>
          <w:tcPr>
            <w:tcW w:w="1986" w:type="dxa"/>
            <w:gridSpan w:val="2"/>
            <w:tcBorders>
              <w:left w:val="nil"/>
              <w:bottom w:val="single" w:sz="4" w:space="0" w:color="auto"/>
              <w:right w:val="nil"/>
            </w:tcBorders>
          </w:tcPr>
          <w:p w14:paraId="5516967F" w14:textId="77777777" w:rsidR="00B145BE" w:rsidRPr="009B7299" w:rsidRDefault="00B145BE" w:rsidP="00B145BE">
            <w:pPr>
              <w:pStyle w:val="af4"/>
              <w:spacing w:before="0" w:beforeAutospacing="0" w:after="120" w:afterAutospacing="0"/>
              <w:jc w:val="center"/>
              <w:rPr>
                <w:rFonts w:asciiTheme="minorHAnsi" w:hAnsiTheme="minorHAnsi" w:cstheme="minorHAnsi"/>
                <w:sz w:val="20"/>
                <w:szCs w:val="20"/>
                <w:lang w:val="en-GB"/>
              </w:rPr>
            </w:pPr>
            <w:r w:rsidRPr="009B7299">
              <w:rPr>
                <w:rFonts w:asciiTheme="minorHAnsi" w:hAnsiTheme="minorHAnsi" w:cstheme="minorHAnsi"/>
                <w:sz w:val="20"/>
                <w:szCs w:val="20"/>
                <w:lang w:val="en-GB"/>
              </w:rPr>
              <w:t>Type II</w:t>
            </w:r>
          </w:p>
        </w:tc>
      </w:tr>
      <w:tr w:rsidR="00B145BE" w:rsidRPr="009820C6" w14:paraId="2322D18D" w14:textId="77777777" w:rsidTr="00B145BE">
        <w:trPr>
          <w:trHeight w:hRule="exact" w:val="259"/>
          <w:jc w:val="center"/>
        </w:trPr>
        <w:tc>
          <w:tcPr>
            <w:tcW w:w="1055" w:type="dxa"/>
            <w:gridSpan w:val="3"/>
            <w:tcBorders>
              <w:left w:val="nil"/>
              <w:bottom w:val="nil"/>
              <w:right w:val="nil"/>
            </w:tcBorders>
          </w:tcPr>
          <w:p w14:paraId="17F9FC3C"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w:t>
            </w:r>
          </w:p>
        </w:tc>
        <w:tc>
          <w:tcPr>
            <w:tcW w:w="1072" w:type="dxa"/>
            <w:gridSpan w:val="3"/>
            <w:tcBorders>
              <w:left w:val="nil"/>
              <w:bottom w:val="nil"/>
              <w:right w:val="nil"/>
            </w:tcBorders>
          </w:tcPr>
          <w:p w14:paraId="6C4E4942"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{1,-1,3}</w:t>
            </w:r>
          </w:p>
        </w:tc>
        <w:tc>
          <w:tcPr>
            <w:tcW w:w="1082" w:type="dxa"/>
            <w:gridSpan w:val="3"/>
            <w:tcBorders>
              <w:left w:val="nil"/>
              <w:bottom w:val="nil"/>
              <w:right w:val="nil"/>
            </w:tcBorders>
          </w:tcPr>
          <w:p w14:paraId="125D636A"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{1-1-1}</w:t>
            </w:r>
          </w:p>
        </w:tc>
        <w:tc>
          <w:tcPr>
            <w:tcW w:w="1041" w:type="dxa"/>
            <w:gridSpan w:val="3"/>
            <w:tcBorders>
              <w:left w:val="nil"/>
              <w:bottom w:val="nil"/>
              <w:right w:val="nil"/>
            </w:tcBorders>
          </w:tcPr>
          <w:p w14:paraId="23BB857E"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&lt;-2 1 1&gt;</w:t>
            </w:r>
          </w:p>
        </w:tc>
        <w:tc>
          <w:tcPr>
            <w:tcW w:w="993" w:type="dxa"/>
            <w:gridSpan w:val="2"/>
            <w:tcBorders>
              <w:left w:val="nil"/>
              <w:bottom w:val="nil"/>
              <w:right w:val="nil"/>
            </w:tcBorders>
          </w:tcPr>
          <w:p w14:paraId="6BFCFE26"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&lt;2-13&gt;</w:t>
            </w:r>
          </w:p>
        </w:tc>
        <w:tc>
          <w:tcPr>
            <w:tcW w:w="995" w:type="dxa"/>
            <w:tcBorders>
              <w:left w:val="nil"/>
              <w:bottom w:val="nil"/>
              <w:right w:val="nil"/>
            </w:tcBorders>
          </w:tcPr>
          <w:p w14:paraId="63AEEDAA"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λ</w:t>
            </w:r>
          </w:p>
        </w:tc>
        <w:tc>
          <w:tcPr>
            <w:tcW w:w="236" w:type="dxa"/>
            <w:gridSpan w:val="2"/>
            <w:tcBorders>
              <w:left w:val="nil"/>
              <w:bottom w:val="nil"/>
              <w:right w:val="nil"/>
            </w:tcBorders>
          </w:tcPr>
          <w:p w14:paraId="48E08852"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4</w:t>
            </w:r>
          </w:p>
        </w:tc>
        <w:tc>
          <w:tcPr>
            <w:tcW w:w="1986" w:type="dxa"/>
            <w:gridSpan w:val="2"/>
            <w:tcBorders>
              <w:left w:val="nil"/>
              <w:bottom w:val="nil"/>
              <w:right w:val="nil"/>
            </w:tcBorders>
          </w:tcPr>
          <w:p w14:paraId="68DA8B67"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IIa-IIc</w:t>
            </w:r>
          </w:p>
        </w:tc>
      </w:tr>
      <w:tr w:rsidR="00B145BE" w:rsidRPr="009820C6" w14:paraId="606F2F38" w14:textId="77777777" w:rsidTr="00B145BE">
        <w:trPr>
          <w:trHeight w:hRule="exact" w:val="259"/>
          <w:jc w:val="center"/>
        </w:trPr>
        <w:tc>
          <w:tcPr>
            <w:tcW w:w="1055" w:type="dxa"/>
            <w:gridSpan w:val="3"/>
            <w:tcBorders>
              <w:top w:val="nil"/>
              <w:left w:val="nil"/>
              <w:bottom w:val="nil"/>
              <w:right w:val="nil"/>
            </w:tcBorders>
          </w:tcPr>
          <w:p w14:paraId="09CDCD9E"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II</w:t>
            </w:r>
          </w:p>
        </w:tc>
        <w:tc>
          <w:tcPr>
            <w:tcW w:w="1072" w:type="dxa"/>
            <w:gridSpan w:val="3"/>
            <w:tcBorders>
              <w:top w:val="nil"/>
              <w:left w:val="nil"/>
              <w:bottom w:val="nil"/>
              <w:right w:val="nil"/>
            </w:tcBorders>
          </w:tcPr>
          <w:p w14:paraId="3755CD23"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{3,5,1}</w:t>
            </w:r>
          </w:p>
        </w:tc>
        <w:tc>
          <w:tcPr>
            <w:tcW w:w="1082" w:type="dxa"/>
            <w:gridSpan w:val="3"/>
            <w:tcBorders>
              <w:top w:val="nil"/>
              <w:left w:val="nil"/>
              <w:bottom w:val="nil"/>
              <w:right w:val="nil"/>
            </w:tcBorders>
          </w:tcPr>
          <w:p w14:paraId="71AB8E08"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{1-1-1}</w:t>
            </w:r>
          </w:p>
        </w:tc>
        <w:tc>
          <w:tcPr>
            <w:tcW w:w="1041" w:type="dxa"/>
            <w:gridSpan w:val="3"/>
            <w:tcBorders>
              <w:top w:val="nil"/>
              <w:left w:val="nil"/>
              <w:bottom w:val="nil"/>
              <w:right w:val="nil"/>
            </w:tcBorders>
          </w:tcPr>
          <w:p w14:paraId="5D74AC56"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&lt;-2 1 1&gt;</w:t>
            </w:r>
          </w:p>
        </w:tc>
        <w:tc>
          <w:tcPr>
            <w:tcW w:w="993" w:type="dxa"/>
            <w:gridSpan w:val="2"/>
            <w:tcBorders>
              <w:top w:val="nil"/>
              <w:left w:val="nil"/>
              <w:bottom w:val="nil"/>
              <w:right w:val="nil"/>
            </w:tcBorders>
          </w:tcPr>
          <w:p w14:paraId="60043A94"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&lt;651&gt;</w:t>
            </w:r>
          </w:p>
        </w:tc>
        <w:tc>
          <w:tcPr>
            <w:tcW w:w="995" w:type="dxa"/>
            <w:tcBorders>
              <w:top w:val="nil"/>
              <w:left w:val="nil"/>
              <w:bottom w:val="nil"/>
              <w:right w:val="nil"/>
            </w:tcBorders>
          </w:tcPr>
          <w:p w14:paraId="1D4829B7"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λ</w:t>
            </w:r>
          </w:p>
        </w:tc>
        <w:tc>
          <w:tcPr>
            <w:tcW w:w="236" w:type="dxa"/>
            <w:gridSpan w:val="2"/>
            <w:tcBorders>
              <w:top w:val="nil"/>
              <w:left w:val="nil"/>
              <w:bottom w:val="nil"/>
              <w:right w:val="nil"/>
            </w:tcBorders>
          </w:tcPr>
          <w:p w14:paraId="7475252C"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4</w:t>
            </w:r>
          </w:p>
        </w:tc>
        <w:tc>
          <w:tcPr>
            <w:tcW w:w="1986" w:type="dxa"/>
            <w:gridSpan w:val="2"/>
            <w:tcBorders>
              <w:top w:val="nil"/>
              <w:left w:val="nil"/>
              <w:bottom w:val="nil"/>
              <w:right w:val="nil"/>
            </w:tcBorders>
          </w:tcPr>
          <w:p w14:paraId="4D200511"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bookmarkStart w:id="303" w:name="_Hlk521933136"/>
            <w:r w:rsidRPr="009B7299">
              <w:rPr>
                <w:rFonts w:asciiTheme="minorHAnsi" w:eastAsiaTheme="minorEastAsia" w:hAnsiTheme="minorHAnsi" w:cstheme="minorHAnsi"/>
                <w:sz w:val="20"/>
                <w:szCs w:val="20"/>
                <w:lang w:val="en-GB"/>
              </w:rPr>
              <w:t>IIa-IIc</w:t>
            </w:r>
            <w:bookmarkEnd w:id="303"/>
          </w:p>
        </w:tc>
      </w:tr>
      <w:tr w:rsidR="00B145BE" w:rsidRPr="009820C6" w14:paraId="3FF78030" w14:textId="77777777" w:rsidTr="00B145BE">
        <w:trPr>
          <w:trHeight w:hRule="exact" w:val="259"/>
          <w:jc w:val="center"/>
        </w:trPr>
        <w:tc>
          <w:tcPr>
            <w:tcW w:w="1055" w:type="dxa"/>
            <w:gridSpan w:val="3"/>
            <w:tcBorders>
              <w:top w:val="nil"/>
              <w:left w:val="nil"/>
              <w:bottom w:val="nil"/>
              <w:right w:val="nil"/>
            </w:tcBorders>
          </w:tcPr>
          <w:p w14:paraId="24737394"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III</w:t>
            </w:r>
          </w:p>
        </w:tc>
        <w:tc>
          <w:tcPr>
            <w:tcW w:w="1072" w:type="dxa"/>
            <w:gridSpan w:val="3"/>
            <w:tcBorders>
              <w:top w:val="nil"/>
              <w:left w:val="nil"/>
              <w:bottom w:val="nil"/>
              <w:right w:val="nil"/>
            </w:tcBorders>
          </w:tcPr>
          <w:p w14:paraId="7C25AE62"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{1,1,1}</w:t>
            </w:r>
          </w:p>
        </w:tc>
        <w:tc>
          <w:tcPr>
            <w:tcW w:w="1082" w:type="dxa"/>
            <w:gridSpan w:val="3"/>
            <w:tcBorders>
              <w:top w:val="nil"/>
              <w:left w:val="nil"/>
              <w:bottom w:val="nil"/>
              <w:right w:val="nil"/>
            </w:tcBorders>
          </w:tcPr>
          <w:p w14:paraId="4C9FD997"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{-111}</w:t>
            </w:r>
          </w:p>
        </w:tc>
        <w:tc>
          <w:tcPr>
            <w:tcW w:w="1041" w:type="dxa"/>
            <w:gridSpan w:val="3"/>
            <w:tcBorders>
              <w:top w:val="nil"/>
              <w:left w:val="nil"/>
              <w:bottom w:val="nil"/>
              <w:right w:val="nil"/>
            </w:tcBorders>
          </w:tcPr>
          <w:p w14:paraId="2B6B5697"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&lt;-2 1 1&gt;</w:t>
            </w:r>
          </w:p>
        </w:tc>
        <w:tc>
          <w:tcPr>
            <w:tcW w:w="993" w:type="dxa"/>
            <w:gridSpan w:val="2"/>
            <w:tcBorders>
              <w:top w:val="nil"/>
              <w:left w:val="nil"/>
              <w:bottom w:val="nil"/>
              <w:right w:val="nil"/>
            </w:tcBorders>
          </w:tcPr>
          <w:p w14:paraId="4FE5A570"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&lt;211&gt;</w:t>
            </w:r>
          </w:p>
        </w:tc>
        <w:tc>
          <w:tcPr>
            <w:tcW w:w="995" w:type="dxa"/>
            <w:tcBorders>
              <w:top w:val="nil"/>
              <w:left w:val="nil"/>
              <w:bottom w:val="nil"/>
              <w:right w:val="nil"/>
            </w:tcBorders>
          </w:tcPr>
          <w:p w14:paraId="38089793"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ξ</w:t>
            </w:r>
          </w:p>
        </w:tc>
        <w:tc>
          <w:tcPr>
            <w:tcW w:w="236" w:type="dxa"/>
            <w:gridSpan w:val="2"/>
            <w:tcBorders>
              <w:top w:val="nil"/>
              <w:left w:val="nil"/>
              <w:bottom w:val="nil"/>
              <w:right w:val="nil"/>
            </w:tcBorders>
          </w:tcPr>
          <w:p w14:paraId="3CABACBB"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w:t>
            </w:r>
          </w:p>
        </w:tc>
        <w:tc>
          <w:tcPr>
            <w:tcW w:w="1986" w:type="dxa"/>
            <w:gridSpan w:val="2"/>
            <w:tcBorders>
              <w:top w:val="nil"/>
              <w:left w:val="nil"/>
              <w:bottom w:val="nil"/>
              <w:right w:val="nil"/>
            </w:tcBorders>
          </w:tcPr>
          <w:p w14:paraId="210E62F8"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IIb</w:t>
            </w:r>
          </w:p>
        </w:tc>
      </w:tr>
      <w:tr w:rsidR="00B145BE" w:rsidRPr="009820C6" w14:paraId="477541A3" w14:textId="77777777" w:rsidTr="00B145BE">
        <w:trPr>
          <w:trHeight w:hRule="exact" w:val="259"/>
          <w:jc w:val="center"/>
        </w:trPr>
        <w:tc>
          <w:tcPr>
            <w:tcW w:w="1055" w:type="dxa"/>
            <w:gridSpan w:val="3"/>
            <w:tcBorders>
              <w:top w:val="nil"/>
              <w:left w:val="nil"/>
              <w:bottom w:val="single" w:sz="4" w:space="0" w:color="auto"/>
              <w:right w:val="nil"/>
            </w:tcBorders>
          </w:tcPr>
          <w:p w14:paraId="14FD7ED7"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IV</w:t>
            </w:r>
          </w:p>
        </w:tc>
        <w:tc>
          <w:tcPr>
            <w:tcW w:w="1072" w:type="dxa"/>
            <w:gridSpan w:val="3"/>
            <w:tcBorders>
              <w:top w:val="nil"/>
              <w:left w:val="nil"/>
              <w:bottom w:val="single" w:sz="4" w:space="0" w:color="auto"/>
              <w:right w:val="nil"/>
            </w:tcBorders>
          </w:tcPr>
          <w:p w14:paraId="5BF7C9EE"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{1,3,-1}</w:t>
            </w:r>
          </w:p>
        </w:tc>
        <w:tc>
          <w:tcPr>
            <w:tcW w:w="1082" w:type="dxa"/>
            <w:gridSpan w:val="3"/>
            <w:tcBorders>
              <w:top w:val="nil"/>
              <w:left w:val="nil"/>
              <w:bottom w:val="single" w:sz="4" w:space="0" w:color="auto"/>
              <w:right w:val="nil"/>
            </w:tcBorders>
          </w:tcPr>
          <w:p w14:paraId="4C0AA8C5"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{1-1-1}</w:t>
            </w:r>
          </w:p>
        </w:tc>
        <w:tc>
          <w:tcPr>
            <w:tcW w:w="1041" w:type="dxa"/>
            <w:gridSpan w:val="3"/>
            <w:tcBorders>
              <w:top w:val="nil"/>
              <w:left w:val="nil"/>
              <w:bottom w:val="single" w:sz="4" w:space="0" w:color="auto"/>
              <w:right w:val="nil"/>
            </w:tcBorders>
          </w:tcPr>
          <w:p w14:paraId="4FF96A54"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&lt;-2 1 1&gt;</w:t>
            </w:r>
          </w:p>
        </w:tc>
        <w:tc>
          <w:tcPr>
            <w:tcW w:w="993" w:type="dxa"/>
            <w:gridSpan w:val="2"/>
            <w:tcBorders>
              <w:top w:val="nil"/>
              <w:left w:val="nil"/>
              <w:bottom w:val="single" w:sz="4" w:space="0" w:color="auto"/>
              <w:right w:val="nil"/>
            </w:tcBorders>
          </w:tcPr>
          <w:p w14:paraId="2E70ED69"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&lt;23-1&gt;</w:t>
            </w:r>
          </w:p>
        </w:tc>
        <w:tc>
          <w:tcPr>
            <w:tcW w:w="995" w:type="dxa"/>
            <w:tcBorders>
              <w:top w:val="nil"/>
              <w:left w:val="nil"/>
              <w:bottom w:val="single" w:sz="4" w:space="0" w:color="auto"/>
              <w:right w:val="nil"/>
            </w:tcBorders>
          </w:tcPr>
          <w:p w14:paraId="3D50A744"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hAnsiTheme="minorHAnsi" w:cstheme="minorHAnsi"/>
                <w:sz w:val="20"/>
                <w:szCs w:val="20"/>
                <w:lang w:val="en-GB"/>
              </w:rPr>
              <w:t>κ</w:t>
            </w:r>
          </w:p>
        </w:tc>
        <w:tc>
          <w:tcPr>
            <w:tcW w:w="236" w:type="dxa"/>
            <w:gridSpan w:val="2"/>
            <w:tcBorders>
              <w:top w:val="nil"/>
              <w:left w:val="nil"/>
              <w:bottom w:val="single" w:sz="4" w:space="0" w:color="auto"/>
              <w:right w:val="nil"/>
            </w:tcBorders>
          </w:tcPr>
          <w:p w14:paraId="5A2DB88A"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2</w:t>
            </w:r>
          </w:p>
        </w:tc>
        <w:tc>
          <w:tcPr>
            <w:tcW w:w="1986" w:type="dxa"/>
            <w:gridSpan w:val="2"/>
            <w:tcBorders>
              <w:top w:val="nil"/>
              <w:left w:val="nil"/>
              <w:bottom w:val="single" w:sz="4" w:space="0" w:color="auto"/>
              <w:right w:val="nil"/>
            </w:tcBorders>
          </w:tcPr>
          <w:p w14:paraId="270D61FF"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IIb</w:t>
            </w:r>
          </w:p>
        </w:tc>
      </w:tr>
      <w:tr w:rsidR="00B145BE" w:rsidRPr="009820C6" w14:paraId="636F2BCD" w14:textId="77777777" w:rsidTr="00B145BE">
        <w:trPr>
          <w:trHeight w:hRule="exact" w:val="259"/>
          <w:jc w:val="center"/>
        </w:trPr>
        <w:tc>
          <w:tcPr>
            <w:tcW w:w="991" w:type="dxa"/>
            <w:gridSpan w:val="2"/>
            <w:vMerge w:val="restart"/>
            <w:tcBorders>
              <w:left w:val="nil"/>
              <w:right w:val="nil"/>
            </w:tcBorders>
          </w:tcPr>
          <w:p w14:paraId="7863E76C" w14:textId="77777777" w:rsidR="00B145BE" w:rsidRPr="009B7299" w:rsidRDefault="00B145BE" w:rsidP="00B145BE">
            <w:pPr>
              <w:pStyle w:val="af4"/>
              <w:spacing w:before="0" w:beforeAutospacing="0" w:after="120" w:afterAutospacing="0"/>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 xml:space="preserve">Group ii </w:t>
            </w:r>
          </w:p>
        </w:tc>
        <w:tc>
          <w:tcPr>
            <w:tcW w:w="570" w:type="dxa"/>
            <w:gridSpan w:val="2"/>
            <w:tcBorders>
              <w:left w:val="nil"/>
              <w:bottom w:val="nil"/>
              <w:right w:val="nil"/>
            </w:tcBorders>
          </w:tcPr>
          <w:p w14:paraId="2BB218F1" w14:textId="77777777" w:rsidR="00B145BE" w:rsidRPr="009B7299" w:rsidRDefault="00B145BE" w:rsidP="00B145BE">
            <w:pPr>
              <w:pStyle w:val="af4"/>
              <w:spacing w:before="0" w:beforeAutospacing="0" w:after="120" w:afterAutospacing="0"/>
              <w:rPr>
                <w:rFonts w:asciiTheme="minorHAnsi" w:eastAsiaTheme="minorEastAsia" w:hAnsiTheme="minorHAnsi" w:cstheme="minorHAnsi"/>
                <w:i/>
                <w:sz w:val="20"/>
                <w:szCs w:val="20"/>
                <w:lang w:val="en-GB"/>
              </w:rPr>
            </w:pPr>
            <w:r w:rsidRPr="009B7299">
              <w:rPr>
                <w:rFonts w:asciiTheme="minorHAnsi" w:eastAsiaTheme="minorEastAsia" w:hAnsiTheme="minorHAnsi" w:cstheme="minorHAnsi"/>
                <w:i/>
                <w:sz w:val="20"/>
                <w:szCs w:val="20"/>
                <w:lang w:val="en-GB"/>
              </w:rPr>
              <w:t>s</w:t>
            </w:r>
          </w:p>
        </w:tc>
        <w:tc>
          <w:tcPr>
            <w:tcW w:w="1169" w:type="dxa"/>
            <w:gridSpan w:val="4"/>
            <w:tcBorders>
              <w:left w:val="nil"/>
              <w:bottom w:val="single" w:sz="4" w:space="0" w:color="auto"/>
              <w:right w:val="nil"/>
            </w:tcBorders>
          </w:tcPr>
          <w:p w14:paraId="6A738F05"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p>
        </w:tc>
        <w:tc>
          <w:tcPr>
            <w:tcW w:w="3650" w:type="dxa"/>
            <w:gridSpan w:val="8"/>
            <w:tcBorders>
              <w:left w:val="nil"/>
              <w:bottom w:val="single" w:sz="4" w:space="0" w:color="auto"/>
              <w:right w:val="nil"/>
            </w:tcBorders>
          </w:tcPr>
          <w:p w14:paraId="6E4298DE"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Orthorhombic α’’ martensite</w:t>
            </w:r>
          </w:p>
        </w:tc>
        <w:tc>
          <w:tcPr>
            <w:tcW w:w="1393" w:type="dxa"/>
            <w:gridSpan w:val="2"/>
            <w:tcBorders>
              <w:left w:val="nil"/>
              <w:bottom w:val="single" w:sz="4" w:space="0" w:color="auto"/>
              <w:right w:val="nil"/>
            </w:tcBorders>
          </w:tcPr>
          <w:p w14:paraId="0BEF65A0"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p>
        </w:tc>
        <w:tc>
          <w:tcPr>
            <w:tcW w:w="687" w:type="dxa"/>
            <w:tcBorders>
              <w:left w:val="nil"/>
              <w:bottom w:val="single" w:sz="4" w:space="0" w:color="auto"/>
              <w:right w:val="nil"/>
            </w:tcBorders>
          </w:tcPr>
          <w:p w14:paraId="7A1A7108"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p>
        </w:tc>
      </w:tr>
      <w:tr w:rsidR="00B145BE" w:rsidRPr="009820C6" w14:paraId="387E72D3" w14:textId="77777777" w:rsidTr="00B145BE">
        <w:trPr>
          <w:trHeight w:hRule="exact" w:val="259"/>
          <w:jc w:val="center"/>
        </w:trPr>
        <w:tc>
          <w:tcPr>
            <w:tcW w:w="991" w:type="dxa"/>
            <w:gridSpan w:val="2"/>
            <w:vMerge/>
            <w:tcBorders>
              <w:left w:val="nil"/>
              <w:right w:val="nil"/>
            </w:tcBorders>
          </w:tcPr>
          <w:p w14:paraId="3AF046E4"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p>
        </w:tc>
        <w:tc>
          <w:tcPr>
            <w:tcW w:w="850" w:type="dxa"/>
            <w:gridSpan w:val="3"/>
            <w:tcBorders>
              <w:top w:val="nil"/>
              <w:left w:val="nil"/>
              <w:bottom w:val="nil"/>
              <w:right w:val="nil"/>
            </w:tcBorders>
          </w:tcPr>
          <w:p w14:paraId="2EDC767D"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p>
        </w:tc>
        <w:tc>
          <w:tcPr>
            <w:tcW w:w="709" w:type="dxa"/>
            <w:gridSpan w:val="2"/>
            <w:vMerge w:val="restart"/>
            <w:tcBorders>
              <w:left w:val="nil"/>
              <w:right w:val="nil"/>
            </w:tcBorders>
          </w:tcPr>
          <w:p w14:paraId="5ABA7532" w14:textId="77777777" w:rsidR="00B145BE" w:rsidRPr="009B7299" w:rsidRDefault="00077961" w:rsidP="00B145BE">
            <w:pPr>
              <w:pStyle w:val="af4"/>
              <w:spacing w:before="0" w:beforeAutospacing="0" w:after="120" w:afterAutospacing="0"/>
              <w:jc w:val="center"/>
              <w:rPr>
                <w:rFonts w:asciiTheme="minorHAnsi" w:eastAsiaTheme="minorEastAsia" w:hAnsiTheme="minorHAnsi" w:cstheme="minorHAnsi"/>
                <w:sz w:val="20"/>
                <w:szCs w:val="20"/>
                <w:vertAlign w:val="subscript"/>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K</m:t>
                    </m:r>
                  </m:e>
                  <m:sub>
                    <m:r>
                      <w:rPr>
                        <w:rFonts w:ascii="Cambria Math" w:eastAsiaTheme="minorEastAsia" w:hAnsi="Cambria Math" w:cstheme="minorHAnsi"/>
                        <w:sz w:val="20"/>
                        <w:szCs w:val="20"/>
                        <w:lang w:val="en-GB"/>
                      </w:rPr>
                      <m:t>1/SA</m:t>
                    </m:r>
                  </m:sub>
                </m:sSub>
              </m:oMath>
            </m:oMathPara>
          </w:p>
        </w:tc>
        <w:tc>
          <w:tcPr>
            <w:tcW w:w="992" w:type="dxa"/>
            <w:gridSpan w:val="3"/>
            <w:vMerge w:val="restart"/>
            <w:tcBorders>
              <w:left w:val="nil"/>
              <w:right w:val="nil"/>
            </w:tcBorders>
          </w:tcPr>
          <w:p w14:paraId="3E2EEC8F" w14:textId="77777777" w:rsidR="00B145BE" w:rsidRPr="009B7299" w:rsidRDefault="00077961" w:rsidP="00B145BE">
            <w:pPr>
              <w:pStyle w:val="af4"/>
              <w:spacing w:before="0" w:beforeAutospacing="0" w:after="120" w:afterAutospacing="0"/>
              <w:jc w:val="center"/>
              <w:rPr>
                <w:rFonts w:asciiTheme="minorHAnsi" w:eastAsiaTheme="minorEastAsia" w:hAnsiTheme="minorHAnsi" w:cstheme="minorHAnsi"/>
                <w:sz w:val="20"/>
                <w:szCs w:val="20"/>
                <w:vertAlign w:val="subscript"/>
                <w:lang w:val="en-GB"/>
              </w:rPr>
            </w:pPr>
            <m:oMathPara>
              <m:oMath>
                <m:sSub>
                  <m:sSubPr>
                    <m:ctrlPr>
                      <w:rPr>
                        <w:rFonts w:ascii="Cambria Math" w:eastAsiaTheme="minorEastAsia" w:hAnsi="Cambria Math" w:cstheme="minorHAnsi"/>
                        <w:sz w:val="20"/>
                        <w:szCs w:val="20"/>
                        <w:lang w:val="en-GB"/>
                      </w:rPr>
                    </m:ctrlPr>
                  </m:sSubPr>
                  <m:e>
                    <m:r>
                      <w:rPr>
                        <w:rFonts w:ascii="Cambria Math" w:eastAsiaTheme="minorEastAsia" w:hAnsi="Cambria Math" w:cstheme="minorHAnsi"/>
                        <w:sz w:val="20"/>
                        <w:szCs w:val="20"/>
                        <w:lang w:val="en-GB"/>
                      </w:rPr>
                      <m:t>η</m:t>
                    </m:r>
                  </m:e>
                  <m:sub>
                    <m:r>
                      <w:rPr>
                        <w:rFonts w:ascii="Cambria Math" w:eastAsiaTheme="minorEastAsia" w:hAnsi="Cambria Math" w:cstheme="minorHAnsi"/>
                        <w:sz w:val="20"/>
                        <w:szCs w:val="20"/>
                        <w:lang w:val="en-GB"/>
                      </w:rPr>
                      <m:t>1</m:t>
                    </m:r>
                  </m:sub>
                </m:sSub>
              </m:oMath>
            </m:oMathPara>
          </w:p>
        </w:tc>
        <w:tc>
          <w:tcPr>
            <w:tcW w:w="567" w:type="dxa"/>
            <w:vMerge w:val="restart"/>
            <w:tcBorders>
              <w:left w:val="nil"/>
              <w:right w:val="nil"/>
            </w:tcBorders>
          </w:tcPr>
          <w:p w14:paraId="29360B48"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m:oMathPara>
              <m:oMath>
                <m:r>
                  <m:rPr>
                    <m:sty m:val="p"/>
                  </m:rPr>
                  <w:rPr>
                    <w:rFonts w:ascii="Cambria Math" w:eastAsiaTheme="minorEastAsia" w:hAnsi="Cambria Math" w:cstheme="minorHAnsi"/>
                    <w:sz w:val="20"/>
                    <w:szCs w:val="20"/>
                    <w:lang w:val="en-GB"/>
                  </w:rPr>
                  <m:t>unit</m:t>
                </m:r>
              </m:oMath>
            </m:oMathPara>
          </w:p>
        </w:tc>
        <w:tc>
          <w:tcPr>
            <w:tcW w:w="425" w:type="dxa"/>
            <w:gridSpan w:val="2"/>
            <w:vMerge w:val="restart"/>
            <w:tcBorders>
              <w:left w:val="nil"/>
              <w:right w:val="single" w:sz="4" w:space="0" w:color="auto"/>
            </w:tcBorders>
          </w:tcPr>
          <w:p w14:paraId="195BA120"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i/>
                <w:sz w:val="20"/>
                <w:szCs w:val="20"/>
                <w:lang w:val="en-GB"/>
              </w:rPr>
            </w:pPr>
            <m:oMathPara>
              <m:oMath>
                <m:r>
                  <w:rPr>
                    <w:rFonts w:ascii="Cambria Math" w:eastAsiaTheme="minorEastAsia" w:hAnsi="Cambria Math" w:cstheme="minorHAnsi"/>
                    <w:sz w:val="20"/>
                    <w:szCs w:val="20"/>
                    <w:lang w:val="en-GB"/>
                  </w:rPr>
                  <m:t>q</m:t>
                </m:r>
              </m:oMath>
            </m:oMathPara>
          </w:p>
        </w:tc>
        <w:tc>
          <w:tcPr>
            <w:tcW w:w="3926" w:type="dxa"/>
            <w:gridSpan w:val="6"/>
            <w:tcBorders>
              <w:left w:val="single" w:sz="4" w:space="0" w:color="auto"/>
              <w:bottom w:val="single" w:sz="4" w:space="0" w:color="auto"/>
              <w:right w:val="nil"/>
            </w:tcBorders>
          </w:tcPr>
          <w:p w14:paraId="6B41058A" w14:textId="77777777" w:rsidR="00B145BE" w:rsidRPr="009B7299" w:rsidRDefault="00B145BE" w:rsidP="00B145BE">
            <w:pPr>
              <w:pStyle w:val="af4"/>
              <w:spacing w:before="0" w:beforeAutospacing="0" w:after="120" w:afterAutospacing="0"/>
              <w:jc w:val="center"/>
              <w:rPr>
                <w:rFonts w:asciiTheme="minorHAnsi" w:hAnsiTheme="minorHAnsi" w:cstheme="minorHAnsi"/>
                <w:sz w:val="20"/>
                <w:szCs w:val="20"/>
                <w:lang w:val="en-GB"/>
              </w:rPr>
            </w:pPr>
            <w:r w:rsidRPr="009B7299">
              <w:rPr>
                <w:rFonts w:asciiTheme="minorHAnsi" w:hAnsiTheme="minorHAnsi" w:cstheme="minorHAnsi"/>
                <w:sz w:val="20"/>
                <w:szCs w:val="20"/>
                <w:lang w:val="en-GB"/>
              </w:rPr>
              <w:t>Mechanism</w:t>
            </w:r>
          </w:p>
        </w:tc>
      </w:tr>
      <w:tr w:rsidR="00B145BE" w:rsidRPr="009820C6" w14:paraId="1D997E8E" w14:textId="77777777" w:rsidTr="00B145BE">
        <w:trPr>
          <w:trHeight w:hRule="exact" w:val="259"/>
          <w:jc w:val="center"/>
        </w:trPr>
        <w:tc>
          <w:tcPr>
            <w:tcW w:w="991" w:type="dxa"/>
            <w:gridSpan w:val="2"/>
            <w:vMerge/>
            <w:tcBorders>
              <w:left w:val="nil"/>
              <w:bottom w:val="single" w:sz="4" w:space="0" w:color="auto"/>
              <w:right w:val="nil"/>
            </w:tcBorders>
          </w:tcPr>
          <w:p w14:paraId="6607CD82"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p>
        </w:tc>
        <w:tc>
          <w:tcPr>
            <w:tcW w:w="850" w:type="dxa"/>
            <w:gridSpan w:val="3"/>
            <w:tcBorders>
              <w:top w:val="nil"/>
              <w:left w:val="nil"/>
              <w:bottom w:val="single" w:sz="4" w:space="0" w:color="auto"/>
              <w:right w:val="nil"/>
            </w:tcBorders>
          </w:tcPr>
          <w:p w14:paraId="5463F1A8"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p>
        </w:tc>
        <w:tc>
          <w:tcPr>
            <w:tcW w:w="709" w:type="dxa"/>
            <w:gridSpan w:val="2"/>
            <w:vMerge/>
            <w:tcBorders>
              <w:left w:val="nil"/>
              <w:bottom w:val="single" w:sz="4" w:space="0" w:color="auto"/>
              <w:right w:val="nil"/>
            </w:tcBorders>
          </w:tcPr>
          <w:p w14:paraId="193A966C" w14:textId="77777777" w:rsidR="00B145BE" w:rsidRPr="009B7299" w:rsidRDefault="00B145BE" w:rsidP="00B145BE">
            <w:pPr>
              <w:pStyle w:val="af4"/>
              <w:spacing w:before="0" w:beforeAutospacing="0" w:after="120" w:afterAutospacing="0"/>
              <w:jc w:val="center"/>
              <w:rPr>
                <w:rFonts w:asciiTheme="minorHAnsi" w:hAnsiTheme="minorHAnsi" w:cstheme="minorHAnsi"/>
                <w:sz w:val="20"/>
                <w:szCs w:val="20"/>
                <w:lang w:val="en-GB"/>
              </w:rPr>
            </w:pPr>
          </w:p>
        </w:tc>
        <w:tc>
          <w:tcPr>
            <w:tcW w:w="992" w:type="dxa"/>
            <w:gridSpan w:val="3"/>
            <w:vMerge/>
            <w:tcBorders>
              <w:left w:val="nil"/>
              <w:bottom w:val="single" w:sz="4" w:space="0" w:color="auto"/>
              <w:right w:val="nil"/>
            </w:tcBorders>
          </w:tcPr>
          <w:p w14:paraId="77A95F49" w14:textId="77777777" w:rsidR="00B145BE" w:rsidRPr="009B7299" w:rsidRDefault="00B145BE" w:rsidP="00B145BE">
            <w:pPr>
              <w:pStyle w:val="af4"/>
              <w:spacing w:before="0" w:beforeAutospacing="0" w:after="120" w:afterAutospacing="0"/>
              <w:jc w:val="center"/>
              <w:rPr>
                <w:rFonts w:asciiTheme="minorHAnsi" w:hAnsiTheme="minorHAnsi" w:cstheme="minorHAnsi"/>
                <w:sz w:val="20"/>
                <w:szCs w:val="20"/>
                <w:lang w:val="en-GB"/>
              </w:rPr>
            </w:pPr>
          </w:p>
        </w:tc>
        <w:tc>
          <w:tcPr>
            <w:tcW w:w="567" w:type="dxa"/>
            <w:vMerge/>
            <w:tcBorders>
              <w:left w:val="nil"/>
              <w:bottom w:val="single" w:sz="4" w:space="0" w:color="auto"/>
              <w:right w:val="nil"/>
            </w:tcBorders>
          </w:tcPr>
          <w:p w14:paraId="37B95A3F" w14:textId="77777777" w:rsidR="00B145BE" w:rsidRPr="009B7299" w:rsidRDefault="00B145BE" w:rsidP="00B145BE">
            <w:pPr>
              <w:pStyle w:val="af4"/>
              <w:spacing w:before="0" w:beforeAutospacing="0" w:after="120" w:afterAutospacing="0"/>
              <w:jc w:val="center"/>
              <w:rPr>
                <w:rFonts w:asciiTheme="minorHAnsi" w:hAnsiTheme="minorHAnsi" w:cstheme="minorHAnsi"/>
                <w:sz w:val="20"/>
                <w:szCs w:val="20"/>
                <w:lang w:val="en-GB"/>
              </w:rPr>
            </w:pPr>
          </w:p>
        </w:tc>
        <w:tc>
          <w:tcPr>
            <w:tcW w:w="425" w:type="dxa"/>
            <w:gridSpan w:val="2"/>
            <w:vMerge/>
            <w:tcBorders>
              <w:left w:val="nil"/>
              <w:bottom w:val="single" w:sz="4" w:space="0" w:color="auto"/>
              <w:right w:val="single" w:sz="4" w:space="0" w:color="auto"/>
            </w:tcBorders>
          </w:tcPr>
          <w:p w14:paraId="5CC7FDEC" w14:textId="77777777" w:rsidR="00B145BE" w:rsidRPr="009B7299" w:rsidRDefault="00B145BE" w:rsidP="00B145BE">
            <w:pPr>
              <w:pStyle w:val="af4"/>
              <w:spacing w:before="0" w:beforeAutospacing="0" w:after="120" w:afterAutospacing="0"/>
              <w:jc w:val="center"/>
              <w:rPr>
                <w:rFonts w:asciiTheme="minorHAnsi" w:hAnsiTheme="minorHAnsi" w:cstheme="minorHAnsi"/>
                <w:sz w:val="20"/>
                <w:szCs w:val="20"/>
                <w:lang w:val="en-GB"/>
              </w:rPr>
            </w:pPr>
          </w:p>
        </w:tc>
        <w:tc>
          <w:tcPr>
            <w:tcW w:w="1704" w:type="dxa"/>
            <w:gridSpan w:val="2"/>
            <w:tcBorders>
              <w:top w:val="single" w:sz="4" w:space="0" w:color="auto"/>
              <w:left w:val="single" w:sz="4" w:space="0" w:color="auto"/>
              <w:bottom w:val="single" w:sz="4" w:space="0" w:color="auto"/>
              <w:right w:val="single" w:sz="4" w:space="0" w:color="auto"/>
            </w:tcBorders>
          </w:tcPr>
          <w:p w14:paraId="7F653B2B" w14:textId="77777777" w:rsidR="00B145BE" w:rsidRPr="009B7299" w:rsidRDefault="00B145BE" w:rsidP="00B145BE">
            <w:pPr>
              <w:pStyle w:val="af4"/>
              <w:spacing w:before="0" w:beforeAutospacing="0" w:after="120" w:afterAutospacing="0"/>
              <w:jc w:val="center"/>
              <w:rPr>
                <w:rFonts w:asciiTheme="minorHAnsi" w:hAnsiTheme="minorHAnsi" w:cstheme="minorHAnsi"/>
                <w:sz w:val="20"/>
                <w:szCs w:val="20"/>
                <w:lang w:val="en-GB"/>
              </w:rPr>
            </w:pPr>
            <w:r w:rsidRPr="009B7299">
              <w:rPr>
                <w:rFonts w:asciiTheme="minorHAnsi" w:hAnsiTheme="minorHAnsi" w:cstheme="minorHAnsi"/>
                <w:sz w:val="20"/>
                <w:szCs w:val="20"/>
                <w:lang w:val="en-GB"/>
              </w:rPr>
              <w:t>Type I</w:t>
            </w:r>
          </w:p>
        </w:tc>
        <w:tc>
          <w:tcPr>
            <w:tcW w:w="2222" w:type="dxa"/>
            <w:gridSpan w:val="4"/>
            <w:tcBorders>
              <w:top w:val="single" w:sz="4" w:space="0" w:color="auto"/>
              <w:left w:val="single" w:sz="4" w:space="0" w:color="auto"/>
              <w:bottom w:val="single" w:sz="4" w:space="0" w:color="auto"/>
              <w:right w:val="nil"/>
            </w:tcBorders>
          </w:tcPr>
          <w:p w14:paraId="699BEB29" w14:textId="77777777" w:rsidR="00B145BE" w:rsidRPr="009B7299" w:rsidRDefault="00B145BE" w:rsidP="00B145BE">
            <w:pPr>
              <w:pStyle w:val="af4"/>
              <w:spacing w:before="0" w:beforeAutospacing="0" w:after="120" w:afterAutospacing="0"/>
              <w:jc w:val="center"/>
              <w:rPr>
                <w:rFonts w:asciiTheme="minorHAnsi" w:hAnsiTheme="minorHAnsi" w:cstheme="minorHAnsi"/>
                <w:sz w:val="20"/>
                <w:szCs w:val="20"/>
                <w:lang w:val="en-GB"/>
              </w:rPr>
            </w:pPr>
            <w:r w:rsidRPr="009B7299">
              <w:rPr>
                <w:rFonts w:asciiTheme="minorHAnsi" w:hAnsiTheme="minorHAnsi" w:cstheme="minorHAnsi"/>
                <w:sz w:val="20"/>
                <w:szCs w:val="20"/>
                <w:lang w:val="en-GB"/>
              </w:rPr>
              <w:t>Type II</w:t>
            </w:r>
          </w:p>
        </w:tc>
      </w:tr>
      <w:tr w:rsidR="00B145BE" w:rsidRPr="009820C6" w14:paraId="426D6939" w14:textId="77777777" w:rsidTr="00B145BE">
        <w:tblPrEx>
          <w:tblBorders>
            <w:left w:val="none" w:sz="0" w:space="0" w:color="auto"/>
            <w:right w:val="none" w:sz="0" w:space="0" w:color="auto"/>
            <w:insideH w:val="none" w:sz="0" w:space="0" w:color="auto"/>
            <w:insideV w:val="none" w:sz="0" w:space="0" w:color="auto"/>
          </w:tblBorders>
        </w:tblPrEx>
        <w:trPr>
          <w:trHeight w:hRule="exact" w:val="259"/>
          <w:jc w:val="center"/>
        </w:trPr>
        <w:tc>
          <w:tcPr>
            <w:tcW w:w="772" w:type="dxa"/>
          </w:tcPr>
          <w:p w14:paraId="2498CE53"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w:t>
            </w:r>
          </w:p>
        </w:tc>
        <w:tc>
          <w:tcPr>
            <w:tcW w:w="789" w:type="dxa"/>
            <w:gridSpan w:val="3"/>
          </w:tcPr>
          <w:p w14:paraId="15301D99"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0.3536</w:t>
            </w:r>
          </w:p>
        </w:tc>
        <w:tc>
          <w:tcPr>
            <w:tcW w:w="989" w:type="dxa"/>
            <w:gridSpan w:val="3"/>
          </w:tcPr>
          <w:p w14:paraId="71EC2915"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{1,-1,3}</w:t>
            </w:r>
          </w:p>
        </w:tc>
        <w:tc>
          <w:tcPr>
            <w:tcW w:w="992" w:type="dxa"/>
            <w:gridSpan w:val="3"/>
          </w:tcPr>
          <w:p w14:paraId="0BF0F4CE"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&lt;110&gt;</w:t>
            </w:r>
          </w:p>
        </w:tc>
        <w:tc>
          <w:tcPr>
            <w:tcW w:w="567" w:type="dxa"/>
          </w:tcPr>
          <w:p w14:paraId="35EC4526"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λ</w:t>
            </w:r>
          </w:p>
        </w:tc>
        <w:tc>
          <w:tcPr>
            <w:tcW w:w="425" w:type="dxa"/>
            <w:gridSpan w:val="2"/>
          </w:tcPr>
          <w:p w14:paraId="44259321"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4</w:t>
            </w:r>
          </w:p>
        </w:tc>
        <w:tc>
          <w:tcPr>
            <w:tcW w:w="1704" w:type="dxa"/>
            <w:gridSpan w:val="2"/>
          </w:tcPr>
          <w:p w14:paraId="708A2809"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Ia-Id</w:t>
            </w:r>
          </w:p>
        </w:tc>
        <w:tc>
          <w:tcPr>
            <w:tcW w:w="2222" w:type="dxa"/>
            <w:gridSpan w:val="4"/>
          </w:tcPr>
          <w:p w14:paraId="7F2ED34F"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IIb-IIc</w:t>
            </w:r>
          </w:p>
        </w:tc>
      </w:tr>
      <w:tr w:rsidR="00B145BE" w:rsidRPr="009820C6" w14:paraId="4B10E95D" w14:textId="77777777" w:rsidTr="00B145BE">
        <w:tblPrEx>
          <w:tblBorders>
            <w:left w:val="none" w:sz="0" w:space="0" w:color="auto"/>
            <w:right w:val="none" w:sz="0" w:space="0" w:color="auto"/>
            <w:insideH w:val="none" w:sz="0" w:space="0" w:color="auto"/>
            <w:insideV w:val="none" w:sz="0" w:space="0" w:color="auto"/>
          </w:tblBorders>
        </w:tblPrEx>
        <w:trPr>
          <w:trHeight w:hRule="exact" w:val="259"/>
          <w:jc w:val="center"/>
        </w:trPr>
        <w:tc>
          <w:tcPr>
            <w:tcW w:w="772" w:type="dxa"/>
          </w:tcPr>
          <w:p w14:paraId="7A6A7C5B"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II</w:t>
            </w:r>
          </w:p>
        </w:tc>
        <w:tc>
          <w:tcPr>
            <w:tcW w:w="789" w:type="dxa"/>
            <w:gridSpan w:val="3"/>
          </w:tcPr>
          <w:p w14:paraId="6231A84A"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0.3536</w:t>
            </w:r>
          </w:p>
        </w:tc>
        <w:tc>
          <w:tcPr>
            <w:tcW w:w="989" w:type="dxa"/>
            <w:gridSpan w:val="3"/>
          </w:tcPr>
          <w:p w14:paraId="26121B31"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{3,5,1}</w:t>
            </w:r>
          </w:p>
        </w:tc>
        <w:tc>
          <w:tcPr>
            <w:tcW w:w="992" w:type="dxa"/>
            <w:gridSpan w:val="3"/>
          </w:tcPr>
          <w:p w14:paraId="1FA9E764"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&lt;1-12&gt;</w:t>
            </w:r>
          </w:p>
        </w:tc>
        <w:tc>
          <w:tcPr>
            <w:tcW w:w="567" w:type="dxa"/>
          </w:tcPr>
          <w:p w14:paraId="541EB0D5"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λ</w:t>
            </w:r>
          </w:p>
        </w:tc>
        <w:tc>
          <w:tcPr>
            <w:tcW w:w="425" w:type="dxa"/>
            <w:gridSpan w:val="2"/>
          </w:tcPr>
          <w:p w14:paraId="3872BC7D"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4</w:t>
            </w:r>
          </w:p>
        </w:tc>
        <w:tc>
          <w:tcPr>
            <w:tcW w:w="1704" w:type="dxa"/>
            <w:gridSpan w:val="2"/>
          </w:tcPr>
          <w:p w14:paraId="24B5CA79"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 xml:space="preserve">Ia-Id </w:t>
            </w:r>
          </w:p>
        </w:tc>
        <w:tc>
          <w:tcPr>
            <w:tcW w:w="2222" w:type="dxa"/>
            <w:gridSpan w:val="4"/>
          </w:tcPr>
          <w:p w14:paraId="6D254D3C"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IIb-IIc</w:t>
            </w:r>
          </w:p>
        </w:tc>
      </w:tr>
      <w:tr w:rsidR="00B145BE" w:rsidRPr="009820C6" w14:paraId="2E681F32" w14:textId="77777777" w:rsidTr="00B145BE">
        <w:tblPrEx>
          <w:tblBorders>
            <w:left w:val="none" w:sz="0" w:space="0" w:color="auto"/>
            <w:right w:val="none" w:sz="0" w:space="0" w:color="auto"/>
            <w:insideH w:val="none" w:sz="0" w:space="0" w:color="auto"/>
            <w:insideV w:val="none" w:sz="0" w:space="0" w:color="auto"/>
          </w:tblBorders>
        </w:tblPrEx>
        <w:trPr>
          <w:trHeight w:hRule="exact" w:val="259"/>
          <w:jc w:val="center"/>
        </w:trPr>
        <w:tc>
          <w:tcPr>
            <w:tcW w:w="772" w:type="dxa"/>
          </w:tcPr>
          <w:p w14:paraId="62D56448"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IV</w:t>
            </w:r>
          </w:p>
        </w:tc>
        <w:tc>
          <w:tcPr>
            <w:tcW w:w="789" w:type="dxa"/>
            <w:gridSpan w:val="3"/>
          </w:tcPr>
          <w:p w14:paraId="2F7513A5"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0.707</w:t>
            </w:r>
          </w:p>
        </w:tc>
        <w:tc>
          <w:tcPr>
            <w:tcW w:w="989" w:type="dxa"/>
            <w:gridSpan w:val="3"/>
          </w:tcPr>
          <w:p w14:paraId="397F7397"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{1,3,-1}</w:t>
            </w:r>
          </w:p>
        </w:tc>
        <w:tc>
          <w:tcPr>
            <w:tcW w:w="992" w:type="dxa"/>
            <w:gridSpan w:val="3"/>
          </w:tcPr>
          <w:p w14:paraId="698228BE"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&lt;101&gt;</w:t>
            </w:r>
          </w:p>
        </w:tc>
        <w:tc>
          <w:tcPr>
            <w:tcW w:w="567" w:type="dxa"/>
          </w:tcPr>
          <w:p w14:paraId="4161E667"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hAnsiTheme="minorHAnsi" w:cstheme="minorHAnsi"/>
                <w:sz w:val="20"/>
                <w:szCs w:val="20"/>
                <w:lang w:val="en-GB"/>
              </w:rPr>
              <w:t>κ</w:t>
            </w:r>
          </w:p>
        </w:tc>
        <w:tc>
          <w:tcPr>
            <w:tcW w:w="425" w:type="dxa"/>
            <w:gridSpan w:val="2"/>
          </w:tcPr>
          <w:p w14:paraId="63D0CE0A"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2</w:t>
            </w:r>
          </w:p>
        </w:tc>
        <w:tc>
          <w:tcPr>
            <w:tcW w:w="1704" w:type="dxa"/>
            <w:gridSpan w:val="2"/>
          </w:tcPr>
          <w:p w14:paraId="5C7D408E" w14:textId="77777777" w:rsidR="00B145BE" w:rsidRPr="009B7299" w:rsidRDefault="00B145BE" w:rsidP="00B145BE">
            <w:pPr>
              <w:pStyle w:val="af4"/>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Ia</w:t>
            </w:r>
          </w:p>
          <w:p w14:paraId="4C226924" w14:textId="77777777" w:rsidR="00B145BE" w:rsidRPr="009B7299" w:rsidRDefault="00B145BE" w:rsidP="00B145BE">
            <w:pPr>
              <w:pStyle w:val="af4"/>
              <w:spacing w:before="0" w:beforeAutospacing="0" w:after="120" w:afterAutospacing="0"/>
              <w:rPr>
                <w:rFonts w:asciiTheme="minorHAnsi" w:eastAsiaTheme="minorEastAsia" w:hAnsiTheme="minorHAnsi" w:cstheme="minorHAnsi"/>
                <w:sz w:val="20"/>
                <w:szCs w:val="20"/>
                <w:lang w:val="en-GB"/>
              </w:rPr>
            </w:pPr>
          </w:p>
        </w:tc>
        <w:tc>
          <w:tcPr>
            <w:tcW w:w="2222" w:type="dxa"/>
            <w:gridSpan w:val="4"/>
          </w:tcPr>
          <w:p w14:paraId="5F2876F3" w14:textId="77777777" w:rsidR="00B145BE" w:rsidRPr="009B7299" w:rsidRDefault="00B145BE" w:rsidP="00B145BE">
            <w:pPr>
              <w:pStyle w:val="af4"/>
              <w:keepNext/>
              <w:spacing w:before="0" w:beforeAutospacing="0" w:after="120" w:afterAutospacing="0"/>
              <w:jc w:val="center"/>
              <w:rPr>
                <w:rFonts w:asciiTheme="minorHAnsi" w:eastAsiaTheme="minorEastAsia" w:hAnsiTheme="minorHAnsi" w:cstheme="minorHAnsi"/>
                <w:sz w:val="20"/>
                <w:szCs w:val="20"/>
                <w:lang w:val="en-GB"/>
              </w:rPr>
            </w:pPr>
            <w:r w:rsidRPr="009B7299">
              <w:rPr>
                <w:rFonts w:asciiTheme="minorHAnsi" w:eastAsiaTheme="minorEastAsia" w:hAnsiTheme="minorHAnsi" w:cstheme="minorHAnsi"/>
                <w:sz w:val="20"/>
                <w:szCs w:val="20"/>
                <w:lang w:val="en-GB"/>
              </w:rPr>
              <w:t>IIa</w:t>
            </w:r>
          </w:p>
        </w:tc>
      </w:tr>
    </w:tbl>
    <w:p w14:paraId="6B818F9D" w14:textId="5F82CAF4" w:rsidR="00B145BE" w:rsidRDefault="00B145BE" w:rsidP="00B145BE">
      <w:pPr>
        <w:spacing w:after="120" w:line="360" w:lineRule="auto"/>
        <w:jc w:val="both"/>
        <w:rPr>
          <w:rFonts w:cstheme="minorHAnsi"/>
        </w:rPr>
      </w:pPr>
      <w:r>
        <w:rPr>
          <w:rFonts w:cstheme="minorHAnsi"/>
        </w:rPr>
        <w:lastRenderedPageBreak/>
        <w:t>When compared with the experimentally derived results detailed previously, the findings here were identical. W</w:t>
      </w:r>
      <w:r w:rsidRPr="006E5260">
        <w:rPr>
          <w:rFonts w:cstheme="minorHAnsi"/>
        </w:rPr>
        <w:t xml:space="preserve">ith the </w:t>
      </w:r>
      <w:r w:rsidRPr="006E5260">
        <w:rPr>
          <w:rFonts w:cstheme="minorHAnsi"/>
          <w:noProof/>
        </w:rPr>
        <w:t>smallest</w:t>
      </w:r>
      <w:r w:rsidRPr="006E5260">
        <w:rPr>
          <w:rFonts w:cstheme="minorHAnsi"/>
        </w:rPr>
        <w:t xml:space="preserve"> magnitude of atomic shuffle displacement, the {111}&lt;-211&gt;</w:t>
      </w:r>
      <w:r w:rsidRPr="006E5260">
        <w:rPr>
          <w:rFonts w:cstheme="minorHAnsi"/>
          <w:vertAlign w:val="subscript"/>
        </w:rPr>
        <w:t xml:space="preserve"> α’’</w:t>
      </w:r>
      <w:r w:rsidRPr="006E5260">
        <w:rPr>
          <w:rFonts w:cstheme="minorHAnsi"/>
        </w:rPr>
        <w:t xml:space="preserve"> type II twin </w:t>
      </w:r>
      <w:r>
        <w:rPr>
          <w:rFonts w:cstheme="minorHAnsi"/>
        </w:rPr>
        <w:t>was found to be</w:t>
      </w:r>
      <w:r w:rsidRPr="006E5260">
        <w:rPr>
          <w:rFonts w:cstheme="minorHAnsi"/>
        </w:rPr>
        <w:t xml:space="preserve"> the most energetically favoured SA twin mode </w:t>
      </w:r>
      <w:r>
        <w:rPr>
          <w:rFonts w:cstheme="minorHAnsi"/>
        </w:rPr>
        <w:t>of</w:t>
      </w:r>
      <w:r w:rsidRPr="006E5260">
        <w:rPr>
          <w:rFonts w:cstheme="minorHAnsi"/>
        </w:rPr>
        <w:t xml:space="preserve"> the four modes SA twins</w:t>
      </w:r>
      <w:r>
        <w:rPr>
          <w:rFonts w:cstheme="minorHAnsi"/>
        </w:rPr>
        <w:t>,</w:t>
      </w:r>
      <w:r w:rsidRPr="006E5260">
        <w:rPr>
          <w:rFonts w:cstheme="minorHAnsi"/>
        </w:rPr>
        <w:t xml:space="preserve"> which also relate to the solution for </w:t>
      </w:r>
      <w:r>
        <w:rPr>
          <w:rFonts w:cstheme="minorHAnsi"/>
        </w:rPr>
        <w:t>the t</w:t>
      </w:r>
      <w:r w:rsidRPr="006E5260">
        <w:rPr>
          <w:rFonts w:cstheme="minorHAnsi"/>
        </w:rPr>
        <w:t>ype I {111}</w:t>
      </w:r>
      <w:r w:rsidRPr="006E5260">
        <w:rPr>
          <w:rFonts w:cstheme="minorHAnsi"/>
          <w:vertAlign w:val="subscript"/>
        </w:rPr>
        <w:t xml:space="preserve"> α’’</w:t>
      </w:r>
      <w:r w:rsidRPr="006E5260">
        <w:rPr>
          <w:rFonts w:cstheme="minorHAnsi"/>
        </w:rPr>
        <w:t xml:space="preserve"> SA twin</w:t>
      </w:r>
      <w:r w:rsidR="00F43EE4">
        <w:rPr>
          <w:rFonts w:cstheme="minorHAnsi"/>
        </w:rPr>
        <w:t>ning</w:t>
      </w:r>
      <w:r w:rsidRPr="006E5260">
        <w:rPr>
          <w:rFonts w:cstheme="minorHAnsi"/>
        </w:rPr>
        <w:t>. However, without requiring large atomic displacement to shuffle, other SA type II &lt;-211&gt;</w:t>
      </w:r>
      <w:r w:rsidRPr="006E5260">
        <w:rPr>
          <w:rFonts w:cstheme="minorHAnsi"/>
          <w:vertAlign w:val="subscript"/>
        </w:rPr>
        <w:t xml:space="preserve"> α’’</w:t>
      </w:r>
      <w:r w:rsidRPr="006E5260">
        <w:rPr>
          <w:rFonts w:cstheme="minorHAnsi"/>
        </w:rPr>
        <w:t xml:space="preserve"> twinning modes are also </w:t>
      </w:r>
      <w:r>
        <w:rPr>
          <w:rFonts w:cstheme="minorHAnsi"/>
        </w:rPr>
        <w:t xml:space="preserve">easily </w:t>
      </w:r>
      <w:r w:rsidR="004A2B25">
        <w:rPr>
          <w:rFonts w:cstheme="minorHAnsi"/>
        </w:rPr>
        <w:t>activated</w:t>
      </w:r>
      <w:r w:rsidRPr="006E5260">
        <w:rPr>
          <w:rFonts w:cstheme="minorHAnsi"/>
        </w:rPr>
        <w:t xml:space="preserve">. </w:t>
      </w:r>
      <w:r>
        <w:rPr>
          <w:rFonts w:cstheme="minorHAnsi"/>
        </w:rPr>
        <w:t>Although reports have been limited</w:t>
      </w:r>
      <w:r w:rsidRPr="006E5260">
        <w:rPr>
          <w:rFonts w:cstheme="minorHAnsi"/>
        </w:rPr>
        <w:t xml:space="preserve">, </w:t>
      </w:r>
      <w:r>
        <w:rPr>
          <w:rFonts w:cstheme="minorHAnsi"/>
        </w:rPr>
        <w:t xml:space="preserve">the </w:t>
      </w:r>
      <w:r w:rsidRPr="006E5260">
        <w:rPr>
          <w:rFonts w:cstheme="minorHAnsi"/>
        </w:rPr>
        <w:t>observation of mode IV type II &lt;-211&gt;</w:t>
      </w:r>
      <w:r w:rsidRPr="006E5260">
        <w:rPr>
          <w:rFonts w:cstheme="minorHAnsi"/>
          <w:vertAlign w:val="subscript"/>
        </w:rPr>
        <w:t xml:space="preserve"> α’’</w:t>
      </w:r>
      <w:r w:rsidRPr="006E5260">
        <w:rPr>
          <w:rFonts w:cstheme="minorHAnsi"/>
        </w:rPr>
        <w:t xml:space="preserve"> </w:t>
      </w:r>
      <w:r>
        <w:rPr>
          <w:rFonts w:cstheme="minorHAnsi"/>
        </w:rPr>
        <w:t>was</w:t>
      </w:r>
      <w:r w:rsidRPr="006E5260">
        <w:rPr>
          <w:rFonts w:cstheme="minorHAnsi"/>
        </w:rPr>
        <w:t xml:space="preserve"> </w:t>
      </w:r>
      <w:r>
        <w:rPr>
          <w:rFonts w:cstheme="minorHAnsi"/>
        </w:rPr>
        <w:t>described for</w:t>
      </w:r>
      <w:r w:rsidRPr="006E5260">
        <w:rPr>
          <w:rFonts w:cstheme="minorHAnsi"/>
        </w:rPr>
        <w:t xml:space="preserve"> Ti-Nb metastable β alloys</w:t>
      </w:r>
      <w:r>
        <w:rPr>
          <w:rFonts w:cstheme="minorHAnsi"/>
        </w:rPr>
        <w:t xml:space="preserve"> </w:t>
      </w:r>
      <w:r w:rsidRPr="006E5260">
        <w:rPr>
          <w:rFonts w:cstheme="minorHAnsi"/>
        </w:rPr>
        <w:fldChar w:fldCharType="begin" w:fldLock="1"/>
      </w:r>
      <w:r>
        <w:rPr>
          <w:rFonts w:cstheme="minorHAnsi" w:hint="eastAsia"/>
        </w:rPr>
        <w:instrText xml:space="preserve">ADDIN CSL_CITATION {"citationItems":[{"id":"ITEM-1","itemData":{"DOI":"10.1016/j.jallcom.2012.02.023","ISBN":"0925-8388","ISSN":"09258388","abstract":"Deformation behavior and shape memory properties of Ti-(20, 23) at.% Nb alloys in a single </w:instrText>
      </w:r>
      <w:r>
        <w:rPr>
          <w:rFonts w:cstheme="minorHAnsi" w:hint="eastAsia"/>
        </w:rPr>
        <w:instrText>α″</w:instrText>
      </w:r>
      <w:r>
        <w:rPr>
          <w:rFonts w:cstheme="minorHAnsi" w:hint="eastAsia"/>
        </w:rPr>
        <w:instrText xml:space="preserve"> martensite</w:instrText>
      </w:r>
      <w:r>
        <w:rPr>
          <w:rFonts w:cstheme="minorHAnsi"/>
        </w:rPr>
        <w:instrText xml:space="preserve"> state were investigated. The Ti-20Nb alloy exhibited a higher stress for the reorientation of martensite variants when compared with the Ti-23Nb alloy. The recovery strain due to the shape memory effect in the Ti-20Nb alloy was smaller than that in the T</w:instrText>
      </w:r>
      <w:r>
        <w:rPr>
          <w:rFonts w:cstheme="minorHAnsi" w:hint="eastAsia"/>
        </w:rPr>
        <w:instrText xml:space="preserve">i-23Nb alloy. Transmission electron microscope (TEM) observation revealed that the reorientation of martensite variants occurred by the deformation of {1 1 1} type I and </w:instrText>
      </w:r>
      <w:r>
        <w:rPr>
          <w:rFonts w:cstheme="minorHAnsi" w:hint="eastAsia"/>
        </w:rPr>
        <w:instrText>〈</w:instrText>
      </w:r>
      <w:r>
        <w:rPr>
          <w:rFonts w:cstheme="minorHAnsi" w:hint="eastAsia"/>
        </w:rPr>
        <w:instrText>2 1 1</w:instrText>
      </w:r>
      <w:r>
        <w:rPr>
          <w:rFonts w:cstheme="minorHAnsi" w:hint="eastAsia"/>
        </w:rPr>
        <w:instrText>〉</w:instrText>
      </w:r>
      <w:r>
        <w:rPr>
          <w:rFonts w:cstheme="minorHAnsi" w:hint="eastAsia"/>
        </w:rPr>
        <w:instrText xml:space="preserve"> type II twins. The Nb content dependence of the deformation behavior and shap</w:instrText>
      </w:r>
      <w:r>
        <w:rPr>
          <w:rFonts w:cstheme="minorHAnsi"/>
        </w:rPr>
        <w:instrText>e memory properties was discussed considering the magnitude of twinning shear of the twins. © 2012 Elsevier B.V.","author":[{"dropping-particle":"","family":"Tobe","given":"H.","non-dropping-particle":"","parse-names":false,"suffix":""},{"dropping-particle":"","family":"Kim","given":"H. Y.","non-dropping-particle":"","parse-names":false,"suffix":""},{"dropping-particle":"","family":"Inamura","given":"T.","non-dropping-particle":"","parse-names":false,"suffix":""},{"dropping-particle":"","family":"Hosoda","given":"H.","non-dropping-particle":"","parse-names":false,"suffix":""},{"dropping-particle":"","family":"Nam","given":"T. H.","non-dropping-particle":"","parse-names":false,"suffix":""},{"dropping-particle":"","family":"Miyazaki","given":"S.","non-dropping-particle":"","parse-names":false,"suffix":""}],"container-title":"Journal of Alloys and Compounds","id":"ITEM-1","issued":{"date-parts":[["2013"]]},"title":"Effect of Nb content on deformation behavior and shape memory properties of Ti-Nb alloys","type":"article-journal"},"uris":["http://www.mendeley.com/documents/?uuid=723653c8-ba50-4ee1-b1d5-e5ceb4f5b036"]}],"mendeley":{"formattedCitation":"[24]","plainTextFormattedCitation":"[24]","previouslyFormattedCitation":"[26]"},"properties":{"noteIndex":0},"schema":"https://github.com/citation-style-language/schema/raw/master/csl-citation.json"}</w:instrText>
      </w:r>
      <w:r w:rsidRPr="006E5260">
        <w:rPr>
          <w:rFonts w:cstheme="minorHAnsi"/>
        </w:rPr>
        <w:fldChar w:fldCharType="separate"/>
      </w:r>
      <w:r w:rsidRPr="008F7036">
        <w:rPr>
          <w:rFonts w:cstheme="minorHAnsi"/>
          <w:noProof/>
        </w:rPr>
        <w:t>[24]</w:t>
      </w:r>
      <w:r w:rsidRPr="006E5260">
        <w:rPr>
          <w:rFonts w:cstheme="minorHAnsi"/>
        </w:rPr>
        <w:fldChar w:fldCharType="end"/>
      </w:r>
      <w:r>
        <w:rPr>
          <w:rFonts w:cstheme="minorHAnsi"/>
        </w:rPr>
        <w:t xml:space="preserve">. This </w:t>
      </w:r>
      <w:r w:rsidRPr="006E5260">
        <w:rPr>
          <w:rFonts w:cstheme="minorHAnsi"/>
        </w:rPr>
        <w:t>observation of mode II SA twin</w:t>
      </w:r>
      <w:r>
        <w:rPr>
          <w:rFonts w:cstheme="minorHAnsi"/>
        </w:rPr>
        <w:t xml:space="preserve">ning was also found and discussed for </w:t>
      </w:r>
      <w:r w:rsidRPr="006E5260">
        <w:rPr>
          <w:rFonts w:cstheme="minorHAnsi"/>
        </w:rPr>
        <w:t>TiZrHfTa</w:t>
      </w:r>
      <w:r w:rsidRPr="006E5260">
        <w:rPr>
          <w:rFonts w:cstheme="minorHAnsi"/>
          <w:vertAlign w:val="subscript"/>
        </w:rPr>
        <w:t>0.5</w:t>
      </w:r>
      <w:r w:rsidRPr="006E5260">
        <w:rPr>
          <w:rFonts w:cstheme="minorHAnsi"/>
        </w:rPr>
        <w:t xml:space="preserve"> </w:t>
      </w:r>
      <w:r>
        <w:rPr>
          <w:rFonts w:cstheme="minorHAnsi"/>
        </w:rPr>
        <w:t>in Chapter 5</w:t>
      </w:r>
      <w:r w:rsidRPr="006E5260">
        <w:rPr>
          <w:rFonts w:cstheme="minorHAnsi"/>
        </w:rPr>
        <w:t>. The solutions for mechanical mode I and II twin</w:t>
      </w:r>
      <w:r>
        <w:rPr>
          <w:rFonts w:cstheme="minorHAnsi"/>
        </w:rPr>
        <w:t>s</w:t>
      </w:r>
      <w:r w:rsidRPr="006E5260">
        <w:rPr>
          <w:rFonts w:cstheme="minorHAnsi"/>
        </w:rPr>
        <w:t xml:space="preserve"> </w:t>
      </w:r>
      <w:r w:rsidR="00F43EE4">
        <w:rPr>
          <w:rFonts w:cstheme="minorHAnsi"/>
        </w:rPr>
        <w:t xml:space="preserve">are </w:t>
      </w:r>
      <w:r>
        <w:rPr>
          <w:rFonts w:cstheme="minorHAnsi"/>
        </w:rPr>
        <w:t>presented</w:t>
      </w:r>
      <w:r w:rsidRPr="006E5260">
        <w:rPr>
          <w:rFonts w:cstheme="minorHAnsi"/>
        </w:rPr>
        <w:t xml:space="preserve"> in </w:t>
      </w:r>
      <w:r>
        <w:rPr>
          <w:rFonts w:cstheme="minorHAnsi"/>
        </w:rPr>
        <w:t>T</w:t>
      </w:r>
      <w:r w:rsidRPr="006E5260">
        <w:rPr>
          <w:rFonts w:cstheme="minorHAnsi"/>
        </w:rPr>
        <w:t>able.</w:t>
      </w:r>
      <w:r>
        <w:rPr>
          <w:rFonts w:cstheme="minorHAnsi"/>
        </w:rPr>
        <w:t xml:space="preserve"> 6-6</w:t>
      </w:r>
      <w:r w:rsidRPr="006E5260">
        <w:rPr>
          <w:rFonts w:cstheme="minorHAnsi"/>
        </w:rPr>
        <w:t xml:space="preserve"> also indicate the possibility of SA twinning to mechanical twinning transformation. </w:t>
      </w:r>
    </w:p>
    <w:p w14:paraId="646F5AB1" w14:textId="6227491C" w:rsidR="00B145BE" w:rsidRDefault="00B145BE" w:rsidP="00B145BE">
      <w:pPr>
        <w:spacing w:after="120" w:line="360" w:lineRule="auto"/>
        <w:jc w:val="both"/>
        <w:rPr>
          <w:rFonts w:cstheme="minorHAnsi"/>
          <w:sz w:val="20"/>
        </w:rPr>
      </w:pPr>
      <w:bookmarkStart w:id="304" w:name="_Toc39312746"/>
      <w:r w:rsidRPr="006E5260">
        <w:rPr>
          <w:rFonts w:cstheme="minorHAnsi"/>
          <w:b/>
          <w:sz w:val="20"/>
        </w:rPr>
        <w:t>Tabl</w:t>
      </w:r>
      <w:r w:rsidRPr="00D15A8F">
        <w:rPr>
          <w:rFonts w:cstheme="minorHAnsi"/>
          <w:b/>
          <w:sz w:val="20"/>
          <w:szCs w:val="20"/>
        </w:rPr>
        <w:t>e 6-</w:t>
      </w:r>
      <w:r>
        <w:rPr>
          <w:rFonts w:cstheme="minorHAnsi"/>
          <w:b/>
          <w:sz w:val="20"/>
          <w:szCs w:val="20"/>
        </w:rPr>
        <w:fldChar w:fldCharType="begin"/>
      </w:r>
      <w:r>
        <w:rPr>
          <w:rFonts w:cstheme="minorHAnsi"/>
          <w:b/>
          <w:sz w:val="20"/>
          <w:szCs w:val="20"/>
        </w:rPr>
        <w:instrText xml:space="preserve"> SEQ Table \* ARABIC \s 1 </w:instrText>
      </w:r>
      <w:r>
        <w:rPr>
          <w:rFonts w:cstheme="minorHAnsi"/>
          <w:b/>
          <w:sz w:val="20"/>
          <w:szCs w:val="20"/>
        </w:rPr>
        <w:fldChar w:fldCharType="separate"/>
      </w:r>
      <w:r>
        <w:rPr>
          <w:rFonts w:cstheme="minorHAnsi"/>
          <w:b/>
          <w:noProof/>
          <w:sz w:val="20"/>
          <w:szCs w:val="20"/>
        </w:rPr>
        <w:t>6</w:t>
      </w:r>
      <w:r>
        <w:rPr>
          <w:rFonts w:cstheme="minorHAnsi"/>
          <w:b/>
          <w:sz w:val="20"/>
          <w:szCs w:val="20"/>
        </w:rPr>
        <w:fldChar w:fldCharType="end"/>
      </w:r>
      <w:r w:rsidRPr="00D15A8F">
        <w:rPr>
          <w:rFonts w:cstheme="minorHAnsi"/>
          <w:b/>
          <w:sz w:val="20"/>
          <w:szCs w:val="20"/>
        </w:rPr>
        <w:t xml:space="preserve"> Energetically</w:t>
      </w:r>
      <w:r w:rsidRPr="003B25EA">
        <w:rPr>
          <w:rFonts w:cstheme="minorHAnsi"/>
          <w:b/>
          <w:sz w:val="20"/>
        </w:rPr>
        <w:t xml:space="preserve"> favoured shuffle mechanism of group </w:t>
      </w:r>
      <w:r w:rsidRPr="003B25EA">
        <w:rPr>
          <w:rFonts w:cstheme="minorHAnsi"/>
          <w:b/>
          <w:noProof/>
          <w:sz w:val="20"/>
        </w:rPr>
        <w:t>i</w:t>
      </w:r>
      <w:r w:rsidRPr="003B25EA">
        <w:rPr>
          <w:rFonts w:cstheme="minorHAnsi"/>
          <w:b/>
          <w:sz w:val="20"/>
        </w:rPr>
        <w:t xml:space="preserve"> and ii modes twin. </w:t>
      </w:r>
      <w:r w:rsidRPr="006E5260">
        <w:rPr>
          <w:rFonts w:cstheme="minorHAnsi"/>
          <w:sz w:val="20"/>
        </w:rPr>
        <w:t xml:space="preserve">With </w:t>
      </w:r>
      <m:oMath>
        <m:sSub>
          <m:sSubPr>
            <m:ctrlPr>
              <w:rPr>
                <w:rFonts w:ascii="Cambria Math" w:hAnsi="Cambria Math" w:cstheme="minorHAnsi"/>
                <w:sz w:val="20"/>
              </w:rPr>
            </m:ctrlPr>
          </m:sSubPr>
          <m:e>
            <m:r>
              <w:rPr>
                <w:rFonts w:ascii="Cambria Math" w:hAnsi="Cambria Math" w:cstheme="minorHAnsi"/>
                <w:sz w:val="20"/>
              </w:rPr>
              <m:t>d</m:t>
            </m:r>
          </m:e>
          <m:sub>
            <m:r>
              <w:rPr>
                <w:rFonts w:ascii="Cambria Math" w:hAnsi="Cambria Math" w:cstheme="minorHAnsi"/>
                <w:sz w:val="20"/>
              </w:rPr>
              <m:t>{hkl}</m:t>
            </m:r>
          </m:sub>
        </m:sSub>
      </m:oMath>
      <w:r w:rsidRPr="006E5260">
        <w:rPr>
          <w:rFonts w:cstheme="minorHAnsi"/>
          <w:sz w:val="20"/>
        </w:rPr>
        <w:t xml:space="preserve"> and </w:t>
      </w:r>
      <m:oMath>
        <m:sSub>
          <m:sSubPr>
            <m:ctrlPr>
              <w:rPr>
                <w:rFonts w:ascii="Cambria Math" w:hAnsi="Cambria Math" w:cstheme="minorHAnsi"/>
                <w:sz w:val="20"/>
              </w:rPr>
            </m:ctrlPr>
          </m:sSubPr>
          <m:e>
            <m:r>
              <w:rPr>
                <w:rFonts w:ascii="Cambria Math" w:hAnsi="Cambria Math" w:cstheme="minorHAnsi"/>
                <w:sz w:val="20"/>
              </w:rPr>
              <m:t>l</m:t>
            </m:r>
          </m:e>
          <m:sub>
            <m:r>
              <w:rPr>
                <w:rFonts w:ascii="Cambria Math" w:hAnsi="Cambria Math" w:cstheme="minorHAnsi"/>
                <w:sz w:val="20"/>
              </w:rPr>
              <m:t>&lt;uvw&gt;</m:t>
            </m:r>
          </m:sub>
        </m:sSub>
      </m:oMath>
      <w:r w:rsidRPr="006E5260">
        <w:rPr>
          <w:rFonts w:cstheme="minorHAnsi"/>
          <w:sz w:val="20"/>
        </w:rPr>
        <w:t xml:space="preserve"> represent</w:t>
      </w:r>
      <w:r>
        <w:rPr>
          <w:rFonts w:cstheme="minorHAnsi"/>
          <w:sz w:val="20"/>
        </w:rPr>
        <w:t>ing</w:t>
      </w:r>
      <w:r w:rsidRPr="006E5260">
        <w:rPr>
          <w:rFonts w:cstheme="minorHAnsi"/>
          <w:sz w:val="20"/>
        </w:rPr>
        <w:t xml:space="preserve"> the lattice spacing of </w:t>
      </w:r>
      <w:r w:rsidR="00F43EE4">
        <w:rPr>
          <w:rFonts w:cstheme="minorHAnsi"/>
          <w:sz w:val="20"/>
        </w:rPr>
        <w:t xml:space="preserve">the </w:t>
      </w:r>
      <w:r w:rsidRPr="006E5260">
        <w:rPr>
          <w:rFonts w:cstheme="minorHAnsi"/>
          <w:sz w:val="20"/>
        </w:rPr>
        <w:t>{</w:t>
      </w:r>
      <m:oMath>
        <m:r>
          <w:rPr>
            <w:rFonts w:ascii="Cambria Math" w:hAnsi="Cambria Math" w:cstheme="minorHAnsi"/>
            <w:sz w:val="20"/>
          </w:rPr>
          <m:t>hkl</m:t>
        </m:r>
      </m:oMath>
      <w:r w:rsidRPr="006E5260">
        <w:rPr>
          <w:rFonts w:cstheme="minorHAnsi"/>
          <w:sz w:val="20"/>
        </w:rPr>
        <w:t>} plane</w:t>
      </w:r>
      <w:r w:rsidR="00F43EE4">
        <w:rPr>
          <w:rFonts w:cstheme="minorHAnsi"/>
          <w:sz w:val="20"/>
        </w:rPr>
        <w:t>s</w:t>
      </w:r>
      <w:r w:rsidRPr="006E5260">
        <w:rPr>
          <w:rFonts w:cstheme="minorHAnsi"/>
          <w:sz w:val="20"/>
        </w:rPr>
        <w:t xml:space="preserve"> and lattice vector of &lt;</w:t>
      </w:r>
      <m:oMath>
        <m:r>
          <w:rPr>
            <w:rFonts w:ascii="Cambria Math" w:hAnsi="Cambria Math" w:cstheme="minorHAnsi"/>
            <w:sz w:val="20"/>
          </w:rPr>
          <m:t>uvw</m:t>
        </m:r>
      </m:oMath>
      <w:r w:rsidRPr="006E5260">
        <w:rPr>
          <w:rFonts w:cstheme="minorHAnsi"/>
          <w:sz w:val="20"/>
        </w:rPr>
        <w:t xml:space="preserve">&gt;. </w:t>
      </w:r>
      <m:oMath>
        <m:sSub>
          <m:sSubPr>
            <m:ctrlPr>
              <w:rPr>
                <w:rFonts w:ascii="Cambria Math" w:hAnsi="Cambria Math" w:cstheme="minorHAnsi"/>
                <w:sz w:val="20"/>
              </w:rPr>
            </m:ctrlPr>
          </m:sSubPr>
          <m:e>
            <m:r>
              <w:rPr>
                <w:rFonts w:ascii="Cambria Math" w:hAnsi="Cambria Math" w:cstheme="minorHAnsi"/>
                <w:sz w:val="20"/>
              </w:rPr>
              <m:t>cosφ</m:t>
            </m:r>
          </m:e>
          <m:sub>
            <m:r>
              <w:rPr>
                <w:rFonts w:ascii="Cambria Math" w:hAnsi="Cambria Math" w:cstheme="minorHAnsi"/>
                <w:sz w:val="20"/>
              </w:rPr>
              <m:t>HKL</m:t>
            </m:r>
            <m:r>
              <m:rPr>
                <m:sty m:val="p"/>
              </m:rPr>
              <w:rPr>
                <w:rFonts w:ascii="Cambria Math" w:hAnsi="Cambria Math" w:cstheme="minorHAnsi"/>
                <w:sz w:val="20"/>
              </w:rPr>
              <m:t>~</m:t>
            </m:r>
            <m:r>
              <w:rPr>
                <w:rFonts w:ascii="Cambria Math" w:hAnsi="Cambria Math" w:cstheme="minorHAnsi"/>
                <w:sz w:val="20"/>
              </w:rPr>
              <m:t>hkl</m:t>
            </m:r>
          </m:sub>
        </m:sSub>
      </m:oMath>
      <w:r w:rsidRPr="006E5260">
        <w:rPr>
          <w:rFonts w:cstheme="minorHAnsi"/>
          <w:sz w:val="20"/>
        </w:rPr>
        <w:t xml:space="preserve"> is </w:t>
      </w:r>
      <w:r>
        <w:rPr>
          <w:rFonts w:cstheme="minorHAnsi"/>
          <w:sz w:val="20"/>
        </w:rPr>
        <w:t xml:space="preserve">the </w:t>
      </w:r>
      <w:r w:rsidRPr="006E5260">
        <w:rPr>
          <w:rFonts w:cstheme="minorHAnsi"/>
          <w:sz w:val="20"/>
        </w:rPr>
        <w:t>crystal plane angle between</w:t>
      </w:r>
      <w:r w:rsidR="00F43EE4">
        <w:rPr>
          <w:rFonts w:cstheme="minorHAnsi"/>
          <w:sz w:val="20"/>
        </w:rPr>
        <w:t xml:space="preserve"> the</w:t>
      </w:r>
      <w:r w:rsidRPr="006E5260">
        <w:rPr>
          <w:rFonts w:cstheme="minorHAnsi"/>
          <w:sz w:val="20"/>
        </w:rPr>
        <w:t xml:space="preserve"> {</w:t>
      </w:r>
      <m:oMath>
        <m:r>
          <w:rPr>
            <w:rFonts w:ascii="Cambria Math" w:hAnsi="Cambria Math" w:cstheme="minorHAnsi"/>
            <w:sz w:val="20"/>
          </w:rPr>
          <m:t>HLK</m:t>
        </m:r>
      </m:oMath>
      <w:r w:rsidRPr="006E5260">
        <w:rPr>
          <w:rFonts w:cstheme="minorHAnsi"/>
          <w:sz w:val="20"/>
        </w:rPr>
        <w:t>} plane</w:t>
      </w:r>
      <w:r w:rsidR="00F43EE4">
        <w:rPr>
          <w:rFonts w:cstheme="minorHAnsi"/>
          <w:sz w:val="20"/>
        </w:rPr>
        <w:t>s</w:t>
      </w:r>
      <w:r w:rsidRPr="006E5260">
        <w:rPr>
          <w:rFonts w:cstheme="minorHAnsi"/>
          <w:sz w:val="20"/>
        </w:rPr>
        <w:t xml:space="preserve"> and </w:t>
      </w:r>
      <w:r w:rsidR="00F43EE4">
        <w:rPr>
          <w:rFonts w:cstheme="minorHAnsi"/>
          <w:sz w:val="20"/>
        </w:rPr>
        <w:t xml:space="preserve">the </w:t>
      </w:r>
      <w:r w:rsidRPr="006E5260">
        <w:rPr>
          <w:rFonts w:cstheme="minorHAnsi"/>
          <w:sz w:val="20"/>
        </w:rPr>
        <w:t>{</w:t>
      </w:r>
      <m:oMath>
        <m:r>
          <w:rPr>
            <w:rFonts w:ascii="Cambria Math" w:hAnsi="Cambria Math" w:cstheme="minorHAnsi"/>
            <w:sz w:val="20"/>
          </w:rPr>
          <m:t>hkl</m:t>
        </m:r>
      </m:oMath>
      <w:r w:rsidRPr="006E5260">
        <w:rPr>
          <w:rFonts w:cstheme="minorHAnsi"/>
          <w:sz w:val="20"/>
        </w:rPr>
        <w:t>} plane</w:t>
      </w:r>
      <w:r w:rsidR="00F43EE4">
        <w:rPr>
          <w:rFonts w:cstheme="minorHAnsi"/>
          <w:sz w:val="20"/>
        </w:rPr>
        <w:t>s</w:t>
      </w:r>
      <w:r w:rsidRPr="006E5260">
        <w:rPr>
          <w:rFonts w:cstheme="minorHAnsi"/>
          <w:sz w:val="20"/>
        </w:rPr>
        <w:t>.</w:t>
      </w:r>
      <w:r w:rsidRPr="003B25EA">
        <w:rPr>
          <w:rFonts w:cstheme="minorHAnsi"/>
          <w:sz w:val="20"/>
          <w:szCs w:val="20"/>
        </w:rPr>
        <w:t xml:space="preserve"> </w:t>
      </w:r>
      <w:r w:rsidRPr="003B25EA">
        <w:rPr>
          <w:rFonts w:cstheme="minorHAnsi"/>
          <w:i/>
          <w:sz w:val="20"/>
          <w:szCs w:val="20"/>
        </w:rPr>
        <w:t>σ</w:t>
      </w:r>
      <w:r w:rsidRPr="003B25EA">
        <w:rPr>
          <w:rFonts w:cstheme="minorHAnsi"/>
          <w:sz w:val="20"/>
          <w:szCs w:val="20"/>
        </w:rPr>
        <w:t xml:space="preserve"> is the magnitude of atomic displacement along {0-11}&lt;011&gt;</w:t>
      </w:r>
      <w:r w:rsidRPr="00285714">
        <w:rPr>
          <w:rFonts w:cstheme="minorHAnsi"/>
          <w:sz w:val="20"/>
          <w:szCs w:val="20"/>
          <w:vertAlign w:val="subscript"/>
        </w:rPr>
        <w:t>β</w:t>
      </w:r>
      <w:r w:rsidRPr="003B25EA">
        <w:rPr>
          <w:rFonts w:cstheme="minorHAnsi"/>
          <w:sz w:val="20"/>
          <w:szCs w:val="20"/>
        </w:rPr>
        <w:t>.</w:t>
      </w:r>
      <w:bookmarkEnd w:id="304"/>
      <w:r w:rsidRPr="006E5260">
        <w:rPr>
          <w:rFonts w:cstheme="minorHAnsi"/>
          <w:sz w:val="20"/>
        </w:rPr>
        <w:t xml:space="preserve">     </w:t>
      </w:r>
    </w:p>
    <w:tbl>
      <w:tblPr>
        <w:tblStyle w:val="afd"/>
        <w:tblW w:w="9216" w:type="dxa"/>
        <w:tblLook w:val="04A0" w:firstRow="1" w:lastRow="0" w:firstColumn="1" w:lastColumn="0" w:noHBand="0" w:noVBand="1"/>
      </w:tblPr>
      <w:tblGrid>
        <w:gridCol w:w="1998"/>
        <w:gridCol w:w="535"/>
        <w:gridCol w:w="1384"/>
        <w:gridCol w:w="1836"/>
        <w:gridCol w:w="3463"/>
      </w:tblGrid>
      <w:tr w:rsidR="00B145BE" w14:paraId="53650CFD" w14:textId="77777777" w:rsidTr="00FC2A71">
        <w:trPr>
          <w:trHeight w:hRule="exact" w:val="259"/>
        </w:trPr>
        <w:tc>
          <w:tcPr>
            <w:tcW w:w="1998" w:type="dxa"/>
            <w:tcBorders>
              <w:left w:val="nil"/>
              <w:bottom w:val="single" w:sz="4" w:space="0" w:color="auto"/>
              <w:right w:val="single" w:sz="4" w:space="0" w:color="auto"/>
            </w:tcBorders>
          </w:tcPr>
          <w:p w14:paraId="1EF71E6E" w14:textId="77777777" w:rsidR="00B145BE" w:rsidRDefault="00B145BE" w:rsidP="00B145BE">
            <w:pPr>
              <w:spacing w:after="120" w:line="360" w:lineRule="auto"/>
              <w:jc w:val="center"/>
              <w:rPr>
                <w:rFonts w:cstheme="minorHAnsi"/>
                <w:sz w:val="20"/>
              </w:rPr>
            </w:pPr>
            <w:r>
              <w:rPr>
                <w:rFonts w:cstheme="minorHAnsi"/>
                <w:sz w:val="20"/>
              </w:rPr>
              <w:t>Mode</w:t>
            </w:r>
          </w:p>
        </w:tc>
        <w:tc>
          <w:tcPr>
            <w:tcW w:w="535" w:type="dxa"/>
            <w:tcBorders>
              <w:left w:val="single" w:sz="4" w:space="0" w:color="auto"/>
              <w:bottom w:val="single" w:sz="4" w:space="0" w:color="auto"/>
              <w:right w:val="single" w:sz="4" w:space="0" w:color="auto"/>
            </w:tcBorders>
          </w:tcPr>
          <w:p w14:paraId="09572B8B" w14:textId="77777777" w:rsidR="00B145BE" w:rsidRDefault="00B145BE" w:rsidP="00B145BE">
            <w:pPr>
              <w:spacing w:after="120" w:line="360" w:lineRule="auto"/>
              <w:jc w:val="center"/>
              <w:rPr>
                <w:rFonts w:cstheme="minorHAnsi"/>
                <w:sz w:val="20"/>
              </w:rPr>
            </w:pPr>
            <w:r>
              <w:rPr>
                <w:rFonts w:cstheme="minorHAnsi"/>
                <w:sz w:val="20"/>
              </w:rPr>
              <w:t>q</w:t>
            </w:r>
          </w:p>
        </w:tc>
        <w:tc>
          <w:tcPr>
            <w:tcW w:w="1384" w:type="dxa"/>
            <w:tcBorders>
              <w:left w:val="single" w:sz="4" w:space="0" w:color="auto"/>
              <w:bottom w:val="single" w:sz="4" w:space="0" w:color="auto"/>
              <w:right w:val="single" w:sz="4" w:space="0" w:color="auto"/>
            </w:tcBorders>
          </w:tcPr>
          <w:p w14:paraId="702E3535" w14:textId="77777777" w:rsidR="00B145BE" w:rsidRDefault="00B145BE" w:rsidP="00B145BE">
            <w:pPr>
              <w:spacing w:after="120" w:line="360" w:lineRule="auto"/>
              <w:jc w:val="center"/>
              <w:rPr>
                <w:rFonts w:cstheme="minorHAnsi"/>
                <w:sz w:val="20"/>
              </w:rPr>
            </w:pPr>
            <w:r>
              <w:rPr>
                <w:rFonts w:cstheme="minorHAnsi"/>
                <w:sz w:val="20"/>
              </w:rPr>
              <w:t>Motif units</w:t>
            </w:r>
          </w:p>
        </w:tc>
        <w:tc>
          <w:tcPr>
            <w:tcW w:w="1836" w:type="dxa"/>
            <w:tcBorders>
              <w:left w:val="single" w:sz="4" w:space="0" w:color="auto"/>
              <w:bottom w:val="single" w:sz="4" w:space="0" w:color="auto"/>
              <w:right w:val="single" w:sz="4" w:space="0" w:color="auto"/>
            </w:tcBorders>
          </w:tcPr>
          <w:p w14:paraId="37BC178F" w14:textId="77777777" w:rsidR="00B145BE" w:rsidRDefault="00B145BE" w:rsidP="00B145BE">
            <w:pPr>
              <w:spacing w:after="120" w:line="360" w:lineRule="auto"/>
              <w:jc w:val="center"/>
              <w:rPr>
                <w:rFonts w:cstheme="minorHAnsi"/>
                <w:sz w:val="20"/>
              </w:rPr>
            </w:pPr>
            <w:r>
              <w:rPr>
                <w:rFonts w:cstheme="minorHAnsi"/>
                <w:sz w:val="20"/>
              </w:rPr>
              <w:t>Shuffle mechanism</w:t>
            </w:r>
          </w:p>
        </w:tc>
        <w:tc>
          <w:tcPr>
            <w:tcW w:w="3463" w:type="dxa"/>
            <w:tcBorders>
              <w:left w:val="single" w:sz="4" w:space="0" w:color="auto"/>
              <w:bottom w:val="single" w:sz="4" w:space="0" w:color="auto"/>
              <w:right w:val="nil"/>
            </w:tcBorders>
          </w:tcPr>
          <w:p w14:paraId="45E0929B" w14:textId="77777777" w:rsidR="00B145BE" w:rsidRDefault="00B145BE" w:rsidP="00B145BE">
            <w:pPr>
              <w:spacing w:after="120" w:line="360" w:lineRule="auto"/>
              <w:jc w:val="both"/>
              <w:rPr>
                <w:rFonts w:cstheme="minorHAnsi"/>
                <w:sz w:val="20"/>
              </w:rPr>
            </w:pPr>
            <w:r>
              <w:rPr>
                <w:rFonts w:cstheme="minorHAnsi"/>
                <w:sz w:val="20"/>
              </w:rPr>
              <w:t>Magnitude of atomic shuffle per atom</w:t>
            </w:r>
          </w:p>
        </w:tc>
      </w:tr>
      <w:tr w:rsidR="00B145BE" w14:paraId="515FF696" w14:textId="77777777" w:rsidTr="00FC2A71">
        <w:trPr>
          <w:trHeight w:hRule="exact" w:val="259"/>
        </w:trPr>
        <w:tc>
          <w:tcPr>
            <w:tcW w:w="1998" w:type="dxa"/>
            <w:tcBorders>
              <w:left w:val="nil"/>
              <w:bottom w:val="nil"/>
              <w:right w:val="single" w:sz="4" w:space="0" w:color="auto"/>
            </w:tcBorders>
          </w:tcPr>
          <w:p w14:paraId="66B02717" w14:textId="77777777" w:rsidR="00B145BE" w:rsidRDefault="00B145BE" w:rsidP="00B145BE">
            <w:pPr>
              <w:spacing w:after="120" w:line="360" w:lineRule="auto"/>
              <w:jc w:val="center"/>
              <w:rPr>
                <w:rFonts w:cstheme="minorHAnsi"/>
                <w:sz w:val="20"/>
              </w:rPr>
            </w:pPr>
            <w:r>
              <w:rPr>
                <w:rFonts w:cstheme="minorHAnsi"/>
                <w:sz w:val="20"/>
              </w:rPr>
              <w:t xml:space="preserve"> i I       {1-13}&lt;-211&gt;</w:t>
            </w:r>
          </w:p>
        </w:tc>
        <w:tc>
          <w:tcPr>
            <w:tcW w:w="535" w:type="dxa"/>
            <w:tcBorders>
              <w:left w:val="single" w:sz="4" w:space="0" w:color="auto"/>
              <w:bottom w:val="nil"/>
              <w:right w:val="single" w:sz="4" w:space="0" w:color="auto"/>
            </w:tcBorders>
          </w:tcPr>
          <w:p w14:paraId="0ED88DC0" w14:textId="77777777" w:rsidR="00B145BE" w:rsidRDefault="00B145BE" w:rsidP="00B145BE">
            <w:pPr>
              <w:spacing w:after="120" w:line="360" w:lineRule="auto"/>
              <w:jc w:val="center"/>
              <w:rPr>
                <w:rFonts w:cstheme="minorHAnsi"/>
                <w:sz w:val="20"/>
              </w:rPr>
            </w:pPr>
            <w:r>
              <w:rPr>
                <w:rFonts w:cstheme="minorHAnsi"/>
                <w:sz w:val="20"/>
              </w:rPr>
              <w:t>4</w:t>
            </w:r>
          </w:p>
        </w:tc>
        <w:tc>
          <w:tcPr>
            <w:tcW w:w="1384" w:type="dxa"/>
            <w:tcBorders>
              <w:left w:val="single" w:sz="4" w:space="0" w:color="auto"/>
              <w:bottom w:val="nil"/>
              <w:right w:val="single" w:sz="4" w:space="0" w:color="auto"/>
            </w:tcBorders>
          </w:tcPr>
          <w:p w14:paraId="24C2C3E9" w14:textId="77777777" w:rsidR="00B145BE" w:rsidRPr="00F734BA" w:rsidRDefault="00B145BE" w:rsidP="00B145BE">
            <w:pPr>
              <w:spacing w:after="120" w:line="360" w:lineRule="auto"/>
              <w:jc w:val="center"/>
              <w:rPr>
                <w:rFonts w:asciiTheme="minorHAnsi" w:hAnsiTheme="minorHAnsi" w:cstheme="minorHAnsi"/>
                <w:sz w:val="20"/>
              </w:rPr>
            </w:pPr>
            <w:r w:rsidRPr="00F734BA">
              <w:rPr>
                <w:rFonts w:asciiTheme="minorHAnsi" w:hAnsiTheme="minorHAnsi" w:cstheme="minorHAnsi"/>
                <w:sz w:val="20"/>
              </w:rPr>
              <w:t>λ</w:t>
            </w:r>
          </w:p>
        </w:tc>
        <w:tc>
          <w:tcPr>
            <w:tcW w:w="1836" w:type="dxa"/>
            <w:tcBorders>
              <w:left w:val="single" w:sz="4" w:space="0" w:color="auto"/>
              <w:bottom w:val="nil"/>
              <w:right w:val="single" w:sz="4" w:space="0" w:color="auto"/>
            </w:tcBorders>
          </w:tcPr>
          <w:p w14:paraId="5EE28E38" w14:textId="77777777" w:rsidR="00B145BE" w:rsidRDefault="00B145BE" w:rsidP="00B145BE">
            <w:pPr>
              <w:spacing w:after="120" w:line="360" w:lineRule="auto"/>
              <w:jc w:val="center"/>
              <w:rPr>
                <w:rFonts w:cstheme="minorHAnsi"/>
                <w:sz w:val="20"/>
              </w:rPr>
            </w:pPr>
            <w:r>
              <w:rPr>
                <w:rFonts w:cstheme="minorHAnsi"/>
                <w:sz w:val="20"/>
              </w:rPr>
              <w:t>IIa-IIc</w:t>
            </w:r>
          </w:p>
        </w:tc>
        <w:tc>
          <w:tcPr>
            <w:tcW w:w="3463" w:type="dxa"/>
            <w:tcBorders>
              <w:left w:val="single" w:sz="4" w:space="0" w:color="auto"/>
              <w:bottom w:val="nil"/>
              <w:right w:val="nil"/>
            </w:tcBorders>
          </w:tcPr>
          <w:p w14:paraId="3476EC9C" w14:textId="77777777" w:rsidR="00B145BE" w:rsidRDefault="00B145BE" w:rsidP="00B145BE">
            <w:pPr>
              <w:spacing w:after="120" w:line="360" w:lineRule="auto"/>
              <w:jc w:val="center"/>
              <w:rPr>
                <w:rFonts w:cstheme="minorHAnsi"/>
                <w:sz w:val="20"/>
              </w:rPr>
            </w:pPr>
            <w:r>
              <w:rPr>
                <w:rFonts w:cstheme="minorHAnsi"/>
                <w:sz w:val="20"/>
              </w:rPr>
              <w:t>0.683</w:t>
            </w:r>
            <w:r w:rsidRPr="00536B62">
              <w:rPr>
                <w:rFonts w:asciiTheme="minorHAnsi" w:hAnsiTheme="minorHAnsi" w:cstheme="minorHAnsi"/>
                <w:b/>
                <w:bCs/>
                <w:sz w:val="20"/>
              </w:rPr>
              <w:t>σ</w:t>
            </w:r>
          </w:p>
        </w:tc>
      </w:tr>
      <w:tr w:rsidR="00B145BE" w14:paraId="75E6B515" w14:textId="77777777" w:rsidTr="00FC2A71">
        <w:trPr>
          <w:trHeight w:hRule="exact" w:val="259"/>
        </w:trPr>
        <w:tc>
          <w:tcPr>
            <w:tcW w:w="1998" w:type="dxa"/>
            <w:tcBorders>
              <w:top w:val="nil"/>
              <w:left w:val="nil"/>
              <w:bottom w:val="nil"/>
              <w:right w:val="single" w:sz="4" w:space="0" w:color="auto"/>
            </w:tcBorders>
          </w:tcPr>
          <w:p w14:paraId="6983B121" w14:textId="77777777" w:rsidR="00B145BE" w:rsidRDefault="00B145BE" w:rsidP="00B145BE">
            <w:pPr>
              <w:spacing w:after="120" w:line="360" w:lineRule="auto"/>
              <w:jc w:val="center"/>
              <w:rPr>
                <w:rFonts w:cstheme="minorHAnsi"/>
                <w:sz w:val="20"/>
              </w:rPr>
            </w:pPr>
            <w:r>
              <w:rPr>
                <w:rFonts w:cstheme="minorHAnsi"/>
                <w:sz w:val="20"/>
              </w:rPr>
              <w:t>i II      {351}&lt;-211&gt;</w:t>
            </w:r>
          </w:p>
        </w:tc>
        <w:tc>
          <w:tcPr>
            <w:tcW w:w="535" w:type="dxa"/>
            <w:tcBorders>
              <w:top w:val="nil"/>
              <w:left w:val="single" w:sz="4" w:space="0" w:color="auto"/>
              <w:bottom w:val="nil"/>
              <w:right w:val="single" w:sz="4" w:space="0" w:color="auto"/>
            </w:tcBorders>
          </w:tcPr>
          <w:p w14:paraId="7C2F3A9E" w14:textId="77777777" w:rsidR="00B145BE" w:rsidRDefault="00B145BE" w:rsidP="00B145BE">
            <w:pPr>
              <w:spacing w:after="120" w:line="360" w:lineRule="auto"/>
              <w:jc w:val="center"/>
              <w:rPr>
                <w:rFonts w:cstheme="minorHAnsi"/>
                <w:sz w:val="20"/>
              </w:rPr>
            </w:pPr>
            <w:r>
              <w:rPr>
                <w:rFonts w:cstheme="minorHAnsi"/>
                <w:sz w:val="20"/>
              </w:rPr>
              <w:t>4</w:t>
            </w:r>
          </w:p>
        </w:tc>
        <w:tc>
          <w:tcPr>
            <w:tcW w:w="1384" w:type="dxa"/>
            <w:tcBorders>
              <w:top w:val="nil"/>
              <w:left w:val="single" w:sz="4" w:space="0" w:color="auto"/>
              <w:bottom w:val="nil"/>
              <w:right w:val="single" w:sz="4" w:space="0" w:color="auto"/>
            </w:tcBorders>
          </w:tcPr>
          <w:p w14:paraId="3AE8B45D" w14:textId="77777777" w:rsidR="00B145BE" w:rsidRPr="00F734BA" w:rsidRDefault="00B145BE" w:rsidP="00B145BE">
            <w:pPr>
              <w:spacing w:after="120" w:line="360" w:lineRule="auto"/>
              <w:jc w:val="center"/>
              <w:rPr>
                <w:rFonts w:asciiTheme="minorHAnsi" w:hAnsiTheme="minorHAnsi" w:cstheme="minorHAnsi"/>
                <w:sz w:val="20"/>
              </w:rPr>
            </w:pPr>
            <w:r w:rsidRPr="00F734BA">
              <w:rPr>
                <w:rFonts w:asciiTheme="minorHAnsi" w:hAnsiTheme="minorHAnsi" w:cstheme="minorHAnsi"/>
                <w:sz w:val="20"/>
              </w:rPr>
              <w:t>λ</w:t>
            </w:r>
          </w:p>
        </w:tc>
        <w:tc>
          <w:tcPr>
            <w:tcW w:w="1836" w:type="dxa"/>
            <w:tcBorders>
              <w:top w:val="nil"/>
              <w:left w:val="single" w:sz="4" w:space="0" w:color="auto"/>
              <w:bottom w:val="nil"/>
              <w:right w:val="single" w:sz="4" w:space="0" w:color="auto"/>
            </w:tcBorders>
          </w:tcPr>
          <w:p w14:paraId="0C5C1C18" w14:textId="77777777" w:rsidR="00B145BE" w:rsidRDefault="00B145BE" w:rsidP="00B145BE">
            <w:pPr>
              <w:spacing w:after="120" w:line="360" w:lineRule="auto"/>
              <w:jc w:val="center"/>
              <w:rPr>
                <w:rFonts w:cstheme="minorHAnsi"/>
                <w:sz w:val="20"/>
              </w:rPr>
            </w:pPr>
            <w:r>
              <w:rPr>
                <w:rFonts w:cstheme="minorHAnsi"/>
                <w:sz w:val="20"/>
              </w:rPr>
              <w:t>IIa-IIc</w:t>
            </w:r>
          </w:p>
        </w:tc>
        <w:tc>
          <w:tcPr>
            <w:tcW w:w="3463" w:type="dxa"/>
            <w:tcBorders>
              <w:top w:val="nil"/>
              <w:left w:val="single" w:sz="4" w:space="0" w:color="auto"/>
              <w:bottom w:val="nil"/>
              <w:right w:val="nil"/>
            </w:tcBorders>
          </w:tcPr>
          <w:p w14:paraId="44AE830F" w14:textId="77777777" w:rsidR="00B145BE" w:rsidRDefault="00B145BE" w:rsidP="00B145BE">
            <w:pPr>
              <w:spacing w:after="120" w:line="360" w:lineRule="auto"/>
              <w:jc w:val="center"/>
              <w:rPr>
                <w:rFonts w:cstheme="minorHAnsi"/>
                <w:sz w:val="20"/>
              </w:rPr>
            </w:pPr>
            <w:r>
              <w:rPr>
                <w:rFonts w:cstheme="minorHAnsi"/>
                <w:sz w:val="20"/>
              </w:rPr>
              <w:t>0.683</w:t>
            </w:r>
            <w:r w:rsidRPr="00536B62">
              <w:rPr>
                <w:rFonts w:asciiTheme="minorHAnsi" w:hAnsiTheme="minorHAnsi" w:cstheme="minorHAnsi"/>
                <w:b/>
                <w:bCs/>
                <w:sz w:val="20"/>
              </w:rPr>
              <w:t>σ</w:t>
            </w:r>
          </w:p>
        </w:tc>
      </w:tr>
      <w:tr w:rsidR="00B145BE" w14:paraId="7F7CF7F6" w14:textId="77777777" w:rsidTr="00FC2A71">
        <w:trPr>
          <w:trHeight w:hRule="exact" w:val="259"/>
        </w:trPr>
        <w:tc>
          <w:tcPr>
            <w:tcW w:w="1998" w:type="dxa"/>
            <w:tcBorders>
              <w:top w:val="nil"/>
              <w:left w:val="nil"/>
              <w:bottom w:val="nil"/>
              <w:right w:val="single" w:sz="4" w:space="0" w:color="auto"/>
            </w:tcBorders>
          </w:tcPr>
          <w:p w14:paraId="2EBDD047" w14:textId="77777777" w:rsidR="00B145BE" w:rsidRDefault="00B145BE" w:rsidP="00B145BE">
            <w:pPr>
              <w:spacing w:after="120" w:line="360" w:lineRule="auto"/>
              <w:jc w:val="center"/>
              <w:rPr>
                <w:rFonts w:cstheme="minorHAnsi"/>
                <w:sz w:val="20"/>
              </w:rPr>
            </w:pPr>
            <w:r>
              <w:rPr>
                <w:rFonts w:cstheme="minorHAnsi"/>
                <w:sz w:val="20"/>
              </w:rPr>
              <w:t>i III     {111}&lt;-211&gt;</w:t>
            </w:r>
          </w:p>
        </w:tc>
        <w:tc>
          <w:tcPr>
            <w:tcW w:w="535" w:type="dxa"/>
            <w:tcBorders>
              <w:top w:val="nil"/>
              <w:left w:val="single" w:sz="4" w:space="0" w:color="auto"/>
              <w:bottom w:val="nil"/>
              <w:right w:val="single" w:sz="4" w:space="0" w:color="auto"/>
            </w:tcBorders>
          </w:tcPr>
          <w:p w14:paraId="42EC1221" w14:textId="77777777" w:rsidR="00B145BE" w:rsidRDefault="00B145BE" w:rsidP="00B145BE">
            <w:pPr>
              <w:spacing w:after="120" w:line="360" w:lineRule="auto"/>
              <w:jc w:val="center"/>
              <w:rPr>
                <w:rFonts w:cstheme="minorHAnsi"/>
                <w:sz w:val="20"/>
              </w:rPr>
            </w:pPr>
            <w:r>
              <w:rPr>
                <w:rFonts w:cstheme="minorHAnsi"/>
                <w:sz w:val="20"/>
              </w:rPr>
              <w:t>1</w:t>
            </w:r>
          </w:p>
        </w:tc>
        <w:tc>
          <w:tcPr>
            <w:tcW w:w="1384" w:type="dxa"/>
            <w:tcBorders>
              <w:top w:val="nil"/>
              <w:left w:val="single" w:sz="4" w:space="0" w:color="auto"/>
              <w:bottom w:val="nil"/>
              <w:right w:val="single" w:sz="4" w:space="0" w:color="auto"/>
            </w:tcBorders>
          </w:tcPr>
          <w:p w14:paraId="758049C3" w14:textId="77777777" w:rsidR="00B145BE" w:rsidRPr="00F734BA" w:rsidRDefault="00B145BE" w:rsidP="00B145BE">
            <w:pPr>
              <w:spacing w:after="120" w:line="360" w:lineRule="auto"/>
              <w:jc w:val="center"/>
              <w:rPr>
                <w:rFonts w:asciiTheme="minorHAnsi" w:hAnsiTheme="minorHAnsi" w:cstheme="minorHAnsi"/>
                <w:sz w:val="20"/>
              </w:rPr>
            </w:pPr>
            <w:r w:rsidRPr="00F734BA">
              <w:rPr>
                <w:rFonts w:asciiTheme="minorHAnsi" w:hAnsiTheme="minorHAnsi" w:cstheme="minorHAnsi"/>
                <w:sz w:val="20"/>
              </w:rPr>
              <w:t>ξ</w:t>
            </w:r>
          </w:p>
        </w:tc>
        <w:tc>
          <w:tcPr>
            <w:tcW w:w="1836" w:type="dxa"/>
            <w:tcBorders>
              <w:top w:val="nil"/>
              <w:left w:val="single" w:sz="4" w:space="0" w:color="auto"/>
              <w:bottom w:val="nil"/>
              <w:right w:val="single" w:sz="4" w:space="0" w:color="auto"/>
            </w:tcBorders>
          </w:tcPr>
          <w:p w14:paraId="559AAC82" w14:textId="77777777" w:rsidR="00B145BE" w:rsidRDefault="00B145BE" w:rsidP="00B145BE">
            <w:pPr>
              <w:spacing w:after="120" w:line="360" w:lineRule="auto"/>
              <w:jc w:val="center"/>
              <w:rPr>
                <w:rFonts w:cstheme="minorHAnsi"/>
                <w:sz w:val="20"/>
              </w:rPr>
            </w:pPr>
            <w:r>
              <w:rPr>
                <w:rFonts w:cstheme="minorHAnsi"/>
                <w:sz w:val="20"/>
              </w:rPr>
              <w:t>IIb</w:t>
            </w:r>
          </w:p>
        </w:tc>
        <w:tc>
          <w:tcPr>
            <w:tcW w:w="3463" w:type="dxa"/>
            <w:tcBorders>
              <w:top w:val="nil"/>
              <w:left w:val="single" w:sz="4" w:space="0" w:color="auto"/>
              <w:bottom w:val="nil"/>
              <w:right w:val="nil"/>
            </w:tcBorders>
          </w:tcPr>
          <w:p w14:paraId="29D8DC02" w14:textId="77777777" w:rsidR="00B145BE" w:rsidRDefault="00B145BE" w:rsidP="00B145BE">
            <w:pPr>
              <w:spacing w:after="120" w:line="360" w:lineRule="auto"/>
              <w:jc w:val="center"/>
              <w:rPr>
                <w:rFonts w:cstheme="minorHAnsi"/>
                <w:sz w:val="20"/>
              </w:rPr>
            </w:pPr>
            <w:r>
              <w:rPr>
                <w:rFonts w:cstheme="minorHAnsi"/>
                <w:sz w:val="20"/>
              </w:rPr>
              <w:t>0.5</w:t>
            </w:r>
            <w:r w:rsidRPr="00536B62">
              <w:rPr>
                <w:rFonts w:asciiTheme="minorHAnsi" w:hAnsiTheme="minorHAnsi" w:cstheme="minorHAnsi"/>
                <w:b/>
                <w:bCs/>
                <w:sz w:val="20"/>
              </w:rPr>
              <w:t>σ</w:t>
            </w:r>
          </w:p>
        </w:tc>
      </w:tr>
      <w:tr w:rsidR="00B145BE" w14:paraId="4B9B5938" w14:textId="77777777" w:rsidTr="00FC2A71">
        <w:trPr>
          <w:trHeight w:hRule="exact" w:val="259"/>
        </w:trPr>
        <w:tc>
          <w:tcPr>
            <w:tcW w:w="1998" w:type="dxa"/>
            <w:tcBorders>
              <w:top w:val="nil"/>
              <w:left w:val="nil"/>
              <w:bottom w:val="nil"/>
              <w:right w:val="single" w:sz="4" w:space="0" w:color="auto"/>
            </w:tcBorders>
          </w:tcPr>
          <w:p w14:paraId="7841A441" w14:textId="77777777" w:rsidR="00B145BE" w:rsidRDefault="00B145BE" w:rsidP="00B145BE">
            <w:pPr>
              <w:spacing w:after="120" w:line="360" w:lineRule="auto"/>
              <w:jc w:val="center"/>
              <w:rPr>
                <w:rFonts w:cstheme="minorHAnsi"/>
                <w:sz w:val="20"/>
              </w:rPr>
            </w:pPr>
            <w:r>
              <w:rPr>
                <w:rFonts w:cstheme="minorHAnsi"/>
                <w:sz w:val="20"/>
              </w:rPr>
              <w:t>i IV    {13-1}&lt;-211&gt;</w:t>
            </w:r>
          </w:p>
        </w:tc>
        <w:tc>
          <w:tcPr>
            <w:tcW w:w="535" w:type="dxa"/>
            <w:tcBorders>
              <w:top w:val="nil"/>
              <w:left w:val="single" w:sz="4" w:space="0" w:color="auto"/>
              <w:bottom w:val="nil"/>
              <w:right w:val="single" w:sz="4" w:space="0" w:color="auto"/>
            </w:tcBorders>
          </w:tcPr>
          <w:p w14:paraId="0947569D" w14:textId="77777777" w:rsidR="00B145BE" w:rsidRDefault="00B145BE" w:rsidP="00B145BE">
            <w:pPr>
              <w:spacing w:after="120" w:line="360" w:lineRule="auto"/>
              <w:jc w:val="center"/>
              <w:rPr>
                <w:rFonts w:cstheme="minorHAnsi"/>
                <w:sz w:val="20"/>
              </w:rPr>
            </w:pPr>
            <w:r>
              <w:rPr>
                <w:rFonts w:cstheme="minorHAnsi"/>
                <w:sz w:val="20"/>
              </w:rPr>
              <w:t>2</w:t>
            </w:r>
          </w:p>
        </w:tc>
        <w:tc>
          <w:tcPr>
            <w:tcW w:w="1384" w:type="dxa"/>
            <w:tcBorders>
              <w:top w:val="nil"/>
              <w:left w:val="single" w:sz="4" w:space="0" w:color="auto"/>
              <w:bottom w:val="nil"/>
              <w:right w:val="single" w:sz="4" w:space="0" w:color="auto"/>
            </w:tcBorders>
          </w:tcPr>
          <w:p w14:paraId="10D28866" w14:textId="77777777" w:rsidR="00B145BE" w:rsidRPr="00F734BA" w:rsidRDefault="00B145BE" w:rsidP="00B145BE">
            <w:pPr>
              <w:spacing w:after="120" w:line="360" w:lineRule="auto"/>
              <w:jc w:val="center"/>
              <w:rPr>
                <w:rFonts w:asciiTheme="minorHAnsi" w:hAnsiTheme="minorHAnsi" w:cstheme="minorHAnsi"/>
                <w:sz w:val="20"/>
              </w:rPr>
            </w:pPr>
            <w:r w:rsidRPr="00F734BA">
              <w:rPr>
                <w:rFonts w:asciiTheme="minorHAnsi" w:hAnsiTheme="minorHAnsi" w:cstheme="minorHAnsi"/>
                <w:sz w:val="20"/>
              </w:rPr>
              <w:t>κ</w:t>
            </w:r>
          </w:p>
        </w:tc>
        <w:tc>
          <w:tcPr>
            <w:tcW w:w="1836" w:type="dxa"/>
            <w:tcBorders>
              <w:top w:val="nil"/>
              <w:left w:val="single" w:sz="4" w:space="0" w:color="auto"/>
              <w:bottom w:val="nil"/>
              <w:right w:val="single" w:sz="4" w:space="0" w:color="auto"/>
            </w:tcBorders>
          </w:tcPr>
          <w:p w14:paraId="77C76FD7" w14:textId="77777777" w:rsidR="00B145BE" w:rsidRDefault="00B145BE" w:rsidP="00B145BE">
            <w:pPr>
              <w:spacing w:after="120" w:line="360" w:lineRule="auto"/>
              <w:jc w:val="center"/>
              <w:rPr>
                <w:rFonts w:cstheme="minorHAnsi"/>
                <w:sz w:val="20"/>
              </w:rPr>
            </w:pPr>
            <w:r>
              <w:rPr>
                <w:rFonts w:cstheme="minorHAnsi"/>
                <w:sz w:val="20"/>
              </w:rPr>
              <w:t>IIb</w:t>
            </w:r>
          </w:p>
        </w:tc>
        <w:tc>
          <w:tcPr>
            <w:tcW w:w="3463" w:type="dxa"/>
            <w:tcBorders>
              <w:top w:val="nil"/>
              <w:left w:val="single" w:sz="4" w:space="0" w:color="auto"/>
              <w:bottom w:val="nil"/>
              <w:right w:val="nil"/>
            </w:tcBorders>
          </w:tcPr>
          <w:p w14:paraId="391A938D" w14:textId="77777777" w:rsidR="00B145BE" w:rsidRDefault="00B145BE" w:rsidP="00B145BE">
            <w:pPr>
              <w:spacing w:after="120" w:line="360" w:lineRule="auto"/>
              <w:jc w:val="center"/>
              <w:rPr>
                <w:rFonts w:cstheme="minorHAnsi"/>
                <w:sz w:val="20"/>
              </w:rPr>
            </w:pPr>
            <w:r>
              <w:rPr>
                <w:rFonts w:cstheme="minorHAnsi"/>
                <w:sz w:val="20"/>
              </w:rPr>
              <w:t>0.5</w:t>
            </w:r>
            <w:r w:rsidRPr="00536B62">
              <w:rPr>
                <w:rFonts w:asciiTheme="minorHAnsi" w:hAnsiTheme="minorHAnsi" w:cstheme="minorHAnsi"/>
                <w:b/>
                <w:bCs/>
                <w:sz w:val="20"/>
              </w:rPr>
              <w:t>σ</w:t>
            </w:r>
          </w:p>
        </w:tc>
      </w:tr>
      <w:tr w:rsidR="00B145BE" w14:paraId="446C0995" w14:textId="77777777" w:rsidTr="00FC2A71">
        <w:trPr>
          <w:trHeight w:hRule="exact" w:val="259"/>
        </w:trPr>
        <w:tc>
          <w:tcPr>
            <w:tcW w:w="1998" w:type="dxa"/>
            <w:tcBorders>
              <w:top w:val="nil"/>
              <w:left w:val="nil"/>
              <w:bottom w:val="nil"/>
              <w:right w:val="single" w:sz="4" w:space="0" w:color="auto"/>
            </w:tcBorders>
          </w:tcPr>
          <w:p w14:paraId="21BAA0BF" w14:textId="77777777" w:rsidR="00B145BE" w:rsidRDefault="00B145BE" w:rsidP="00B145BE">
            <w:pPr>
              <w:spacing w:after="120" w:line="360" w:lineRule="auto"/>
              <w:jc w:val="center"/>
              <w:rPr>
                <w:rFonts w:cstheme="minorHAnsi"/>
                <w:sz w:val="20"/>
              </w:rPr>
            </w:pPr>
            <w:r>
              <w:rPr>
                <w:rFonts w:cstheme="minorHAnsi"/>
                <w:sz w:val="20"/>
              </w:rPr>
              <w:t>ii I      {1-13}&lt;110&gt;</w:t>
            </w:r>
          </w:p>
        </w:tc>
        <w:tc>
          <w:tcPr>
            <w:tcW w:w="535" w:type="dxa"/>
            <w:tcBorders>
              <w:top w:val="nil"/>
              <w:left w:val="single" w:sz="4" w:space="0" w:color="auto"/>
              <w:bottom w:val="nil"/>
              <w:right w:val="single" w:sz="4" w:space="0" w:color="auto"/>
            </w:tcBorders>
          </w:tcPr>
          <w:p w14:paraId="0FB58C57" w14:textId="77777777" w:rsidR="00B145BE" w:rsidRDefault="00B145BE" w:rsidP="00B145BE">
            <w:pPr>
              <w:spacing w:after="120" w:line="360" w:lineRule="auto"/>
              <w:jc w:val="center"/>
              <w:rPr>
                <w:rFonts w:cstheme="minorHAnsi"/>
                <w:sz w:val="20"/>
              </w:rPr>
            </w:pPr>
            <w:r>
              <w:rPr>
                <w:rFonts w:cstheme="minorHAnsi"/>
                <w:sz w:val="20"/>
              </w:rPr>
              <w:t>4</w:t>
            </w:r>
          </w:p>
        </w:tc>
        <w:tc>
          <w:tcPr>
            <w:tcW w:w="1384" w:type="dxa"/>
            <w:tcBorders>
              <w:top w:val="nil"/>
              <w:left w:val="single" w:sz="4" w:space="0" w:color="auto"/>
              <w:bottom w:val="nil"/>
              <w:right w:val="single" w:sz="4" w:space="0" w:color="auto"/>
            </w:tcBorders>
          </w:tcPr>
          <w:p w14:paraId="42D5ADFD" w14:textId="77777777" w:rsidR="00B145BE" w:rsidRPr="00F734BA" w:rsidRDefault="00B145BE" w:rsidP="00B145BE">
            <w:pPr>
              <w:spacing w:after="120" w:line="360" w:lineRule="auto"/>
              <w:jc w:val="center"/>
              <w:rPr>
                <w:rFonts w:asciiTheme="minorHAnsi" w:hAnsiTheme="minorHAnsi" w:cstheme="minorHAnsi"/>
                <w:sz w:val="20"/>
              </w:rPr>
            </w:pPr>
            <w:r w:rsidRPr="00F734BA">
              <w:rPr>
                <w:rFonts w:asciiTheme="minorHAnsi" w:hAnsiTheme="minorHAnsi" w:cstheme="minorHAnsi"/>
                <w:sz w:val="20"/>
              </w:rPr>
              <w:t>λ</w:t>
            </w:r>
          </w:p>
        </w:tc>
        <w:tc>
          <w:tcPr>
            <w:tcW w:w="1836" w:type="dxa"/>
            <w:tcBorders>
              <w:top w:val="nil"/>
              <w:left w:val="single" w:sz="4" w:space="0" w:color="auto"/>
              <w:bottom w:val="nil"/>
              <w:right w:val="single" w:sz="4" w:space="0" w:color="auto"/>
            </w:tcBorders>
          </w:tcPr>
          <w:p w14:paraId="1A808839" w14:textId="77777777" w:rsidR="00B145BE" w:rsidRDefault="00B145BE" w:rsidP="00B145BE">
            <w:pPr>
              <w:spacing w:after="120" w:line="360" w:lineRule="auto"/>
              <w:jc w:val="center"/>
              <w:rPr>
                <w:rFonts w:cstheme="minorHAnsi"/>
                <w:sz w:val="20"/>
              </w:rPr>
            </w:pPr>
            <w:r>
              <w:rPr>
                <w:rFonts w:cstheme="minorHAnsi"/>
                <w:sz w:val="20"/>
              </w:rPr>
              <w:t>IIb-IIc</w:t>
            </w:r>
          </w:p>
        </w:tc>
        <w:tc>
          <w:tcPr>
            <w:tcW w:w="3463" w:type="dxa"/>
            <w:tcBorders>
              <w:top w:val="nil"/>
              <w:left w:val="single" w:sz="4" w:space="0" w:color="auto"/>
              <w:bottom w:val="nil"/>
              <w:right w:val="nil"/>
            </w:tcBorders>
          </w:tcPr>
          <w:p w14:paraId="4FF6A6DB" w14:textId="77777777" w:rsidR="00B145BE" w:rsidRPr="00536B62" w:rsidRDefault="00B145BE" w:rsidP="00B145BE">
            <w:pPr>
              <w:spacing w:after="120" w:line="360" w:lineRule="auto"/>
              <w:jc w:val="center"/>
              <w:rPr>
                <w:rFonts w:cstheme="minorHAnsi"/>
                <w:sz w:val="20"/>
                <w:vertAlign w:val="subscript"/>
              </w:rPr>
            </w:pPr>
            <w:r>
              <w:rPr>
                <w:rFonts w:cstheme="minorHAnsi"/>
                <w:sz w:val="20"/>
              </w:rPr>
              <w:t>3</w:t>
            </w:r>
            <m:oMath>
              <m:r>
                <w:rPr>
                  <w:rFonts w:ascii="Cambria Math" w:hAnsi="Cambria Math" w:cstheme="minorHAnsi"/>
                  <w:sz w:val="20"/>
                </w:rPr>
                <m:t>d</m:t>
              </m:r>
            </m:oMath>
            <w:r>
              <w:rPr>
                <w:rFonts w:cstheme="minorHAnsi"/>
                <w:sz w:val="20"/>
                <w:vertAlign w:val="subscript"/>
              </w:rPr>
              <w:t>01-1</w:t>
            </w:r>
            <w:r>
              <w:rPr>
                <w:rFonts w:cstheme="minorHAnsi"/>
                <w:sz w:val="20"/>
              </w:rPr>
              <w:t>(1-cos</w:t>
            </w:r>
            <w:r w:rsidRPr="00536B62">
              <w:rPr>
                <w:rFonts w:asciiTheme="minorHAnsi" w:hAnsiTheme="minorHAnsi" w:cstheme="minorHAnsi"/>
                <w:i/>
                <w:iCs/>
                <w:sz w:val="20"/>
              </w:rPr>
              <w:t>φ</w:t>
            </w:r>
            <w:r>
              <w:rPr>
                <w:rFonts w:cstheme="minorHAnsi"/>
                <w:sz w:val="20"/>
                <w:vertAlign w:val="subscript"/>
              </w:rPr>
              <w:t>(1-13)~(111)</w:t>
            </w:r>
            <w:r>
              <w:rPr>
                <w:rFonts w:cstheme="minorHAnsi"/>
                <w:sz w:val="20"/>
              </w:rPr>
              <w:t>)/2-</w:t>
            </w:r>
            <m:oMath>
              <m:d>
                <m:dPr>
                  <m:begChr m:val="|"/>
                  <m:endChr m:val="|"/>
                  <m:ctrlPr>
                    <w:rPr>
                      <w:rFonts w:ascii="Cambria Math" w:hAnsi="Cambria Math" w:cstheme="minorHAnsi"/>
                      <w:i/>
                      <w:sz w:val="20"/>
                    </w:rPr>
                  </m:ctrlPr>
                </m:dPr>
                <m:e>
                  <m:sSub>
                    <m:sSubPr>
                      <m:ctrlPr>
                        <w:rPr>
                          <w:rFonts w:ascii="Cambria Math" w:hAnsi="Cambria Math" w:cstheme="minorHAnsi"/>
                          <w:i/>
                          <w:sz w:val="20"/>
                        </w:rPr>
                      </m:ctrlPr>
                    </m:sSubPr>
                    <m:e>
                      <m:r>
                        <w:rPr>
                          <w:rFonts w:ascii="Cambria Math" w:hAnsi="Cambria Math" w:cstheme="minorHAnsi"/>
                          <w:sz w:val="20"/>
                        </w:rPr>
                        <m:t>l</m:t>
                      </m:r>
                    </m:e>
                    <m:sub>
                      <m:r>
                        <w:rPr>
                          <w:rFonts w:ascii="Cambria Math" w:hAnsi="Cambria Math" w:cstheme="minorHAnsi"/>
                          <w:sz w:val="20"/>
                        </w:rPr>
                        <m:t>&lt;110&gt;</m:t>
                      </m:r>
                    </m:sub>
                  </m:sSub>
                </m:e>
              </m:d>
            </m:oMath>
            <w:r>
              <w:rPr>
                <w:rFonts w:cstheme="minorHAnsi"/>
                <w:sz w:val="20"/>
              </w:rPr>
              <w:t>/4</w:t>
            </w:r>
          </w:p>
        </w:tc>
      </w:tr>
      <w:tr w:rsidR="00B145BE" w14:paraId="4BCDB4D9" w14:textId="77777777" w:rsidTr="00FC2A71">
        <w:trPr>
          <w:trHeight w:hRule="exact" w:val="259"/>
        </w:trPr>
        <w:tc>
          <w:tcPr>
            <w:tcW w:w="1998" w:type="dxa"/>
            <w:tcBorders>
              <w:top w:val="nil"/>
              <w:left w:val="nil"/>
              <w:bottom w:val="nil"/>
              <w:right w:val="single" w:sz="4" w:space="0" w:color="auto"/>
            </w:tcBorders>
          </w:tcPr>
          <w:p w14:paraId="7FB873CA" w14:textId="77777777" w:rsidR="00B145BE" w:rsidRDefault="00B145BE" w:rsidP="00B145BE">
            <w:pPr>
              <w:spacing w:after="120" w:line="360" w:lineRule="auto"/>
              <w:jc w:val="center"/>
              <w:rPr>
                <w:rFonts w:cstheme="minorHAnsi"/>
                <w:sz w:val="20"/>
              </w:rPr>
            </w:pPr>
            <w:r>
              <w:rPr>
                <w:rFonts w:cstheme="minorHAnsi"/>
                <w:sz w:val="20"/>
              </w:rPr>
              <w:t>ii II     {351}&lt;1-12&gt;</w:t>
            </w:r>
          </w:p>
        </w:tc>
        <w:tc>
          <w:tcPr>
            <w:tcW w:w="535" w:type="dxa"/>
            <w:tcBorders>
              <w:top w:val="nil"/>
              <w:left w:val="single" w:sz="4" w:space="0" w:color="auto"/>
              <w:bottom w:val="nil"/>
              <w:right w:val="single" w:sz="4" w:space="0" w:color="auto"/>
            </w:tcBorders>
          </w:tcPr>
          <w:p w14:paraId="623F0457" w14:textId="77777777" w:rsidR="00B145BE" w:rsidRDefault="00B145BE" w:rsidP="00B145BE">
            <w:pPr>
              <w:spacing w:after="120" w:line="360" w:lineRule="auto"/>
              <w:jc w:val="center"/>
              <w:rPr>
                <w:rFonts w:cstheme="minorHAnsi"/>
                <w:sz w:val="20"/>
              </w:rPr>
            </w:pPr>
            <w:r>
              <w:rPr>
                <w:rFonts w:cstheme="minorHAnsi"/>
                <w:sz w:val="20"/>
              </w:rPr>
              <w:t>4</w:t>
            </w:r>
          </w:p>
        </w:tc>
        <w:tc>
          <w:tcPr>
            <w:tcW w:w="1384" w:type="dxa"/>
            <w:tcBorders>
              <w:top w:val="nil"/>
              <w:left w:val="single" w:sz="4" w:space="0" w:color="auto"/>
              <w:bottom w:val="nil"/>
              <w:right w:val="single" w:sz="4" w:space="0" w:color="auto"/>
            </w:tcBorders>
          </w:tcPr>
          <w:p w14:paraId="26967677" w14:textId="77777777" w:rsidR="00B145BE" w:rsidRPr="00F734BA" w:rsidRDefault="00B145BE" w:rsidP="00B145BE">
            <w:pPr>
              <w:spacing w:after="120" w:line="360" w:lineRule="auto"/>
              <w:jc w:val="center"/>
              <w:rPr>
                <w:rFonts w:asciiTheme="minorHAnsi" w:hAnsiTheme="minorHAnsi" w:cstheme="minorHAnsi"/>
                <w:sz w:val="20"/>
              </w:rPr>
            </w:pPr>
            <w:r w:rsidRPr="00F734BA">
              <w:rPr>
                <w:rFonts w:asciiTheme="minorHAnsi" w:hAnsiTheme="minorHAnsi" w:cstheme="minorHAnsi"/>
                <w:sz w:val="20"/>
              </w:rPr>
              <w:t>λ</w:t>
            </w:r>
          </w:p>
        </w:tc>
        <w:tc>
          <w:tcPr>
            <w:tcW w:w="1836" w:type="dxa"/>
            <w:tcBorders>
              <w:top w:val="nil"/>
              <w:left w:val="single" w:sz="4" w:space="0" w:color="auto"/>
              <w:bottom w:val="nil"/>
              <w:right w:val="single" w:sz="4" w:space="0" w:color="auto"/>
            </w:tcBorders>
          </w:tcPr>
          <w:p w14:paraId="754B8C8B" w14:textId="77777777" w:rsidR="00B145BE" w:rsidRDefault="00B145BE" w:rsidP="00B145BE">
            <w:pPr>
              <w:spacing w:after="120" w:line="360" w:lineRule="auto"/>
              <w:jc w:val="center"/>
              <w:rPr>
                <w:rFonts w:cstheme="minorHAnsi"/>
                <w:sz w:val="20"/>
              </w:rPr>
            </w:pPr>
            <w:r>
              <w:rPr>
                <w:rFonts w:cstheme="minorHAnsi"/>
                <w:sz w:val="20"/>
              </w:rPr>
              <w:t>IIb-IIc</w:t>
            </w:r>
          </w:p>
        </w:tc>
        <w:tc>
          <w:tcPr>
            <w:tcW w:w="3463" w:type="dxa"/>
            <w:tcBorders>
              <w:top w:val="nil"/>
              <w:left w:val="single" w:sz="4" w:space="0" w:color="auto"/>
              <w:bottom w:val="nil"/>
              <w:right w:val="nil"/>
            </w:tcBorders>
          </w:tcPr>
          <w:p w14:paraId="6E5B9E1D" w14:textId="77777777" w:rsidR="00B145BE" w:rsidRDefault="00077961" w:rsidP="00B145BE">
            <w:pPr>
              <w:spacing w:after="120" w:line="360" w:lineRule="auto"/>
              <w:jc w:val="center"/>
              <w:rPr>
                <w:rFonts w:cstheme="minorHAnsi"/>
                <w:sz w:val="20"/>
              </w:rPr>
            </w:pPr>
            <m:oMath>
              <m:d>
                <m:dPr>
                  <m:begChr m:val="|"/>
                  <m:endChr m:val="|"/>
                  <m:ctrlPr>
                    <w:rPr>
                      <w:rFonts w:ascii="Cambria Math" w:hAnsi="Cambria Math" w:cstheme="minorHAnsi"/>
                      <w:i/>
                      <w:sz w:val="20"/>
                    </w:rPr>
                  </m:ctrlPr>
                </m:dPr>
                <m:e>
                  <m:sSub>
                    <m:sSubPr>
                      <m:ctrlPr>
                        <w:rPr>
                          <w:rFonts w:ascii="Cambria Math" w:hAnsi="Cambria Math" w:cstheme="minorHAnsi"/>
                          <w:i/>
                          <w:sz w:val="20"/>
                        </w:rPr>
                      </m:ctrlPr>
                    </m:sSubPr>
                    <m:e>
                      <m:r>
                        <w:rPr>
                          <w:rFonts w:ascii="Cambria Math" w:hAnsi="Cambria Math" w:cstheme="minorHAnsi"/>
                          <w:sz w:val="20"/>
                        </w:rPr>
                        <m:t>l</m:t>
                      </m:r>
                    </m:e>
                    <m:sub>
                      <m:r>
                        <w:rPr>
                          <w:rFonts w:ascii="Cambria Math" w:hAnsi="Cambria Math" w:cstheme="minorHAnsi"/>
                          <w:sz w:val="20"/>
                        </w:rPr>
                        <m:t>&lt;112&gt;</m:t>
                      </m:r>
                    </m:sub>
                  </m:sSub>
                </m:e>
              </m:d>
            </m:oMath>
            <w:r w:rsidR="00B145BE">
              <w:rPr>
                <w:rFonts w:cstheme="minorHAnsi"/>
                <w:sz w:val="20"/>
              </w:rPr>
              <w:t>/4-3</w:t>
            </w:r>
            <m:oMath>
              <m:r>
                <w:rPr>
                  <w:rFonts w:ascii="Cambria Math" w:hAnsi="Cambria Math" w:cstheme="minorHAnsi"/>
                  <w:sz w:val="20"/>
                </w:rPr>
                <m:t>d</m:t>
              </m:r>
            </m:oMath>
            <w:r w:rsidR="00B145BE">
              <w:rPr>
                <w:rFonts w:cstheme="minorHAnsi"/>
                <w:sz w:val="20"/>
                <w:vertAlign w:val="subscript"/>
              </w:rPr>
              <w:t>01-1</w:t>
            </w:r>
            <w:r w:rsidR="00B145BE">
              <w:rPr>
                <w:rFonts w:cstheme="minorHAnsi"/>
                <w:sz w:val="20"/>
              </w:rPr>
              <w:t>(1-cos</w:t>
            </w:r>
            <w:r w:rsidR="00B145BE" w:rsidRPr="00536B62">
              <w:rPr>
                <w:rFonts w:asciiTheme="minorHAnsi" w:hAnsiTheme="minorHAnsi" w:cstheme="minorHAnsi"/>
                <w:i/>
                <w:iCs/>
                <w:sz w:val="20"/>
              </w:rPr>
              <w:t>φ</w:t>
            </w:r>
            <w:r w:rsidR="00B145BE">
              <w:rPr>
                <w:rFonts w:cstheme="minorHAnsi"/>
                <w:sz w:val="20"/>
                <w:vertAlign w:val="subscript"/>
              </w:rPr>
              <w:t>(351)~(111)</w:t>
            </w:r>
            <w:r w:rsidR="00B145BE">
              <w:rPr>
                <w:rFonts w:cstheme="minorHAnsi"/>
                <w:sz w:val="20"/>
              </w:rPr>
              <w:t>)/2</w:t>
            </w:r>
          </w:p>
        </w:tc>
      </w:tr>
      <w:tr w:rsidR="00B145BE" w14:paraId="43C86739" w14:textId="77777777" w:rsidTr="00FC2A71">
        <w:trPr>
          <w:trHeight w:hRule="exact" w:val="259"/>
        </w:trPr>
        <w:tc>
          <w:tcPr>
            <w:tcW w:w="1998" w:type="dxa"/>
            <w:tcBorders>
              <w:top w:val="nil"/>
              <w:left w:val="nil"/>
              <w:right w:val="single" w:sz="4" w:space="0" w:color="auto"/>
            </w:tcBorders>
          </w:tcPr>
          <w:p w14:paraId="2D9FBB7B" w14:textId="77777777" w:rsidR="00B145BE" w:rsidRDefault="00B145BE" w:rsidP="00B145BE">
            <w:pPr>
              <w:spacing w:after="120" w:line="360" w:lineRule="auto"/>
              <w:jc w:val="center"/>
              <w:rPr>
                <w:rFonts w:cstheme="minorHAnsi"/>
                <w:sz w:val="20"/>
              </w:rPr>
            </w:pPr>
            <w:r>
              <w:rPr>
                <w:rFonts w:cstheme="minorHAnsi"/>
                <w:sz w:val="20"/>
              </w:rPr>
              <w:t>ii IV    {13-1}&lt;101&gt;</w:t>
            </w:r>
          </w:p>
        </w:tc>
        <w:tc>
          <w:tcPr>
            <w:tcW w:w="535" w:type="dxa"/>
            <w:tcBorders>
              <w:top w:val="nil"/>
              <w:left w:val="single" w:sz="4" w:space="0" w:color="auto"/>
              <w:bottom w:val="single" w:sz="4" w:space="0" w:color="auto"/>
              <w:right w:val="single" w:sz="4" w:space="0" w:color="auto"/>
            </w:tcBorders>
          </w:tcPr>
          <w:p w14:paraId="63E81E92" w14:textId="77777777" w:rsidR="00B145BE" w:rsidRDefault="00B145BE" w:rsidP="00B145BE">
            <w:pPr>
              <w:spacing w:after="120" w:line="360" w:lineRule="auto"/>
              <w:jc w:val="center"/>
              <w:rPr>
                <w:rFonts w:cstheme="minorHAnsi"/>
                <w:sz w:val="20"/>
              </w:rPr>
            </w:pPr>
            <w:r>
              <w:rPr>
                <w:rFonts w:cstheme="minorHAnsi"/>
                <w:sz w:val="20"/>
              </w:rPr>
              <w:t>2</w:t>
            </w:r>
          </w:p>
        </w:tc>
        <w:tc>
          <w:tcPr>
            <w:tcW w:w="1384" w:type="dxa"/>
            <w:tcBorders>
              <w:top w:val="nil"/>
              <w:left w:val="single" w:sz="4" w:space="0" w:color="auto"/>
              <w:right w:val="single" w:sz="4" w:space="0" w:color="auto"/>
            </w:tcBorders>
          </w:tcPr>
          <w:p w14:paraId="5AE9AC6A" w14:textId="77777777" w:rsidR="00B145BE" w:rsidRPr="00F734BA" w:rsidRDefault="00B145BE" w:rsidP="00B145BE">
            <w:pPr>
              <w:spacing w:after="120" w:line="360" w:lineRule="auto"/>
              <w:jc w:val="center"/>
              <w:rPr>
                <w:rFonts w:asciiTheme="minorHAnsi" w:hAnsiTheme="minorHAnsi" w:cstheme="minorHAnsi"/>
                <w:sz w:val="20"/>
              </w:rPr>
            </w:pPr>
            <w:r w:rsidRPr="00F734BA">
              <w:rPr>
                <w:rFonts w:asciiTheme="minorHAnsi" w:hAnsiTheme="minorHAnsi" w:cstheme="minorHAnsi"/>
                <w:sz w:val="20"/>
              </w:rPr>
              <w:t>κ</w:t>
            </w:r>
          </w:p>
        </w:tc>
        <w:tc>
          <w:tcPr>
            <w:tcW w:w="1836" w:type="dxa"/>
            <w:tcBorders>
              <w:top w:val="nil"/>
              <w:left w:val="single" w:sz="4" w:space="0" w:color="auto"/>
              <w:right w:val="single" w:sz="4" w:space="0" w:color="auto"/>
            </w:tcBorders>
          </w:tcPr>
          <w:p w14:paraId="5188557E" w14:textId="77777777" w:rsidR="00B145BE" w:rsidRDefault="00B145BE" w:rsidP="00B145BE">
            <w:pPr>
              <w:spacing w:after="120" w:line="360" w:lineRule="auto"/>
              <w:jc w:val="center"/>
              <w:rPr>
                <w:rFonts w:cstheme="minorHAnsi"/>
                <w:sz w:val="20"/>
              </w:rPr>
            </w:pPr>
            <w:r>
              <w:rPr>
                <w:rFonts w:cstheme="minorHAnsi"/>
                <w:sz w:val="20"/>
              </w:rPr>
              <w:t>Ia</w:t>
            </w:r>
          </w:p>
        </w:tc>
        <w:tc>
          <w:tcPr>
            <w:tcW w:w="3463" w:type="dxa"/>
            <w:tcBorders>
              <w:top w:val="nil"/>
              <w:left w:val="single" w:sz="4" w:space="0" w:color="auto"/>
              <w:right w:val="nil"/>
            </w:tcBorders>
          </w:tcPr>
          <w:p w14:paraId="7644ADB1" w14:textId="77777777" w:rsidR="00B145BE" w:rsidRDefault="00B145BE" w:rsidP="00B145BE">
            <w:pPr>
              <w:spacing w:after="120" w:line="360" w:lineRule="auto"/>
              <w:jc w:val="center"/>
              <w:rPr>
                <w:rFonts w:cstheme="minorHAnsi"/>
                <w:sz w:val="20"/>
              </w:rPr>
            </w:pPr>
            <w:r>
              <w:rPr>
                <w:rFonts w:cstheme="minorHAnsi"/>
                <w:sz w:val="20"/>
              </w:rPr>
              <w:t>0.86</w:t>
            </w:r>
            <w:r w:rsidRPr="00536B62">
              <w:rPr>
                <w:rFonts w:asciiTheme="minorHAnsi" w:hAnsiTheme="minorHAnsi" w:cstheme="minorHAnsi"/>
                <w:b/>
                <w:bCs/>
                <w:sz w:val="20"/>
              </w:rPr>
              <w:t xml:space="preserve"> σ</w:t>
            </w:r>
          </w:p>
        </w:tc>
      </w:tr>
    </w:tbl>
    <w:p w14:paraId="7A2CBC5C" w14:textId="77777777" w:rsidR="00B145BE" w:rsidRDefault="00B145BE" w:rsidP="00B145BE">
      <w:pPr>
        <w:keepNext/>
        <w:spacing w:after="120" w:line="360" w:lineRule="auto"/>
      </w:pPr>
    </w:p>
    <w:p w14:paraId="214320A4" w14:textId="77777777" w:rsidR="00B145BE" w:rsidRPr="00B67DE4" w:rsidRDefault="00B145BE" w:rsidP="00B145BE">
      <w:pPr>
        <w:pStyle w:val="2"/>
        <w:spacing w:before="0" w:after="120" w:line="360" w:lineRule="auto"/>
        <w:rPr>
          <w:rFonts w:asciiTheme="minorHAnsi" w:hAnsiTheme="minorHAnsi"/>
          <w:b/>
          <w:color w:val="auto"/>
          <w:sz w:val="40"/>
        </w:rPr>
      </w:pPr>
      <w:bookmarkStart w:id="305" w:name="_Toc22052549"/>
      <w:bookmarkStart w:id="306" w:name="_Hlk810203"/>
      <w:r w:rsidRPr="00B67DE4">
        <w:rPr>
          <w:rFonts w:asciiTheme="minorHAnsi" w:hAnsiTheme="minorHAnsi"/>
          <w:b/>
          <w:color w:val="auto"/>
          <w:sz w:val="32"/>
          <w:lang w:bidi="hi-IN"/>
        </w:rPr>
        <w:t>6.4 Discussion and conclusion</w:t>
      </w:r>
      <w:r>
        <w:rPr>
          <w:rFonts w:asciiTheme="minorHAnsi" w:hAnsiTheme="minorHAnsi"/>
          <w:b/>
          <w:color w:val="auto"/>
          <w:sz w:val="32"/>
          <w:lang w:bidi="hi-IN"/>
        </w:rPr>
        <w:t>s</w:t>
      </w:r>
      <w:bookmarkEnd w:id="305"/>
    </w:p>
    <w:bookmarkEnd w:id="306"/>
    <w:p w14:paraId="2747F9F0" w14:textId="77777777" w:rsidR="00B145BE" w:rsidRPr="006E5260" w:rsidRDefault="00B145BE" w:rsidP="00B145BE">
      <w:pPr>
        <w:pStyle w:val="af4"/>
        <w:shd w:val="clear" w:color="auto" w:fill="FFFFFF"/>
        <w:spacing w:before="0" w:beforeAutospacing="0" w:after="120" w:afterAutospacing="0" w:line="360" w:lineRule="auto"/>
        <w:jc w:val="both"/>
        <w:rPr>
          <w:rFonts w:asciiTheme="minorHAnsi" w:eastAsiaTheme="minorEastAsia" w:hAnsiTheme="minorHAnsi" w:cstheme="minorHAnsi"/>
          <w:sz w:val="22"/>
          <w:szCs w:val="22"/>
          <w:lang w:val="en-GB"/>
        </w:rPr>
      </w:pPr>
      <w:r w:rsidRPr="006E5260">
        <w:rPr>
          <w:rFonts w:asciiTheme="minorHAnsi" w:eastAsiaTheme="minorEastAsia" w:hAnsiTheme="minorHAnsi" w:cstheme="minorHAnsi"/>
          <w:sz w:val="22"/>
          <w:szCs w:val="22"/>
          <w:lang w:val="en-GB"/>
        </w:rPr>
        <w:t xml:space="preserve">The </w:t>
      </w:r>
      <w:r w:rsidRPr="006E5260">
        <w:rPr>
          <w:rFonts w:asciiTheme="minorHAnsi" w:eastAsiaTheme="minorEastAsia" w:hAnsiTheme="minorHAnsi" w:cstheme="minorHAnsi"/>
          <w:noProof/>
          <w:sz w:val="22"/>
          <w:szCs w:val="22"/>
          <w:lang w:val="en-GB"/>
        </w:rPr>
        <w:t>infinitesimal</w:t>
      </w:r>
      <w:r w:rsidRPr="006E5260">
        <w:rPr>
          <w:rFonts w:asciiTheme="minorHAnsi" w:eastAsiaTheme="minorEastAsia" w:hAnsiTheme="minorHAnsi" w:cstheme="minorHAnsi"/>
          <w:sz w:val="22"/>
          <w:szCs w:val="22"/>
          <w:lang w:val="en-GB"/>
        </w:rPr>
        <w:t xml:space="preserve"> deformation approach (IDA)</w:t>
      </w:r>
      <w:r w:rsidRPr="006E5260">
        <w:rPr>
          <w:rFonts w:asciiTheme="minorHAnsi" w:eastAsiaTheme="minorEastAsia" w:hAnsiTheme="minorHAnsi" w:cstheme="minorHAnsi"/>
          <w:sz w:val="22"/>
          <w:szCs w:val="22"/>
          <w:lang w:val="en-GB"/>
        </w:rPr>
        <w:fldChar w:fldCharType="begin" w:fldLock="1"/>
      </w:r>
      <w:r>
        <w:rPr>
          <w:rFonts w:asciiTheme="minorHAnsi" w:eastAsiaTheme="minorEastAsia" w:hAnsiTheme="minorHAnsi" w:cstheme="minorHAnsi"/>
          <w:sz w:val="22"/>
          <w:szCs w:val="22"/>
          <w:lang w:val="en-GB"/>
        </w:rPr>
        <w:instrText>ADDIN CSL_CITATION {"citationItems":[{"id":"ITEM-1","itemData":{"DOI":"10.1080/14786430601003874","ISBN":"1478-6435","ISSN":"14786435","abstract":"11q","author":[{"dropping-particle":"","family":"Inamura","given":"T.","non-dropping-particle":"","parse-names":false,"suffix":""},{"dropping-particle":"","family":"Kim","given":"J. I.","non-dropping-particle":"","parse-names":false,"suffix":""},{"dropping-particle":"","family":"Kim","given":"H. Y.","non-dropping-particle":"","parse-names":false,"suffix":""},{"dropping-particle":"","family":"Hosoda","given":"H.","non-dropping-particle":"","parse-names":false,"suffix":""},{"dropping-particle":"","family":"Wakashima","given":"K.","non-dropping-particle":"","parse-names":false,"suffix":""},{"dropping-particle":"",</w:instrText>
      </w:r>
      <w:r>
        <w:rPr>
          <w:rFonts w:asciiTheme="minorHAnsi" w:eastAsiaTheme="minorEastAsia" w:hAnsiTheme="minorHAnsi" w:cstheme="minorHAnsi" w:hint="eastAsia"/>
          <w:sz w:val="22"/>
          <w:szCs w:val="22"/>
          <w:lang w:val="en-GB"/>
        </w:rPr>
        <w:instrText xml:space="preserve">"family":"Miyazaki","given":"S.","non-dropping-particle":"","parse-names":false,"suffix":""}],"container-title":"Philosophical Magazine","id":"ITEM-1","issued":{"date-parts":[["2007"]]},"title":"Composition dependent crystallography of </w:instrText>
      </w:r>
      <w:r>
        <w:rPr>
          <w:rFonts w:asciiTheme="minorHAnsi" w:eastAsiaTheme="minorEastAsia" w:hAnsiTheme="minorHAnsi" w:cstheme="minorHAnsi" w:hint="eastAsia"/>
          <w:sz w:val="22"/>
          <w:szCs w:val="22"/>
          <w:lang w:val="en-GB"/>
        </w:rPr>
        <w:instrText>α″</w:instrText>
      </w:r>
      <w:r>
        <w:rPr>
          <w:rFonts w:asciiTheme="minorHAnsi" w:eastAsiaTheme="minorEastAsia" w:hAnsiTheme="minorHAnsi" w:cstheme="minorHAnsi" w:hint="eastAsia"/>
          <w:sz w:val="22"/>
          <w:szCs w:val="22"/>
          <w:lang w:val="en-GB"/>
        </w:rPr>
        <w:instrText>-martensite in Ti</w:instrText>
      </w:r>
      <w:r>
        <w:rPr>
          <w:rFonts w:asciiTheme="minorHAnsi" w:eastAsiaTheme="minorEastAsia" w:hAnsiTheme="minorHAnsi" w:cstheme="minorHAnsi"/>
          <w:sz w:val="22"/>
          <w:szCs w:val="22"/>
          <w:lang w:val="en-GB"/>
        </w:rPr>
        <w:instrText>-Nb-based β-titanium alloy","type":"article-journal"},"uris":["http://www.mendeley.com/documents/?uuid=26904a4b-d6c6-4c17-b6da-29a902ada479"]}],"mendeley":{"formattedCitation":"[12]","plainTextFormattedCitation":"[12]","previouslyFormattedCitation":"[14]"},"properties":{"noteIndex":0},"schema":"https://github.com/citation-style-language/schema/raw/master/csl-citation.json"}</w:instrText>
      </w:r>
      <w:r w:rsidRPr="006E5260">
        <w:rPr>
          <w:rFonts w:asciiTheme="minorHAnsi" w:eastAsiaTheme="minorEastAsia" w:hAnsiTheme="minorHAnsi" w:cstheme="minorHAnsi"/>
          <w:sz w:val="22"/>
          <w:szCs w:val="22"/>
          <w:lang w:val="en-GB"/>
        </w:rPr>
        <w:fldChar w:fldCharType="separate"/>
      </w:r>
      <w:r w:rsidRPr="008F7036">
        <w:rPr>
          <w:rFonts w:asciiTheme="minorHAnsi" w:eastAsiaTheme="minorEastAsia" w:hAnsiTheme="minorHAnsi" w:cstheme="minorHAnsi"/>
          <w:noProof/>
          <w:sz w:val="22"/>
          <w:szCs w:val="22"/>
          <w:lang w:val="en-GB"/>
        </w:rPr>
        <w:t>[12]</w:t>
      </w:r>
      <w:r w:rsidRPr="006E5260">
        <w:rPr>
          <w:rFonts w:asciiTheme="minorHAnsi" w:eastAsiaTheme="minorEastAsia" w:hAnsiTheme="minorHAnsi" w:cstheme="minorHAnsi"/>
          <w:sz w:val="22"/>
          <w:szCs w:val="22"/>
          <w:lang w:val="en-GB"/>
        </w:rPr>
        <w:fldChar w:fldCharType="end"/>
      </w:r>
      <w:r w:rsidRPr="006E5260">
        <w:rPr>
          <w:rFonts w:asciiTheme="minorHAnsi" w:eastAsiaTheme="minorEastAsia" w:hAnsiTheme="minorHAnsi" w:cstheme="minorHAnsi"/>
          <w:sz w:val="22"/>
          <w:szCs w:val="22"/>
          <w:lang w:val="en-GB"/>
        </w:rPr>
        <w:t xml:space="preserve"> was applied to calculate possible SA twinning modes</w:t>
      </w:r>
      <w:r>
        <w:rPr>
          <w:rFonts w:asciiTheme="minorHAnsi" w:eastAsiaTheme="minorEastAsia" w:hAnsiTheme="minorHAnsi" w:cstheme="minorHAnsi"/>
          <w:sz w:val="22"/>
          <w:szCs w:val="22"/>
          <w:lang w:val="en-GB"/>
        </w:rPr>
        <w:t>,</w:t>
      </w:r>
      <w:r w:rsidRPr="006E5260">
        <w:rPr>
          <w:rFonts w:asciiTheme="minorHAnsi" w:eastAsiaTheme="minorEastAsia" w:hAnsiTheme="minorHAnsi" w:cstheme="minorHAnsi"/>
          <w:sz w:val="22"/>
          <w:szCs w:val="22"/>
          <w:lang w:val="en-GB"/>
        </w:rPr>
        <w:t xml:space="preserve"> </w:t>
      </w:r>
      <w:r>
        <w:rPr>
          <w:rFonts w:asciiTheme="minorHAnsi" w:eastAsiaTheme="minorEastAsia" w:hAnsiTheme="minorHAnsi" w:cstheme="minorHAnsi"/>
          <w:sz w:val="22"/>
          <w:szCs w:val="22"/>
          <w:lang w:val="en-GB"/>
        </w:rPr>
        <w:t>for</w:t>
      </w:r>
      <w:r w:rsidRPr="006E5260">
        <w:rPr>
          <w:rFonts w:asciiTheme="minorHAnsi" w:eastAsiaTheme="minorEastAsia" w:hAnsiTheme="minorHAnsi" w:cstheme="minorHAnsi"/>
          <w:sz w:val="22"/>
          <w:szCs w:val="22"/>
          <w:lang w:val="en-GB"/>
        </w:rPr>
        <w:t xml:space="preserve"> six α’’ lattice correspondence variants</w:t>
      </w:r>
      <w:r>
        <w:rPr>
          <w:rFonts w:asciiTheme="minorHAnsi" w:eastAsiaTheme="minorEastAsia" w:hAnsiTheme="minorHAnsi" w:cstheme="minorHAnsi"/>
          <w:sz w:val="22"/>
          <w:szCs w:val="22"/>
          <w:lang w:val="en-GB"/>
        </w:rPr>
        <w:t>, in order</w:t>
      </w:r>
      <w:r w:rsidRPr="006E5260">
        <w:rPr>
          <w:rFonts w:asciiTheme="minorHAnsi" w:eastAsiaTheme="minorEastAsia" w:hAnsiTheme="minorHAnsi" w:cstheme="minorHAnsi"/>
          <w:sz w:val="22"/>
          <w:szCs w:val="22"/>
          <w:lang w:val="en-GB"/>
        </w:rPr>
        <w:t xml:space="preserve"> to map out the potential mechanical twinning modes. In the current work, the base </w:t>
      </w:r>
      <w:r w:rsidRPr="006E5260">
        <w:rPr>
          <w:rFonts w:asciiTheme="minorHAnsi" w:eastAsiaTheme="minorEastAsia" w:hAnsiTheme="minorHAnsi" w:cstheme="minorHAnsi"/>
          <w:noProof/>
          <w:sz w:val="22"/>
          <w:szCs w:val="22"/>
          <w:lang w:val="en-GB"/>
        </w:rPr>
        <w:t>centred</w:t>
      </w:r>
      <w:r w:rsidRPr="006E5260">
        <w:rPr>
          <w:rFonts w:asciiTheme="minorHAnsi" w:eastAsiaTheme="minorEastAsia" w:hAnsiTheme="minorHAnsi" w:cstheme="minorHAnsi"/>
          <w:sz w:val="22"/>
          <w:szCs w:val="22"/>
          <w:lang w:val="en-GB"/>
        </w:rPr>
        <w:t xml:space="preserve"> tetragonal structure </w:t>
      </w:r>
      <w:r w:rsidRPr="006E5260">
        <w:rPr>
          <w:rFonts w:asciiTheme="minorHAnsi" w:eastAsiaTheme="minorEastAsia" w:hAnsiTheme="minorHAnsi" w:cstheme="minorHAnsi"/>
          <w:noProof/>
          <w:sz w:val="22"/>
          <w:szCs w:val="22"/>
          <w:lang w:val="en-GB"/>
        </w:rPr>
        <w:t>was used</w:t>
      </w:r>
      <w:r w:rsidRPr="006E5260">
        <w:rPr>
          <w:rFonts w:asciiTheme="minorHAnsi" w:eastAsiaTheme="minorEastAsia" w:hAnsiTheme="minorHAnsi" w:cstheme="minorHAnsi"/>
          <w:sz w:val="22"/>
          <w:szCs w:val="22"/>
          <w:lang w:val="en-GB"/>
        </w:rPr>
        <w:t xml:space="preserve"> to represent the un-transformed orthorhombic martensite lattice. Th</w:t>
      </w:r>
      <w:r>
        <w:rPr>
          <w:rFonts w:asciiTheme="minorHAnsi" w:eastAsiaTheme="minorEastAsia" w:hAnsiTheme="minorHAnsi" w:cstheme="minorHAnsi"/>
          <w:sz w:val="22"/>
          <w:szCs w:val="22"/>
          <w:lang w:val="en-GB"/>
        </w:rPr>
        <w:t>is</w:t>
      </w:r>
      <w:r w:rsidRPr="006E5260">
        <w:rPr>
          <w:rFonts w:asciiTheme="minorHAnsi" w:eastAsiaTheme="minorEastAsia" w:hAnsiTheme="minorHAnsi" w:cstheme="minorHAnsi"/>
          <w:sz w:val="22"/>
          <w:szCs w:val="22"/>
          <w:lang w:val="en-GB"/>
        </w:rPr>
        <w:t xml:space="preserve"> structure was </w:t>
      </w:r>
      <w:r>
        <w:rPr>
          <w:rFonts w:asciiTheme="minorHAnsi" w:eastAsiaTheme="minorEastAsia" w:hAnsiTheme="minorHAnsi" w:cstheme="minorHAnsi"/>
          <w:sz w:val="22"/>
          <w:szCs w:val="22"/>
          <w:lang w:val="en-GB"/>
        </w:rPr>
        <w:t>utilised</w:t>
      </w:r>
      <w:r w:rsidRPr="006E5260">
        <w:rPr>
          <w:rFonts w:asciiTheme="minorHAnsi" w:eastAsiaTheme="minorEastAsia" w:hAnsiTheme="minorHAnsi" w:cstheme="minorHAnsi"/>
          <w:sz w:val="22"/>
          <w:szCs w:val="22"/>
          <w:lang w:val="en-GB"/>
        </w:rPr>
        <w:t xml:space="preserve"> to calculate the compensation of the orthorhombic α″ martensite transformation</w:t>
      </w:r>
      <w:r>
        <w:rPr>
          <w:rFonts w:asciiTheme="minorHAnsi" w:eastAsiaTheme="minorEastAsia" w:hAnsiTheme="minorHAnsi" w:cstheme="minorHAnsi"/>
          <w:sz w:val="22"/>
          <w:szCs w:val="22"/>
          <w:lang w:val="en-GB"/>
        </w:rPr>
        <w:t>-</w:t>
      </w:r>
      <w:r w:rsidRPr="006E5260">
        <w:rPr>
          <w:rFonts w:asciiTheme="minorHAnsi" w:eastAsiaTheme="minorEastAsia" w:hAnsiTheme="minorHAnsi" w:cstheme="minorHAnsi"/>
          <w:sz w:val="22"/>
          <w:szCs w:val="22"/>
          <w:lang w:val="en-GB"/>
        </w:rPr>
        <w:t>induced local strain</w:t>
      </w:r>
      <w:r>
        <w:rPr>
          <w:rFonts w:asciiTheme="minorHAnsi" w:eastAsiaTheme="minorEastAsia" w:hAnsiTheme="minorHAnsi" w:cstheme="minorHAnsi"/>
          <w:sz w:val="22"/>
          <w:szCs w:val="22"/>
          <w:lang w:val="en-GB"/>
        </w:rPr>
        <w:t>,</w:t>
      </w:r>
      <w:r w:rsidRPr="006E5260">
        <w:rPr>
          <w:rFonts w:asciiTheme="minorHAnsi" w:eastAsiaTheme="minorEastAsia" w:hAnsiTheme="minorHAnsi" w:cstheme="minorHAnsi"/>
          <w:sz w:val="22"/>
          <w:szCs w:val="22"/>
          <w:lang w:val="en-GB"/>
        </w:rPr>
        <w:t xml:space="preserve"> through </w:t>
      </w:r>
      <w:r>
        <w:rPr>
          <w:rFonts w:asciiTheme="minorHAnsi" w:eastAsiaTheme="minorEastAsia" w:hAnsiTheme="minorHAnsi" w:cstheme="minorHAnsi"/>
          <w:sz w:val="22"/>
          <w:szCs w:val="22"/>
          <w:lang w:val="en-GB"/>
        </w:rPr>
        <w:t xml:space="preserve">the </w:t>
      </w:r>
      <w:r w:rsidRPr="006E5260">
        <w:rPr>
          <w:rFonts w:asciiTheme="minorHAnsi" w:eastAsiaTheme="minorEastAsia" w:hAnsiTheme="minorHAnsi" w:cstheme="minorHAnsi"/>
          <w:sz w:val="22"/>
          <w:szCs w:val="22"/>
          <w:lang w:val="en-GB"/>
        </w:rPr>
        <w:t>generat</w:t>
      </w:r>
      <w:r>
        <w:rPr>
          <w:rFonts w:asciiTheme="minorHAnsi" w:eastAsiaTheme="minorEastAsia" w:hAnsiTheme="minorHAnsi" w:cstheme="minorHAnsi"/>
          <w:sz w:val="22"/>
          <w:szCs w:val="22"/>
          <w:lang w:val="en-GB"/>
        </w:rPr>
        <w:t>ion of</w:t>
      </w:r>
      <w:r w:rsidRPr="006E5260">
        <w:rPr>
          <w:rFonts w:asciiTheme="minorHAnsi" w:eastAsiaTheme="minorEastAsia" w:hAnsiTheme="minorHAnsi" w:cstheme="minorHAnsi"/>
          <w:sz w:val="22"/>
          <w:szCs w:val="22"/>
          <w:lang w:val="en-GB"/>
        </w:rPr>
        <w:t xml:space="preserve"> different self-accommodat</w:t>
      </w:r>
      <w:r>
        <w:rPr>
          <w:rFonts w:asciiTheme="minorHAnsi" w:eastAsiaTheme="minorEastAsia" w:hAnsiTheme="minorHAnsi" w:cstheme="minorHAnsi"/>
          <w:sz w:val="22"/>
          <w:szCs w:val="22"/>
          <w:lang w:val="en-GB"/>
        </w:rPr>
        <w:t xml:space="preserve">ed </w:t>
      </w:r>
      <w:r w:rsidRPr="006E5260">
        <w:rPr>
          <w:rFonts w:asciiTheme="minorHAnsi" w:eastAsiaTheme="minorEastAsia" w:hAnsiTheme="minorHAnsi" w:cstheme="minorHAnsi"/>
          <w:sz w:val="22"/>
          <w:szCs w:val="22"/>
          <w:lang w:val="en-GB"/>
        </w:rPr>
        <w:t>twin</w:t>
      </w:r>
      <w:r>
        <w:rPr>
          <w:rFonts w:asciiTheme="minorHAnsi" w:eastAsiaTheme="minorEastAsia" w:hAnsiTheme="minorHAnsi" w:cstheme="minorHAnsi"/>
          <w:sz w:val="22"/>
          <w:szCs w:val="22"/>
          <w:lang w:val="en-GB"/>
        </w:rPr>
        <w:t>n</w:t>
      </w:r>
      <w:r w:rsidRPr="006E5260">
        <w:rPr>
          <w:rFonts w:asciiTheme="minorHAnsi" w:eastAsiaTheme="minorEastAsia" w:hAnsiTheme="minorHAnsi" w:cstheme="minorHAnsi"/>
          <w:sz w:val="22"/>
          <w:szCs w:val="22"/>
          <w:lang w:val="en-GB"/>
        </w:rPr>
        <w:t xml:space="preserve">ed martensite along the </w:t>
      </w:r>
      <w:r w:rsidRPr="006E5260">
        <w:rPr>
          <w:rFonts w:asciiTheme="minorHAnsi" w:eastAsiaTheme="minorEastAsia" w:hAnsiTheme="minorHAnsi" w:cstheme="minorHAnsi"/>
          <w:noProof/>
          <w:sz w:val="22"/>
          <w:szCs w:val="22"/>
          <w:lang w:val="en-GB"/>
        </w:rPr>
        <w:t>lattice invariant</w:t>
      </w:r>
      <w:r w:rsidRPr="006E5260">
        <w:rPr>
          <w:rFonts w:asciiTheme="minorHAnsi" w:eastAsiaTheme="minorEastAsia" w:hAnsiTheme="minorHAnsi" w:cstheme="minorHAnsi"/>
          <w:sz w:val="22"/>
          <w:szCs w:val="22"/>
          <w:lang w:val="en-GB"/>
        </w:rPr>
        <w:t xml:space="preserve"> plane. In addition to the solution correspond</w:t>
      </w:r>
      <w:r>
        <w:rPr>
          <w:rFonts w:asciiTheme="minorHAnsi" w:eastAsiaTheme="minorEastAsia" w:hAnsiTheme="minorHAnsi" w:cstheme="minorHAnsi"/>
          <w:sz w:val="22"/>
          <w:szCs w:val="22"/>
          <w:lang w:val="en-GB"/>
        </w:rPr>
        <w:t>ing</w:t>
      </w:r>
      <w:r w:rsidRPr="006E5260">
        <w:rPr>
          <w:rFonts w:asciiTheme="minorHAnsi" w:eastAsiaTheme="minorEastAsia" w:hAnsiTheme="minorHAnsi" w:cstheme="minorHAnsi"/>
          <w:sz w:val="22"/>
          <w:szCs w:val="22"/>
          <w:lang w:val="en-GB"/>
        </w:rPr>
        <w:t xml:space="preserve"> to SA {111}</w:t>
      </w:r>
      <w:r w:rsidRPr="006E5260">
        <w:rPr>
          <w:rFonts w:asciiTheme="minorHAnsi" w:eastAsiaTheme="minorEastAsia" w:hAnsiTheme="minorHAnsi" w:cstheme="minorHAnsi"/>
          <w:sz w:val="22"/>
          <w:szCs w:val="22"/>
          <w:vertAlign w:val="subscript"/>
          <w:lang w:val="en-GB"/>
        </w:rPr>
        <w:t>α’’</w:t>
      </w:r>
      <w:r w:rsidRPr="006E5260">
        <w:rPr>
          <w:rFonts w:asciiTheme="minorHAnsi" w:eastAsiaTheme="minorEastAsia" w:hAnsiTheme="minorHAnsi" w:cstheme="minorHAnsi"/>
          <w:sz w:val="22"/>
          <w:szCs w:val="22"/>
          <w:lang w:val="en-GB"/>
        </w:rPr>
        <w:t xml:space="preserve"> type I twinning and {011}</w:t>
      </w:r>
      <w:r w:rsidRPr="006E5260">
        <w:rPr>
          <w:rFonts w:asciiTheme="minorHAnsi" w:eastAsiaTheme="minorEastAsia" w:hAnsiTheme="minorHAnsi" w:cstheme="minorHAnsi"/>
          <w:sz w:val="22"/>
          <w:szCs w:val="22"/>
          <w:vertAlign w:val="subscript"/>
          <w:lang w:val="en-GB"/>
        </w:rPr>
        <w:t>α’’</w:t>
      </w:r>
      <w:r w:rsidRPr="006E5260">
        <w:rPr>
          <w:rFonts w:asciiTheme="minorHAnsi" w:eastAsiaTheme="minorEastAsia" w:hAnsiTheme="minorHAnsi" w:cstheme="minorHAnsi"/>
          <w:sz w:val="22"/>
          <w:szCs w:val="22"/>
          <w:lang w:val="en-GB"/>
        </w:rPr>
        <w:t xml:space="preserve"> compound twinning</w:t>
      </w:r>
      <w:r>
        <w:rPr>
          <w:rFonts w:asciiTheme="minorHAnsi" w:eastAsiaTheme="minorEastAsia" w:hAnsiTheme="minorHAnsi" w:cstheme="minorHAnsi"/>
          <w:sz w:val="22"/>
          <w:szCs w:val="22"/>
          <w:lang w:val="en-GB"/>
        </w:rPr>
        <w:t>,</w:t>
      </w:r>
      <w:r w:rsidRPr="006E5260">
        <w:rPr>
          <w:rFonts w:asciiTheme="minorHAnsi" w:eastAsiaTheme="minorEastAsia" w:hAnsiTheme="minorHAnsi" w:cstheme="minorHAnsi"/>
          <w:sz w:val="22"/>
          <w:szCs w:val="22"/>
          <w:lang w:val="en-GB"/>
        </w:rPr>
        <w:t xml:space="preserve"> as reported in previous </w:t>
      </w:r>
      <w:r w:rsidRPr="006E5260">
        <w:rPr>
          <w:rFonts w:asciiTheme="minorHAnsi" w:eastAsiaTheme="minorEastAsia" w:hAnsiTheme="minorHAnsi" w:cstheme="minorHAnsi"/>
          <w:noProof/>
          <w:sz w:val="22"/>
          <w:szCs w:val="22"/>
          <w:lang w:val="en-GB"/>
        </w:rPr>
        <w:t>theoretical work</w:t>
      </w:r>
      <w:r>
        <w:rPr>
          <w:rFonts w:asciiTheme="minorHAnsi" w:eastAsiaTheme="minorEastAsia" w:hAnsiTheme="minorHAnsi" w:cstheme="minorHAnsi"/>
          <w:noProof/>
          <w:sz w:val="22"/>
          <w:szCs w:val="22"/>
          <w:lang w:val="en-GB"/>
        </w:rPr>
        <w:t xml:space="preserve"> </w:t>
      </w:r>
      <w:r w:rsidRPr="006E5260">
        <w:rPr>
          <w:rFonts w:asciiTheme="minorHAnsi" w:eastAsiaTheme="minorEastAsia" w:hAnsiTheme="minorHAnsi" w:cstheme="minorHAnsi"/>
          <w:noProof/>
          <w:sz w:val="22"/>
          <w:szCs w:val="22"/>
          <w:lang w:val="en-GB"/>
        </w:rPr>
        <w:fldChar w:fldCharType="begin" w:fldLock="1"/>
      </w:r>
      <w:r>
        <w:rPr>
          <w:rFonts w:asciiTheme="minorHAnsi" w:eastAsiaTheme="minorEastAsia" w:hAnsiTheme="minorHAnsi" w:cstheme="minorHAnsi"/>
          <w:noProof/>
          <w:sz w:val="22"/>
          <w:szCs w:val="22"/>
          <w:lang w:val="en-GB"/>
        </w:rPr>
        <w:instrText>ADDIN CSL_CITATION {"citationItems":[{"id":"ITEM-1","itemData":{"DOI":"10.1080/14786430601003874","ISBN":"1478-6435","ISSN":"14786435","abstract":"11q","author":[{"dropping-particle":"","family":"Inamura","given":"T.","non-dropping-particle":"","parse-names":false,"suffix":""},{"dropping-particle":"","family":"Kim","given":"J. I.","non-dropping-particle":"","parse-names":false,"suffix":""},{"dropping-particle":"","family":"Kim","given":"H. Y.","non-dropping-particle":"","parse-names":false,"suffix":""},{"dropping-particle":"","family":"Hosoda","given":"H.","non-dropping-particle":"","parse-names":false,"suffix":""},{"dropping-particle":"","family":"Wakashima","given":"K.","non-dropping-particle":"","parse-names":false,"suffix":""},{"dropping-particle":"",</w:instrText>
      </w:r>
      <w:r>
        <w:rPr>
          <w:rFonts w:asciiTheme="minorHAnsi" w:eastAsiaTheme="minorEastAsia" w:hAnsiTheme="minorHAnsi" w:cstheme="minorHAnsi" w:hint="eastAsia"/>
          <w:noProof/>
          <w:sz w:val="22"/>
          <w:szCs w:val="22"/>
          <w:lang w:val="en-GB"/>
        </w:rPr>
        <w:instrText xml:space="preserve">"family":"Miyazaki","given":"S.","non-dropping-particle":"","parse-names":false,"suffix":""}],"container-title":"Philosophical Magazine","id":"ITEM-1","issued":{"date-parts":[["2007"]]},"title":"Composition dependent crystallography of </w:instrText>
      </w:r>
      <w:r>
        <w:rPr>
          <w:rFonts w:asciiTheme="minorHAnsi" w:eastAsiaTheme="minorEastAsia" w:hAnsiTheme="minorHAnsi" w:cstheme="minorHAnsi" w:hint="eastAsia"/>
          <w:noProof/>
          <w:sz w:val="22"/>
          <w:szCs w:val="22"/>
          <w:lang w:val="en-GB"/>
        </w:rPr>
        <w:instrText>α″</w:instrText>
      </w:r>
      <w:r>
        <w:rPr>
          <w:rFonts w:asciiTheme="minorHAnsi" w:eastAsiaTheme="minorEastAsia" w:hAnsiTheme="minorHAnsi" w:cstheme="minorHAnsi" w:hint="eastAsia"/>
          <w:noProof/>
          <w:sz w:val="22"/>
          <w:szCs w:val="22"/>
          <w:lang w:val="en-GB"/>
        </w:rPr>
        <w:instrText>-martensite in Ti</w:instrText>
      </w:r>
      <w:r>
        <w:rPr>
          <w:rFonts w:asciiTheme="minorHAnsi" w:eastAsiaTheme="minorEastAsia" w:hAnsiTheme="minorHAnsi" w:cstheme="minorHAnsi"/>
          <w:noProof/>
          <w:sz w:val="22"/>
          <w:szCs w:val="22"/>
          <w:lang w:val="en-GB"/>
        </w:rPr>
        <w:instrText>-Nb-based β-titanium alloy","type":"article-journal"},"uris":["http://www.mendeley.com/documents/?uuid=26904a4b-d6c6-4c17-b6da-29a902ada479"]}],"mendeley":{"formattedCitation":"[12]","plainTextFormattedCitation":"[12]","previouslyFormattedCitation":"[14]"},"properties":{"noteIndex":0},"schema":"https://github.com/citation-style-language/schema/raw/master/csl-citation.json"}</w:instrText>
      </w:r>
      <w:r w:rsidRPr="006E5260">
        <w:rPr>
          <w:rFonts w:asciiTheme="minorHAnsi" w:eastAsiaTheme="minorEastAsia" w:hAnsiTheme="minorHAnsi" w:cstheme="minorHAnsi"/>
          <w:noProof/>
          <w:sz w:val="22"/>
          <w:szCs w:val="22"/>
          <w:lang w:val="en-GB"/>
        </w:rPr>
        <w:fldChar w:fldCharType="separate"/>
      </w:r>
      <w:r w:rsidRPr="008F7036">
        <w:rPr>
          <w:rFonts w:asciiTheme="minorHAnsi" w:eastAsiaTheme="minorEastAsia" w:hAnsiTheme="minorHAnsi" w:cstheme="minorHAnsi"/>
          <w:noProof/>
          <w:sz w:val="22"/>
          <w:szCs w:val="22"/>
          <w:lang w:val="en-GB"/>
        </w:rPr>
        <w:t>[12]</w:t>
      </w:r>
      <w:r w:rsidRPr="006E5260">
        <w:rPr>
          <w:rFonts w:asciiTheme="minorHAnsi" w:eastAsiaTheme="minorEastAsia" w:hAnsiTheme="minorHAnsi" w:cstheme="minorHAnsi"/>
          <w:noProof/>
          <w:sz w:val="22"/>
          <w:szCs w:val="22"/>
          <w:lang w:val="en-GB"/>
        </w:rPr>
        <w:fldChar w:fldCharType="end"/>
      </w:r>
      <w:r w:rsidRPr="006E5260">
        <w:rPr>
          <w:rFonts w:asciiTheme="minorHAnsi" w:eastAsiaTheme="minorEastAsia" w:hAnsiTheme="minorHAnsi" w:cstheme="minorHAnsi"/>
          <w:sz w:val="22"/>
          <w:szCs w:val="22"/>
          <w:lang w:val="en-GB"/>
        </w:rPr>
        <w:t xml:space="preserve">, </w:t>
      </w:r>
      <w:r>
        <w:rPr>
          <w:rFonts w:asciiTheme="minorHAnsi" w:eastAsiaTheme="minorEastAsia" w:hAnsiTheme="minorHAnsi" w:cstheme="minorHAnsi"/>
          <w:sz w:val="22"/>
          <w:szCs w:val="22"/>
          <w:lang w:val="en-GB"/>
        </w:rPr>
        <w:t>it was</w:t>
      </w:r>
      <w:r w:rsidRPr="006E5260">
        <w:rPr>
          <w:rFonts w:asciiTheme="minorHAnsi" w:eastAsiaTheme="minorEastAsia" w:hAnsiTheme="minorHAnsi" w:cstheme="minorHAnsi"/>
          <w:sz w:val="22"/>
          <w:szCs w:val="22"/>
          <w:lang w:val="en-GB"/>
        </w:rPr>
        <w:t xml:space="preserve"> discovered </w:t>
      </w:r>
      <w:r>
        <w:rPr>
          <w:rFonts w:asciiTheme="minorHAnsi" w:eastAsiaTheme="minorEastAsia" w:hAnsiTheme="minorHAnsi" w:cstheme="minorHAnsi"/>
          <w:sz w:val="22"/>
          <w:szCs w:val="22"/>
          <w:lang w:val="en-GB"/>
        </w:rPr>
        <w:t xml:space="preserve">that </w:t>
      </w:r>
      <w:r w:rsidRPr="006E5260">
        <w:rPr>
          <w:rFonts w:asciiTheme="minorHAnsi" w:eastAsiaTheme="minorEastAsia" w:hAnsiTheme="minorHAnsi" w:cstheme="minorHAnsi"/>
          <w:sz w:val="22"/>
          <w:szCs w:val="22"/>
          <w:lang w:val="en-GB"/>
        </w:rPr>
        <w:t xml:space="preserve">there </w:t>
      </w:r>
      <w:r>
        <w:rPr>
          <w:rFonts w:asciiTheme="minorHAnsi" w:eastAsiaTheme="minorEastAsia" w:hAnsiTheme="minorHAnsi" w:cstheme="minorHAnsi"/>
          <w:noProof/>
          <w:sz w:val="22"/>
          <w:szCs w:val="22"/>
          <w:lang w:val="en-GB"/>
        </w:rPr>
        <w:t>may be the existance of</w:t>
      </w:r>
      <w:r w:rsidRPr="006E5260">
        <w:rPr>
          <w:rFonts w:asciiTheme="minorHAnsi" w:eastAsiaTheme="minorEastAsia" w:hAnsiTheme="minorHAnsi" w:cstheme="minorHAnsi"/>
          <w:sz w:val="22"/>
          <w:szCs w:val="22"/>
          <w:lang w:val="en-GB"/>
        </w:rPr>
        <w:t xml:space="preserve"> more than one twinning mode for the solution of SA &lt;211&gt;</w:t>
      </w:r>
      <w:r w:rsidRPr="006E5260">
        <w:rPr>
          <w:rFonts w:asciiTheme="minorHAnsi" w:eastAsiaTheme="minorEastAsia" w:hAnsiTheme="minorHAnsi" w:cstheme="minorHAnsi"/>
          <w:sz w:val="22"/>
          <w:szCs w:val="22"/>
          <w:vertAlign w:val="subscript"/>
          <w:lang w:val="en-GB"/>
        </w:rPr>
        <w:t>α’’</w:t>
      </w:r>
      <w:r w:rsidRPr="006E5260">
        <w:rPr>
          <w:rFonts w:asciiTheme="minorHAnsi" w:eastAsiaTheme="minorEastAsia" w:hAnsiTheme="minorHAnsi" w:cstheme="minorHAnsi"/>
          <w:sz w:val="22"/>
          <w:szCs w:val="22"/>
          <w:lang w:val="en-GB"/>
        </w:rPr>
        <w:t xml:space="preserve"> type II twinning</w:t>
      </w:r>
      <w:r>
        <w:rPr>
          <w:rFonts w:asciiTheme="minorHAnsi" w:eastAsiaTheme="minorEastAsia" w:hAnsiTheme="minorHAnsi" w:cstheme="minorHAnsi"/>
          <w:sz w:val="22"/>
          <w:szCs w:val="22"/>
          <w:lang w:val="en-GB"/>
        </w:rPr>
        <w:t>,</w:t>
      </w:r>
      <w:r w:rsidRPr="006E5260">
        <w:rPr>
          <w:rFonts w:asciiTheme="minorHAnsi" w:eastAsiaTheme="minorEastAsia" w:hAnsiTheme="minorHAnsi" w:cstheme="minorHAnsi"/>
          <w:sz w:val="22"/>
          <w:szCs w:val="22"/>
          <w:lang w:val="en-GB"/>
        </w:rPr>
        <w:t xml:space="preserve"> to </w:t>
      </w:r>
      <w:r w:rsidRPr="006E5260">
        <w:rPr>
          <w:rFonts w:asciiTheme="minorHAnsi" w:eastAsiaTheme="minorEastAsia" w:hAnsiTheme="minorHAnsi" w:cstheme="minorHAnsi"/>
          <w:noProof/>
          <w:sz w:val="22"/>
          <w:szCs w:val="22"/>
          <w:lang w:val="en-GB"/>
        </w:rPr>
        <w:t>utilise</w:t>
      </w:r>
      <w:r w:rsidRPr="006E5260">
        <w:rPr>
          <w:rFonts w:asciiTheme="minorHAnsi" w:eastAsiaTheme="minorEastAsia" w:hAnsiTheme="minorHAnsi" w:cstheme="minorHAnsi"/>
          <w:sz w:val="22"/>
          <w:szCs w:val="22"/>
          <w:lang w:val="en-GB"/>
        </w:rPr>
        <w:t xml:space="preserve"> different lattice plane</w:t>
      </w:r>
      <w:r>
        <w:rPr>
          <w:rFonts w:asciiTheme="minorHAnsi" w:eastAsiaTheme="minorEastAsia" w:hAnsiTheme="minorHAnsi" w:cstheme="minorHAnsi"/>
          <w:sz w:val="22"/>
          <w:szCs w:val="22"/>
          <w:lang w:val="en-GB"/>
        </w:rPr>
        <w:t>s</w:t>
      </w:r>
      <w:r w:rsidRPr="006E5260">
        <w:rPr>
          <w:rFonts w:asciiTheme="minorHAnsi" w:eastAsiaTheme="minorEastAsia" w:hAnsiTheme="minorHAnsi" w:cstheme="minorHAnsi"/>
          <w:sz w:val="22"/>
          <w:szCs w:val="22"/>
          <w:lang w:val="en-GB"/>
        </w:rPr>
        <w:t xml:space="preserve"> as </w:t>
      </w:r>
      <w:r>
        <w:rPr>
          <w:rFonts w:asciiTheme="minorHAnsi" w:eastAsiaTheme="minorEastAsia" w:hAnsiTheme="minorHAnsi" w:cstheme="minorHAnsi"/>
          <w:sz w:val="22"/>
          <w:szCs w:val="22"/>
          <w:lang w:val="en-GB"/>
        </w:rPr>
        <w:t xml:space="preserve">the </w:t>
      </w:r>
      <w:r w:rsidRPr="006E5260">
        <w:rPr>
          <w:rFonts w:asciiTheme="minorHAnsi" w:eastAsiaTheme="minorEastAsia" w:hAnsiTheme="minorHAnsi" w:cstheme="minorHAnsi"/>
          <w:noProof/>
          <w:sz w:val="22"/>
          <w:szCs w:val="22"/>
          <w:lang w:val="en-GB"/>
        </w:rPr>
        <w:t>invariant lattice</w:t>
      </w:r>
      <w:r w:rsidRPr="006E5260">
        <w:rPr>
          <w:rFonts w:asciiTheme="minorHAnsi" w:eastAsiaTheme="minorEastAsia" w:hAnsiTheme="minorHAnsi" w:cstheme="minorHAnsi"/>
          <w:sz w:val="22"/>
          <w:szCs w:val="22"/>
          <w:lang w:val="en-GB"/>
        </w:rPr>
        <w:t xml:space="preserve"> plane.</w:t>
      </w:r>
    </w:p>
    <w:p w14:paraId="0F4C352C" w14:textId="77777777" w:rsidR="00B145BE" w:rsidRPr="006E5260"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noProof/>
          <w:sz w:val="22"/>
          <w:szCs w:val="22"/>
          <w:lang w:val="en-GB"/>
        </w:rPr>
      </w:pPr>
      <w:r>
        <w:rPr>
          <w:rFonts w:asciiTheme="minorHAnsi" w:eastAsiaTheme="minorEastAsia" w:hAnsiTheme="minorHAnsi" w:cstheme="minorHAnsi"/>
          <w:sz w:val="22"/>
          <w:szCs w:val="22"/>
          <w:lang w:val="en-GB"/>
        </w:rPr>
        <w:lastRenderedPageBreak/>
        <w:t>When considering</w:t>
      </w:r>
      <w:r w:rsidRPr="006E5260">
        <w:rPr>
          <w:rFonts w:asciiTheme="minorHAnsi" w:eastAsiaTheme="minorEastAsia" w:hAnsiTheme="minorHAnsi" w:cstheme="minorHAnsi"/>
          <w:sz w:val="22"/>
          <w:szCs w:val="22"/>
          <w:lang w:val="en-GB"/>
        </w:rPr>
        <w:t xml:space="preserve"> lattice instability to distinguish the energetical</w:t>
      </w:r>
      <w:r>
        <w:rPr>
          <w:rFonts w:asciiTheme="minorHAnsi" w:eastAsiaTheme="minorEastAsia" w:hAnsiTheme="minorHAnsi" w:cstheme="minorHAnsi"/>
          <w:sz w:val="22"/>
          <w:szCs w:val="22"/>
          <w:lang w:val="en-GB"/>
        </w:rPr>
        <w:t xml:space="preserve">ly </w:t>
      </w:r>
      <w:r w:rsidRPr="006E5260">
        <w:rPr>
          <w:rFonts w:asciiTheme="minorHAnsi" w:eastAsiaTheme="minorEastAsia" w:hAnsiTheme="minorHAnsi" w:cstheme="minorHAnsi"/>
          <w:sz w:val="22"/>
          <w:szCs w:val="22"/>
          <w:lang w:val="en-GB"/>
        </w:rPr>
        <w:t>favourable activation sequence</w:t>
      </w:r>
      <w:r>
        <w:rPr>
          <w:rFonts w:asciiTheme="minorHAnsi" w:eastAsiaTheme="minorEastAsia" w:hAnsiTheme="minorHAnsi" w:cstheme="minorHAnsi"/>
          <w:sz w:val="22"/>
          <w:szCs w:val="22"/>
          <w:lang w:val="en-GB"/>
        </w:rPr>
        <w:t>,</w:t>
      </w:r>
      <w:r w:rsidRPr="006E5260">
        <w:rPr>
          <w:rFonts w:asciiTheme="minorHAnsi" w:eastAsiaTheme="minorEastAsia" w:hAnsiTheme="minorHAnsi" w:cstheme="minorHAnsi"/>
          <w:sz w:val="22"/>
          <w:szCs w:val="22"/>
          <w:lang w:val="en-GB"/>
        </w:rPr>
        <w:t xml:space="preserve"> potential shuffle mechanisms were derived which </w:t>
      </w:r>
      <w:r w:rsidRPr="006E5260">
        <w:rPr>
          <w:rFonts w:asciiTheme="minorHAnsi" w:eastAsiaTheme="minorEastAsia" w:hAnsiTheme="minorHAnsi" w:cstheme="minorHAnsi"/>
          <w:noProof/>
          <w:sz w:val="22"/>
          <w:szCs w:val="22"/>
          <w:lang w:val="en-GB"/>
        </w:rPr>
        <w:t>minimise</w:t>
      </w:r>
      <w:r>
        <w:rPr>
          <w:rFonts w:asciiTheme="minorHAnsi" w:eastAsiaTheme="minorEastAsia" w:hAnsiTheme="minorHAnsi" w:cstheme="minorHAnsi"/>
          <w:noProof/>
          <w:sz w:val="22"/>
          <w:szCs w:val="22"/>
          <w:lang w:val="en-GB"/>
        </w:rPr>
        <w:t>d</w:t>
      </w:r>
      <w:r w:rsidRPr="006E5260">
        <w:rPr>
          <w:rFonts w:asciiTheme="minorHAnsi" w:eastAsiaTheme="minorEastAsia" w:hAnsiTheme="minorHAnsi" w:cstheme="minorHAnsi"/>
          <w:sz w:val="22"/>
          <w:szCs w:val="22"/>
          <w:lang w:val="en-GB"/>
        </w:rPr>
        <w:t xml:space="preserve"> the required modulation</w:t>
      </w:r>
      <w:r>
        <w:rPr>
          <w:rFonts w:asciiTheme="minorHAnsi" w:eastAsiaTheme="minorEastAsia" w:hAnsiTheme="minorHAnsi" w:cstheme="minorHAnsi"/>
          <w:sz w:val="22"/>
          <w:szCs w:val="22"/>
          <w:lang w:val="en-GB"/>
        </w:rPr>
        <w:t xml:space="preserve"> a</w:t>
      </w:r>
      <w:r w:rsidRPr="006E5260">
        <w:rPr>
          <w:rFonts w:asciiTheme="minorHAnsi" w:eastAsiaTheme="minorEastAsia" w:hAnsiTheme="minorHAnsi" w:cstheme="minorHAnsi"/>
          <w:sz w:val="22"/>
          <w:szCs w:val="22"/>
          <w:lang w:val="en-GB"/>
        </w:rPr>
        <w:t xml:space="preserve">s shown in </w:t>
      </w:r>
      <w:r>
        <w:rPr>
          <w:rFonts w:asciiTheme="minorHAnsi" w:eastAsiaTheme="minorEastAsia" w:hAnsiTheme="minorHAnsi" w:cstheme="minorHAnsi"/>
          <w:noProof/>
          <w:sz w:val="22"/>
          <w:szCs w:val="22"/>
          <w:lang w:val="en-GB"/>
        </w:rPr>
        <w:t>T</w:t>
      </w:r>
      <w:r w:rsidRPr="006E5260">
        <w:rPr>
          <w:rFonts w:asciiTheme="minorHAnsi" w:eastAsiaTheme="minorEastAsia" w:hAnsiTheme="minorHAnsi" w:cstheme="minorHAnsi"/>
          <w:noProof/>
          <w:sz w:val="22"/>
          <w:szCs w:val="22"/>
          <w:lang w:val="en-GB"/>
        </w:rPr>
        <w:t>able</w:t>
      </w:r>
      <w:r w:rsidRPr="006E5260">
        <w:rPr>
          <w:rFonts w:asciiTheme="minorHAnsi" w:eastAsiaTheme="minorEastAsia" w:hAnsiTheme="minorHAnsi" w:cstheme="minorHAnsi"/>
          <w:sz w:val="22"/>
          <w:szCs w:val="22"/>
          <w:lang w:val="en-GB"/>
        </w:rPr>
        <w:t xml:space="preserve"> </w:t>
      </w:r>
      <w:r>
        <w:rPr>
          <w:rFonts w:asciiTheme="minorHAnsi" w:eastAsiaTheme="minorEastAsia" w:hAnsiTheme="minorHAnsi" w:cstheme="minorHAnsi"/>
          <w:sz w:val="22"/>
          <w:szCs w:val="22"/>
          <w:lang w:val="en-GB"/>
        </w:rPr>
        <w:t>6-5</w:t>
      </w:r>
      <w:r w:rsidRPr="006E5260">
        <w:rPr>
          <w:rFonts w:asciiTheme="minorHAnsi" w:eastAsiaTheme="minorEastAsia" w:hAnsiTheme="minorHAnsi" w:cstheme="minorHAnsi"/>
          <w:sz w:val="22"/>
          <w:szCs w:val="22"/>
          <w:lang w:val="en-GB"/>
        </w:rPr>
        <w:t xml:space="preserve">. Considering no macroscopic shear is necessary to form SA type mode </w:t>
      </w:r>
      <w:r w:rsidRPr="006E5260">
        <w:rPr>
          <w:rFonts w:asciiTheme="minorHAnsi" w:eastAsiaTheme="minorEastAsia" w:hAnsiTheme="minorHAnsi" w:cstheme="minorHAnsi"/>
          <w:noProof/>
          <w:sz w:val="22"/>
          <w:szCs w:val="22"/>
          <w:lang w:val="en-GB"/>
        </w:rPr>
        <w:t>I~IV</w:t>
      </w:r>
      <w:r w:rsidRPr="006E5260">
        <w:rPr>
          <w:rFonts w:asciiTheme="minorHAnsi" w:eastAsiaTheme="minorEastAsia" w:hAnsiTheme="minorHAnsi" w:cstheme="minorHAnsi"/>
          <w:sz w:val="22"/>
          <w:szCs w:val="22"/>
          <w:lang w:val="en-GB"/>
        </w:rPr>
        <w:t xml:space="preserve"> twins, the observation frequency </w:t>
      </w:r>
      <w:r>
        <w:rPr>
          <w:rFonts w:asciiTheme="minorHAnsi" w:eastAsiaTheme="minorEastAsia" w:hAnsiTheme="minorHAnsi" w:cstheme="minorHAnsi"/>
          <w:sz w:val="22"/>
          <w:szCs w:val="22"/>
          <w:lang w:val="en-GB"/>
        </w:rPr>
        <w:t>fitted</w:t>
      </w:r>
      <w:r w:rsidRPr="006E5260">
        <w:rPr>
          <w:rFonts w:asciiTheme="minorHAnsi" w:eastAsiaTheme="minorEastAsia" w:hAnsiTheme="minorHAnsi" w:cstheme="minorHAnsi"/>
          <w:sz w:val="22"/>
          <w:szCs w:val="22"/>
          <w:lang w:val="en-GB"/>
        </w:rPr>
        <w:t xml:space="preserve"> the energetically favoured activation sequence of mode I~IV SA type II &lt;-211&gt;</w:t>
      </w:r>
      <w:r w:rsidRPr="006E5260">
        <w:rPr>
          <w:rFonts w:asciiTheme="minorHAnsi" w:eastAsiaTheme="minorEastAsia" w:hAnsiTheme="minorHAnsi" w:cstheme="minorHAnsi"/>
          <w:sz w:val="22"/>
          <w:szCs w:val="22"/>
          <w:vertAlign w:val="subscript"/>
          <w:lang w:val="en-GB"/>
        </w:rPr>
        <w:t>α’’</w:t>
      </w:r>
      <w:r w:rsidRPr="006E5260">
        <w:rPr>
          <w:rFonts w:asciiTheme="minorHAnsi" w:eastAsiaTheme="minorEastAsia" w:hAnsiTheme="minorHAnsi" w:cstheme="minorHAnsi"/>
          <w:sz w:val="22"/>
          <w:szCs w:val="22"/>
          <w:lang w:val="en-GB"/>
        </w:rPr>
        <w:t xml:space="preserve"> twins</w:t>
      </w:r>
      <w:r>
        <w:rPr>
          <w:rFonts w:asciiTheme="minorHAnsi" w:eastAsiaTheme="minorEastAsia" w:hAnsiTheme="minorHAnsi" w:cstheme="minorHAnsi"/>
          <w:sz w:val="22"/>
          <w:szCs w:val="22"/>
          <w:lang w:val="en-GB"/>
        </w:rPr>
        <w:t xml:space="preserve"> well</w:t>
      </w:r>
      <w:r w:rsidRPr="006E5260">
        <w:rPr>
          <w:rFonts w:asciiTheme="minorHAnsi" w:eastAsiaTheme="minorEastAsia" w:hAnsiTheme="minorHAnsi" w:cstheme="minorHAnsi"/>
          <w:sz w:val="22"/>
          <w:szCs w:val="22"/>
          <w:lang w:val="en-GB"/>
        </w:rPr>
        <w:t>. Mode III</w:t>
      </w:r>
      <w:r>
        <w:rPr>
          <w:rFonts w:asciiTheme="minorHAnsi" w:eastAsiaTheme="minorEastAsia" w:hAnsiTheme="minorHAnsi" w:cstheme="minorHAnsi"/>
          <w:sz w:val="22"/>
          <w:szCs w:val="22"/>
          <w:lang w:val="en-GB"/>
        </w:rPr>
        <w:t xml:space="preserve"> corresponding</w:t>
      </w:r>
      <w:r w:rsidRPr="006E5260">
        <w:rPr>
          <w:rFonts w:asciiTheme="minorHAnsi" w:eastAsiaTheme="minorEastAsia" w:hAnsiTheme="minorHAnsi" w:cstheme="minorHAnsi"/>
          <w:sz w:val="22"/>
          <w:szCs w:val="22"/>
          <w:lang w:val="en-GB"/>
        </w:rPr>
        <w:t xml:space="preserve"> to the {111}</w:t>
      </w:r>
      <w:r w:rsidRPr="006E5260">
        <w:rPr>
          <w:rFonts w:asciiTheme="minorHAnsi" w:eastAsiaTheme="minorEastAsia" w:hAnsiTheme="minorHAnsi" w:cstheme="minorHAnsi"/>
          <w:sz w:val="22"/>
          <w:szCs w:val="22"/>
          <w:vertAlign w:val="subscript"/>
          <w:lang w:val="en-GB"/>
        </w:rPr>
        <w:t>α’’</w:t>
      </w:r>
      <w:r w:rsidRPr="006E5260">
        <w:rPr>
          <w:rFonts w:asciiTheme="minorHAnsi" w:eastAsiaTheme="minorEastAsia" w:hAnsiTheme="minorHAnsi" w:cstheme="minorHAnsi"/>
          <w:sz w:val="22"/>
          <w:szCs w:val="22"/>
          <w:lang w:val="en-GB"/>
        </w:rPr>
        <w:t xml:space="preserve"> SA type I twins require</w:t>
      </w:r>
      <w:r>
        <w:rPr>
          <w:rFonts w:asciiTheme="minorHAnsi" w:eastAsiaTheme="minorEastAsia" w:hAnsiTheme="minorHAnsi" w:cstheme="minorHAnsi"/>
          <w:sz w:val="22"/>
          <w:szCs w:val="22"/>
          <w:lang w:val="en-GB"/>
        </w:rPr>
        <w:t>d</w:t>
      </w:r>
      <w:r w:rsidRPr="006E5260">
        <w:rPr>
          <w:rFonts w:asciiTheme="minorHAnsi" w:eastAsiaTheme="minorEastAsia" w:hAnsiTheme="minorHAnsi" w:cstheme="minorHAnsi"/>
          <w:sz w:val="22"/>
          <w:szCs w:val="22"/>
          <w:lang w:val="en-GB"/>
        </w:rPr>
        <w:t xml:space="preserve"> the smallest magnitude of shuffle</w:t>
      </w:r>
      <w:r>
        <w:rPr>
          <w:rFonts w:asciiTheme="minorHAnsi" w:eastAsiaTheme="minorEastAsia" w:hAnsiTheme="minorHAnsi" w:cstheme="minorHAnsi"/>
          <w:sz w:val="22"/>
          <w:szCs w:val="22"/>
          <w:lang w:val="en-GB"/>
        </w:rPr>
        <w:t xml:space="preserve"> and</w:t>
      </w:r>
      <w:r w:rsidRPr="006E5260">
        <w:rPr>
          <w:rFonts w:asciiTheme="minorHAnsi" w:eastAsiaTheme="minorEastAsia" w:hAnsiTheme="minorHAnsi" w:cstheme="minorHAnsi"/>
          <w:sz w:val="22"/>
          <w:szCs w:val="22"/>
          <w:lang w:val="en-GB"/>
        </w:rPr>
        <w:t xml:space="preserve"> identified as the most probable SA twinning mode to activate. The other three modes SA twin atomic modulation </w:t>
      </w:r>
      <w:r>
        <w:rPr>
          <w:rFonts w:asciiTheme="minorHAnsi" w:eastAsiaTheme="minorEastAsia" w:hAnsiTheme="minorHAnsi" w:cstheme="minorHAnsi"/>
          <w:sz w:val="22"/>
          <w:szCs w:val="22"/>
          <w:lang w:val="en-GB"/>
        </w:rPr>
        <w:t>were</w:t>
      </w:r>
      <w:r w:rsidRPr="006E5260">
        <w:rPr>
          <w:rFonts w:asciiTheme="minorHAnsi" w:eastAsiaTheme="minorEastAsia" w:hAnsiTheme="minorHAnsi" w:cstheme="minorHAnsi"/>
          <w:sz w:val="22"/>
          <w:szCs w:val="22"/>
          <w:lang w:val="en-GB"/>
        </w:rPr>
        <w:t xml:space="preserve"> proportional to the magnitude of displacement along &lt;010&gt;</w:t>
      </w:r>
      <w:r w:rsidRPr="006E5260">
        <w:rPr>
          <w:rFonts w:asciiTheme="minorHAnsi" w:eastAsiaTheme="minorEastAsia" w:hAnsiTheme="minorHAnsi" w:cstheme="minorHAnsi"/>
          <w:sz w:val="22"/>
          <w:szCs w:val="22"/>
          <w:vertAlign w:val="subscript"/>
          <w:lang w:val="en-GB"/>
        </w:rPr>
        <w:t>α’</w:t>
      </w:r>
      <w:r w:rsidRPr="006E5260">
        <w:rPr>
          <w:rFonts w:asciiTheme="minorHAnsi" w:eastAsiaTheme="minorEastAsia" w:hAnsiTheme="minorHAnsi" w:cstheme="minorHAnsi"/>
          <w:noProof/>
          <w:sz w:val="22"/>
          <w:szCs w:val="22"/>
          <w:vertAlign w:val="subscript"/>
          <w:lang w:val="en-GB"/>
        </w:rPr>
        <w:t>’</w:t>
      </w:r>
      <w:r w:rsidRPr="006E5260">
        <w:rPr>
          <w:rFonts w:asciiTheme="minorHAnsi" w:eastAsia="等线" w:hAnsiTheme="minorHAnsi" w:cstheme="minorHAnsi"/>
          <w:sz w:val="22"/>
          <w:szCs w:val="22"/>
          <w:lang w:val="en-GB"/>
        </w:rPr>
        <w:t xml:space="preserve"> </w:t>
      </w:r>
      <w:r w:rsidRPr="006E5260">
        <w:rPr>
          <w:rFonts w:asciiTheme="minorHAnsi" w:eastAsiaTheme="minorEastAsia" w:hAnsiTheme="minorHAnsi" w:cstheme="minorHAnsi"/>
          <w:noProof/>
          <w:sz w:val="22"/>
          <w:szCs w:val="22"/>
          <w:lang w:val="en-GB"/>
        </w:rPr>
        <w:t>and therefore allow</w:t>
      </w:r>
      <w:r>
        <w:rPr>
          <w:rFonts w:asciiTheme="minorHAnsi" w:eastAsiaTheme="minorEastAsia" w:hAnsiTheme="minorHAnsi" w:cstheme="minorHAnsi"/>
          <w:noProof/>
          <w:sz w:val="22"/>
          <w:szCs w:val="22"/>
          <w:lang w:val="en-GB"/>
        </w:rPr>
        <w:t>ed</w:t>
      </w:r>
      <w:r w:rsidRPr="006E5260">
        <w:rPr>
          <w:rFonts w:asciiTheme="minorHAnsi" w:eastAsiaTheme="minorEastAsia" w:hAnsiTheme="minorHAnsi" w:cstheme="minorHAnsi"/>
          <w:noProof/>
          <w:sz w:val="22"/>
          <w:szCs w:val="22"/>
          <w:lang w:val="en-GB"/>
        </w:rPr>
        <w:t xml:space="preserve"> to generate as</w:t>
      </w:r>
      <w:r w:rsidRPr="006E5260">
        <w:rPr>
          <w:rFonts w:asciiTheme="minorHAnsi" w:eastAsiaTheme="minorEastAsia" w:hAnsiTheme="minorHAnsi" w:cstheme="minorHAnsi"/>
          <w:sz w:val="22"/>
          <w:szCs w:val="22"/>
          <w:lang w:val="en-GB"/>
        </w:rPr>
        <w:t xml:space="preserve"> SA type twinning during martensite phase transformation.</w:t>
      </w:r>
      <w:r w:rsidRPr="006E5260">
        <w:rPr>
          <w:rFonts w:asciiTheme="minorHAnsi" w:eastAsiaTheme="minorEastAsia" w:hAnsiTheme="minorHAnsi" w:cstheme="minorHAnsi"/>
          <w:noProof/>
          <w:sz w:val="22"/>
          <w:szCs w:val="22"/>
          <w:lang w:val="en-GB"/>
        </w:rPr>
        <w:t xml:space="preserve"> M</w:t>
      </w:r>
      <w:r w:rsidRPr="006E5260">
        <w:rPr>
          <w:rFonts w:asciiTheme="minorHAnsi" w:eastAsiaTheme="minorEastAsia" w:hAnsiTheme="minorHAnsi" w:cstheme="minorHAnsi"/>
          <w:sz w:val="22"/>
          <w:szCs w:val="22"/>
          <w:lang w:val="en-GB"/>
        </w:rPr>
        <w:t>odes I and II, whose correspond</w:t>
      </w:r>
      <w:r>
        <w:rPr>
          <w:rFonts w:asciiTheme="minorHAnsi" w:eastAsiaTheme="minorEastAsia" w:hAnsiTheme="minorHAnsi" w:cstheme="minorHAnsi"/>
          <w:sz w:val="22"/>
          <w:szCs w:val="22"/>
          <w:lang w:val="en-GB"/>
        </w:rPr>
        <w:t>ing</w:t>
      </w:r>
      <w:r w:rsidRPr="006E5260">
        <w:rPr>
          <w:rFonts w:asciiTheme="minorHAnsi" w:eastAsiaTheme="minorEastAsia" w:hAnsiTheme="minorHAnsi" w:cstheme="minorHAnsi"/>
          <w:sz w:val="22"/>
          <w:szCs w:val="22"/>
          <w:lang w:val="en-GB"/>
        </w:rPr>
        <w:t xml:space="preserve"> mechanical type twinning requires smallest shear vector, </w:t>
      </w:r>
      <w:r w:rsidRPr="006E5260">
        <w:rPr>
          <w:rFonts w:asciiTheme="minorHAnsi" w:eastAsiaTheme="minorEastAsia" w:hAnsiTheme="minorHAnsi" w:cstheme="minorHAnsi"/>
          <w:noProof/>
          <w:sz w:val="22"/>
          <w:szCs w:val="22"/>
          <w:lang w:val="en-GB"/>
        </w:rPr>
        <w:t>were further examined</w:t>
      </w:r>
      <w:r w:rsidRPr="006E5260">
        <w:rPr>
          <w:rFonts w:asciiTheme="minorHAnsi" w:eastAsiaTheme="minorEastAsia" w:hAnsiTheme="minorHAnsi" w:cstheme="minorHAnsi"/>
          <w:sz w:val="22"/>
          <w:szCs w:val="22"/>
          <w:lang w:val="en-GB"/>
        </w:rPr>
        <w:t xml:space="preserve"> for potential </w:t>
      </w:r>
      <w:r w:rsidRPr="006E5260">
        <w:rPr>
          <w:rFonts w:asciiTheme="minorHAnsi" w:eastAsiaTheme="minorEastAsia" w:hAnsiTheme="minorHAnsi" w:cstheme="minorHAnsi"/>
          <w:noProof/>
          <w:sz w:val="22"/>
          <w:szCs w:val="22"/>
          <w:lang w:val="en-GB"/>
        </w:rPr>
        <w:t>mechanical</w:t>
      </w:r>
      <w:r w:rsidRPr="006E5260">
        <w:rPr>
          <w:rFonts w:asciiTheme="minorHAnsi" w:eastAsiaTheme="minorEastAsia" w:hAnsiTheme="minorHAnsi" w:cstheme="minorHAnsi"/>
          <w:sz w:val="22"/>
          <w:szCs w:val="22"/>
          <w:lang w:val="en-GB"/>
        </w:rPr>
        <w:t xml:space="preserve"> twinning shuffle modulation</w:t>
      </w:r>
      <w:r w:rsidRPr="006E5260">
        <w:rPr>
          <w:rFonts w:asciiTheme="minorHAnsi" w:eastAsiaTheme="minorEastAsia" w:hAnsiTheme="minorHAnsi" w:cstheme="minorHAnsi"/>
          <w:noProof/>
          <w:sz w:val="22"/>
          <w:szCs w:val="22"/>
          <w:lang w:val="en-GB"/>
        </w:rPr>
        <w:t>. As</w:t>
      </w:r>
      <w:r w:rsidRPr="006E5260">
        <w:rPr>
          <w:rFonts w:asciiTheme="minorHAnsi" w:eastAsiaTheme="minorEastAsia" w:hAnsiTheme="minorHAnsi" w:cstheme="minorHAnsi"/>
          <w:sz w:val="22"/>
          <w:szCs w:val="22"/>
          <w:lang w:val="en-GB"/>
        </w:rPr>
        <w:t xml:space="preserve"> mechanical twinning mechanisms which </w:t>
      </w:r>
      <w:r w:rsidRPr="006E5260">
        <w:rPr>
          <w:rFonts w:asciiTheme="minorHAnsi" w:eastAsiaTheme="minorEastAsia" w:hAnsiTheme="minorHAnsi" w:cstheme="minorHAnsi"/>
          <w:noProof/>
          <w:sz w:val="22"/>
          <w:szCs w:val="22"/>
          <w:lang w:val="en-GB"/>
        </w:rPr>
        <w:t>require</w:t>
      </w:r>
      <w:r w:rsidRPr="006E5260">
        <w:rPr>
          <w:rFonts w:asciiTheme="minorHAnsi" w:eastAsiaTheme="minorEastAsia" w:hAnsiTheme="minorHAnsi" w:cstheme="minorHAnsi"/>
          <w:sz w:val="22"/>
          <w:szCs w:val="22"/>
          <w:lang w:val="en-GB"/>
        </w:rPr>
        <w:t xml:space="preserve"> </w:t>
      </w:r>
      <w:r w:rsidRPr="006E5260">
        <w:rPr>
          <w:rFonts w:asciiTheme="minorHAnsi" w:eastAsiaTheme="minorEastAsia" w:hAnsiTheme="minorHAnsi" w:cstheme="minorHAnsi"/>
          <w:noProof/>
          <w:sz w:val="22"/>
          <w:szCs w:val="22"/>
          <w:lang w:val="en-GB"/>
        </w:rPr>
        <w:t>complex</w:t>
      </w:r>
      <w:r w:rsidRPr="006E5260">
        <w:rPr>
          <w:rFonts w:asciiTheme="minorHAnsi" w:eastAsiaTheme="minorEastAsia" w:hAnsiTheme="minorHAnsi" w:cstheme="minorHAnsi"/>
          <w:sz w:val="22"/>
          <w:szCs w:val="22"/>
          <w:lang w:val="en-GB"/>
        </w:rPr>
        <w:t xml:space="preserve"> shuffles, both mode I and II mechanical twinning </w:t>
      </w:r>
      <w:r w:rsidRPr="006E5260">
        <w:rPr>
          <w:rFonts w:asciiTheme="minorHAnsi" w:eastAsiaTheme="minorEastAsia" w:hAnsiTheme="minorHAnsi" w:cstheme="minorHAnsi"/>
          <w:noProof/>
          <w:sz w:val="22"/>
          <w:szCs w:val="22"/>
          <w:lang w:val="en-GB"/>
        </w:rPr>
        <w:t>need</w:t>
      </w:r>
      <w:r w:rsidRPr="006E5260">
        <w:rPr>
          <w:rFonts w:asciiTheme="minorHAnsi" w:eastAsiaTheme="minorEastAsia" w:hAnsiTheme="minorHAnsi" w:cstheme="minorHAnsi"/>
          <w:sz w:val="22"/>
          <w:szCs w:val="22"/>
          <w:lang w:val="en-GB"/>
        </w:rPr>
        <w:t xml:space="preserve"> the rearrangement and disruption of the motif unit to complete the shuffle modulation</w:t>
      </w:r>
      <w:r>
        <w:rPr>
          <w:rFonts w:asciiTheme="minorHAnsi" w:eastAsiaTheme="minorEastAsia" w:hAnsiTheme="minorHAnsi" w:cstheme="minorHAnsi"/>
          <w:sz w:val="22"/>
          <w:szCs w:val="22"/>
          <w:lang w:val="en-GB"/>
        </w:rPr>
        <w:t xml:space="preserve">, </w:t>
      </w:r>
      <w:r w:rsidRPr="006E5260">
        <w:rPr>
          <w:rFonts w:asciiTheme="minorHAnsi" w:eastAsiaTheme="minorEastAsia" w:hAnsiTheme="minorHAnsi" w:cstheme="minorHAnsi"/>
          <w:sz w:val="22"/>
          <w:szCs w:val="22"/>
          <w:lang w:val="en-GB"/>
        </w:rPr>
        <w:t>whil</w:t>
      </w:r>
      <w:r>
        <w:rPr>
          <w:rFonts w:asciiTheme="minorHAnsi" w:eastAsiaTheme="minorEastAsia" w:hAnsiTheme="minorHAnsi" w:cstheme="minorHAnsi"/>
          <w:sz w:val="22"/>
          <w:szCs w:val="22"/>
          <w:lang w:val="en-GB"/>
        </w:rPr>
        <w:t>st</w:t>
      </w:r>
      <w:r w:rsidRPr="006E5260">
        <w:rPr>
          <w:rFonts w:asciiTheme="minorHAnsi" w:eastAsiaTheme="minorEastAsia" w:hAnsiTheme="minorHAnsi" w:cstheme="minorHAnsi"/>
          <w:sz w:val="22"/>
          <w:szCs w:val="22"/>
          <w:lang w:val="en-GB"/>
        </w:rPr>
        <w:t xml:space="preserve"> no complicate</w:t>
      </w:r>
      <w:r>
        <w:rPr>
          <w:rFonts w:asciiTheme="minorHAnsi" w:eastAsiaTheme="minorEastAsia" w:hAnsiTheme="minorHAnsi" w:cstheme="minorHAnsi"/>
          <w:sz w:val="22"/>
          <w:szCs w:val="22"/>
          <w:lang w:val="en-GB"/>
        </w:rPr>
        <w:t>d</w:t>
      </w:r>
      <w:r w:rsidRPr="006E5260">
        <w:rPr>
          <w:rFonts w:asciiTheme="minorHAnsi" w:eastAsiaTheme="minorEastAsia" w:hAnsiTheme="minorHAnsi" w:cstheme="minorHAnsi"/>
          <w:sz w:val="22"/>
          <w:szCs w:val="22"/>
          <w:lang w:val="en-GB"/>
        </w:rPr>
        <w:t xml:space="preserve"> shuffle mechanism </w:t>
      </w:r>
      <w:r>
        <w:rPr>
          <w:rFonts w:asciiTheme="minorHAnsi" w:eastAsiaTheme="minorEastAsia" w:hAnsiTheme="minorHAnsi" w:cstheme="minorHAnsi"/>
          <w:sz w:val="22"/>
          <w:szCs w:val="22"/>
          <w:lang w:val="en-GB"/>
        </w:rPr>
        <w:t>was</w:t>
      </w:r>
      <w:r w:rsidRPr="006E5260">
        <w:rPr>
          <w:rFonts w:asciiTheme="minorHAnsi" w:eastAsiaTheme="minorEastAsia" w:hAnsiTheme="minorHAnsi" w:cstheme="minorHAnsi"/>
          <w:sz w:val="22"/>
          <w:szCs w:val="22"/>
          <w:lang w:val="en-GB"/>
        </w:rPr>
        <w:t xml:space="preserve"> required for mode IV mechanical twin. Another interesting finding from the </w:t>
      </w:r>
      <w:r w:rsidRPr="006E5260">
        <w:rPr>
          <w:rFonts w:asciiTheme="minorHAnsi" w:eastAsiaTheme="minorEastAsia" w:hAnsiTheme="minorHAnsi" w:cstheme="minorHAnsi"/>
          <w:noProof/>
          <w:sz w:val="22"/>
          <w:szCs w:val="22"/>
          <w:lang w:val="en-GB"/>
        </w:rPr>
        <w:t>above</w:t>
      </w:r>
      <w:r w:rsidRPr="006E5260">
        <w:rPr>
          <w:rFonts w:asciiTheme="minorHAnsi" w:eastAsiaTheme="minorEastAsia" w:hAnsiTheme="minorHAnsi" w:cstheme="minorHAnsi"/>
          <w:sz w:val="22"/>
          <w:szCs w:val="22"/>
          <w:lang w:val="en-GB"/>
        </w:rPr>
        <w:t xml:space="preserve"> calculation </w:t>
      </w:r>
      <w:r>
        <w:rPr>
          <w:rFonts w:asciiTheme="minorHAnsi" w:eastAsiaTheme="minorEastAsia" w:hAnsiTheme="minorHAnsi" w:cstheme="minorHAnsi"/>
          <w:sz w:val="22"/>
          <w:szCs w:val="22"/>
          <w:lang w:val="en-GB"/>
        </w:rPr>
        <w:t>was that</w:t>
      </w:r>
      <w:r w:rsidRPr="006E5260">
        <w:rPr>
          <w:rFonts w:asciiTheme="minorHAnsi" w:eastAsiaTheme="minorEastAsia" w:hAnsiTheme="minorHAnsi" w:cstheme="minorHAnsi"/>
          <w:sz w:val="22"/>
          <w:szCs w:val="22"/>
          <w:lang w:val="en-GB"/>
        </w:rPr>
        <w:t xml:space="preserve"> in I</w:t>
      </w:r>
      <w:r w:rsidRPr="006E5260">
        <w:rPr>
          <w:rFonts w:asciiTheme="minorHAnsi" w:eastAsiaTheme="minorEastAsia" w:hAnsiTheme="minorHAnsi" w:cstheme="minorHAnsi"/>
          <w:noProof/>
          <w:sz w:val="22"/>
          <w:szCs w:val="22"/>
          <w:lang w:val="en-GB"/>
        </w:rPr>
        <w:t>, II</w:t>
      </w:r>
      <w:r w:rsidRPr="006E5260">
        <w:rPr>
          <w:rFonts w:asciiTheme="minorHAnsi" w:eastAsiaTheme="minorEastAsia" w:hAnsiTheme="minorHAnsi" w:cstheme="minorHAnsi"/>
          <w:sz w:val="22"/>
          <w:szCs w:val="22"/>
          <w:lang w:val="en-GB"/>
        </w:rPr>
        <w:t xml:space="preserve"> and IV three </w:t>
      </w:r>
      <w:r w:rsidRPr="006E5260">
        <w:rPr>
          <w:rFonts w:asciiTheme="minorHAnsi" w:eastAsiaTheme="minorEastAsia" w:hAnsiTheme="minorHAnsi" w:cstheme="minorHAnsi"/>
          <w:noProof/>
          <w:sz w:val="22"/>
          <w:szCs w:val="22"/>
          <w:lang w:val="en-GB"/>
        </w:rPr>
        <w:t>mechanical</w:t>
      </w:r>
      <w:r w:rsidRPr="006E5260">
        <w:rPr>
          <w:rFonts w:asciiTheme="minorHAnsi" w:eastAsiaTheme="minorEastAsia" w:hAnsiTheme="minorHAnsi" w:cstheme="minorHAnsi"/>
          <w:sz w:val="22"/>
          <w:szCs w:val="22"/>
          <w:lang w:val="en-GB"/>
        </w:rPr>
        <w:t xml:space="preserve"> modes, </w:t>
      </w:r>
      <w:r>
        <w:rPr>
          <w:rFonts w:asciiTheme="minorHAnsi" w:eastAsiaTheme="minorEastAsia" w:hAnsiTheme="minorHAnsi" w:cstheme="minorHAnsi"/>
          <w:sz w:val="22"/>
          <w:szCs w:val="22"/>
          <w:lang w:val="en-GB"/>
        </w:rPr>
        <w:t xml:space="preserve">the </w:t>
      </w:r>
      <w:r w:rsidRPr="006E5260">
        <w:rPr>
          <w:rFonts w:asciiTheme="minorHAnsi" w:eastAsiaTheme="minorEastAsia" w:hAnsiTheme="minorHAnsi" w:cstheme="minorHAnsi"/>
          <w:sz w:val="22"/>
          <w:szCs w:val="22"/>
          <w:lang w:val="en-GB"/>
        </w:rPr>
        <w:t xml:space="preserve">mechanical twinning direction </w:t>
      </w:r>
      <w:r w:rsidRPr="006E5260">
        <w:rPr>
          <w:rFonts w:asciiTheme="minorHAnsi" w:eastAsiaTheme="minorEastAsia" w:hAnsiTheme="minorHAnsi" w:cstheme="minorHAnsi"/>
          <w:i/>
          <w:sz w:val="22"/>
          <w:szCs w:val="22"/>
          <w:lang w:val="en-GB"/>
        </w:rPr>
        <w:t>η</w:t>
      </w:r>
      <w:r w:rsidRPr="006E5260">
        <w:rPr>
          <w:rFonts w:asciiTheme="minorHAnsi" w:eastAsiaTheme="minorEastAsia" w:hAnsiTheme="minorHAnsi" w:cstheme="minorHAnsi"/>
          <w:sz w:val="22"/>
          <w:szCs w:val="22"/>
          <w:vertAlign w:val="subscript"/>
          <w:lang w:val="en-GB"/>
        </w:rPr>
        <w:t>1</w:t>
      </w:r>
      <w:r w:rsidRPr="006E5260">
        <w:rPr>
          <w:rFonts w:asciiTheme="minorHAnsi" w:eastAsiaTheme="minorEastAsia" w:hAnsiTheme="minorHAnsi" w:cstheme="minorHAnsi"/>
          <w:sz w:val="22"/>
          <w:szCs w:val="22"/>
          <w:lang w:val="en-GB"/>
        </w:rPr>
        <w:t xml:space="preserve"> </w:t>
      </w:r>
      <w:r>
        <w:rPr>
          <w:rFonts w:asciiTheme="minorHAnsi" w:eastAsiaTheme="minorEastAsia" w:hAnsiTheme="minorHAnsi" w:cstheme="minorHAnsi"/>
          <w:sz w:val="22"/>
          <w:szCs w:val="22"/>
          <w:lang w:val="en-GB"/>
        </w:rPr>
        <w:t>was</w:t>
      </w:r>
      <w:r w:rsidRPr="006E5260">
        <w:rPr>
          <w:rFonts w:asciiTheme="minorHAnsi" w:eastAsiaTheme="minorEastAsia" w:hAnsiTheme="minorHAnsi" w:cstheme="minorHAnsi"/>
          <w:sz w:val="22"/>
          <w:szCs w:val="22"/>
          <w:lang w:val="en-GB"/>
        </w:rPr>
        <w:t xml:space="preserve"> vertical to the SA twinning direction </w:t>
      </w:r>
      <w:r w:rsidRPr="006E5260">
        <w:rPr>
          <w:rFonts w:asciiTheme="minorHAnsi" w:eastAsiaTheme="minorEastAsia" w:hAnsiTheme="minorHAnsi" w:cstheme="minorHAnsi"/>
          <w:i/>
          <w:sz w:val="22"/>
          <w:szCs w:val="22"/>
          <w:lang w:val="en-GB"/>
        </w:rPr>
        <w:t>η</w:t>
      </w:r>
      <w:r w:rsidRPr="006E5260">
        <w:rPr>
          <w:rFonts w:asciiTheme="minorHAnsi" w:eastAsiaTheme="minorEastAsia" w:hAnsiTheme="minorHAnsi" w:cstheme="minorHAnsi"/>
          <w:sz w:val="22"/>
          <w:szCs w:val="22"/>
          <w:vertAlign w:val="subscript"/>
          <w:lang w:val="en-GB"/>
        </w:rPr>
        <w:t>SA</w:t>
      </w:r>
      <w:r w:rsidRPr="006E5260">
        <w:rPr>
          <w:rFonts w:asciiTheme="minorHAnsi" w:eastAsiaTheme="minorEastAsia" w:hAnsiTheme="minorHAnsi" w:cstheme="minorHAnsi"/>
          <w:sz w:val="22"/>
          <w:szCs w:val="22"/>
          <w:lang w:val="en-GB"/>
        </w:rPr>
        <w:t xml:space="preserve">. </w:t>
      </w:r>
      <w:r>
        <w:rPr>
          <w:rFonts w:asciiTheme="minorHAnsi" w:eastAsiaTheme="minorEastAsia" w:hAnsiTheme="minorHAnsi" w:cstheme="minorHAnsi"/>
          <w:sz w:val="22"/>
          <w:szCs w:val="22"/>
          <w:lang w:val="en-GB"/>
        </w:rPr>
        <w:t>Furthermore</w:t>
      </w:r>
      <w:r w:rsidRPr="006E5260">
        <w:rPr>
          <w:rFonts w:asciiTheme="minorHAnsi" w:eastAsiaTheme="minorEastAsia" w:hAnsiTheme="minorHAnsi" w:cstheme="minorHAnsi"/>
          <w:sz w:val="22"/>
          <w:szCs w:val="22"/>
          <w:lang w:val="en-GB"/>
        </w:rPr>
        <w:t xml:space="preserve">, the </w:t>
      </w:r>
      <w:r w:rsidRPr="006E5260">
        <w:rPr>
          <w:rFonts w:asciiTheme="minorHAnsi" w:eastAsiaTheme="minorEastAsia" w:hAnsiTheme="minorHAnsi" w:cstheme="minorHAnsi"/>
          <w:noProof/>
          <w:sz w:val="22"/>
          <w:szCs w:val="22"/>
          <w:lang w:val="en-GB"/>
        </w:rPr>
        <w:t>primitive</w:t>
      </w:r>
      <w:r w:rsidRPr="006E5260">
        <w:rPr>
          <w:rFonts w:asciiTheme="minorHAnsi" w:eastAsiaTheme="minorEastAsia" w:hAnsiTheme="minorHAnsi" w:cstheme="minorHAnsi"/>
          <w:sz w:val="22"/>
          <w:szCs w:val="22"/>
          <w:lang w:val="en-GB"/>
        </w:rPr>
        <w:t xml:space="preserve"> vector of </w:t>
      </w:r>
      <w:r w:rsidRPr="006E5260">
        <w:rPr>
          <w:rFonts w:asciiTheme="minorHAnsi" w:eastAsiaTheme="minorEastAsia" w:hAnsiTheme="minorHAnsi" w:cstheme="minorHAnsi"/>
          <w:noProof/>
          <w:sz w:val="22"/>
          <w:szCs w:val="22"/>
          <w:lang w:val="en-GB"/>
        </w:rPr>
        <w:t>corresponding</w:t>
      </w:r>
      <w:r w:rsidRPr="006E5260">
        <w:rPr>
          <w:rFonts w:asciiTheme="minorHAnsi" w:eastAsiaTheme="minorEastAsia" w:hAnsiTheme="minorHAnsi" w:cstheme="minorHAnsi"/>
          <w:sz w:val="22"/>
          <w:szCs w:val="22"/>
          <w:lang w:val="en-GB"/>
        </w:rPr>
        <w:t xml:space="preserve"> </w:t>
      </w:r>
      <w:r w:rsidRPr="006E5260">
        <w:rPr>
          <w:rFonts w:asciiTheme="minorHAnsi" w:eastAsiaTheme="minorEastAsia" w:hAnsiTheme="minorHAnsi" w:cstheme="minorHAnsi"/>
          <w:noProof/>
          <w:sz w:val="22"/>
          <w:szCs w:val="22"/>
          <w:lang w:val="en-GB"/>
        </w:rPr>
        <w:t>invariant lattice</w:t>
      </w:r>
      <w:r w:rsidRPr="006E5260">
        <w:rPr>
          <w:rFonts w:asciiTheme="minorHAnsi" w:eastAsiaTheme="minorEastAsia" w:hAnsiTheme="minorHAnsi" w:cstheme="minorHAnsi"/>
          <w:sz w:val="22"/>
          <w:szCs w:val="22"/>
          <w:lang w:val="en-GB"/>
        </w:rPr>
        <w:t xml:space="preserve"> plane</w:t>
      </w:r>
      <w:r>
        <w:rPr>
          <w:rFonts w:asciiTheme="minorHAnsi" w:eastAsiaTheme="minorEastAsia" w:hAnsiTheme="minorHAnsi" w:cstheme="minorHAnsi"/>
          <w:sz w:val="22"/>
          <w:szCs w:val="22"/>
          <w:lang w:val="en-GB"/>
        </w:rPr>
        <w:t>s</w:t>
      </w:r>
      <w:r w:rsidRPr="006E5260">
        <w:rPr>
          <w:rFonts w:asciiTheme="minorHAnsi" w:eastAsiaTheme="minorEastAsia" w:hAnsiTheme="minorHAnsi" w:cstheme="minorHAnsi"/>
          <w:sz w:val="22"/>
          <w:szCs w:val="22"/>
          <w:lang w:val="en-GB"/>
        </w:rPr>
        <w:t xml:space="preserve"> for </w:t>
      </w:r>
      <w:r w:rsidRPr="006E5260">
        <w:rPr>
          <w:rFonts w:asciiTheme="minorHAnsi" w:eastAsiaTheme="minorEastAsia" w:hAnsiTheme="minorHAnsi" w:cstheme="minorHAnsi"/>
          <w:noProof/>
          <w:sz w:val="22"/>
          <w:szCs w:val="22"/>
          <w:lang w:val="en-GB"/>
        </w:rPr>
        <w:t>mode</w:t>
      </w:r>
      <w:r w:rsidRPr="006E5260">
        <w:rPr>
          <w:rFonts w:asciiTheme="minorHAnsi" w:eastAsiaTheme="minorEastAsia" w:hAnsiTheme="minorHAnsi" w:cstheme="minorHAnsi"/>
          <w:sz w:val="22"/>
          <w:szCs w:val="22"/>
          <w:lang w:val="en-GB"/>
        </w:rPr>
        <w:t xml:space="preserve"> I</w:t>
      </w:r>
      <w:r w:rsidRPr="006E5260">
        <w:rPr>
          <w:rFonts w:asciiTheme="minorHAnsi" w:eastAsiaTheme="minorEastAsia" w:hAnsiTheme="minorHAnsi" w:cstheme="minorHAnsi"/>
          <w:noProof/>
          <w:sz w:val="22"/>
          <w:szCs w:val="22"/>
          <w:lang w:val="en-GB"/>
        </w:rPr>
        <w:t>, II</w:t>
      </w:r>
      <w:r w:rsidRPr="006E5260">
        <w:rPr>
          <w:rFonts w:asciiTheme="minorHAnsi" w:eastAsiaTheme="minorEastAsia" w:hAnsiTheme="minorHAnsi" w:cstheme="minorHAnsi"/>
          <w:sz w:val="22"/>
          <w:szCs w:val="22"/>
          <w:lang w:val="en-GB"/>
        </w:rPr>
        <w:t xml:space="preserve"> and IV </w:t>
      </w:r>
      <w:r>
        <w:rPr>
          <w:rFonts w:asciiTheme="minorHAnsi" w:eastAsiaTheme="minorEastAsia" w:hAnsiTheme="minorHAnsi" w:cstheme="minorHAnsi"/>
          <w:noProof/>
          <w:sz w:val="22"/>
          <w:szCs w:val="22"/>
          <w:lang w:val="en-GB"/>
        </w:rPr>
        <w:t>were</w:t>
      </w:r>
      <w:r w:rsidRPr="006E5260">
        <w:rPr>
          <w:rFonts w:asciiTheme="minorHAnsi" w:eastAsiaTheme="minorEastAsia" w:hAnsiTheme="minorHAnsi" w:cstheme="minorHAnsi"/>
          <w:noProof/>
          <w:sz w:val="22"/>
          <w:szCs w:val="22"/>
          <w:lang w:val="en-GB"/>
        </w:rPr>
        <w:t xml:space="preserve"> </w:t>
      </w:r>
      <w:r>
        <w:rPr>
          <w:rFonts w:asciiTheme="minorHAnsi" w:eastAsiaTheme="minorEastAsia" w:hAnsiTheme="minorHAnsi" w:cstheme="minorHAnsi"/>
          <w:noProof/>
          <w:sz w:val="22"/>
          <w:szCs w:val="22"/>
          <w:lang w:val="en-GB"/>
        </w:rPr>
        <w:t>determined to be</w:t>
      </w:r>
      <w:r w:rsidRPr="006E5260">
        <w:rPr>
          <w:rFonts w:asciiTheme="minorHAnsi" w:eastAsiaTheme="minorEastAsia" w:hAnsiTheme="minorHAnsi" w:cstheme="minorHAnsi"/>
          <w:sz w:val="22"/>
          <w:szCs w:val="22"/>
          <w:lang w:val="en-GB"/>
        </w:rPr>
        <w:t xml:space="preserve"> along </w:t>
      </w:r>
      <w:r w:rsidRPr="006E5260">
        <w:rPr>
          <w:rFonts w:asciiTheme="minorHAnsi" w:eastAsiaTheme="minorEastAsia" w:hAnsiTheme="minorHAnsi" w:cstheme="minorHAnsi"/>
          <w:i/>
          <w:sz w:val="22"/>
          <w:szCs w:val="22"/>
          <w:lang w:val="en-GB"/>
        </w:rPr>
        <w:t>η</w:t>
      </w:r>
      <w:r w:rsidRPr="006E5260">
        <w:rPr>
          <w:rFonts w:asciiTheme="minorHAnsi" w:eastAsiaTheme="minorEastAsia" w:hAnsiTheme="minorHAnsi" w:cstheme="minorHAnsi"/>
          <w:sz w:val="22"/>
          <w:szCs w:val="22"/>
          <w:vertAlign w:val="subscript"/>
          <w:lang w:val="en-GB"/>
        </w:rPr>
        <w:t>1</w:t>
      </w:r>
      <w:r w:rsidRPr="006E5260">
        <w:rPr>
          <w:rFonts w:asciiTheme="minorHAnsi" w:eastAsiaTheme="minorEastAsia" w:hAnsiTheme="minorHAnsi" w:cstheme="minorHAnsi"/>
          <w:sz w:val="22"/>
          <w:szCs w:val="22"/>
          <w:lang w:val="en-GB"/>
        </w:rPr>
        <w:t xml:space="preserve"> and </w:t>
      </w:r>
      <w:r w:rsidRPr="006E5260">
        <w:rPr>
          <w:rFonts w:asciiTheme="minorHAnsi" w:eastAsiaTheme="minorEastAsia" w:hAnsiTheme="minorHAnsi" w:cstheme="minorHAnsi"/>
          <w:i/>
          <w:sz w:val="22"/>
          <w:szCs w:val="22"/>
          <w:lang w:val="en-GB"/>
        </w:rPr>
        <w:t>η</w:t>
      </w:r>
      <w:r w:rsidRPr="006E5260">
        <w:rPr>
          <w:rFonts w:asciiTheme="minorHAnsi" w:eastAsiaTheme="minorEastAsia" w:hAnsiTheme="minorHAnsi" w:cstheme="minorHAnsi"/>
          <w:sz w:val="22"/>
          <w:szCs w:val="22"/>
          <w:vertAlign w:val="subscript"/>
          <w:lang w:val="en-GB"/>
        </w:rPr>
        <w:t>SA</w:t>
      </w:r>
      <w:r>
        <w:rPr>
          <w:rFonts w:asciiTheme="minorHAnsi" w:eastAsiaTheme="minorEastAsia" w:hAnsiTheme="minorHAnsi" w:cstheme="minorHAnsi"/>
          <w:sz w:val="22"/>
          <w:szCs w:val="22"/>
          <w:lang w:val="en-GB"/>
        </w:rPr>
        <w:t>. This</w:t>
      </w:r>
      <w:r w:rsidRPr="006E5260">
        <w:rPr>
          <w:rFonts w:asciiTheme="minorHAnsi" w:eastAsiaTheme="minorEastAsia" w:hAnsiTheme="minorHAnsi" w:cstheme="minorHAnsi"/>
          <w:sz w:val="22"/>
          <w:szCs w:val="22"/>
          <w:lang w:val="en-GB"/>
        </w:rPr>
        <w:t xml:space="preserve"> indicate</w:t>
      </w:r>
      <w:r>
        <w:rPr>
          <w:rFonts w:asciiTheme="minorHAnsi" w:eastAsiaTheme="minorEastAsia" w:hAnsiTheme="minorHAnsi" w:cstheme="minorHAnsi"/>
          <w:sz w:val="22"/>
          <w:szCs w:val="22"/>
          <w:lang w:val="en-GB"/>
        </w:rPr>
        <w:t>d</w:t>
      </w:r>
      <w:r w:rsidRPr="006E5260">
        <w:rPr>
          <w:rFonts w:asciiTheme="minorHAnsi" w:eastAsiaTheme="minorEastAsia" w:hAnsiTheme="minorHAnsi" w:cstheme="minorHAnsi"/>
          <w:sz w:val="22"/>
          <w:szCs w:val="22"/>
          <w:lang w:val="en-GB"/>
        </w:rPr>
        <w:t xml:space="preserve"> </w:t>
      </w:r>
      <w:r>
        <w:rPr>
          <w:rFonts w:asciiTheme="minorHAnsi" w:eastAsiaTheme="minorEastAsia" w:hAnsiTheme="minorHAnsi" w:cstheme="minorHAnsi"/>
          <w:sz w:val="22"/>
          <w:szCs w:val="22"/>
          <w:lang w:val="en-GB"/>
        </w:rPr>
        <w:t xml:space="preserve">the </w:t>
      </w:r>
      <w:r w:rsidRPr="006E5260">
        <w:rPr>
          <w:rFonts w:asciiTheme="minorHAnsi" w:eastAsiaTheme="minorEastAsia" w:hAnsiTheme="minorHAnsi" w:cstheme="minorHAnsi"/>
          <w:noProof/>
          <w:sz w:val="22"/>
          <w:szCs w:val="22"/>
          <w:lang w:val="en-GB"/>
        </w:rPr>
        <w:t>possible</w:t>
      </w:r>
      <w:r w:rsidRPr="006E5260">
        <w:rPr>
          <w:rFonts w:asciiTheme="minorHAnsi" w:eastAsiaTheme="minorEastAsia" w:hAnsiTheme="minorHAnsi" w:cstheme="minorHAnsi"/>
          <w:sz w:val="22"/>
          <w:szCs w:val="22"/>
          <w:lang w:val="en-GB"/>
        </w:rPr>
        <w:t xml:space="preserve"> slip direction </w:t>
      </w:r>
      <w:r>
        <w:rPr>
          <w:rFonts w:asciiTheme="minorHAnsi" w:eastAsiaTheme="minorEastAsia" w:hAnsiTheme="minorHAnsi" w:cstheme="minorHAnsi"/>
          <w:sz w:val="22"/>
          <w:szCs w:val="22"/>
          <w:lang w:val="en-GB"/>
        </w:rPr>
        <w:t>that</w:t>
      </w:r>
      <w:r w:rsidRPr="006E5260">
        <w:rPr>
          <w:rFonts w:asciiTheme="minorHAnsi" w:eastAsiaTheme="minorEastAsia" w:hAnsiTheme="minorHAnsi" w:cstheme="minorHAnsi"/>
          <w:sz w:val="22"/>
          <w:szCs w:val="22"/>
          <w:lang w:val="en-GB"/>
        </w:rPr>
        <w:t xml:space="preserve"> </w:t>
      </w:r>
      <w:r>
        <w:rPr>
          <w:rFonts w:asciiTheme="minorHAnsi" w:eastAsiaTheme="minorEastAsia" w:hAnsiTheme="minorHAnsi" w:cstheme="minorHAnsi"/>
          <w:sz w:val="22"/>
          <w:szCs w:val="22"/>
          <w:lang w:val="en-GB"/>
        </w:rPr>
        <w:t>the</w:t>
      </w:r>
      <w:r w:rsidRPr="006E5260">
        <w:rPr>
          <w:rFonts w:asciiTheme="minorHAnsi" w:eastAsiaTheme="minorEastAsia" w:hAnsiTheme="minorHAnsi" w:cstheme="minorHAnsi"/>
          <w:sz w:val="22"/>
          <w:szCs w:val="22"/>
          <w:lang w:val="en-GB"/>
        </w:rPr>
        <w:t xml:space="preserve"> twinning mode lattice invariant plane is along</w:t>
      </w:r>
      <w:r>
        <w:rPr>
          <w:rFonts w:asciiTheme="minorHAnsi" w:eastAsiaTheme="minorEastAsia" w:hAnsiTheme="minorHAnsi" w:cstheme="minorHAnsi"/>
          <w:sz w:val="22"/>
          <w:szCs w:val="22"/>
          <w:lang w:val="en-GB"/>
        </w:rPr>
        <w:t xml:space="preserve"> which were either</w:t>
      </w:r>
      <w:r w:rsidRPr="006E5260">
        <w:rPr>
          <w:rFonts w:asciiTheme="minorHAnsi" w:eastAsiaTheme="minorEastAsia" w:hAnsiTheme="minorHAnsi" w:cstheme="minorHAnsi"/>
          <w:sz w:val="22"/>
          <w:szCs w:val="22"/>
          <w:lang w:val="en-GB"/>
        </w:rPr>
        <w:t xml:space="preserve"> </w:t>
      </w:r>
      <w:r w:rsidRPr="006E5260">
        <w:rPr>
          <w:rFonts w:asciiTheme="minorHAnsi" w:eastAsiaTheme="minorEastAsia" w:hAnsiTheme="minorHAnsi" w:cstheme="minorHAnsi"/>
          <w:i/>
          <w:sz w:val="22"/>
          <w:szCs w:val="22"/>
          <w:lang w:val="en-GB"/>
        </w:rPr>
        <w:t>η</w:t>
      </w:r>
      <w:r w:rsidRPr="006E5260">
        <w:rPr>
          <w:rFonts w:asciiTheme="minorHAnsi" w:eastAsiaTheme="minorEastAsia" w:hAnsiTheme="minorHAnsi" w:cstheme="minorHAnsi"/>
          <w:sz w:val="22"/>
          <w:szCs w:val="22"/>
          <w:vertAlign w:val="subscript"/>
          <w:lang w:val="en-GB"/>
        </w:rPr>
        <w:t xml:space="preserve">1 </w:t>
      </w:r>
      <w:r w:rsidRPr="006E5260">
        <w:rPr>
          <w:rFonts w:asciiTheme="minorHAnsi" w:eastAsiaTheme="minorEastAsia" w:hAnsiTheme="minorHAnsi" w:cstheme="minorHAnsi"/>
          <w:sz w:val="22"/>
          <w:szCs w:val="22"/>
          <w:lang w:val="en-GB"/>
        </w:rPr>
        <w:t>or</w:t>
      </w:r>
      <w:r w:rsidRPr="006E5260">
        <w:rPr>
          <w:rFonts w:asciiTheme="minorHAnsi" w:eastAsiaTheme="minorEastAsia" w:hAnsiTheme="minorHAnsi" w:cstheme="minorHAnsi"/>
          <w:sz w:val="22"/>
          <w:szCs w:val="22"/>
          <w:vertAlign w:val="subscript"/>
          <w:lang w:val="en-GB"/>
        </w:rPr>
        <w:t xml:space="preserve"> </w:t>
      </w:r>
      <w:r w:rsidRPr="006E5260">
        <w:rPr>
          <w:rFonts w:asciiTheme="minorHAnsi" w:eastAsiaTheme="minorEastAsia" w:hAnsiTheme="minorHAnsi" w:cstheme="minorHAnsi"/>
          <w:i/>
          <w:sz w:val="22"/>
          <w:szCs w:val="22"/>
          <w:lang w:val="en-GB"/>
        </w:rPr>
        <w:t>η</w:t>
      </w:r>
      <w:r w:rsidRPr="006E5260">
        <w:rPr>
          <w:rFonts w:asciiTheme="minorHAnsi" w:eastAsiaTheme="minorEastAsia" w:hAnsiTheme="minorHAnsi" w:cstheme="minorHAnsi"/>
          <w:sz w:val="22"/>
          <w:szCs w:val="22"/>
          <w:vertAlign w:val="subscript"/>
          <w:lang w:val="en-GB"/>
        </w:rPr>
        <w:t>SA</w:t>
      </w:r>
      <w:r w:rsidRPr="006E5260">
        <w:rPr>
          <w:rFonts w:asciiTheme="minorHAnsi" w:eastAsiaTheme="minorEastAsia" w:hAnsiTheme="minorHAnsi" w:cstheme="minorHAnsi"/>
          <w:sz w:val="22"/>
          <w:szCs w:val="22"/>
          <w:lang w:val="en-GB"/>
        </w:rPr>
        <w:t xml:space="preserve">. This discovery also </w:t>
      </w:r>
      <w:r w:rsidRPr="006E5260">
        <w:rPr>
          <w:rFonts w:asciiTheme="minorHAnsi" w:eastAsiaTheme="minorEastAsia" w:hAnsiTheme="minorHAnsi" w:cstheme="minorHAnsi"/>
          <w:noProof/>
          <w:sz w:val="22"/>
          <w:szCs w:val="22"/>
          <w:lang w:val="en-GB"/>
        </w:rPr>
        <w:t>provide</w:t>
      </w:r>
      <w:r>
        <w:rPr>
          <w:rFonts w:asciiTheme="minorHAnsi" w:eastAsiaTheme="minorEastAsia" w:hAnsiTheme="minorHAnsi" w:cstheme="minorHAnsi"/>
          <w:noProof/>
          <w:sz w:val="22"/>
          <w:szCs w:val="22"/>
          <w:lang w:val="en-GB"/>
        </w:rPr>
        <w:t>d</w:t>
      </w:r>
      <w:r w:rsidRPr="006E5260">
        <w:rPr>
          <w:rFonts w:asciiTheme="minorHAnsi" w:eastAsiaTheme="minorEastAsia" w:hAnsiTheme="minorHAnsi" w:cstheme="minorHAnsi"/>
          <w:sz w:val="22"/>
          <w:szCs w:val="22"/>
          <w:lang w:val="en-GB"/>
        </w:rPr>
        <w:t xml:space="preserve"> </w:t>
      </w:r>
      <w:r w:rsidRPr="006E5260">
        <w:rPr>
          <w:rFonts w:asciiTheme="minorHAnsi" w:eastAsiaTheme="minorEastAsia" w:hAnsiTheme="minorHAnsi" w:cstheme="minorHAnsi"/>
          <w:noProof/>
          <w:sz w:val="22"/>
          <w:szCs w:val="22"/>
          <w:lang w:val="en-GB"/>
        </w:rPr>
        <w:t>solid</w:t>
      </w:r>
      <w:r w:rsidRPr="006E5260">
        <w:rPr>
          <w:rFonts w:asciiTheme="minorHAnsi" w:eastAsiaTheme="minorEastAsia" w:hAnsiTheme="minorHAnsi" w:cstheme="minorHAnsi"/>
          <w:sz w:val="22"/>
          <w:szCs w:val="22"/>
          <w:lang w:val="en-GB"/>
        </w:rPr>
        <w:t xml:space="preserve"> </w:t>
      </w:r>
      <w:r>
        <w:rPr>
          <w:rFonts w:asciiTheme="minorHAnsi" w:eastAsiaTheme="minorEastAsia" w:hAnsiTheme="minorHAnsi" w:cstheme="minorHAnsi"/>
          <w:sz w:val="22"/>
          <w:szCs w:val="22"/>
          <w:lang w:val="en-GB"/>
        </w:rPr>
        <w:t>evidence</w:t>
      </w:r>
      <w:r w:rsidRPr="006E5260">
        <w:rPr>
          <w:rFonts w:asciiTheme="minorHAnsi" w:eastAsiaTheme="minorEastAsia" w:hAnsiTheme="minorHAnsi" w:cstheme="minorHAnsi"/>
          <w:sz w:val="22"/>
          <w:szCs w:val="22"/>
          <w:lang w:val="en-GB"/>
        </w:rPr>
        <w:t xml:space="preserve"> for the activation of SA twinning to mechanical twinning transformation. </w:t>
      </w:r>
    </w:p>
    <w:p w14:paraId="79A0894F"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r w:rsidRPr="006E5260">
        <w:rPr>
          <w:rFonts w:asciiTheme="minorHAnsi" w:eastAsiaTheme="minorEastAsia" w:hAnsiTheme="minorHAnsi" w:cstheme="minorHAnsi"/>
          <w:noProof/>
          <w:sz w:val="22"/>
          <w:szCs w:val="22"/>
          <w:lang w:val="en-GB"/>
        </w:rPr>
        <w:t xml:space="preserve">Thus, a reasonable prediction of TTIP in the current system is without </w:t>
      </w:r>
      <w:r>
        <w:rPr>
          <w:rFonts w:asciiTheme="minorHAnsi" w:eastAsiaTheme="minorEastAsia" w:hAnsiTheme="minorHAnsi" w:cstheme="minorHAnsi"/>
          <w:noProof/>
          <w:sz w:val="22"/>
          <w:szCs w:val="22"/>
          <w:lang w:val="en-GB"/>
        </w:rPr>
        <w:t xml:space="preserve">the </w:t>
      </w:r>
      <w:r w:rsidRPr="006E5260">
        <w:rPr>
          <w:rFonts w:asciiTheme="minorHAnsi" w:eastAsiaTheme="minorEastAsia" w:hAnsiTheme="minorHAnsi" w:cstheme="minorHAnsi"/>
          <w:noProof/>
          <w:sz w:val="22"/>
          <w:szCs w:val="22"/>
          <w:lang w:val="en-GB"/>
        </w:rPr>
        <w:t>requirements of large atomic shuffle modulation and shear</w:t>
      </w:r>
      <w:r>
        <w:rPr>
          <w:rFonts w:asciiTheme="minorHAnsi" w:eastAsiaTheme="minorEastAsia" w:hAnsiTheme="minorHAnsi" w:cstheme="minorHAnsi"/>
          <w:noProof/>
          <w:sz w:val="22"/>
          <w:szCs w:val="22"/>
          <w:lang w:val="en-GB"/>
        </w:rPr>
        <w:t>.</w:t>
      </w:r>
      <w:r w:rsidRPr="006E5260">
        <w:rPr>
          <w:rFonts w:asciiTheme="minorHAnsi" w:eastAsiaTheme="minorEastAsia" w:hAnsiTheme="minorHAnsi" w:cstheme="minorHAnsi"/>
          <w:noProof/>
          <w:sz w:val="22"/>
          <w:szCs w:val="22"/>
          <w:lang w:val="en-GB"/>
        </w:rPr>
        <w:t xml:space="preserve"> </w:t>
      </w:r>
      <w:r>
        <w:rPr>
          <w:rFonts w:asciiTheme="minorHAnsi" w:eastAsiaTheme="minorEastAsia" w:hAnsiTheme="minorHAnsi" w:cstheme="minorHAnsi"/>
          <w:noProof/>
          <w:sz w:val="22"/>
          <w:szCs w:val="22"/>
          <w:lang w:val="en-GB"/>
        </w:rPr>
        <w:t>During</w:t>
      </w:r>
      <w:r w:rsidRPr="006E5260">
        <w:rPr>
          <w:rFonts w:asciiTheme="minorHAnsi" w:eastAsiaTheme="minorEastAsia" w:hAnsiTheme="minorHAnsi" w:cstheme="minorHAnsi"/>
          <w:noProof/>
          <w:sz w:val="22"/>
          <w:szCs w:val="22"/>
          <w:lang w:val="en-GB"/>
        </w:rPr>
        <w:t xml:space="preserve"> early-stage deformation when </w:t>
      </w:r>
      <w:r>
        <w:rPr>
          <w:rFonts w:asciiTheme="minorHAnsi" w:eastAsiaTheme="minorEastAsia" w:hAnsiTheme="minorHAnsi" w:cstheme="minorHAnsi"/>
          <w:noProof/>
          <w:sz w:val="22"/>
          <w:szCs w:val="22"/>
          <w:lang w:val="en-GB"/>
        </w:rPr>
        <w:t xml:space="preserve">the </w:t>
      </w:r>
      <w:r w:rsidRPr="006E5260">
        <w:rPr>
          <w:rFonts w:asciiTheme="minorHAnsi" w:eastAsiaTheme="minorEastAsia" w:hAnsiTheme="minorHAnsi" w:cstheme="minorHAnsi"/>
          <w:noProof/>
          <w:sz w:val="22"/>
          <w:szCs w:val="22"/>
          <w:lang w:val="en-GB"/>
        </w:rPr>
        <w:t>TRIP effect</w:t>
      </w:r>
      <w:r>
        <w:rPr>
          <w:rFonts w:asciiTheme="minorHAnsi" w:eastAsiaTheme="minorEastAsia" w:hAnsiTheme="minorHAnsi" w:cstheme="minorHAnsi"/>
          <w:noProof/>
          <w:sz w:val="22"/>
          <w:szCs w:val="22"/>
          <w:lang w:val="en-GB"/>
        </w:rPr>
        <w:t xml:space="preserve"> occurs, the</w:t>
      </w:r>
      <w:r w:rsidRPr="006E5260">
        <w:rPr>
          <w:rFonts w:asciiTheme="minorHAnsi" w:eastAsiaTheme="minorEastAsia" w:hAnsiTheme="minorHAnsi" w:cstheme="minorHAnsi"/>
          <w:noProof/>
          <w:sz w:val="22"/>
          <w:szCs w:val="22"/>
          <w:lang w:val="en-GB"/>
        </w:rPr>
        <w:t xml:space="preserve"> SA type mode I~V twin are energetically favoured to </w:t>
      </w:r>
      <w:r>
        <w:rPr>
          <w:rFonts w:asciiTheme="minorHAnsi" w:eastAsiaTheme="minorEastAsia" w:hAnsiTheme="minorHAnsi" w:cstheme="minorHAnsi"/>
          <w:noProof/>
          <w:sz w:val="22"/>
          <w:szCs w:val="22"/>
          <w:lang w:val="en-GB"/>
        </w:rPr>
        <w:t>form</w:t>
      </w:r>
      <w:r w:rsidRPr="006E5260">
        <w:rPr>
          <w:rFonts w:asciiTheme="minorHAnsi" w:eastAsiaTheme="minorEastAsia" w:hAnsiTheme="minorHAnsi" w:cstheme="minorHAnsi"/>
          <w:noProof/>
          <w:sz w:val="22"/>
          <w:szCs w:val="22"/>
          <w:lang w:val="en-GB"/>
        </w:rPr>
        <w:t xml:space="preserve"> first</w:t>
      </w:r>
      <w:r>
        <w:rPr>
          <w:rFonts w:asciiTheme="minorHAnsi" w:eastAsiaTheme="minorEastAsia" w:hAnsiTheme="minorHAnsi" w:cstheme="minorHAnsi"/>
          <w:noProof/>
          <w:sz w:val="22"/>
          <w:szCs w:val="22"/>
          <w:lang w:val="en-GB"/>
        </w:rPr>
        <w:t xml:space="preserve"> in order</w:t>
      </w:r>
      <w:r w:rsidRPr="006E5260">
        <w:rPr>
          <w:rFonts w:asciiTheme="minorHAnsi" w:eastAsiaTheme="minorEastAsia" w:hAnsiTheme="minorHAnsi" w:cstheme="minorHAnsi"/>
          <w:noProof/>
          <w:sz w:val="22"/>
          <w:szCs w:val="22"/>
          <w:lang w:val="en-GB"/>
        </w:rPr>
        <w:t xml:space="preserve"> to compensate stress and strain along </w:t>
      </w:r>
      <w:r w:rsidRPr="006E5260">
        <w:rPr>
          <w:rFonts w:asciiTheme="minorHAnsi" w:eastAsiaTheme="minorEastAsia" w:hAnsiTheme="minorHAnsi" w:cstheme="minorHAnsi"/>
          <w:i/>
          <w:noProof/>
          <w:sz w:val="22"/>
          <w:szCs w:val="22"/>
          <w:lang w:val="en-GB"/>
        </w:rPr>
        <w:t>η</w:t>
      </w:r>
      <w:r w:rsidRPr="006E5260">
        <w:rPr>
          <w:rFonts w:asciiTheme="minorHAnsi" w:eastAsiaTheme="minorEastAsia" w:hAnsiTheme="minorHAnsi" w:cstheme="minorHAnsi"/>
          <w:noProof/>
          <w:sz w:val="22"/>
          <w:szCs w:val="22"/>
          <w:vertAlign w:val="subscript"/>
          <w:lang w:val="en-GB"/>
        </w:rPr>
        <w:t>SA</w:t>
      </w:r>
      <m:oMath>
        <m:r>
          <w:rPr>
            <w:rFonts w:ascii="Cambria Math" w:eastAsiaTheme="minorEastAsia" w:hAnsi="Cambria Math" w:cstheme="minorHAnsi"/>
            <w:sz w:val="22"/>
            <w:szCs w:val="22"/>
            <w:lang w:val="en-GB"/>
          </w:rPr>
          <m:t xml:space="preserve"> </m:t>
        </m:r>
      </m:oMath>
      <w:r w:rsidRPr="006E5260">
        <w:rPr>
          <w:rFonts w:asciiTheme="minorHAnsi" w:eastAsiaTheme="minorEastAsia" w:hAnsiTheme="minorHAnsi" w:cstheme="minorHAnsi"/>
          <w:noProof/>
          <w:sz w:val="22"/>
          <w:szCs w:val="22"/>
          <w:lang w:val="en-GB"/>
        </w:rPr>
        <w:t xml:space="preserve">direction. </w:t>
      </w:r>
      <w:r>
        <w:rPr>
          <w:rFonts w:asciiTheme="minorHAnsi" w:eastAsiaTheme="minorEastAsia" w:hAnsiTheme="minorHAnsi" w:cstheme="minorHAnsi"/>
          <w:noProof/>
          <w:sz w:val="22"/>
          <w:szCs w:val="22"/>
          <w:lang w:val="en-GB"/>
        </w:rPr>
        <w:t>At the later stages of</w:t>
      </w:r>
      <w:r w:rsidRPr="006E5260">
        <w:rPr>
          <w:rFonts w:asciiTheme="minorHAnsi" w:eastAsiaTheme="minorEastAsia" w:hAnsiTheme="minorHAnsi" w:cstheme="minorHAnsi"/>
          <w:noProof/>
          <w:sz w:val="22"/>
          <w:szCs w:val="22"/>
          <w:lang w:val="en-GB"/>
        </w:rPr>
        <w:t xml:space="preserve"> deformation, when</w:t>
      </w:r>
      <w:r>
        <w:rPr>
          <w:rFonts w:asciiTheme="minorHAnsi" w:eastAsiaTheme="minorEastAsia" w:hAnsiTheme="minorHAnsi" w:cstheme="minorHAnsi"/>
          <w:noProof/>
          <w:sz w:val="22"/>
          <w:szCs w:val="22"/>
          <w:lang w:val="en-GB"/>
        </w:rPr>
        <w:t xml:space="preserve"> the </w:t>
      </w:r>
      <w:r w:rsidRPr="006E5260">
        <w:rPr>
          <w:rFonts w:asciiTheme="minorHAnsi" w:eastAsiaTheme="minorEastAsia" w:hAnsiTheme="minorHAnsi" w:cstheme="minorHAnsi"/>
          <w:noProof/>
          <w:sz w:val="22"/>
          <w:szCs w:val="22"/>
          <w:lang w:val="en-GB"/>
        </w:rPr>
        <w:t xml:space="preserve">TRIP effect </w:t>
      </w:r>
      <w:r>
        <w:rPr>
          <w:rFonts w:asciiTheme="minorHAnsi" w:eastAsiaTheme="minorEastAsia" w:hAnsiTheme="minorHAnsi" w:cstheme="minorHAnsi"/>
          <w:noProof/>
          <w:sz w:val="22"/>
          <w:szCs w:val="22"/>
          <w:lang w:val="en-GB"/>
        </w:rPr>
        <w:t>reduces</w:t>
      </w:r>
      <w:r w:rsidRPr="006E5260">
        <w:rPr>
          <w:rFonts w:asciiTheme="minorHAnsi" w:eastAsiaTheme="minorEastAsia" w:hAnsiTheme="minorHAnsi" w:cstheme="minorHAnsi"/>
          <w:noProof/>
          <w:sz w:val="22"/>
          <w:szCs w:val="22"/>
          <w:lang w:val="en-GB"/>
        </w:rPr>
        <w:t xml:space="preserve">, the existing SA twinnings are favoured to compensate the increasing stress and strain along </w:t>
      </w:r>
      <w:r w:rsidRPr="006E5260">
        <w:rPr>
          <w:rFonts w:asciiTheme="minorHAnsi" w:eastAsiaTheme="minorEastAsia" w:hAnsiTheme="minorHAnsi" w:cstheme="minorHAnsi"/>
          <w:i/>
          <w:noProof/>
          <w:sz w:val="22"/>
          <w:szCs w:val="22"/>
          <w:lang w:val="en-GB"/>
        </w:rPr>
        <w:t>η</w:t>
      </w:r>
      <w:r w:rsidRPr="006E5260">
        <w:rPr>
          <w:rFonts w:asciiTheme="minorHAnsi" w:eastAsiaTheme="minorEastAsia" w:hAnsiTheme="minorHAnsi" w:cstheme="minorHAnsi"/>
          <w:noProof/>
          <w:sz w:val="22"/>
          <w:szCs w:val="22"/>
          <w:vertAlign w:val="subscript"/>
          <w:lang w:val="en-GB"/>
        </w:rPr>
        <w:t>1</w:t>
      </w:r>
      <w:r w:rsidRPr="006E5260">
        <w:rPr>
          <w:rFonts w:asciiTheme="minorHAnsi" w:eastAsiaTheme="minorEastAsia" w:hAnsiTheme="minorHAnsi" w:cstheme="minorHAnsi"/>
          <w:noProof/>
          <w:sz w:val="22"/>
          <w:szCs w:val="22"/>
          <w:lang w:val="en-GB"/>
        </w:rPr>
        <w:t xml:space="preserve"> instead of</w:t>
      </w:r>
      <w:r>
        <w:rPr>
          <w:rFonts w:asciiTheme="minorHAnsi" w:eastAsiaTheme="minorEastAsia" w:hAnsiTheme="minorHAnsi" w:cstheme="minorHAnsi"/>
          <w:noProof/>
          <w:sz w:val="22"/>
          <w:szCs w:val="22"/>
          <w:lang w:val="en-GB"/>
        </w:rPr>
        <w:t xml:space="preserve"> the</w:t>
      </w:r>
      <w:r w:rsidRPr="006E5260">
        <w:rPr>
          <w:rFonts w:asciiTheme="minorHAnsi" w:eastAsiaTheme="minorEastAsia" w:hAnsiTheme="minorHAnsi" w:cstheme="minorHAnsi"/>
          <w:noProof/>
          <w:sz w:val="22"/>
          <w:szCs w:val="22"/>
          <w:lang w:val="en-GB"/>
        </w:rPr>
        <w:t xml:space="preserve"> </w:t>
      </w:r>
      <w:r w:rsidRPr="006E5260">
        <w:rPr>
          <w:rFonts w:asciiTheme="minorHAnsi" w:eastAsiaTheme="minorEastAsia" w:hAnsiTheme="minorHAnsi" w:cstheme="minorHAnsi"/>
          <w:i/>
          <w:noProof/>
          <w:sz w:val="22"/>
          <w:szCs w:val="22"/>
          <w:lang w:val="en-GB"/>
        </w:rPr>
        <w:t>η</w:t>
      </w:r>
      <w:r w:rsidRPr="006E5260">
        <w:rPr>
          <w:rFonts w:asciiTheme="minorHAnsi" w:eastAsiaTheme="minorEastAsia" w:hAnsiTheme="minorHAnsi" w:cstheme="minorHAnsi"/>
          <w:noProof/>
          <w:sz w:val="22"/>
          <w:szCs w:val="22"/>
          <w:vertAlign w:val="subscript"/>
          <w:lang w:val="en-GB"/>
        </w:rPr>
        <w:t>SA</w:t>
      </w:r>
      <w:r w:rsidRPr="006E5260">
        <w:rPr>
          <w:rFonts w:asciiTheme="minorHAnsi" w:eastAsiaTheme="minorEastAsia" w:hAnsiTheme="minorHAnsi" w:cstheme="minorHAnsi"/>
          <w:noProof/>
          <w:sz w:val="22"/>
          <w:szCs w:val="22"/>
          <w:lang w:val="en-GB"/>
        </w:rPr>
        <w:t xml:space="preserve"> direction.</w:t>
      </w:r>
      <w:r w:rsidRPr="006E5260">
        <w:rPr>
          <w:rFonts w:asciiTheme="minorHAnsi" w:eastAsiaTheme="minorEastAsia" w:hAnsiTheme="minorHAnsi" w:cstheme="minorHAnsi"/>
          <w:sz w:val="22"/>
          <w:szCs w:val="22"/>
          <w:lang w:val="en-GB"/>
        </w:rPr>
        <w:t xml:space="preserve"> Therefore</w:t>
      </w:r>
      <w:r w:rsidRPr="006E5260">
        <w:rPr>
          <w:rFonts w:asciiTheme="minorHAnsi" w:eastAsiaTheme="minorEastAsia" w:hAnsiTheme="minorHAnsi" w:cstheme="minorHAnsi"/>
          <w:noProof/>
          <w:sz w:val="22"/>
          <w:szCs w:val="22"/>
          <w:lang w:val="en-GB"/>
        </w:rPr>
        <w:t xml:space="preserve">, deformation products </w:t>
      </w:r>
      <w:r>
        <w:rPr>
          <w:rFonts w:asciiTheme="minorHAnsi" w:eastAsiaTheme="minorEastAsia" w:hAnsiTheme="minorHAnsi" w:cstheme="minorHAnsi"/>
          <w:noProof/>
          <w:sz w:val="22"/>
          <w:szCs w:val="22"/>
          <w:lang w:val="en-GB"/>
        </w:rPr>
        <w:t xml:space="preserve">such </w:t>
      </w:r>
      <w:r w:rsidRPr="006E5260">
        <w:rPr>
          <w:rFonts w:asciiTheme="minorHAnsi" w:eastAsiaTheme="minorEastAsia" w:hAnsiTheme="minorHAnsi" w:cstheme="minorHAnsi"/>
          <w:noProof/>
          <w:sz w:val="22"/>
          <w:szCs w:val="22"/>
          <w:lang w:val="en-GB"/>
        </w:rPr>
        <w:t xml:space="preserve">as mechanical twinning or secondary SA twinning </w:t>
      </w:r>
      <w:r>
        <w:rPr>
          <w:rFonts w:asciiTheme="minorHAnsi" w:eastAsiaTheme="minorEastAsia" w:hAnsiTheme="minorHAnsi" w:cstheme="minorHAnsi"/>
          <w:noProof/>
          <w:sz w:val="22"/>
          <w:szCs w:val="22"/>
          <w:lang w:val="en-GB"/>
        </w:rPr>
        <w:t>may</w:t>
      </w:r>
      <w:r w:rsidRPr="006E5260">
        <w:rPr>
          <w:rFonts w:asciiTheme="minorHAnsi" w:eastAsiaTheme="minorEastAsia" w:hAnsiTheme="minorHAnsi" w:cstheme="minorHAnsi"/>
          <w:noProof/>
          <w:sz w:val="22"/>
          <w:szCs w:val="22"/>
          <w:lang w:val="en-GB"/>
        </w:rPr>
        <w:t xml:space="preserve"> be </w:t>
      </w:r>
      <w:r>
        <w:rPr>
          <w:rFonts w:asciiTheme="minorHAnsi" w:eastAsiaTheme="minorEastAsia" w:hAnsiTheme="minorHAnsi" w:cstheme="minorHAnsi"/>
          <w:noProof/>
          <w:sz w:val="22"/>
          <w:szCs w:val="22"/>
          <w:lang w:val="en-GB"/>
        </w:rPr>
        <w:t>activated</w:t>
      </w:r>
      <w:r w:rsidRPr="006E5260">
        <w:rPr>
          <w:rFonts w:asciiTheme="minorHAnsi" w:eastAsiaTheme="minorEastAsia" w:hAnsiTheme="minorHAnsi" w:cstheme="minorHAnsi"/>
          <w:noProof/>
          <w:sz w:val="22"/>
          <w:szCs w:val="22"/>
          <w:lang w:val="en-GB"/>
        </w:rPr>
        <w:t xml:space="preserve"> on the existing SA twinning structure. Considering the abnormal cooperation of {332}&lt;11-3&gt;</w:t>
      </w:r>
      <w:r w:rsidRPr="006E5260">
        <w:rPr>
          <w:rFonts w:asciiTheme="minorHAnsi" w:eastAsia="等线" w:hAnsiTheme="minorHAnsi" w:cstheme="minorHAnsi"/>
          <w:noProof/>
          <w:sz w:val="22"/>
          <w:szCs w:val="22"/>
          <w:vertAlign w:val="subscript"/>
          <w:lang w:val="en-GB"/>
        </w:rPr>
        <w:t>β</w:t>
      </w:r>
      <w:r w:rsidRPr="006E5260">
        <w:rPr>
          <w:rFonts w:asciiTheme="minorHAnsi" w:eastAsiaTheme="minorEastAsia" w:hAnsiTheme="minorHAnsi" w:cstheme="minorHAnsi"/>
          <w:noProof/>
          <w:sz w:val="22"/>
          <w:szCs w:val="22"/>
          <w:lang w:val="en-GB"/>
        </w:rPr>
        <w:t xml:space="preserve"> and {112}&lt;11-1&gt;</w:t>
      </w:r>
      <w:r w:rsidRPr="006E5260">
        <w:rPr>
          <w:rFonts w:asciiTheme="minorHAnsi" w:eastAsia="等线" w:hAnsiTheme="minorHAnsi" w:cstheme="minorHAnsi"/>
          <w:noProof/>
          <w:sz w:val="22"/>
          <w:szCs w:val="22"/>
          <w:vertAlign w:val="subscript"/>
          <w:lang w:val="en-GB"/>
        </w:rPr>
        <w:t>β</w:t>
      </w:r>
      <w:r w:rsidRPr="006E5260">
        <w:rPr>
          <w:rFonts w:asciiTheme="minorHAnsi" w:eastAsia="等线" w:hAnsiTheme="minorHAnsi" w:cstheme="minorHAnsi"/>
          <w:noProof/>
          <w:sz w:val="22"/>
          <w:szCs w:val="22"/>
          <w:lang w:val="en-GB"/>
        </w:rPr>
        <w:t>,</w:t>
      </w:r>
      <w:r w:rsidRPr="006E5260">
        <w:rPr>
          <w:rFonts w:asciiTheme="minorHAnsi" w:eastAsia="等线" w:hAnsiTheme="minorHAnsi" w:cstheme="minorHAnsi"/>
          <w:noProof/>
          <w:sz w:val="22"/>
          <w:szCs w:val="22"/>
          <w:vertAlign w:val="subscript"/>
          <w:lang w:val="en-GB"/>
        </w:rPr>
        <w:t xml:space="preserve"> </w:t>
      </w:r>
      <w:r w:rsidRPr="006E5260">
        <w:rPr>
          <w:rFonts w:asciiTheme="minorHAnsi" w:eastAsia="等线" w:hAnsiTheme="minorHAnsi" w:cstheme="minorHAnsi"/>
          <w:noProof/>
          <w:sz w:val="22"/>
          <w:szCs w:val="22"/>
          <w:lang w:val="en-GB"/>
        </w:rPr>
        <w:t>{011}</w:t>
      </w:r>
      <w:r w:rsidRPr="006E5260">
        <w:rPr>
          <w:rFonts w:asciiTheme="minorHAnsi" w:eastAsia="等线" w:hAnsiTheme="minorHAnsi" w:cstheme="minorHAnsi"/>
          <w:noProof/>
          <w:sz w:val="22"/>
          <w:szCs w:val="22"/>
          <w:vertAlign w:val="subscript"/>
          <w:lang w:val="en-GB"/>
        </w:rPr>
        <w:t>α’’</w:t>
      </w:r>
      <w:r w:rsidRPr="006E5260">
        <w:rPr>
          <w:rFonts w:asciiTheme="minorHAnsi" w:eastAsia="等线" w:hAnsiTheme="minorHAnsi" w:cstheme="minorHAnsi"/>
          <w:noProof/>
          <w:sz w:val="22"/>
          <w:szCs w:val="22"/>
          <w:lang w:val="en-GB"/>
        </w:rPr>
        <w:t xml:space="preserve"> compound twin and {111}</w:t>
      </w:r>
      <w:r w:rsidRPr="006E5260">
        <w:rPr>
          <w:rFonts w:asciiTheme="minorHAnsi" w:eastAsia="等线" w:hAnsiTheme="minorHAnsi" w:cstheme="minorHAnsi"/>
          <w:noProof/>
          <w:sz w:val="22"/>
          <w:szCs w:val="22"/>
          <w:vertAlign w:val="subscript"/>
          <w:lang w:val="en-GB"/>
        </w:rPr>
        <w:t>α’’</w:t>
      </w:r>
      <w:r w:rsidRPr="006E5260">
        <w:rPr>
          <w:rFonts w:asciiTheme="minorHAnsi" w:eastAsia="等线" w:hAnsiTheme="minorHAnsi" w:cstheme="minorHAnsi"/>
          <w:noProof/>
          <w:sz w:val="22"/>
          <w:szCs w:val="22"/>
          <w:lang w:val="en-GB"/>
        </w:rPr>
        <w:t xml:space="preserve"> type I twin observed in </w:t>
      </w:r>
      <w:r>
        <w:rPr>
          <w:rFonts w:asciiTheme="minorHAnsi" w:eastAsia="等线" w:hAnsiTheme="minorHAnsi" w:cstheme="minorHAnsi"/>
          <w:noProof/>
          <w:sz w:val="22"/>
          <w:szCs w:val="22"/>
          <w:lang w:val="en-GB"/>
        </w:rPr>
        <w:t>C</w:t>
      </w:r>
      <w:r w:rsidRPr="006E5260">
        <w:rPr>
          <w:rFonts w:asciiTheme="minorHAnsi" w:eastAsia="等线" w:hAnsiTheme="minorHAnsi" w:cstheme="minorHAnsi"/>
          <w:noProof/>
          <w:sz w:val="22"/>
          <w:szCs w:val="22"/>
          <w:lang w:val="en-GB"/>
        </w:rPr>
        <w:t>hapter</w:t>
      </w:r>
      <w:r>
        <w:rPr>
          <w:rFonts w:asciiTheme="minorHAnsi" w:eastAsia="等线" w:hAnsiTheme="minorHAnsi" w:cstheme="minorHAnsi"/>
          <w:noProof/>
          <w:sz w:val="22"/>
          <w:szCs w:val="22"/>
          <w:lang w:val="en-GB"/>
        </w:rPr>
        <w:t xml:space="preserve"> 5,</w:t>
      </w:r>
      <w:r w:rsidRPr="006E5260">
        <w:rPr>
          <w:rFonts w:asciiTheme="minorHAnsi" w:eastAsiaTheme="minorEastAsia" w:hAnsiTheme="minorHAnsi" w:cstheme="minorHAnsi"/>
          <w:noProof/>
          <w:sz w:val="22"/>
          <w:szCs w:val="22"/>
          <w:lang w:val="en-GB"/>
        </w:rPr>
        <w:t xml:space="preserve"> </w:t>
      </w:r>
      <w:r>
        <w:rPr>
          <w:rFonts w:asciiTheme="minorHAnsi" w:eastAsiaTheme="minorEastAsia" w:hAnsiTheme="minorHAnsi" w:cstheme="minorHAnsi"/>
          <w:noProof/>
          <w:sz w:val="22"/>
          <w:szCs w:val="22"/>
          <w:lang w:val="en-GB"/>
        </w:rPr>
        <w:t xml:space="preserve">the </w:t>
      </w:r>
      <w:r w:rsidRPr="006E5260">
        <w:rPr>
          <w:rFonts w:asciiTheme="minorHAnsi" w:eastAsiaTheme="minorEastAsia" w:hAnsiTheme="minorHAnsi" w:cstheme="minorHAnsi"/>
          <w:noProof/>
          <w:sz w:val="22"/>
          <w:szCs w:val="22"/>
          <w:lang w:val="en-GB"/>
        </w:rPr>
        <w:t>Mode I</w:t>
      </w:r>
      <w:r>
        <w:rPr>
          <w:rFonts w:asciiTheme="minorHAnsi" w:eastAsiaTheme="minorEastAsia" w:hAnsiTheme="minorHAnsi" w:cstheme="minorHAnsi"/>
          <w:noProof/>
          <w:sz w:val="22"/>
          <w:szCs w:val="22"/>
          <w:lang w:val="en-GB"/>
        </w:rPr>
        <w:t xml:space="preserve"> and</w:t>
      </w:r>
      <w:r w:rsidRPr="006E5260">
        <w:rPr>
          <w:rFonts w:asciiTheme="minorHAnsi" w:eastAsiaTheme="minorEastAsia" w:hAnsiTheme="minorHAnsi" w:cstheme="minorHAnsi"/>
          <w:noProof/>
          <w:sz w:val="22"/>
          <w:szCs w:val="22"/>
          <w:lang w:val="en-GB"/>
        </w:rPr>
        <w:t xml:space="preserve"> II SA twin</w:t>
      </w:r>
      <w:r>
        <w:rPr>
          <w:rFonts w:asciiTheme="minorHAnsi" w:eastAsiaTheme="minorEastAsia" w:hAnsiTheme="minorHAnsi" w:cstheme="minorHAnsi"/>
          <w:noProof/>
          <w:sz w:val="22"/>
          <w:szCs w:val="22"/>
          <w:lang w:val="en-GB"/>
        </w:rPr>
        <w:t>s</w:t>
      </w:r>
      <w:r w:rsidRPr="006E5260">
        <w:rPr>
          <w:rFonts w:asciiTheme="minorHAnsi" w:eastAsiaTheme="minorEastAsia" w:hAnsiTheme="minorHAnsi" w:cstheme="minorHAnsi"/>
          <w:noProof/>
          <w:sz w:val="22"/>
          <w:szCs w:val="22"/>
          <w:lang w:val="en-GB"/>
        </w:rPr>
        <w:t xml:space="preserve"> correspond</w:t>
      </w:r>
      <w:r>
        <w:rPr>
          <w:rFonts w:asciiTheme="minorHAnsi" w:eastAsiaTheme="minorEastAsia" w:hAnsiTheme="minorHAnsi" w:cstheme="minorHAnsi"/>
          <w:noProof/>
          <w:sz w:val="22"/>
          <w:szCs w:val="22"/>
          <w:lang w:val="en-GB"/>
        </w:rPr>
        <w:t>ing</w:t>
      </w:r>
      <w:r w:rsidRPr="006E5260">
        <w:rPr>
          <w:rFonts w:asciiTheme="minorHAnsi" w:eastAsiaTheme="minorEastAsia" w:hAnsiTheme="minorHAnsi" w:cstheme="minorHAnsi"/>
          <w:noProof/>
          <w:sz w:val="22"/>
          <w:szCs w:val="22"/>
          <w:lang w:val="en-GB"/>
        </w:rPr>
        <w:t xml:space="preserve"> mechanical twinning mode requir</w:t>
      </w:r>
      <w:r>
        <w:rPr>
          <w:rFonts w:asciiTheme="minorHAnsi" w:eastAsiaTheme="minorEastAsia" w:hAnsiTheme="minorHAnsi" w:cstheme="minorHAnsi"/>
          <w:noProof/>
          <w:sz w:val="22"/>
          <w:szCs w:val="22"/>
          <w:lang w:val="en-GB"/>
        </w:rPr>
        <w:t>ed</w:t>
      </w:r>
      <w:r w:rsidRPr="006E5260">
        <w:rPr>
          <w:rFonts w:asciiTheme="minorHAnsi" w:eastAsiaTheme="minorEastAsia" w:hAnsiTheme="minorHAnsi" w:cstheme="minorHAnsi"/>
          <w:noProof/>
          <w:sz w:val="22"/>
          <w:szCs w:val="22"/>
          <w:lang w:val="en-GB"/>
        </w:rPr>
        <w:t xml:space="preserve"> smallest shear vectors in both martensite phase and correspond</w:t>
      </w:r>
      <w:r>
        <w:rPr>
          <w:rFonts w:asciiTheme="minorHAnsi" w:eastAsiaTheme="minorEastAsia" w:hAnsiTheme="minorHAnsi" w:cstheme="minorHAnsi"/>
          <w:noProof/>
          <w:sz w:val="22"/>
          <w:szCs w:val="22"/>
          <w:lang w:val="en-GB"/>
        </w:rPr>
        <w:t>ing</w:t>
      </w:r>
      <w:r w:rsidRPr="006E5260">
        <w:rPr>
          <w:rFonts w:asciiTheme="minorHAnsi" w:eastAsiaTheme="minorEastAsia" w:hAnsiTheme="minorHAnsi" w:cstheme="minorHAnsi"/>
          <w:noProof/>
          <w:sz w:val="22"/>
          <w:szCs w:val="22"/>
          <w:lang w:val="en-GB"/>
        </w:rPr>
        <w:t xml:space="preserve"> β phase</w:t>
      </w:r>
      <w:r>
        <w:rPr>
          <w:rFonts w:asciiTheme="minorHAnsi" w:eastAsiaTheme="minorEastAsia" w:hAnsiTheme="minorHAnsi" w:cstheme="minorHAnsi"/>
          <w:noProof/>
          <w:sz w:val="22"/>
          <w:szCs w:val="22"/>
          <w:lang w:val="en-GB"/>
        </w:rPr>
        <w:t>, which was</w:t>
      </w:r>
      <w:r w:rsidRPr="006E5260">
        <w:rPr>
          <w:rFonts w:asciiTheme="minorHAnsi" w:eastAsiaTheme="minorEastAsia" w:hAnsiTheme="minorHAnsi" w:cstheme="minorHAnsi"/>
          <w:noProof/>
          <w:sz w:val="22"/>
          <w:szCs w:val="22"/>
          <w:lang w:val="en-GB"/>
        </w:rPr>
        <w:t xml:space="preserve"> believed to responsible for this </w:t>
      </w:r>
      <w:r>
        <w:rPr>
          <w:rFonts w:asciiTheme="minorHAnsi" w:eastAsiaTheme="minorEastAsia" w:hAnsiTheme="minorHAnsi" w:cstheme="minorHAnsi"/>
          <w:noProof/>
          <w:sz w:val="22"/>
          <w:szCs w:val="22"/>
          <w:lang w:val="en-GB"/>
        </w:rPr>
        <w:t>process</w:t>
      </w:r>
      <w:r w:rsidRPr="006E5260">
        <w:rPr>
          <w:rFonts w:asciiTheme="minorHAnsi" w:eastAsiaTheme="minorEastAsia" w:hAnsiTheme="minorHAnsi" w:cstheme="minorHAnsi"/>
          <w:noProof/>
          <w:sz w:val="22"/>
          <w:szCs w:val="22"/>
          <w:lang w:val="en-GB"/>
        </w:rPr>
        <w:t xml:space="preserve">. </w:t>
      </w:r>
      <w:r>
        <w:rPr>
          <w:rFonts w:asciiTheme="minorHAnsi" w:eastAsiaTheme="minorEastAsia" w:hAnsiTheme="minorHAnsi" w:cstheme="minorHAnsi"/>
          <w:noProof/>
          <w:sz w:val="22"/>
          <w:szCs w:val="22"/>
          <w:lang w:val="en-GB"/>
        </w:rPr>
        <w:t>The</w:t>
      </w:r>
      <w:r w:rsidRPr="006E5260">
        <w:rPr>
          <w:rFonts w:asciiTheme="minorHAnsi" w:eastAsiaTheme="minorEastAsia" w:hAnsiTheme="minorHAnsi" w:cstheme="minorHAnsi"/>
          <w:noProof/>
          <w:sz w:val="22"/>
          <w:szCs w:val="22"/>
          <w:lang w:val="en-GB"/>
        </w:rPr>
        <w:t xml:space="preserve"> TTIP effect is </w:t>
      </w:r>
      <w:r>
        <w:rPr>
          <w:rFonts w:asciiTheme="minorHAnsi" w:eastAsiaTheme="minorEastAsia" w:hAnsiTheme="minorHAnsi" w:cstheme="minorHAnsi"/>
          <w:noProof/>
          <w:sz w:val="22"/>
          <w:szCs w:val="22"/>
          <w:lang w:val="en-GB"/>
        </w:rPr>
        <w:t>postulated to</w:t>
      </w:r>
      <w:r w:rsidRPr="006E5260">
        <w:rPr>
          <w:rFonts w:asciiTheme="minorHAnsi" w:eastAsiaTheme="minorEastAsia" w:hAnsiTheme="minorHAnsi" w:cstheme="minorHAnsi"/>
          <w:noProof/>
          <w:sz w:val="22"/>
          <w:szCs w:val="22"/>
          <w:lang w:val="en-GB"/>
        </w:rPr>
        <w:t xml:space="preserve"> </w:t>
      </w:r>
      <w:r>
        <w:rPr>
          <w:rFonts w:asciiTheme="minorHAnsi" w:eastAsiaTheme="minorEastAsia" w:hAnsiTheme="minorHAnsi" w:cstheme="minorHAnsi"/>
          <w:noProof/>
          <w:sz w:val="22"/>
          <w:szCs w:val="22"/>
          <w:lang w:val="en-GB"/>
        </w:rPr>
        <w:t xml:space="preserve">be the </w:t>
      </w:r>
      <w:r w:rsidRPr="006E5260">
        <w:rPr>
          <w:rFonts w:asciiTheme="minorHAnsi" w:eastAsiaTheme="minorEastAsia" w:hAnsiTheme="minorHAnsi" w:cstheme="minorHAnsi"/>
          <w:noProof/>
          <w:sz w:val="22"/>
          <w:szCs w:val="22"/>
          <w:lang w:val="en-GB"/>
        </w:rPr>
        <w:t>main contribut</w:t>
      </w:r>
      <w:r>
        <w:rPr>
          <w:rFonts w:asciiTheme="minorHAnsi" w:eastAsiaTheme="minorEastAsia" w:hAnsiTheme="minorHAnsi" w:cstheme="minorHAnsi"/>
          <w:noProof/>
          <w:sz w:val="22"/>
          <w:szCs w:val="22"/>
          <w:lang w:val="en-GB"/>
        </w:rPr>
        <w:t>or</w:t>
      </w:r>
      <w:r w:rsidRPr="006E5260">
        <w:rPr>
          <w:rFonts w:asciiTheme="minorHAnsi" w:eastAsiaTheme="minorEastAsia" w:hAnsiTheme="minorHAnsi" w:cstheme="minorHAnsi"/>
          <w:noProof/>
          <w:sz w:val="22"/>
          <w:szCs w:val="22"/>
          <w:lang w:val="en-GB"/>
        </w:rPr>
        <w:t xml:space="preserve"> to the strengthening of TiZrHfTa</w:t>
      </w:r>
      <w:r w:rsidRPr="006E5260">
        <w:rPr>
          <w:rFonts w:asciiTheme="minorHAnsi" w:eastAsiaTheme="minorEastAsia" w:hAnsiTheme="minorHAnsi" w:cstheme="minorHAnsi"/>
          <w:noProof/>
          <w:sz w:val="22"/>
          <w:szCs w:val="22"/>
          <w:vertAlign w:val="subscript"/>
          <w:lang w:val="en-GB"/>
        </w:rPr>
        <w:t>0</w:t>
      </w:r>
      <w:r>
        <w:rPr>
          <w:rFonts w:asciiTheme="minorHAnsi" w:eastAsiaTheme="minorEastAsia" w:hAnsiTheme="minorHAnsi" w:cstheme="minorHAnsi"/>
          <w:noProof/>
          <w:sz w:val="22"/>
          <w:szCs w:val="22"/>
          <w:vertAlign w:val="subscript"/>
          <w:lang w:val="en-GB"/>
        </w:rPr>
        <w:t>.</w:t>
      </w:r>
      <w:r w:rsidRPr="003B25EA">
        <w:rPr>
          <w:rFonts w:asciiTheme="minorHAnsi" w:eastAsiaTheme="minorEastAsia" w:hAnsiTheme="minorHAnsi" w:cstheme="minorHAnsi"/>
          <w:noProof/>
          <w:color w:val="000000" w:themeColor="text1"/>
          <w:sz w:val="22"/>
          <w:szCs w:val="22"/>
          <w:vertAlign w:val="subscript"/>
          <w:lang w:val="en-GB"/>
        </w:rPr>
        <w:t>5</w:t>
      </w:r>
      <w:r w:rsidRPr="003B25EA">
        <w:rPr>
          <w:rFonts w:asciiTheme="minorHAnsi" w:eastAsiaTheme="minorEastAsia" w:hAnsiTheme="minorHAnsi" w:cstheme="minorHAnsi"/>
          <w:noProof/>
          <w:color w:val="000000" w:themeColor="text1"/>
          <w:sz w:val="22"/>
          <w:szCs w:val="22"/>
          <w:lang w:val="en-GB"/>
        </w:rPr>
        <w:t xml:space="preserve">. </w:t>
      </w:r>
      <w:r>
        <w:rPr>
          <w:rFonts w:asciiTheme="minorHAnsi" w:eastAsiaTheme="minorEastAsia" w:hAnsiTheme="minorHAnsi" w:cstheme="minorHAnsi"/>
          <w:noProof/>
          <w:color w:val="000000" w:themeColor="text1"/>
          <w:sz w:val="22"/>
          <w:szCs w:val="22"/>
          <w:lang w:val="en-GB"/>
        </w:rPr>
        <w:t>, as a result of the c</w:t>
      </w:r>
      <w:r w:rsidRPr="006E5260">
        <w:rPr>
          <w:rFonts w:asciiTheme="minorHAnsi" w:eastAsiaTheme="minorEastAsia" w:hAnsiTheme="minorHAnsi" w:cstheme="minorHAnsi"/>
          <w:noProof/>
          <w:sz w:val="22"/>
          <w:szCs w:val="22"/>
          <w:lang w:val="en-GB"/>
        </w:rPr>
        <w:t>oherently linked SA twinning and mechanical twinning in α’’ and β phase</w:t>
      </w:r>
      <w:r>
        <w:rPr>
          <w:rFonts w:asciiTheme="minorHAnsi" w:eastAsiaTheme="minorEastAsia" w:hAnsiTheme="minorHAnsi" w:cstheme="minorHAnsi"/>
          <w:noProof/>
          <w:sz w:val="22"/>
          <w:szCs w:val="22"/>
          <w:lang w:val="en-GB"/>
        </w:rPr>
        <w:t>, respectively.</w:t>
      </w:r>
      <w:r w:rsidRPr="006E5260">
        <w:rPr>
          <w:rFonts w:asciiTheme="minorHAnsi" w:eastAsiaTheme="minorEastAsia" w:hAnsiTheme="minorHAnsi" w:cstheme="minorHAnsi"/>
          <w:noProof/>
          <w:sz w:val="22"/>
          <w:szCs w:val="22"/>
          <w:lang w:val="en-GB"/>
        </w:rPr>
        <w:t xml:space="preserve"> </w:t>
      </w:r>
      <w:r w:rsidRPr="003B25EA">
        <w:rPr>
          <w:rFonts w:asciiTheme="minorHAnsi" w:eastAsiaTheme="minorEastAsia" w:hAnsiTheme="minorHAnsi" w:cstheme="minorHAnsi"/>
          <w:noProof/>
          <w:color w:val="000000" w:themeColor="text1"/>
          <w:sz w:val="22"/>
          <w:szCs w:val="22"/>
          <w:lang w:val="en-GB"/>
        </w:rPr>
        <w:t>According to the atomic shuffle mechanism result</w:t>
      </w:r>
      <w:r>
        <w:rPr>
          <w:rFonts w:asciiTheme="minorHAnsi" w:eastAsiaTheme="minorEastAsia" w:hAnsiTheme="minorHAnsi" w:cstheme="minorHAnsi"/>
          <w:noProof/>
          <w:color w:val="000000" w:themeColor="text1"/>
          <w:sz w:val="22"/>
          <w:szCs w:val="22"/>
          <w:lang w:val="en-GB"/>
        </w:rPr>
        <w:t>s</w:t>
      </w:r>
      <w:r w:rsidRPr="003B25EA">
        <w:rPr>
          <w:rFonts w:asciiTheme="minorHAnsi" w:eastAsiaTheme="minorEastAsia" w:hAnsiTheme="minorHAnsi" w:cstheme="minorHAnsi"/>
          <w:noProof/>
          <w:color w:val="000000" w:themeColor="text1"/>
          <w:sz w:val="22"/>
          <w:szCs w:val="22"/>
          <w:lang w:val="en-GB"/>
        </w:rPr>
        <w:t xml:space="preserve"> calculated, the activation of mode I and mode II SA twin</w:t>
      </w:r>
      <w:r>
        <w:rPr>
          <w:rFonts w:asciiTheme="minorHAnsi" w:eastAsiaTheme="minorEastAsia" w:hAnsiTheme="minorHAnsi" w:cstheme="minorHAnsi"/>
          <w:noProof/>
          <w:color w:val="000000" w:themeColor="text1"/>
          <w:sz w:val="22"/>
          <w:szCs w:val="22"/>
          <w:lang w:val="en-GB"/>
        </w:rPr>
        <w:t>s</w:t>
      </w:r>
      <w:r w:rsidRPr="003B25EA">
        <w:rPr>
          <w:rFonts w:asciiTheme="minorHAnsi" w:eastAsiaTheme="minorEastAsia" w:hAnsiTheme="minorHAnsi" w:cstheme="minorHAnsi"/>
          <w:noProof/>
          <w:color w:val="000000" w:themeColor="text1"/>
          <w:sz w:val="22"/>
          <w:szCs w:val="22"/>
          <w:lang w:val="en-GB"/>
        </w:rPr>
        <w:t xml:space="preserve"> </w:t>
      </w:r>
      <w:r>
        <w:rPr>
          <w:rFonts w:asciiTheme="minorHAnsi" w:eastAsiaTheme="minorEastAsia" w:hAnsiTheme="minorHAnsi" w:cstheme="minorHAnsi"/>
          <w:noProof/>
          <w:color w:val="000000" w:themeColor="text1"/>
          <w:sz w:val="22"/>
          <w:szCs w:val="22"/>
          <w:lang w:val="en-GB"/>
        </w:rPr>
        <w:t>were</w:t>
      </w:r>
      <w:r w:rsidRPr="003B25EA">
        <w:rPr>
          <w:rFonts w:asciiTheme="minorHAnsi" w:eastAsiaTheme="minorEastAsia" w:hAnsiTheme="minorHAnsi" w:cstheme="minorHAnsi"/>
          <w:noProof/>
          <w:color w:val="000000" w:themeColor="text1"/>
          <w:sz w:val="22"/>
          <w:szCs w:val="22"/>
          <w:lang w:val="en-GB"/>
        </w:rPr>
        <w:t xml:space="preserve"> mainly depend</w:t>
      </w:r>
      <w:r>
        <w:rPr>
          <w:rFonts w:asciiTheme="minorHAnsi" w:eastAsiaTheme="minorEastAsia" w:hAnsiTheme="minorHAnsi" w:cstheme="minorHAnsi"/>
          <w:noProof/>
          <w:color w:val="000000" w:themeColor="text1"/>
          <w:sz w:val="22"/>
          <w:szCs w:val="22"/>
          <w:lang w:val="en-GB"/>
        </w:rPr>
        <w:t>ant</w:t>
      </w:r>
      <w:r w:rsidRPr="003B25EA">
        <w:rPr>
          <w:rFonts w:asciiTheme="minorHAnsi" w:eastAsiaTheme="minorEastAsia" w:hAnsiTheme="minorHAnsi" w:cstheme="minorHAnsi"/>
          <w:noProof/>
          <w:color w:val="000000" w:themeColor="text1"/>
          <w:sz w:val="22"/>
          <w:szCs w:val="22"/>
          <w:lang w:val="en-GB"/>
        </w:rPr>
        <w:t xml:space="preserve"> on the magnitude of displacement </w:t>
      </w:r>
      <w:r w:rsidRPr="003B25EA">
        <w:rPr>
          <w:rFonts w:asciiTheme="minorHAnsi" w:eastAsia="等线" w:hAnsiTheme="minorHAnsi" w:cstheme="minorHAnsi"/>
          <w:noProof/>
          <w:color w:val="000000" w:themeColor="text1"/>
          <w:sz w:val="22"/>
          <w:szCs w:val="22"/>
          <w:lang w:val="en-GB"/>
        </w:rPr>
        <w:t>σ{001}&lt;010&gt;</w:t>
      </w:r>
      <w:r w:rsidRPr="003B25EA">
        <w:rPr>
          <w:rFonts w:asciiTheme="minorHAnsi" w:eastAsia="等线" w:hAnsiTheme="minorHAnsi" w:cstheme="minorHAnsi"/>
          <w:noProof/>
          <w:color w:val="000000" w:themeColor="text1"/>
          <w:sz w:val="22"/>
          <w:szCs w:val="22"/>
          <w:vertAlign w:val="subscript"/>
          <w:lang w:val="en-GB"/>
        </w:rPr>
        <w:t>α’’</w:t>
      </w:r>
      <w:r w:rsidRPr="003B25EA">
        <w:rPr>
          <w:rFonts w:asciiTheme="minorHAnsi" w:eastAsiaTheme="minorEastAsia" w:hAnsiTheme="minorHAnsi" w:cstheme="minorHAnsi"/>
          <w:noProof/>
          <w:color w:val="000000" w:themeColor="text1"/>
          <w:sz w:val="22"/>
          <w:szCs w:val="22"/>
          <w:lang w:val="en-GB"/>
        </w:rPr>
        <w:t xml:space="preserve"> which </w:t>
      </w:r>
      <w:r>
        <w:rPr>
          <w:rFonts w:asciiTheme="minorHAnsi" w:eastAsiaTheme="minorEastAsia" w:hAnsiTheme="minorHAnsi" w:cstheme="minorHAnsi"/>
          <w:noProof/>
          <w:color w:val="000000" w:themeColor="text1"/>
          <w:sz w:val="22"/>
          <w:szCs w:val="22"/>
          <w:lang w:val="en-GB"/>
        </w:rPr>
        <w:t>relates</w:t>
      </w:r>
      <w:r w:rsidRPr="003B25EA">
        <w:rPr>
          <w:rFonts w:asciiTheme="minorHAnsi" w:eastAsiaTheme="minorEastAsia" w:hAnsiTheme="minorHAnsi" w:cstheme="minorHAnsi"/>
          <w:noProof/>
          <w:color w:val="000000" w:themeColor="text1"/>
          <w:sz w:val="22"/>
          <w:szCs w:val="22"/>
          <w:lang w:val="en-GB"/>
        </w:rPr>
        <w:t xml:space="preserve"> to the </w:t>
      </w:r>
      <w:r w:rsidRPr="003B25EA">
        <w:rPr>
          <w:rFonts w:asciiTheme="minorHAnsi" w:eastAsia="等线" w:hAnsiTheme="minorHAnsi" w:cstheme="minorHAnsi"/>
          <w:noProof/>
          <w:color w:val="000000" w:themeColor="text1"/>
          <w:sz w:val="22"/>
          <w:szCs w:val="22"/>
          <w:lang w:val="en-GB"/>
        </w:rPr>
        <w:t>β</w:t>
      </w:r>
      <w:r w:rsidRPr="003B25EA">
        <w:rPr>
          <w:rFonts w:asciiTheme="minorHAnsi" w:eastAsiaTheme="minorEastAsia" w:hAnsiTheme="minorHAnsi" w:cstheme="minorHAnsi"/>
          <w:noProof/>
          <w:color w:val="000000" w:themeColor="text1"/>
          <w:sz w:val="22"/>
          <w:szCs w:val="22"/>
          <w:lang w:val="en-GB"/>
        </w:rPr>
        <w:t xml:space="preserve"> phase stability. </w:t>
      </w:r>
      <w:r>
        <w:rPr>
          <w:rFonts w:asciiTheme="minorHAnsi" w:eastAsiaTheme="minorEastAsia" w:hAnsiTheme="minorHAnsi" w:cstheme="minorHAnsi"/>
          <w:noProof/>
          <w:color w:val="000000" w:themeColor="text1"/>
          <w:sz w:val="22"/>
          <w:szCs w:val="22"/>
          <w:lang w:val="en-GB"/>
        </w:rPr>
        <w:lastRenderedPageBreak/>
        <w:t>Through the understanding that the</w:t>
      </w:r>
      <w:r w:rsidRPr="003B25EA">
        <w:rPr>
          <w:rFonts w:asciiTheme="minorHAnsi" w:eastAsiaTheme="minorEastAsia" w:hAnsiTheme="minorHAnsi" w:cstheme="minorHAnsi"/>
          <w:noProof/>
          <w:color w:val="000000" w:themeColor="text1"/>
          <w:sz w:val="22"/>
          <w:szCs w:val="22"/>
          <w:lang w:val="en-GB"/>
        </w:rPr>
        <w:t xml:space="preserve"> tuning </w:t>
      </w:r>
      <w:r>
        <w:rPr>
          <w:rFonts w:asciiTheme="minorHAnsi" w:eastAsiaTheme="minorEastAsia" w:hAnsiTheme="minorHAnsi" w:cstheme="minorHAnsi"/>
          <w:noProof/>
          <w:color w:val="000000" w:themeColor="text1"/>
          <w:sz w:val="22"/>
          <w:szCs w:val="22"/>
          <w:lang w:val="en-GB"/>
        </w:rPr>
        <w:t xml:space="preserve">of </w:t>
      </w:r>
      <w:r w:rsidRPr="003B25EA">
        <w:rPr>
          <w:rFonts w:asciiTheme="minorHAnsi" w:eastAsiaTheme="minorEastAsia" w:hAnsiTheme="minorHAnsi" w:cstheme="minorHAnsi"/>
          <w:noProof/>
          <w:color w:val="000000" w:themeColor="text1"/>
          <w:sz w:val="22"/>
          <w:szCs w:val="22"/>
          <w:lang w:val="en-GB"/>
        </w:rPr>
        <w:t xml:space="preserve">Ta content is effective in tailoring </w:t>
      </w:r>
      <w:r w:rsidRPr="003B25EA">
        <w:rPr>
          <w:rFonts w:asciiTheme="minorHAnsi" w:eastAsia="等线" w:hAnsiTheme="minorHAnsi" w:cstheme="minorHAnsi"/>
          <w:noProof/>
          <w:color w:val="000000" w:themeColor="text1"/>
          <w:sz w:val="22"/>
          <w:szCs w:val="22"/>
          <w:lang w:val="en-GB"/>
        </w:rPr>
        <w:t xml:space="preserve">β phase </w:t>
      </w:r>
      <w:r>
        <w:rPr>
          <w:rFonts w:asciiTheme="minorHAnsi" w:eastAsia="等线" w:hAnsiTheme="minorHAnsi" w:cstheme="minorHAnsi"/>
          <w:noProof/>
          <w:color w:val="000000" w:themeColor="text1"/>
          <w:sz w:val="22"/>
          <w:szCs w:val="22"/>
          <w:lang w:val="en-GB"/>
        </w:rPr>
        <w:t>st</w:t>
      </w:r>
      <w:r w:rsidRPr="003B25EA">
        <w:rPr>
          <w:rFonts w:asciiTheme="minorHAnsi" w:eastAsia="等线" w:hAnsiTheme="minorHAnsi" w:cstheme="minorHAnsi"/>
          <w:noProof/>
          <w:color w:val="000000" w:themeColor="text1"/>
          <w:sz w:val="22"/>
          <w:szCs w:val="22"/>
          <w:lang w:val="en-GB"/>
        </w:rPr>
        <w:t>ability, the Ta content in TiZrHfTa</w:t>
      </w:r>
      <w:r w:rsidRPr="003B25EA">
        <w:rPr>
          <w:rFonts w:asciiTheme="minorHAnsi" w:eastAsia="等线" w:hAnsiTheme="minorHAnsi" w:cstheme="minorHAnsi"/>
          <w:noProof/>
          <w:color w:val="000000" w:themeColor="text1"/>
          <w:sz w:val="22"/>
          <w:szCs w:val="22"/>
          <w:vertAlign w:val="subscript"/>
          <w:lang w:val="en-GB"/>
        </w:rPr>
        <w:t>05</w:t>
      </w:r>
      <w:r w:rsidRPr="003B25EA">
        <w:rPr>
          <w:rFonts w:asciiTheme="minorHAnsi" w:eastAsia="等线" w:hAnsiTheme="minorHAnsi" w:cstheme="minorHAnsi"/>
          <w:noProof/>
          <w:color w:val="000000" w:themeColor="text1"/>
          <w:sz w:val="22"/>
          <w:szCs w:val="22"/>
          <w:lang w:val="en-GB"/>
        </w:rPr>
        <w:t xml:space="preserve"> is believed </w:t>
      </w:r>
      <w:r>
        <w:rPr>
          <w:rFonts w:asciiTheme="minorHAnsi" w:eastAsia="等线" w:hAnsiTheme="minorHAnsi" w:cstheme="minorHAnsi"/>
          <w:noProof/>
          <w:color w:val="000000" w:themeColor="text1"/>
          <w:sz w:val="22"/>
          <w:szCs w:val="22"/>
          <w:lang w:val="en-GB"/>
        </w:rPr>
        <w:t>to be situated</w:t>
      </w:r>
      <w:r w:rsidRPr="003B25EA">
        <w:rPr>
          <w:rFonts w:asciiTheme="minorHAnsi" w:eastAsia="等线" w:hAnsiTheme="minorHAnsi" w:cstheme="minorHAnsi"/>
          <w:noProof/>
          <w:color w:val="000000" w:themeColor="text1"/>
          <w:sz w:val="22"/>
          <w:szCs w:val="22"/>
          <w:lang w:val="en-GB"/>
        </w:rPr>
        <w:t xml:space="preserve"> in a</w:t>
      </w:r>
      <w:r>
        <w:rPr>
          <w:rFonts w:asciiTheme="minorHAnsi" w:eastAsia="等线" w:hAnsiTheme="minorHAnsi" w:cstheme="minorHAnsi"/>
          <w:noProof/>
          <w:color w:val="000000" w:themeColor="text1"/>
          <w:sz w:val="22"/>
          <w:szCs w:val="22"/>
          <w:lang w:val="en-GB"/>
        </w:rPr>
        <w:t>n</w:t>
      </w:r>
      <w:r w:rsidRPr="003B25EA">
        <w:rPr>
          <w:rFonts w:asciiTheme="minorHAnsi" w:eastAsia="等线" w:hAnsiTheme="minorHAnsi" w:cstheme="minorHAnsi"/>
          <w:noProof/>
          <w:color w:val="000000" w:themeColor="text1"/>
          <w:sz w:val="22"/>
          <w:szCs w:val="22"/>
          <w:lang w:val="en-GB"/>
        </w:rPr>
        <w:t xml:space="preserve"> effective zone where the experimental result</w:t>
      </w:r>
      <w:r>
        <w:rPr>
          <w:rFonts w:asciiTheme="minorHAnsi" w:eastAsia="等线" w:hAnsiTheme="minorHAnsi" w:cstheme="minorHAnsi"/>
          <w:noProof/>
          <w:color w:val="000000" w:themeColor="text1"/>
          <w:sz w:val="22"/>
          <w:szCs w:val="22"/>
          <w:lang w:val="en-GB"/>
        </w:rPr>
        <w:t>s</w:t>
      </w:r>
      <w:r w:rsidRPr="003B25EA">
        <w:rPr>
          <w:rFonts w:asciiTheme="minorHAnsi" w:eastAsia="等线" w:hAnsiTheme="minorHAnsi" w:cstheme="minorHAnsi"/>
          <w:noProof/>
          <w:color w:val="000000" w:themeColor="text1"/>
          <w:sz w:val="22"/>
          <w:szCs w:val="22"/>
          <w:lang w:val="en-GB"/>
        </w:rPr>
        <w:t xml:space="preserve"> of TTIP can be observed. </w:t>
      </w:r>
      <w:r>
        <w:rPr>
          <w:rFonts w:asciiTheme="minorHAnsi" w:eastAsiaTheme="minorEastAsia" w:hAnsiTheme="minorHAnsi" w:cstheme="minorHAnsi"/>
          <w:noProof/>
          <w:color w:val="000000" w:themeColor="text1"/>
          <w:sz w:val="22"/>
          <w:szCs w:val="22"/>
          <w:lang w:val="en-GB"/>
        </w:rPr>
        <w:t>B</w:t>
      </w:r>
      <w:r w:rsidRPr="003B25EA">
        <w:rPr>
          <w:rFonts w:asciiTheme="minorHAnsi" w:eastAsiaTheme="minorEastAsia" w:hAnsiTheme="minorHAnsi" w:cstheme="minorHAnsi"/>
          <w:noProof/>
          <w:color w:val="000000" w:themeColor="text1"/>
          <w:sz w:val="22"/>
          <w:szCs w:val="22"/>
          <w:lang w:val="en-GB"/>
        </w:rPr>
        <w:t xml:space="preserve">ased on </w:t>
      </w:r>
      <w:r>
        <w:rPr>
          <w:rFonts w:asciiTheme="minorHAnsi" w:eastAsiaTheme="minorEastAsia" w:hAnsiTheme="minorHAnsi" w:cstheme="minorHAnsi"/>
          <w:noProof/>
          <w:color w:val="000000" w:themeColor="text1"/>
          <w:sz w:val="22"/>
          <w:szCs w:val="22"/>
          <w:lang w:val="en-GB"/>
        </w:rPr>
        <w:t xml:space="preserve">the </w:t>
      </w:r>
      <w:r w:rsidRPr="003B25EA">
        <w:rPr>
          <w:rFonts w:asciiTheme="minorHAnsi" w:eastAsiaTheme="minorEastAsia" w:hAnsiTheme="minorHAnsi" w:cstheme="minorHAnsi"/>
          <w:noProof/>
          <w:color w:val="000000" w:themeColor="text1"/>
          <w:sz w:val="22"/>
          <w:szCs w:val="22"/>
          <w:lang w:val="en-GB"/>
        </w:rPr>
        <w:t>TiZrHfTa</w:t>
      </w:r>
      <w:r w:rsidRPr="003B25EA">
        <w:rPr>
          <w:rFonts w:asciiTheme="minorHAnsi" w:eastAsiaTheme="minorEastAsia" w:hAnsiTheme="minorHAnsi" w:cstheme="minorHAnsi"/>
          <w:noProof/>
          <w:color w:val="000000" w:themeColor="text1"/>
          <w:sz w:val="22"/>
          <w:szCs w:val="22"/>
          <w:vertAlign w:val="subscript"/>
          <w:lang w:val="en-GB"/>
        </w:rPr>
        <w:t>0.5</w:t>
      </w:r>
      <w:r w:rsidRPr="003B25EA">
        <w:rPr>
          <w:rFonts w:asciiTheme="minorHAnsi" w:eastAsiaTheme="minorEastAsia" w:hAnsiTheme="minorHAnsi" w:cstheme="minorHAnsi"/>
          <w:noProof/>
          <w:color w:val="000000" w:themeColor="text1"/>
          <w:sz w:val="22"/>
          <w:szCs w:val="22"/>
          <w:lang w:val="en-GB"/>
        </w:rPr>
        <w:t>((TiZrHf)</w:t>
      </w:r>
      <w:r w:rsidRPr="003B25EA">
        <w:rPr>
          <w:rFonts w:asciiTheme="minorHAnsi" w:eastAsiaTheme="minorEastAsia" w:hAnsiTheme="minorHAnsi" w:cstheme="minorHAnsi"/>
          <w:noProof/>
          <w:color w:val="000000" w:themeColor="text1"/>
          <w:sz w:val="22"/>
          <w:szCs w:val="22"/>
          <w:vertAlign w:val="subscript"/>
          <w:lang w:val="en-GB"/>
        </w:rPr>
        <w:t>86</w:t>
      </w:r>
      <w:r w:rsidRPr="003B25EA">
        <w:rPr>
          <w:rFonts w:asciiTheme="minorHAnsi" w:eastAsiaTheme="minorEastAsia" w:hAnsiTheme="minorHAnsi" w:cstheme="minorHAnsi"/>
          <w:noProof/>
          <w:color w:val="000000" w:themeColor="text1"/>
          <w:sz w:val="22"/>
          <w:szCs w:val="22"/>
          <w:lang w:val="en-GB"/>
        </w:rPr>
        <w:t>Ta</w:t>
      </w:r>
      <w:r w:rsidRPr="003B25EA">
        <w:rPr>
          <w:rFonts w:asciiTheme="minorHAnsi" w:eastAsiaTheme="minorEastAsia" w:hAnsiTheme="minorHAnsi" w:cstheme="minorHAnsi"/>
          <w:noProof/>
          <w:color w:val="000000" w:themeColor="text1"/>
          <w:sz w:val="22"/>
          <w:szCs w:val="22"/>
          <w:vertAlign w:val="subscript"/>
          <w:lang w:val="en-GB"/>
        </w:rPr>
        <w:t>14</w:t>
      </w:r>
      <w:r w:rsidRPr="003B25EA">
        <w:rPr>
          <w:rFonts w:asciiTheme="minorHAnsi" w:eastAsiaTheme="minorEastAsia" w:hAnsiTheme="minorHAnsi" w:cstheme="minorHAnsi"/>
          <w:noProof/>
          <w:color w:val="000000" w:themeColor="text1"/>
          <w:sz w:val="22"/>
          <w:szCs w:val="22"/>
          <w:lang w:val="en-GB"/>
        </w:rPr>
        <w:t xml:space="preserve"> (at.%)) </w:t>
      </w:r>
      <w:r>
        <w:rPr>
          <w:rFonts w:asciiTheme="minorHAnsi" w:eastAsiaTheme="minorEastAsia" w:hAnsiTheme="minorHAnsi" w:cstheme="minorHAnsi"/>
          <w:noProof/>
          <w:color w:val="000000" w:themeColor="text1"/>
          <w:sz w:val="22"/>
          <w:szCs w:val="22"/>
          <w:lang w:val="en-GB"/>
        </w:rPr>
        <w:t xml:space="preserve">system in which </w:t>
      </w:r>
      <w:r w:rsidRPr="003B25EA">
        <w:rPr>
          <w:rFonts w:asciiTheme="minorHAnsi" w:eastAsiaTheme="minorEastAsia" w:hAnsiTheme="minorHAnsi" w:cstheme="minorHAnsi"/>
          <w:noProof/>
          <w:color w:val="000000" w:themeColor="text1"/>
          <w:sz w:val="22"/>
          <w:szCs w:val="22"/>
          <w:lang w:val="en-GB"/>
        </w:rPr>
        <w:t xml:space="preserve">mode II </w:t>
      </w:r>
      <w:r>
        <w:rPr>
          <w:rFonts w:asciiTheme="minorHAnsi" w:eastAsiaTheme="minorEastAsia" w:hAnsiTheme="minorHAnsi" w:cstheme="minorHAnsi"/>
          <w:noProof/>
          <w:color w:val="000000" w:themeColor="text1"/>
          <w:sz w:val="22"/>
          <w:szCs w:val="22"/>
          <w:lang w:val="en-GB"/>
        </w:rPr>
        <w:t xml:space="preserve">TTIP twinning was first observed, the current work aims to </w:t>
      </w:r>
      <w:r>
        <w:rPr>
          <w:rFonts w:asciiTheme="minorHAnsi" w:eastAsia="等线" w:hAnsiTheme="minorHAnsi" w:cstheme="minorHAnsi"/>
          <w:noProof/>
          <w:color w:val="000000" w:themeColor="text1"/>
          <w:sz w:val="22"/>
          <w:szCs w:val="22"/>
          <w:lang w:val="en-GB"/>
        </w:rPr>
        <w:t xml:space="preserve">provide evidence for and </w:t>
      </w:r>
      <w:r w:rsidRPr="003B25EA">
        <w:rPr>
          <w:rFonts w:asciiTheme="minorHAnsi" w:eastAsiaTheme="minorEastAsia" w:hAnsiTheme="minorHAnsi" w:cstheme="minorHAnsi"/>
          <w:noProof/>
          <w:color w:val="000000" w:themeColor="text1"/>
          <w:sz w:val="22"/>
          <w:szCs w:val="22"/>
          <w:lang w:val="en-GB"/>
        </w:rPr>
        <w:t>demonstrat</w:t>
      </w:r>
      <w:r>
        <w:rPr>
          <w:rFonts w:asciiTheme="minorHAnsi" w:eastAsiaTheme="minorEastAsia" w:hAnsiTheme="minorHAnsi" w:cstheme="minorHAnsi"/>
          <w:noProof/>
          <w:color w:val="000000" w:themeColor="text1"/>
          <w:sz w:val="22"/>
          <w:szCs w:val="22"/>
          <w:lang w:val="en-GB"/>
        </w:rPr>
        <w:t>ion of</w:t>
      </w:r>
      <w:r w:rsidRPr="003B25EA">
        <w:rPr>
          <w:rFonts w:asciiTheme="minorHAnsi" w:eastAsiaTheme="minorEastAsia" w:hAnsiTheme="minorHAnsi" w:cstheme="minorHAnsi"/>
          <w:noProof/>
          <w:color w:val="000000" w:themeColor="text1"/>
          <w:sz w:val="22"/>
          <w:szCs w:val="22"/>
          <w:lang w:val="en-GB"/>
        </w:rPr>
        <w:t xml:space="preserve"> the activation of TTIP </w:t>
      </w:r>
      <w:r>
        <w:rPr>
          <w:rFonts w:asciiTheme="minorHAnsi" w:eastAsiaTheme="minorEastAsia" w:hAnsiTheme="minorHAnsi" w:cstheme="minorHAnsi"/>
          <w:noProof/>
          <w:color w:val="000000" w:themeColor="text1"/>
          <w:sz w:val="22"/>
          <w:szCs w:val="22"/>
          <w:lang w:val="en-GB"/>
        </w:rPr>
        <w:t>by empirical means</w:t>
      </w:r>
      <w:r w:rsidRPr="003B25EA">
        <w:rPr>
          <w:rFonts w:asciiTheme="minorHAnsi" w:eastAsiaTheme="minorEastAsia" w:hAnsiTheme="minorHAnsi" w:cstheme="minorHAnsi"/>
          <w:noProof/>
          <w:color w:val="000000" w:themeColor="text1"/>
          <w:sz w:val="22"/>
          <w:szCs w:val="22"/>
          <w:lang w:val="en-GB"/>
        </w:rPr>
        <w:t>.</w:t>
      </w:r>
      <w:r>
        <w:rPr>
          <w:rFonts w:asciiTheme="minorHAnsi" w:eastAsiaTheme="minorEastAsia" w:hAnsiTheme="minorHAnsi" w:cstheme="minorHAnsi"/>
          <w:noProof/>
          <w:color w:val="000000" w:themeColor="text1"/>
          <w:sz w:val="22"/>
          <w:szCs w:val="22"/>
          <w:lang w:val="en-GB"/>
        </w:rPr>
        <w:t xml:space="preserve"> This will be discussed in Chapter 7, for which</w:t>
      </w:r>
      <w:r w:rsidRPr="003B25EA">
        <w:rPr>
          <w:rFonts w:asciiTheme="minorHAnsi" w:eastAsiaTheme="minorEastAsia" w:hAnsiTheme="minorHAnsi" w:cstheme="minorHAnsi"/>
          <w:noProof/>
          <w:color w:val="000000" w:themeColor="text1"/>
          <w:sz w:val="22"/>
          <w:szCs w:val="22"/>
          <w:lang w:val="en-GB"/>
        </w:rPr>
        <w:t xml:space="preserve"> (TiZrHf)</w:t>
      </w:r>
      <w:r w:rsidRPr="003B25EA">
        <w:rPr>
          <w:rFonts w:asciiTheme="minorHAnsi" w:eastAsiaTheme="minorEastAsia" w:hAnsiTheme="minorHAnsi" w:cstheme="minorHAnsi"/>
          <w:noProof/>
          <w:color w:val="000000" w:themeColor="text1"/>
          <w:sz w:val="22"/>
          <w:szCs w:val="22"/>
          <w:vertAlign w:val="subscript"/>
          <w:lang w:val="en-GB"/>
        </w:rPr>
        <w:t>85</w:t>
      </w:r>
      <w:r w:rsidRPr="003B25EA">
        <w:rPr>
          <w:rFonts w:asciiTheme="minorHAnsi" w:eastAsiaTheme="minorEastAsia" w:hAnsiTheme="minorHAnsi" w:cstheme="minorHAnsi"/>
          <w:noProof/>
          <w:color w:val="000000" w:themeColor="text1"/>
          <w:sz w:val="22"/>
          <w:szCs w:val="22"/>
          <w:lang w:val="en-GB"/>
        </w:rPr>
        <w:t>Ta</w:t>
      </w:r>
      <w:r w:rsidRPr="003B25EA">
        <w:rPr>
          <w:rFonts w:asciiTheme="minorHAnsi" w:eastAsiaTheme="minorEastAsia" w:hAnsiTheme="minorHAnsi" w:cstheme="minorHAnsi"/>
          <w:noProof/>
          <w:color w:val="000000" w:themeColor="text1"/>
          <w:sz w:val="22"/>
          <w:szCs w:val="22"/>
          <w:vertAlign w:val="subscript"/>
          <w:lang w:val="en-GB"/>
        </w:rPr>
        <w:t>15</w:t>
      </w:r>
      <w:r w:rsidRPr="003B25EA">
        <w:rPr>
          <w:rFonts w:asciiTheme="minorHAnsi" w:eastAsiaTheme="minorEastAsia" w:hAnsiTheme="minorHAnsi" w:cstheme="minorHAnsi"/>
          <w:noProof/>
          <w:color w:val="000000" w:themeColor="text1"/>
          <w:sz w:val="22"/>
          <w:szCs w:val="22"/>
          <w:lang w:val="en-GB"/>
        </w:rPr>
        <w:t xml:space="preserve"> (at.%) and (TiZrHf)</w:t>
      </w:r>
      <w:r w:rsidRPr="003B25EA">
        <w:rPr>
          <w:rFonts w:asciiTheme="minorHAnsi" w:eastAsiaTheme="minorEastAsia" w:hAnsiTheme="minorHAnsi" w:cstheme="minorHAnsi"/>
          <w:noProof/>
          <w:color w:val="000000" w:themeColor="text1"/>
          <w:sz w:val="22"/>
          <w:szCs w:val="22"/>
          <w:vertAlign w:val="subscript"/>
          <w:lang w:val="en-GB"/>
        </w:rPr>
        <w:t>87</w:t>
      </w:r>
      <w:r w:rsidRPr="003B25EA">
        <w:rPr>
          <w:rFonts w:asciiTheme="minorHAnsi" w:eastAsiaTheme="minorEastAsia" w:hAnsiTheme="minorHAnsi" w:cstheme="minorHAnsi"/>
          <w:noProof/>
          <w:color w:val="000000" w:themeColor="text1"/>
          <w:sz w:val="22"/>
          <w:szCs w:val="22"/>
          <w:lang w:val="en-GB"/>
        </w:rPr>
        <w:t>Ta</w:t>
      </w:r>
      <w:r w:rsidRPr="003B25EA">
        <w:rPr>
          <w:rFonts w:asciiTheme="minorHAnsi" w:eastAsiaTheme="minorEastAsia" w:hAnsiTheme="minorHAnsi" w:cstheme="minorHAnsi"/>
          <w:noProof/>
          <w:color w:val="000000" w:themeColor="text1"/>
          <w:sz w:val="22"/>
          <w:szCs w:val="22"/>
          <w:vertAlign w:val="subscript"/>
          <w:lang w:val="en-GB"/>
        </w:rPr>
        <w:t>13</w:t>
      </w:r>
      <w:r w:rsidRPr="003B25EA">
        <w:rPr>
          <w:rFonts w:asciiTheme="minorHAnsi" w:eastAsiaTheme="minorEastAsia" w:hAnsiTheme="minorHAnsi" w:cstheme="minorHAnsi"/>
          <w:noProof/>
          <w:color w:val="000000" w:themeColor="text1"/>
          <w:sz w:val="22"/>
          <w:szCs w:val="22"/>
          <w:lang w:val="en-GB"/>
        </w:rPr>
        <w:t xml:space="preserve"> (at.%) </w:t>
      </w:r>
      <w:r>
        <w:rPr>
          <w:rFonts w:asciiTheme="minorHAnsi" w:eastAsiaTheme="minorEastAsia" w:hAnsiTheme="minorHAnsi" w:cstheme="minorHAnsi"/>
          <w:noProof/>
          <w:color w:val="000000" w:themeColor="text1"/>
          <w:sz w:val="22"/>
          <w:szCs w:val="22"/>
          <w:lang w:val="en-GB"/>
        </w:rPr>
        <w:t>were</w:t>
      </w:r>
      <w:r w:rsidRPr="003B25EA">
        <w:rPr>
          <w:rFonts w:asciiTheme="minorHAnsi" w:eastAsiaTheme="minorEastAsia" w:hAnsiTheme="minorHAnsi" w:cstheme="minorHAnsi"/>
          <w:noProof/>
          <w:color w:val="000000" w:themeColor="text1"/>
          <w:sz w:val="22"/>
          <w:szCs w:val="22"/>
          <w:lang w:val="en-GB"/>
        </w:rPr>
        <w:t xml:space="preserve"> selected</w:t>
      </w:r>
      <w:r w:rsidRPr="003B25EA">
        <w:rPr>
          <w:rFonts w:asciiTheme="minorHAnsi" w:eastAsiaTheme="minorEastAsia" w:hAnsiTheme="minorHAnsi" w:cstheme="minorHAnsi"/>
          <w:color w:val="000000" w:themeColor="text1"/>
          <w:sz w:val="22"/>
          <w:szCs w:val="22"/>
          <w:lang w:val="en-GB"/>
        </w:rPr>
        <w:t xml:space="preserve">, </w:t>
      </w:r>
      <w:r w:rsidRPr="003B25EA">
        <w:rPr>
          <w:rFonts w:asciiTheme="minorHAnsi" w:eastAsiaTheme="minorEastAsia" w:hAnsiTheme="minorHAnsi" w:cstheme="minorHAnsi"/>
          <w:noProof/>
          <w:color w:val="000000" w:themeColor="text1"/>
          <w:sz w:val="22"/>
          <w:szCs w:val="22"/>
          <w:lang w:val="en-GB"/>
        </w:rPr>
        <w:t>synthesised</w:t>
      </w:r>
      <w:r w:rsidRPr="003B25EA">
        <w:rPr>
          <w:rFonts w:asciiTheme="minorHAnsi" w:eastAsiaTheme="minorEastAsia" w:hAnsiTheme="minorHAnsi" w:cstheme="minorHAnsi"/>
          <w:color w:val="000000" w:themeColor="text1"/>
          <w:sz w:val="22"/>
          <w:szCs w:val="22"/>
          <w:lang w:val="en-GB"/>
        </w:rPr>
        <w:t>, heat</w:t>
      </w:r>
      <w:r>
        <w:rPr>
          <w:rFonts w:asciiTheme="minorHAnsi" w:eastAsiaTheme="minorEastAsia" w:hAnsiTheme="minorHAnsi" w:cstheme="minorHAnsi"/>
          <w:color w:val="000000" w:themeColor="text1"/>
          <w:sz w:val="22"/>
          <w:szCs w:val="22"/>
          <w:lang w:val="en-GB"/>
        </w:rPr>
        <w:t>-</w:t>
      </w:r>
      <w:r w:rsidRPr="003B25EA">
        <w:rPr>
          <w:rFonts w:asciiTheme="minorHAnsi" w:eastAsiaTheme="minorEastAsia" w:hAnsiTheme="minorHAnsi" w:cstheme="minorHAnsi"/>
          <w:color w:val="000000" w:themeColor="text1"/>
          <w:sz w:val="22"/>
          <w:szCs w:val="22"/>
          <w:lang w:val="en-GB"/>
        </w:rPr>
        <w:t xml:space="preserve">treated and </w:t>
      </w:r>
      <w:r>
        <w:rPr>
          <w:rFonts w:asciiTheme="minorHAnsi" w:eastAsiaTheme="minorEastAsia" w:hAnsiTheme="minorHAnsi" w:cstheme="minorHAnsi"/>
          <w:color w:val="000000" w:themeColor="text1"/>
          <w:sz w:val="22"/>
          <w:szCs w:val="22"/>
          <w:lang w:val="en-GB"/>
        </w:rPr>
        <w:t xml:space="preserve">subsequently </w:t>
      </w:r>
      <w:r w:rsidRPr="003B25EA">
        <w:rPr>
          <w:rFonts w:asciiTheme="minorHAnsi" w:eastAsiaTheme="minorEastAsia" w:hAnsiTheme="minorHAnsi" w:cstheme="minorHAnsi"/>
          <w:color w:val="000000" w:themeColor="text1"/>
          <w:sz w:val="22"/>
          <w:szCs w:val="22"/>
          <w:lang w:val="en-GB"/>
        </w:rPr>
        <w:t>tested</w:t>
      </w:r>
      <w:r>
        <w:rPr>
          <w:rFonts w:asciiTheme="minorHAnsi" w:eastAsiaTheme="minorEastAsia" w:hAnsiTheme="minorHAnsi" w:cstheme="minorHAnsi"/>
          <w:color w:val="000000" w:themeColor="text1"/>
          <w:sz w:val="22"/>
          <w:szCs w:val="22"/>
          <w:lang w:val="en-GB"/>
        </w:rPr>
        <w:t xml:space="preserve"> and analysed</w:t>
      </w:r>
      <w:r w:rsidRPr="003B25EA">
        <w:rPr>
          <w:rFonts w:asciiTheme="minorHAnsi" w:eastAsiaTheme="minorEastAsia" w:hAnsiTheme="minorHAnsi" w:cstheme="minorHAnsi"/>
          <w:color w:val="000000" w:themeColor="text1"/>
          <w:sz w:val="22"/>
          <w:szCs w:val="22"/>
          <w:lang w:val="en-GB"/>
        </w:rPr>
        <w:t xml:space="preserve">.  </w:t>
      </w:r>
    </w:p>
    <w:p w14:paraId="1EC0A1F9"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5F12941D"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66C90163"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48471F89"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6B91AC2D"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4E871948"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2FE1BE64"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0251D700"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18B1D838"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79C09F2E"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6DA79973"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51B6C6CA"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6BF51084"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33878FB1"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72A036F7"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07698E61"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7787E166"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32DEEECE"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2D7C2C47"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0FBB78A9"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2610AF35"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691E467D"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49831921" w14:textId="77777777" w:rsidR="00B145BE" w:rsidRDefault="00B145BE" w:rsidP="00B145BE">
      <w:pPr>
        <w:pStyle w:val="af4"/>
        <w:shd w:val="clear" w:color="auto" w:fill="FFFFFF"/>
        <w:spacing w:before="0" w:beforeAutospacing="0" w:after="60" w:afterAutospacing="0" w:line="360" w:lineRule="auto"/>
        <w:jc w:val="both"/>
        <w:rPr>
          <w:rFonts w:asciiTheme="minorHAnsi" w:eastAsiaTheme="minorEastAsia" w:hAnsiTheme="minorHAnsi" w:cstheme="minorHAnsi"/>
          <w:color w:val="000000" w:themeColor="text1"/>
          <w:sz w:val="22"/>
          <w:szCs w:val="22"/>
          <w:lang w:val="en-GB"/>
        </w:rPr>
      </w:pPr>
    </w:p>
    <w:p w14:paraId="4567DA29" w14:textId="77777777" w:rsidR="00B145BE" w:rsidRPr="00B67DE4" w:rsidRDefault="00B145BE" w:rsidP="00B145BE">
      <w:pPr>
        <w:pStyle w:val="2"/>
        <w:spacing w:before="0" w:after="120" w:line="360" w:lineRule="auto"/>
        <w:rPr>
          <w:rFonts w:asciiTheme="minorHAnsi" w:hAnsiTheme="minorHAnsi"/>
          <w:b/>
          <w:color w:val="auto"/>
          <w:sz w:val="40"/>
        </w:rPr>
      </w:pPr>
      <w:bookmarkStart w:id="307" w:name="_Toc22052550"/>
      <w:r w:rsidRPr="00B67DE4">
        <w:rPr>
          <w:rFonts w:asciiTheme="minorHAnsi" w:hAnsiTheme="minorHAnsi"/>
          <w:b/>
          <w:color w:val="auto"/>
          <w:sz w:val="32"/>
          <w:lang w:bidi="hi-IN"/>
        </w:rPr>
        <w:lastRenderedPageBreak/>
        <w:t>6.</w:t>
      </w:r>
      <w:r>
        <w:rPr>
          <w:rFonts w:asciiTheme="minorHAnsi" w:hAnsiTheme="minorHAnsi"/>
          <w:b/>
          <w:color w:val="auto"/>
          <w:sz w:val="32"/>
          <w:lang w:bidi="hi-IN"/>
        </w:rPr>
        <w:t>5</w:t>
      </w:r>
      <w:r w:rsidRPr="00B67DE4">
        <w:rPr>
          <w:rFonts w:asciiTheme="minorHAnsi" w:hAnsiTheme="minorHAnsi"/>
          <w:b/>
          <w:color w:val="auto"/>
          <w:sz w:val="32"/>
          <w:lang w:bidi="hi-IN"/>
        </w:rPr>
        <w:t xml:space="preserve"> </w:t>
      </w:r>
      <w:r>
        <w:rPr>
          <w:rFonts w:asciiTheme="minorHAnsi" w:hAnsiTheme="minorHAnsi"/>
          <w:b/>
          <w:color w:val="auto"/>
          <w:sz w:val="32"/>
          <w:lang w:bidi="hi-IN"/>
        </w:rPr>
        <w:t>References</w:t>
      </w:r>
      <w:bookmarkEnd w:id="307"/>
    </w:p>
    <w:p w14:paraId="3C292233"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Pr>
          <w:rFonts w:eastAsia="等线" w:cstheme="minorHAnsi"/>
          <w:noProof/>
          <w:color w:val="000000" w:themeColor="text1"/>
        </w:rPr>
        <w:fldChar w:fldCharType="begin" w:fldLock="1"/>
      </w:r>
      <w:r>
        <w:rPr>
          <w:rFonts w:eastAsia="等线" w:cstheme="minorHAnsi"/>
          <w:noProof/>
          <w:color w:val="000000" w:themeColor="text1"/>
        </w:rPr>
        <w:instrText xml:space="preserve">ADDIN Mendeley Bibliography CSL_BIBLIOGRAPHY </w:instrText>
      </w:r>
      <w:r>
        <w:rPr>
          <w:rFonts w:eastAsia="等线" w:cstheme="minorHAnsi"/>
          <w:noProof/>
          <w:color w:val="000000" w:themeColor="text1"/>
        </w:rPr>
        <w:fldChar w:fldCharType="separate"/>
      </w:r>
      <w:r w:rsidRPr="008F7036">
        <w:rPr>
          <w:rFonts w:ascii="Calibri" w:hAnsi="Calibri" w:cs="Times New Roman"/>
          <w:noProof/>
          <w:szCs w:val="24"/>
        </w:rPr>
        <w:t>[1]</w:t>
      </w:r>
      <w:r w:rsidRPr="008F7036">
        <w:rPr>
          <w:rFonts w:ascii="Calibri" w:hAnsi="Calibri" w:cs="Times New Roman"/>
          <w:noProof/>
          <w:szCs w:val="24"/>
        </w:rPr>
        <w:tab/>
        <w:t>Z. Li, C.C. Tasan, H. Springer, B. Gault, D. Raabe, Interstitial atoms enable joint twinning and transformation induced plasticity in strong and ductile high-entropy alloys, Sci. Rep. (2017). doi:10.1038/srep40704.</w:t>
      </w:r>
    </w:p>
    <w:p w14:paraId="1111C710"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[2]</w:t>
      </w:r>
      <w:r w:rsidRPr="008F7036">
        <w:rPr>
          <w:rFonts w:ascii="Calibri" w:hAnsi="Calibri" w:cs="Times New Roman"/>
          <w:noProof/>
          <w:szCs w:val="24"/>
        </w:rPr>
        <w:tab/>
        <w:t>B.B. He, H.W. Luo, M.X. Huang, Experimental investigation on a novel medium Mn steel combining transformation-induced plasticity and twinning-induced plasticity effects, Int. J. Plast. (2016). doi:10.1016/j.ijplas.2015.11.004.</w:t>
      </w:r>
    </w:p>
    <w:p w14:paraId="720E5DB1"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[3]</w:t>
      </w:r>
      <w:r w:rsidRPr="008F7036">
        <w:rPr>
          <w:rFonts w:ascii="Calibri" w:hAnsi="Calibri" w:cs="Times New Roman"/>
          <w:noProof/>
          <w:szCs w:val="24"/>
        </w:rPr>
        <w:tab/>
        <w:t>M. Marteleur, F. Sun, T. Gloriant, P. Vermaut, P.J. Jacques, F. Prima, On the design of new β-metastable titanium alloys with improved work hardening rate thanks to simultaneous TRIP and TWIP effects, Scr. Mater. (2012). doi:10.1016/j.scriptamat.2012.01.049.</w:t>
      </w:r>
    </w:p>
    <w:p w14:paraId="2C2D47F0"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[4]</w:t>
      </w:r>
      <w:r w:rsidRPr="008F7036">
        <w:rPr>
          <w:rFonts w:ascii="Calibri" w:hAnsi="Calibri" w:cs="Times New Roman"/>
          <w:noProof/>
          <w:szCs w:val="24"/>
        </w:rPr>
        <w:tab/>
        <w:t>G. Frommeyer, U. Brüx, P. Neumann, Supra-Ductile and High-Strength Manganese-TRIP/TWIP Steels for High Energy Absorption Purposes., ISIJ Int. (2003). doi:10.2355/isijinternational.43.438.</w:t>
      </w:r>
    </w:p>
    <w:p w14:paraId="602D86BF"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[5]</w:t>
      </w:r>
      <w:r w:rsidRPr="008F7036">
        <w:rPr>
          <w:rFonts w:ascii="Calibri" w:hAnsi="Calibri" w:cs="Times New Roman"/>
          <w:noProof/>
          <w:szCs w:val="24"/>
        </w:rPr>
        <w:tab/>
        <w:t>Z. Li, K.G. Pradeep, Y. Deng, D. Raabe, C.C. Tasan, Metastable high-entropy dual-phase alloys overcome the strength-ductility trade-off, Nature. (2016). doi:10.1038/nature17981.</w:t>
      </w:r>
    </w:p>
    <w:p w14:paraId="4D972EF1"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[6]</w:t>
      </w:r>
      <w:r w:rsidRPr="008F7036">
        <w:rPr>
          <w:rFonts w:ascii="Calibri" w:hAnsi="Calibri" w:cs="Times New Roman"/>
          <w:noProof/>
          <w:szCs w:val="24"/>
        </w:rPr>
        <w:tab/>
        <w:t>M.A. Meyers, O. Vöhringer, V.A. Lubarda, The onset of twinning in metals: A constitutive description, Acta Mater. (2001). doi:10.1016/S1359-6454(01)00300-7.</w:t>
      </w:r>
    </w:p>
    <w:p w14:paraId="3BF0C06C"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[7]</w:t>
      </w:r>
      <w:r w:rsidRPr="008F7036">
        <w:rPr>
          <w:rFonts w:ascii="Calibri" w:hAnsi="Calibri" w:cs="Times New Roman"/>
          <w:noProof/>
          <w:szCs w:val="24"/>
        </w:rPr>
        <w:tab/>
        <w:t>S.L. Wong, M. Madivala, U. Prahl, F. Roters, D. Raabe, A crystal plasticity model for twinning- and transformation-induced plasticity, Acta Mater. (2016). doi:10.1016/j.actamat.2016.07.032.</w:t>
      </w:r>
    </w:p>
    <w:p w14:paraId="1E12C627"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[8]</w:t>
      </w:r>
      <w:r w:rsidRPr="008F7036">
        <w:rPr>
          <w:rFonts w:ascii="Calibri" w:hAnsi="Calibri" w:cs="Times New Roman"/>
          <w:noProof/>
          <w:szCs w:val="24"/>
        </w:rPr>
        <w:tab/>
        <w:t>A.A. Salem, S.R. Kalidindi, R.D. Doherty, Strain hardening of titanium: Role of deformation twinning, Acta Mater. (2003). doi:10.1016/S1359-6454(03)00239-8.</w:t>
      </w:r>
    </w:p>
    <w:p w14:paraId="5148949E"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[9]</w:t>
      </w:r>
      <w:r w:rsidRPr="008F7036">
        <w:rPr>
          <w:rFonts w:ascii="Calibri" w:hAnsi="Calibri" w:cs="Times New Roman"/>
          <w:noProof/>
          <w:szCs w:val="24"/>
        </w:rPr>
        <w:tab/>
        <w:t>H.S. Kim, S.H. Lim, I.D. Yeo, W.Y. Kim, Stress-induced martensitic transformation of metastable β-titanium alloy, Mater. Sci. Eng. A. (2007). doi:10.1016/j.msea.2006.02.329.</w:t>
      </w:r>
    </w:p>
    <w:p w14:paraId="687A520E"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[10]</w:t>
      </w:r>
      <w:r w:rsidRPr="008F7036">
        <w:rPr>
          <w:rFonts w:ascii="Calibri" w:hAnsi="Calibri" w:cs="Times New Roman"/>
          <w:noProof/>
          <w:szCs w:val="24"/>
        </w:rPr>
        <w:tab/>
        <w:t>M.J. Lai, C.C. Tasan, D. Raabe, On the mechanism of {332} twinning in metastable β titanium alloys, Acta Mater. (2016). doi:10.1016/j.actamat.2016.03.040.</w:t>
      </w:r>
    </w:p>
    <w:p w14:paraId="37AAC910"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[11]</w:t>
      </w:r>
      <w:r w:rsidRPr="008F7036">
        <w:rPr>
          <w:rFonts w:ascii="Calibri" w:hAnsi="Calibri" w:cs="Times New Roman"/>
          <w:noProof/>
          <w:szCs w:val="24"/>
        </w:rPr>
        <w:tab/>
        <w:t>H. Tobe, H.Y. Kim, T. Inamura, H. Hosoda, S. Miyazaki, Origin of {3 3 2} twinning in metastable β-Ti alloys, Acta Mater. (2014). doi:10.1016/j.actamat.2013.10.048.</w:t>
      </w:r>
    </w:p>
    <w:p w14:paraId="2DF04CD2"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[12]</w:t>
      </w:r>
      <w:r w:rsidRPr="008F7036">
        <w:rPr>
          <w:rFonts w:ascii="Calibri" w:hAnsi="Calibri" w:cs="Times New Roman"/>
          <w:noProof/>
          <w:szCs w:val="24"/>
        </w:rPr>
        <w:tab/>
        <w:t>T. Inamura, J.I. Kim, H.Y. Kim, H. Hosoda, K. Wakashima, S. Miyazaki, Composition dependent crystallography of α″-martensite in Ti-Nb-based β-titanium alloy, Philos. Mag. (2007). doi:10.1080/14786430601003874.</w:t>
      </w:r>
    </w:p>
    <w:p w14:paraId="76BFDE3E"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lastRenderedPageBreak/>
        <w:t>[13]</w:t>
      </w:r>
      <w:r w:rsidRPr="008F7036">
        <w:rPr>
          <w:rFonts w:ascii="Calibri" w:hAnsi="Calibri" w:cs="Times New Roman"/>
          <w:noProof/>
          <w:szCs w:val="24"/>
        </w:rPr>
        <w:tab/>
        <w:t>D.S. Lieberman, M.S. Wechsler, T.A. Read, Cubic to orthorhombic diffusionless phase change - Experimental and theoretical studies of AuCd, J. Appl. Phys. (1955). doi:10.1063/1.1722021.</w:t>
      </w:r>
    </w:p>
    <w:p w14:paraId="39BDD514"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[14]</w:t>
      </w:r>
      <w:r w:rsidRPr="008F7036">
        <w:rPr>
          <w:rFonts w:ascii="Calibri" w:hAnsi="Calibri" w:cs="Times New Roman"/>
          <w:noProof/>
          <w:szCs w:val="24"/>
        </w:rPr>
        <w:tab/>
        <w:t>A.G. Crocker, Twinned martensite, Acta Metall. (1962). doi:10.1016/0001-6160(62)90056-1.</w:t>
      </w:r>
    </w:p>
    <w:p w14:paraId="42A4311D"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[15]</w:t>
      </w:r>
      <w:r w:rsidRPr="008F7036">
        <w:rPr>
          <w:rFonts w:ascii="Calibri" w:hAnsi="Calibri" w:cs="Times New Roman"/>
          <w:noProof/>
          <w:szCs w:val="24"/>
        </w:rPr>
        <w:tab/>
        <w:t>B.A. Bilby, A.G. Crocker, The Theory of the Crystallography of Deformation Twinning, Proc. R. Soc. A Math. Phys. Eng. Sci. (1965). doi:10.1098/rspa.1965.0216.</w:t>
      </w:r>
    </w:p>
    <w:p w14:paraId="2FFCFF00"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[16]</w:t>
      </w:r>
      <w:r w:rsidRPr="008F7036">
        <w:rPr>
          <w:rFonts w:ascii="Calibri" w:hAnsi="Calibri" w:cs="Times New Roman"/>
          <w:noProof/>
          <w:szCs w:val="24"/>
        </w:rPr>
        <w:tab/>
        <w:t>A.G. Crocker, The crystallography of deformation-twinning in alpha-plutonium, J. Nucl. Mater. (1971). doi:10.1016/0022-3115(71)90077-8.</w:t>
      </w:r>
    </w:p>
    <w:p w14:paraId="17CF7832"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[17]</w:t>
      </w:r>
      <w:r w:rsidRPr="008F7036">
        <w:rPr>
          <w:rFonts w:ascii="Calibri" w:hAnsi="Calibri" w:cs="Times New Roman"/>
          <w:noProof/>
          <w:szCs w:val="24"/>
        </w:rPr>
        <w:tab/>
        <w:t>E. Bertrand, P. Castany, Y. Yang, E. Menou, T. Gloriant, Deformation twinning in the full-α″ martensitic Ti-25Ta-20Nb shape memory alloy, Acta Mater. (2016). doi:10.1016/j.actamat.2015.12.001.</w:t>
      </w:r>
    </w:p>
    <w:p w14:paraId="0D42DDCD"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[18]</w:t>
      </w:r>
      <w:r w:rsidRPr="008F7036">
        <w:rPr>
          <w:rFonts w:ascii="Calibri" w:hAnsi="Calibri" w:cs="Times New Roman"/>
          <w:noProof/>
          <w:szCs w:val="24"/>
        </w:rPr>
        <w:tab/>
        <w:t>P. Castany, Y. Yang, E. Bertrand, T. Gloriant, Reversion of a Parent {130}&lt;310&gt;alpha’’ Martensitic Twinning System at the Origin of {332 } &lt;113&gt;beta Twins Observed in Metastable beta Titanium Alloys, Phys. Rev. Lett. (2016). doi:10.1103/PhysRevLett.117.245501.</w:t>
      </w:r>
    </w:p>
    <w:p w14:paraId="5943A776"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[19]</w:t>
      </w:r>
      <w:r w:rsidRPr="008F7036">
        <w:rPr>
          <w:rFonts w:ascii="Calibri" w:hAnsi="Calibri" w:cs="Times New Roman"/>
          <w:noProof/>
          <w:szCs w:val="24"/>
        </w:rPr>
        <w:tab/>
        <w:t>K. Bhattacharya, Self-accommodation in martensite, Arch. Ration. Mech. Anal. (1992). doi:10.1007/BF00375026.</w:t>
      </w:r>
    </w:p>
    <w:p w14:paraId="137C373B"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[20]</w:t>
      </w:r>
      <w:r w:rsidRPr="008F7036">
        <w:rPr>
          <w:rFonts w:ascii="Calibri" w:hAnsi="Calibri" w:cs="Times New Roman"/>
          <w:noProof/>
          <w:szCs w:val="24"/>
        </w:rPr>
        <w:tab/>
        <w:t>Y.W. Chai, H.Y. Kim, H. Hosoda, S. Miyazaki, Self-accommodation in Ti-Nb shape memory alloys, Acta Mater. (2009). doi:10.1016/j.actamat.2009.04.051.</w:t>
      </w:r>
    </w:p>
    <w:p w14:paraId="1F5F925A"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[21]</w:t>
      </w:r>
      <w:r w:rsidRPr="008F7036">
        <w:rPr>
          <w:rFonts w:ascii="Calibri" w:hAnsi="Calibri" w:cs="Times New Roman"/>
          <w:noProof/>
          <w:szCs w:val="24"/>
        </w:rPr>
        <w:tab/>
        <w:t>Y. Liang, H. Kato, M. Taya, T. Mori, Infinitesimal approach to the crystallography of martensitic transformation: application to Ni-Ti, Scr. Mater. (2000). doi:10.1016/S1359-6462(00)00465-6.</w:t>
      </w:r>
    </w:p>
    <w:p w14:paraId="307E37D9"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[22]</w:t>
      </w:r>
      <w:r w:rsidRPr="008F7036">
        <w:rPr>
          <w:rFonts w:ascii="Calibri" w:hAnsi="Calibri" w:cs="Times New Roman"/>
          <w:noProof/>
          <w:szCs w:val="24"/>
        </w:rPr>
        <w:tab/>
        <w:t>Microstructure of martensite: why it forms and how it gives rise to the shape-memory effect, Choice Rev. Online. (2013). doi:10.5860/choice.41-6554.</w:t>
      </w:r>
    </w:p>
    <w:p w14:paraId="75315FAA"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[23]</w:t>
      </w:r>
      <w:r w:rsidRPr="008F7036">
        <w:rPr>
          <w:rFonts w:ascii="Calibri" w:hAnsi="Calibri" w:cs="Times New Roman"/>
          <w:noProof/>
          <w:szCs w:val="24"/>
        </w:rPr>
        <w:tab/>
        <w:t>M. Kato, M. Shibata-Yanagisawa, Infinitesimal deformation approach of the phenomenological crystallographic theory of martensitic transformations, J. Mater. Sci. (1990). doi:10.1007/BF00544207.</w:t>
      </w:r>
    </w:p>
    <w:p w14:paraId="022FE2D0"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cs="Times New Roman"/>
          <w:noProof/>
          <w:szCs w:val="24"/>
        </w:rPr>
      </w:pPr>
      <w:r w:rsidRPr="008F7036">
        <w:rPr>
          <w:rFonts w:ascii="Calibri" w:hAnsi="Calibri" w:cs="Times New Roman"/>
          <w:noProof/>
          <w:szCs w:val="24"/>
        </w:rPr>
        <w:t>[24]</w:t>
      </w:r>
      <w:r w:rsidRPr="008F7036">
        <w:rPr>
          <w:rFonts w:ascii="Calibri" w:hAnsi="Calibri" w:cs="Times New Roman"/>
          <w:noProof/>
          <w:szCs w:val="24"/>
        </w:rPr>
        <w:tab/>
        <w:t>H. Tobe, H.Y. Kim, T. Inamura, H. Hosoda, T.H. Nam, S. Miyazaki, Effect of Nb content on deformation behavior and shape memory properties of Ti-Nb alloys, J. Alloys Compd. (2013). doi:10.1016/j.jallcom.2012.02.023.</w:t>
      </w:r>
    </w:p>
    <w:p w14:paraId="021D0854" w14:textId="77777777" w:rsidR="00B145BE" w:rsidRPr="008F7036" w:rsidRDefault="00B145BE" w:rsidP="00B145BE">
      <w:pPr>
        <w:widowControl w:val="0"/>
        <w:autoSpaceDE w:val="0"/>
        <w:autoSpaceDN w:val="0"/>
        <w:adjustRightInd w:val="0"/>
        <w:spacing w:after="60" w:line="360" w:lineRule="auto"/>
        <w:ind w:left="640" w:hanging="640"/>
        <w:rPr>
          <w:rFonts w:ascii="Calibri" w:hAnsi="Calibri"/>
          <w:noProof/>
        </w:rPr>
      </w:pPr>
      <w:r w:rsidRPr="008F7036">
        <w:rPr>
          <w:rFonts w:ascii="Calibri" w:hAnsi="Calibri" w:cs="Times New Roman"/>
          <w:noProof/>
          <w:szCs w:val="24"/>
        </w:rPr>
        <w:t>[25]</w:t>
      </w:r>
      <w:r w:rsidRPr="008F7036">
        <w:rPr>
          <w:rFonts w:ascii="Calibri" w:hAnsi="Calibri" w:cs="Times New Roman"/>
          <w:noProof/>
          <w:szCs w:val="24"/>
        </w:rPr>
        <w:tab/>
        <w:t>J. Tran, Titanium by design: Trip titanium alloy, ProQuest Diss. Theses Glob. (2009).</w:t>
      </w:r>
    </w:p>
    <w:p w14:paraId="35E6C2AB" w14:textId="2ED52BED" w:rsidR="001C513B" w:rsidRPr="004712F8" w:rsidRDefault="00B145BE" w:rsidP="00B145BE">
      <w:pPr>
        <w:pStyle w:val="af4"/>
        <w:shd w:val="clear" w:color="auto" w:fill="FFFFFF"/>
        <w:spacing w:before="0" w:beforeAutospacing="0" w:after="120" w:afterAutospacing="0" w:line="360" w:lineRule="auto"/>
        <w:jc w:val="both"/>
        <w:rPr>
          <w:rFonts w:asciiTheme="minorHAnsi" w:eastAsiaTheme="minorEastAsia" w:hAnsiTheme="minorHAnsi" w:cstheme="minorHAnsi"/>
          <w:sz w:val="22"/>
          <w:szCs w:val="22"/>
          <w:lang w:val="en-GB"/>
        </w:rPr>
      </w:pPr>
      <w:r>
        <w:rPr>
          <w:rFonts w:asciiTheme="minorHAnsi" w:eastAsia="等线" w:hAnsiTheme="minorHAnsi" w:cstheme="minorHAnsi"/>
          <w:noProof/>
          <w:color w:val="000000" w:themeColor="text1"/>
          <w:sz w:val="22"/>
          <w:szCs w:val="22"/>
          <w:lang w:val="en-GB"/>
        </w:rPr>
        <w:fldChar w:fldCharType="end"/>
      </w:r>
    </w:p>
    <w:p w14:paraId="5BD7B576" w14:textId="77777777" w:rsidR="001C513B" w:rsidRDefault="001C513B"/>
    <w:p w14:paraId="7BCB62EE" w14:textId="77777777" w:rsidR="00B145BE" w:rsidRPr="00F87370" w:rsidRDefault="00B145BE" w:rsidP="00B145BE">
      <w:pPr>
        <w:pStyle w:val="1"/>
        <w:spacing w:before="0" w:after="60" w:line="360" w:lineRule="auto"/>
        <w:rPr>
          <w:rFonts w:asciiTheme="minorHAnsi" w:hAnsiTheme="minorHAnsi"/>
          <w:b/>
          <w:color w:val="auto"/>
          <w:lang w:bidi="hi-IN"/>
        </w:rPr>
      </w:pPr>
      <w:bookmarkStart w:id="308" w:name="_Hlk1763060"/>
      <w:bookmarkStart w:id="309" w:name="_Hlk19111217"/>
      <w:bookmarkStart w:id="310" w:name="_Toc22052551"/>
      <w:bookmarkStart w:id="311" w:name="_Hlk39223271"/>
      <w:bookmarkEnd w:id="308"/>
      <w:bookmarkEnd w:id="309"/>
      <w:r w:rsidRPr="00F87370">
        <w:rPr>
          <w:rFonts w:asciiTheme="minorHAnsi" w:hAnsiTheme="minorHAnsi"/>
          <w:b/>
          <w:color w:val="auto"/>
          <w:lang w:bidi="hi-IN"/>
        </w:rPr>
        <w:lastRenderedPageBreak/>
        <w:t>Chapter.7 TTIP effect in (TiZrHf)</w:t>
      </w:r>
      <w:r w:rsidRPr="00F87370">
        <w:rPr>
          <w:rFonts w:asciiTheme="minorHAnsi" w:hAnsiTheme="minorHAnsi"/>
          <w:b/>
          <w:color w:val="auto"/>
          <w:vertAlign w:val="subscript"/>
          <w:lang w:bidi="hi-IN"/>
        </w:rPr>
        <w:t>87</w:t>
      </w:r>
      <w:r w:rsidRPr="00F87370">
        <w:rPr>
          <w:rFonts w:asciiTheme="minorHAnsi" w:hAnsiTheme="minorHAnsi"/>
          <w:b/>
          <w:color w:val="auto"/>
          <w:lang w:bidi="hi-IN"/>
        </w:rPr>
        <w:t>Ta</w:t>
      </w:r>
      <w:r w:rsidRPr="00F87370">
        <w:rPr>
          <w:rFonts w:asciiTheme="minorHAnsi" w:hAnsiTheme="minorHAnsi"/>
          <w:b/>
          <w:color w:val="auto"/>
          <w:vertAlign w:val="subscript"/>
          <w:lang w:bidi="hi-IN"/>
        </w:rPr>
        <w:t>13</w:t>
      </w:r>
      <w:bookmarkEnd w:id="310"/>
    </w:p>
    <w:p w14:paraId="449F354E" w14:textId="77777777" w:rsidR="00B145BE" w:rsidRPr="005F6FF5" w:rsidRDefault="00B145BE" w:rsidP="00B145BE">
      <w:pPr>
        <w:pStyle w:val="2"/>
        <w:spacing w:before="0" w:after="60" w:line="360" w:lineRule="auto"/>
        <w:rPr>
          <w:rFonts w:asciiTheme="minorHAnsi" w:hAnsiTheme="minorHAnsi"/>
          <w:b/>
          <w:color w:val="auto"/>
          <w:sz w:val="32"/>
          <w:lang w:bidi="hi-IN"/>
        </w:rPr>
      </w:pPr>
      <w:bookmarkStart w:id="312" w:name="_Toc22052552"/>
      <w:r w:rsidRPr="00F87370">
        <w:rPr>
          <w:rFonts w:asciiTheme="minorHAnsi" w:hAnsiTheme="minorHAnsi"/>
          <w:b/>
          <w:color w:val="auto"/>
          <w:sz w:val="32"/>
          <w:lang w:bidi="hi-IN"/>
        </w:rPr>
        <w:t>7.1 Preface</w:t>
      </w:r>
      <w:bookmarkEnd w:id="312"/>
    </w:p>
    <w:p w14:paraId="2ACCBA18" w14:textId="262FF1BC" w:rsidR="00B145BE" w:rsidRDefault="00B145BE" w:rsidP="00B145BE">
      <w:pPr>
        <w:spacing w:afterLines="60" w:after="144" w:line="360" w:lineRule="auto"/>
        <w:jc w:val="both"/>
        <w:rPr>
          <w:noProof/>
        </w:rPr>
      </w:pPr>
      <w:r>
        <w:t>Utilising metastable engineering to introduce TRIP and TWIP via</w:t>
      </w:r>
      <w:r w:rsidR="00002F6A">
        <w:t xml:space="preserve"> </w:t>
      </w:r>
      <w:r>
        <w:t xml:space="preserve">lowering </w:t>
      </w:r>
      <w:r w:rsidRPr="002A3557">
        <w:rPr>
          <w:rFonts w:cs="Times New Roman"/>
        </w:rPr>
        <w:t>β</w:t>
      </w:r>
      <w:r>
        <w:rPr>
          <w:rFonts w:cs="Times New Roman"/>
        </w:rPr>
        <w:t xml:space="preserve"> phase stability, TRIP and TWIP were successfully activated simultaneously in TiZrHfTa</w:t>
      </w:r>
      <w:r>
        <w:rPr>
          <w:rFonts w:cs="Times New Roman"/>
          <w:vertAlign w:val="subscript"/>
        </w:rPr>
        <w:t xml:space="preserve">x </w:t>
      </w:r>
      <w:r w:rsidRPr="007B25BA">
        <w:rPr>
          <w:rFonts w:cs="Times New Roman"/>
          <w:vertAlign w:val="subscript"/>
        </w:rPr>
        <w:t>(x=0.</w:t>
      </w:r>
      <w:r>
        <w:rPr>
          <w:rFonts w:cs="Times New Roman"/>
          <w:vertAlign w:val="subscript"/>
        </w:rPr>
        <w:t>5</w:t>
      </w:r>
      <w:r w:rsidRPr="007B25BA">
        <w:rPr>
          <w:rFonts w:cs="Times New Roman"/>
          <w:vertAlign w:val="subscript"/>
        </w:rPr>
        <w:t>-0</w:t>
      </w:r>
      <w:r>
        <w:rPr>
          <w:rFonts w:cs="Times New Roman"/>
          <w:vertAlign w:val="subscript"/>
        </w:rPr>
        <w:t>.8</w:t>
      </w:r>
      <w:r w:rsidRPr="007B25BA">
        <w:rPr>
          <w:rFonts w:cs="Times New Roman"/>
          <w:vertAlign w:val="subscript"/>
        </w:rPr>
        <w:t>)</w:t>
      </w:r>
      <w:r>
        <w:rPr>
          <w:rFonts w:cs="Times New Roman"/>
        </w:rPr>
        <w:t>.</w:t>
      </w:r>
      <w:r>
        <w:t xml:space="preserve"> The effect of TRIP and TWIP in </w:t>
      </w:r>
      <w:r>
        <w:rPr>
          <w:rFonts w:cs="Times New Roman"/>
        </w:rPr>
        <w:t>TiZrHfTa</w:t>
      </w:r>
      <w:r>
        <w:rPr>
          <w:rFonts w:cs="Times New Roman"/>
          <w:vertAlign w:val="subscript"/>
        </w:rPr>
        <w:t>x (x=0.5-0.8)</w:t>
      </w:r>
      <w:r>
        <w:t xml:space="preserve"> was</w:t>
      </w:r>
      <w:r>
        <w:rPr>
          <w:noProof/>
        </w:rPr>
        <w:t xml:space="preserve"> found to be</w:t>
      </w:r>
      <w:r>
        <w:t xml:space="preserve"> composition dependent with reduction of the </w:t>
      </w:r>
      <w:r w:rsidRPr="0051135F">
        <w:rPr>
          <w:rFonts w:cs="Times New Roman"/>
        </w:rPr>
        <w:t>β</w:t>
      </w:r>
      <w:r>
        <w:rPr>
          <w:rFonts w:cs="Times New Roman"/>
        </w:rPr>
        <w:t xml:space="preserve"> </w:t>
      </w:r>
      <w:r w:rsidRPr="001452FD">
        <w:rPr>
          <w:rFonts w:cs="Times New Roman"/>
          <w:noProof/>
        </w:rPr>
        <w:t>stabili</w:t>
      </w:r>
      <w:r>
        <w:rPr>
          <w:rFonts w:cs="Times New Roman"/>
          <w:noProof/>
        </w:rPr>
        <w:t>s</w:t>
      </w:r>
      <w:r w:rsidRPr="001452FD">
        <w:rPr>
          <w:rFonts w:cs="Times New Roman"/>
          <w:noProof/>
        </w:rPr>
        <w:t>er</w:t>
      </w:r>
      <w:r>
        <w:rPr>
          <w:rFonts w:cs="Times New Roman"/>
        </w:rPr>
        <w:t xml:space="preserve"> Ta. </w:t>
      </w:r>
      <w:r>
        <w:t>However, as a result of the</w:t>
      </w:r>
      <w:r w:rsidRPr="00C463E8">
        <w:rPr>
          <w:noProof/>
        </w:rPr>
        <w:t xml:space="preserve"> </w:t>
      </w:r>
      <w:r>
        <w:t xml:space="preserve">differences in the </w:t>
      </w:r>
      <w:r>
        <w:rPr>
          <w:noProof/>
        </w:rPr>
        <w:t>activation</w:t>
      </w:r>
      <w:r>
        <w:t xml:space="preserve"> conditions and subsequent effects between </w:t>
      </w:r>
      <w:r>
        <w:rPr>
          <w:noProof/>
        </w:rPr>
        <w:t>TRIP</w:t>
      </w:r>
      <w:r w:rsidRPr="00E96EC4">
        <w:t xml:space="preserve"> and </w:t>
      </w:r>
      <w:r>
        <w:t xml:space="preserve">TWIP, the imbalance between strength-ductility </w:t>
      </w:r>
      <w:r>
        <w:rPr>
          <w:noProof/>
        </w:rPr>
        <w:t>and</w:t>
      </w:r>
      <w:r>
        <w:t xml:space="preserve"> plastic instability will ultimately affect application of these materials</w:t>
      </w:r>
      <w:r w:rsidRPr="009D4D98">
        <w:rPr>
          <w:noProof/>
        </w:rPr>
        <w:t>. During</w:t>
      </w:r>
      <w:r>
        <w:rPr>
          <w:noProof/>
        </w:rPr>
        <w:t xml:space="preserve"> investigations on </w:t>
      </w:r>
      <w:r w:rsidRPr="001452FD">
        <w:rPr>
          <w:noProof/>
        </w:rPr>
        <w:t>the mechanical</w:t>
      </w:r>
      <w:r>
        <w:t xml:space="preserve"> response and microstructure evolution of </w:t>
      </w:r>
      <w:r>
        <w:br/>
      </w:r>
      <w:r>
        <w:rPr>
          <w:rFonts w:cs="Times New Roman"/>
        </w:rPr>
        <w:t>TiZrHfTa</w:t>
      </w:r>
      <w:r>
        <w:rPr>
          <w:rFonts w:cs="Times New Roman"/>
          <w:vertAlign w:val="subscript"/>
        </w:rPr>
        <w:t>x (x=0.5-0.8)</w:t>
      </w:r>
      <w:r>
        <w:rPr>
          <w:rFonts w:cs="Times New Roman"/>
        </w:rPr>
        <w:t xml:space="preserve"> through compression testing, high levels of </w:t>
      </w:r>
      <w:r w:rsidR="002F3A48">
        <w:rPr>
          <w:rFonts w:cs="Times New Roman"/>
        </w:rPr>
        <w:t>work</w:t>
      </w:r>
      <w:r>
        <w:rPr>
          <w:rFonts w:cs="Times New Roman"/>
        </w:rPr>
        <w:t xml:space="preserve"> hardening were observed and the interaction of abnormal twinning cooperation in TiZrHfTa</w:t>
      </w:r>
      <w:r w:rsidRPr="007B25BA">
        <w:rPr>
          <w:rFonts w:cs="Times New Roman"/>
          <w:vertAlign w:val="subscript"/>
        </w:rPr>
        <w:t>05</w:t>
      </w:r>
      <w:r>
        <w:rPr>
          <w:rFonts w:cs="Times New Roman"/>
        </w:rPr>
        <w:t xml:space="preserve"> was found. Based on the experimental results derived from TiZrHfTa</w:t>
      </w:r>
      <w:r>
        <w:rPr>
          <w:rFonts w:cs="Times New Roman"/>
          <w:vertAlign w:val="subscript"/>
        </w:rPr>
        <w:t>x (x=0.5-0.8)</w:t>
      </w:r>
      <w:r>
        <w:rPr>
          <w:rFonts w:cs="Times New Roman"/>
        </w:rPr>
        <w:t xml:space="preserve"> compression tests, in addition to the observation of {332}</w:t>
      </w:r>
      <w:r w:rsidRPr="003012D2">
        <w:rPr>
          <w:rFonts w:cs="Times New Roman"/>
          <w:vertAlign w:val="subscript"/>
        </w:rPr>
        <w:t>β</w:t>
      </w:r>
      <w:r>
        <w:rPr>
          <w:rFonts w:cs="Times New Roman"/>
        </w:rPr>
        <w:t xml:space="preserve"> mechanical twinning, massive </w:t>
      </w:r>
      <w:r w:rsidRPr="009D4D98">
        <w:rPr>
          <w:rFonts w:cs="Times New Roman"/>
          <w:noProof/>
        </w:rPr>
        <w:t>martenstic</w:t>
      </w:r>
      <w:r>
        <w:rPr>
          <w:rFonts w:cs="Times New Roman"/>
        </w:rPr>
        <w:t xml:space="preserve"> self-accommodation (SA) twinning </w:t>
      </w:r>
      <w:r w:rsidRPr="009D4D98">
        <w:rPr>
          <w:rFonts w:cs="Times New Roman"/>
          <w:noProof/>
        </w:rPr>
        <w:t xml:space="preserve">was </w:t>
      </w:r>
      <w:r>
        <w:rPr>
          <w:rFonts w:cs="Times New Roman"/>
          <w:noProof/>
        </w:rPr>
        <w:t>found</w:t>
      </w:r>
      <w:r>
        <w:rPr>
          <w:rFonts w:cs="Times New Roman"/>
        </w:rPr>
        <w:t xml:space="preserve"> in deformed TiZrHfTa</w:t>
      </w:r>
      <w:r w:rsidRPr="007B25BA">
        <w:rPr>
          <w:rFonts w:cs="Times New Roman"/>
          <w:vertAlign w:val="subscript"/>
        </w:rPr>
        <w:t>0.6</w:t>
      </w:r>
      <w:r>
        <w:rPr>
          <w:rFonts w:cs="Times New Roman"/>
        </w:rPr>
        <w:t xml:space="preserve"> and TiZrHfTa</w:t>
      </w:r>
      <w:r w:rsidRPr="007B25BA">
        <w:rPr>
          <w:rFonts w:cs="Times New Roman"/>
          <w:vertAlign w:val="subscript"/>
        </w:rPr>
        <w:t>0.5</w:t>
      </w:r>
      <w:r>
        <w:rPr>
          <w:rFonts w:cs="Times New Roman"/>
        </w:rPr>
        <w:t xml:space="preserve">. </w:t>
      </w:r>
      <w:r>
        <w:rPr>
          <w:noProof/>
        </w:rPr>
        <w:t>SA</w:t>
      </w:r>
      <w:r w:rsidRPr="006B4AA1">
        <w:rPr>
          <w:noProof/>
        </w:rPr>
        <w:t xml:space="preserve"> twinning </w:t>
      </w:r>
      <w:r>
        <w:rPr>
          <w:noProof/>
        </w:rPr>
        <w:t>was generally accepted as a</w:t>
      </w:r>
      <w:r w:rsidRPr="006B4AA1">
        <w:rPr>
          <w:noProof/>
        </w:rPr>
        <w:t xml:space="preserve"> product of phase transformation, </w:t>
      </w:r>
      <w:r>
        <w:rPr>
          <w:noProof/>
        </w:rPr>
        <w:t>resulting</w:t>
      </w:r>
      <w:r w:rsidRPr="006B4AA1">
        <w:rPr>
          <w:noProof/>
        </w:rPr>
        <w:t xml:space="preserve"> from the rearrangement of martensite variants</w:t>
      </w:r>
      <w:r>
        <w:rPr>
          <w:noProof/>
        </w:rPr>
        <w:t xml:space="preserve"> </w:t>
      </w:r>
      <w:r>
        <w:rPr>
          <w:noProof/>
        </w:rPr>
        <w:fldChar w:fldCharType="begin" w:fldLock="1"/>
      </w:r>
      <w:r>
        <w:rPr>
          <w:noProof/>
        </w:rPr>
        <w:instrText>ADDIN CSL_CITATION {"citationItems":[{"id":"ITEM-1","itemData":{"DOI":"10.5860/choice.41-6554","ISSN":"0009-4978","abstract":"Martensites are crystalline solids that display dazzling patterns at the microscopic scales. This microstructure gives rise to unusual macroscopic properties like the shape-memory effect. Starting with the crystalline structure, this book describes a theoretical framework for studying martensites and uses the theory to explain why these materials form microstructure. The macrostructure consequences of the microstructure are subsequently discussed. Complete with a piece of shape-memory wire and numerous examples from real materials, this book represents a successful case study in multiscale modeling, giving a clear understanding of the link between microstructure and macrostructure properties. Beautifully written, in a most clear and pedagogical manner, it holds appeal for a broad audience. On the one hand, it introduces modern modeling techniques to those trained in materials science, mechanics and physics and shows how these techniques can be used in real-world problems. On the other hand, it introduces physical phenomena to those trained in mathematics, and demonstrates how such phenomena give rise to interesting mathematical problems","container-title":"Choice Reviews Online","id":"ITEM-1","issued":{"date-parts":[["2013"]]},"title":"Microstructure of martensite: why it forms and how it gives rise to the shape-memory effect","type":"article-journal"},"uris":["http://www.mendeley.com/documents/?uuid=00b6cf37-3205-4a3b-a897-3a217bfd0f9c"]}],"mendeley":{"formattedCitation":"[1]","plainTextFormattedCitation":"[1]","previouslyFormattedCitation":"[19]"},"properties":{"noteIndex":0},"schema":"https://github.com/citation-style-language/schema/raw/master/csl-citation.json"}</w:instrText>
      </w:r>
      <w:r>
        <w:rPr>
          <w:noProof/>
        </w:rPr>
        <w:fldChar w:fldCharType="separate"/>
      </w:r>
      <w:r w:rsidRPr="00681C64">
        <w:rPr>
          <w:noProof/>
        </w:rPr>
        <w:t>[1]</w:t>
      </w:r>
      <w:r>
        <w:rPr>
          <w:noProof/>
        </w:rPr>
        <w:fldChar w:fldCharType="end"/>
      </w:r>
      <w:r>
        <w:rPr>
          <w:noProof/>
        </w:rPr>
        <w:t xml:space="preserve">, as was thought to promote the effect of </w:t>
      </w:r>
      <w:r w:rsidRPr="006B4AA1">
        <w:rPr>
          <w:noProof/>
        </w:rPr>
        <w:t xml:space="preserve"> </w:t>
      </w:r>
      <w:r>
        <w:rPr>
          <w:noProof/>
        </w:rPr>
        <w:t xml:space="preserve">TRIP </w:t>
      </w:r>
      <w:r w:rsidRPr="006B4AA1">
        <w:rPr>
          <w:noProof/>
        </w:rPr>
        <w:t>and TWIP</w:t>
      </w:r>
      <w:r>
        <w:rPr>
          <w:noProof/>
        </w:rPr>
        <w:t xml:space="preserve"> coherently</w:t>
      </w:r>
      <w:r w:rsidRPr="006B4AA1">
        <w:rPr>
          <w:noProof/>
        </w:rPr>
        <w:t>.</w:t>
      </w:r>
      <w:r>
        <w:t xml:space="preserve"> D</w:t>
      </w:r>
      <w:r w:rsidRPr="007F6676">
        <w:t xml:space="preserve">uring </w:t>
      </w:r>
      <w:r>
        <w:t xml:space="preserve">the </w:t>
      </w:r>
      <w:r w:rsidRPr="00A46A1F">
        <w:rPr>
          <w:noProof/>
        </w:rPr>
        <w:t>transformation</w:t>
      </w:r>
      <w:r w:rsidRPr="007F6676">
        <w:t xml:space="preserve"> from austenite to martensite</w:t>
      </w:r>
      <w:r>
        <w:t>,</w:t>
      </w:r>
      <w:r w:rsidRPr="007F6676">
        <w:t xml:space="preserve"> the variants of martensite arrange</w:t>
      </w:r>
      <w:r>
        <w:t>d</w:t>
      </w:r>
      <w:r w:rsidRPr="007F6676">
        <w:t xml:space="preserve"> themselves in a microstructure </w:t>
      </w:r>
      <w:r>
        <w:t xml:space="preserve">to reduce the </w:t>
      </w:r>
      <w:r w:rsidRPr="00AA5303">
        <w:rPr>
          <w:noProof/>
        </w:rPr>
        <w:t>overall</w:t>
      </w:r>
      <w:r>
        <w:t xml:space="preserve"> strain of</w:t>
      </w:r>
      <w:r w:rsidRPr="007F6676">
        <w:t xml:space="preserve"> macroscopic</w:t>
      </w:r>
      <w:r>
        <w:t xml:space="preserve"> shape</w:t>
      </w:r>
      <w:r w:rsidRPr="007F6676">
        <w:t xml:space="preserve"> change</w:t>
      </w:r>
      <w:r>
        <w:t>,</w:t>
      </w:r>
      <w:r w:rsidR="00002F6A">
        <w:t xml:space="preserve"> </w:t>
      </w:r>
      <w:r w:rsidR="00002F6A">
        <w:rPr>
          <w:rFonts w:hint="eastAsia"/>
        </w:rPr>
        <w:t>which</w:t>
      </w:r>
      <w:r w:rsidRPr="007F6676">
        <w:t xml:space="preserve"> </w:t>
      </w:r>
      <w:r w:rsidR="00002F6A">
        <w:t xml:space="preserve">inevitably </w:t>
      </w:r>
      <w:r w:rsidRPr="00AA5303">
        <w:rPr>
          <w:noProof/>
        </w:rPr>
        <w:t>result</w:t>
      </w:r>
      <w:r>
        <w:rPr>
          <w:noProof/>
        </w:rPr>
        <w:t>ed</w:t>
      </w:r>
      <w:r>
        <w:t xml:space="preserve"> in the </w:t>
      </w:r>
      <w:r w:rsidRPr="006B4AA1">
        <w:rPr>
          <w:noProof/>
        </w:rPr>
        <w:t>activation</w:t>
      </w:r>
      <w:r>
        <w:t xml:space="preserve"> of the </w:t>
      </w:r>
      <w:r>
        <w:rPr>
          <w:noProof/>
        </w:rPr>
        <w:t>self-</w:t>
      </w:r>
      <w:r w:rsidRPr="00AA5303">
        <w:rPr>
          <w:noProof/>
        </w:rPr>
        <w:t>accommodation</w:t>
      </w:r>
      <w:r>
        <w:rPr>
          <w:noProof/>
        </w:rPr>
        <w:t xml:space="preserve"> (SA)</w:t>
      </w:r>
      <w:r>
        <w:t xml:space="preserve"> twinning system</w:t>
      </w:r>
      <w:r w:rsidRPr="007F6676">
        <w:t>.</w:t>
      </w:r>
      <w:r>
        <w:t xml:space="preserve"> Similar to </w:t>
      </w:r>
      <w:r w:rsidRPr="008E7B49">
        <w:rPr>
          <w:noProof/>
        </w:rPr>
        <w:t>mechanical</w:t>
      </w:r>
      <w:r>
        <w:t xml:space="preserve"> twinning,</w:t>
      </w:r>
      <w:r w:rsidRPr="00B729E7">
        <w:t xml:space="preserve"> the interfaces between the</w:t>
      </w:r>
      <w:r>
        <w:t>se</w:t>
      </w:r>
      <w:r w:rsidRPr="00B729E7">
        <w:t xml:space="preserve"> martensite plates are always coherent</w:t>
      </w:r>
      <w:r>
        <w:t xml:space="preserve"> </w:t>
      </w:r>
      <w:r>
        <w:fldChar w:fldCharType="begin" w:fldLock="1"/>
      </w:r>
      <w:r>
        <w:rPr>
          <w:rFonts w:hint="eastAsia"/>
        </w:rPr>
        <w:instrText xml:space="preserve">ADDIN CSL_CITATION {"citationItems":[{"id":"ITEM-1","itemData":{"DOI":"10.1016/j.actamat.2009.04.051","ISBN":"0000000000","ISSN":"13596454","PMID":"30089621","abstract":"Self-accommodation morphology of the </w:instrText>
      </w:r>
      <w:r>
        <w:rPr>
          <w:rFonts w:hint="eastAsia"/>
        </w:rPr>
        <w:instrText>α″</w:instrText>
      </w:r>
      <w:r>
        <w:rPr>
          <w:rFonts w:hint="eastAsia"/>
        </w:rPr>
        <w:instrText xml:space="preserve">martensites in Ti-Nb shape memory alloys with </w:instrText>
      </w:r>
      <w:r>
        <w:instrText>Nb content ranging from 20 to 24 at.% was investigated. Hollow and solid triangular morphologies consisting of three α</w:instrText>
      </w:r>
      <w:r>
        <w:rPr>
          <w:rFonts w:hint="eastAsia"/>
        </w:rPr>
        <w:instrText>″</w:instrText>
      </w:r>
      <w:r>
        <w:instrText>variants were found to be the α</w:instrText>
      </w:r>
      <w:r>
        <w:rPr>
          <w:rFonts w:hint="eastAsia"/>
        </w:rPr>
        <w:instrText>″</w:instrText>
      </w:r>
      <w:r>
        <w:instrText>self-accommodation morphologies. The α</w:instrText>
      </w:r>
      <w:r>
        <w:rPr>
          <w:rFonts w:hint="eastAsia"/>
        </w:rPr>
        <w:instrText>″</w:instrText>
      </w:r>
      <w:r>
        <w:instrText>variants are related to each other by twinning on {1 over(1, ̄) 1</w:instrText>
      </w:r>
      <w:r>
        <w:rPr>
          <w:rFonts w:hint="eastAsia"/>
        </w:rPr>
        <w:instrText>}</w:instrText>
      </w:r>
      <w:r>
        <w:rPr>
          <w:rFonts w:hint="eastAsia"/>
        </w:rPr>
        <w:instrText>α″</w:instrText>
      </w:r>
      <w:r>
        <w:rPr>
          <w:rFonts w:hint="eastAsia"/>
        </w:rPr>
        <w:instrText xml:space="preserve">. A V-shaped morphology consisting of two </w:instrText>
      </w:r>
      <w:r>
        <w:rPr>
          <w:rFonts w:hint="eastAsia"/>
        </w:rPr>
        <w:instrText>α″</w:instrText>
      </w:r>
      <w:r>
        <w:rPr>
          <w:rFonts w:hint="eastAsia"/>
        </w:rPr>
        <w:instrText xml:space="preserve">variants coupled with a solid triangular morphology consisting of three </w:instrText>
      </w:r>
      <w:r>
        <w:rPr>
          <w:rFonts w:hint="eastAsia"/>
        </w:rPr>
        <w:instrText>α″</w:instrText>
      </w:r>
      <w:r>
        <w:rPr>
          <w:rFonts w:hint="eastAsia"/>
        </w:rPr>
        <w:instrText xml:space="preserve">variants was found to be another type of self-accommodation morphology. The </w:instrText>
      </w:r>
      <w:r>
        <w:rPr>
          <w:rFonts w:hint="eastAsia"/>
        </w:rPr>
        <w:instrText>α″</w:instrText>
      </w:r>
      <w:r>
        <w:rPr>
          <w:rFonts w:hint="eastAsia"/>
        </w:rPr>
        <w:instrText>variants from the V-shaped morphology are related by twi</w:instrText>
      </w:r>
      <w:r>
        <w:instrText>nning on {1 1 1}α</w:instrText>
      </w:r>
      <w:r>
        <w:rPr>
          <w:rFonts w:hint="eastAsia"/>
        </w:rPr>
        <w:instrText>″</w:instrText>
      </w:r>
      <w:r>
        <w:instrText>, whereas the α</w:instrText>
      </w:r>
      <w:r>
        <w:rPr>
          <w:rFonts w:hint="eastAsia"/>
        </w:rPr>
        <w:instrText>″</w:instrText>
      </w:r>
      <w:r>
        <w:instrText>variants from the solid triangular morphology are related to each other by twinning on {1 over(1, ̄) 1}α</w:instrText>
      </w:r>
      <w:r>
        <w:rPr>
          <w:rFonts w:hint="eastAsia"/>
        </w:rPr>
        <w:instrText>″</w:instrText>
      </w:r>
      <w:r>
        <w:instrText>. Pairs of crystallographically equivalent {1 over(1, ̄) 1}α</w:instrText>
      </w:r>
      <w:r>
        <w:rPr>
          <w:rFonts w:hint="eastAsia"/>
        </w:rPr>
        <w:instrText>″</w:instrText>
      </w:r>
      <w:r>
        <w:instrText>twinning dislocations with steps of opposite signs were found to cause the overall orientation of the twinning terraces and steps to be parallel to the {1 over(1, ̄) 1}α</w:instrText>
      </w:r>
      <w:r>
        <w:rPr>
          <w:rFonts w:hint="eastAsia"/>
        </w:rPr>
        <w:instrText>″</w:instrText>
      </w:r>
      <w:r>
        <w:instrText>twinning interface. © 2009 Acta Materialia Inc.","author":[{"dropping-particle":"","family":"Chai","given":"Y. W.","non-dropping-particle":"","parse-names":false,"suffix":""},{"dropping-particle":"","family":"Kim","given":"H. Y.","non-dropping-particle":"","parse-names":false,"suffix":""},{"dropping-particle":"","family":"Hosoda","given":"H.","non-dropping-particle":"","parse-names":false,"suffix":""},{"dropping-particle":"","family":"Miyazaki","given":"S.","non-dropping-particle":"","parse-names":false,"suffix":""}],"container-title":"Acta Materialia","id":"ITEM-1","issued":{"date-parts":[["2009"]]},"title":"Self-accommodation in Ti-Nb shape memory alloys","type":"article-journal"},"uris":["http://www.mendeley.com/documents/?uuid=d9dd42fc-c439-4e3a-95e5-e7ad7b328b69"]},{"id":"ITEM-2","itemData":{"DOI":"10.1080/14786430601003874","ISBN":"1478-6435","ISSN":"14786435","abstract":"11q","author":[{"dropping-particle":"","family":"Inamura","given":"T.","non-dropping-particle":"","parse-names":false,"suffix":""},{"dropping-particle":"","family":"Kim","given":"J. I.","non-dropping-particle":"","parse-names":false,"suffix":""},{"dropping-particle":"","family":"Kim","given":"H. Y.","non-dropping-particle":"","parse-names":false,"suffix":""},{"dropping-particle":"","family":"Hosoda","given":"H.","non-dropping-particle":"","parse-names":false,"suffix":""},{"dropping-particle":"","family":"Wakashima","given":"K.","non-dropping-particle":"","parse-names":false,"suffix":""},{"dropping-particle":"","family":"Miyazaki","given":"S.","non-dropping-particle":"","parse-names":false,"suffix":""}],"container-title":"Philosophical Magazine","id":"ITEM-2","issued":{</w:instrText>
      </w:r>
      <w:r>
        <w:rPr>
          <w:rFonts w:hint="eastAsia"/>
        </w:rPr>
        <w:instrText xml:space="preserve">"date-parts":[["2007"]]},"title":"Composition dependent crystallography of </w:instrText>
      </w:r>
      <w:r>
        <w:rPr>
          <w:rFonts w:hint="eastAsia"/>
        </w:rPr>
        <w:instrText>α″</w:instrText>
      </w:r>
      <w:r>
        <w:rPr>
          <w:rFonts w:hint="eastAsia"/>
        </w:rPr>
        <w:instrText xml:space="preserve">-martensite in Ti-Nb-based </w:instrText>
      </w:r>
      <w:r>
        <w:rPr>
          <w:rFonts w:hint="eastAsia"/>
        </w:rPr>
        <w:instrText>β</w:instrText>
      </w:r>
      <w:r>
        <w:rPr>
          <w:rFonts w:hint="eastAsia"/>
        </w:rPr>
        <w:instrText>-titanium alloy","type":"article-journal"},"uris":["http://www.mendeley.com/documents/?uuid=26904a4b-d6c6-4c17-b6da-29a902ada479"]}],"mendeley":{"form</w:instrText>
      </w:r>
      <w:r>
        <w:instrText>attedCitation":"[2,3]","plainTextFormattedCitation":"[2,3]","previouslyFormattedCitation":"[20,21]"},"properties":{"noteIndex":0},"schema":"https://github.com/citation-style-language/schema/raw/master/csl-citation.json"}</w:instrText>
      </w:r>
      <w:r>
        <w:fldChar w:fldCharType="separate"/>
      </w:r>
      <w:r w:rsidRPr="00681C64">
        <w:rPr>
          <w:noProof/>
        </w:rPr>
        <w:t>[2,3]</w:t>
      </w:r>
      <w:r>
        <w:fldChar w:fldCharType="end"/>
      </w:r>
      <w:r>
        <w:t xml:space="preserve">. This enables </w:t>
      </w:r>
      <w:r>
        <w:rPr>
          <w:noProof/>
        </w:rPr>
        <w:t>the use of</w:t>
      </w:r>
      <w:r>
        <w:t xml:space="preserve"> their twinning plane as an </w:t>
      </w:r>
      <w:r w:rsidRPr="006B4AA1">
        <w:rPr>
          <w:noProof/>
        </w:rPr>
        <w:t>invariant</w:t>
      </w:r>
      <w:r>
        <w:t xml:space="preserve"> plane for deformation twinning to accommodate mechanical shear. </w:t>
      </w:r>
      <w:r w:rsidRPr="008E7B49">
        <w:rPr>
          <w:noProof/>
        </w:rPr>
        <w:t>Utilising</w:t>
      </w:r>
      <w:r>
        <w:t xml:space="preserve"> the existing SA twin from TRIP, corresponding </w:t>
      </w:r>
      <w:r w:rsidRPr="002A3F12">
        <w:rPr>
          <w:noProof/>
        </w:rPr>
        <w:t>ori</w:t>
      </w:r>
      <w:r>
        <w:rPr>
          <w:noProof/>
        </w:rPr>
        <w:t>en</w:t>
      </w:r>
      <w:r w:rsidRPr="002A3F12">
        <w:rPr>
          <w:noProof/>
        </w:rPr>
        <w:t>tation</w:t>
      </w:r>
      <w:r>
        <w:rPr>
          <w:noProof/>
        </w:rPr>
        <w:t xml:space="preserve"> related</w:t>
      </w:r>
      <w:r>
        <w:t xml:space="preserve"> mechanical twin products may </w:t>
      </w:r>
      <w:r w:rsidRPr="002A3F12">
        <w:rPr>
          <w:noProof/>
        </w:rPr>
        <w:t>activate</w:t>
      </w:r>
      <w:r>
        <w:t xml:space="preserve"> </w:t>
      </w:r>
      <w:r w:rsidRPr="008B0F6C">
        <w:rPr>
          <w:noProof/>
        </w:rPr>
        <w:t>along</w:t>
      </w:r>
      <w:r>
        <w:t xml:space="preserve"> the </w:t>
      </w:r>
      <w:r w:rsidRPr="006B4AA1">
        <w:rPr>
          <w:noProof/>
        </w:rPr>
        <w:t>favoured</w:t>
      </w:r>
      <w:r>
        <w:t xml:space="preserve"> shear direction</w:t>
      </w:r>
      <w:r w:rsidRPr="006C543A">
        <w:rPr>
          <w:noProof/>
        </w:rPr>
        <w:t xml:space="preserve"> </w:t>
      </w:r>
      <w:r w:rsidRPr="0011500A">
        <w:rPr>
          <w:noProof/>
        </w:rPr>
        <w:t>in</w:t>
      </w:r>
      <w:r>
        <w:rPr>
          <w:noProof/>
        </w:rPr>
        <w:t xml:space="preserve"> </w:t>
      </w:r>
      <w:r w:rsidRPr="0011500A">
        <w:rPr>
          <w:noProof/>
        </w:rPr>
        <w:t>later</w:t>
      </w:r>
      <w:r>
        <w:rPr>
          <w:noProof/>
        </w:rPr>
        <w:t xml:space="preserve"> stages of deformation.</w:t>
      </w:r>
      <w:r>
        <w:t xml:space="preserve"> This new dynamic strengthening mechanism was </w:t>
      </w:r>
      <w:r w:rsidR="00002F6A">
        <w:t xml:space="preserve">here </w:t>
      </w:r>
      <w:r>
        <w:t xml:space="preserve">termed Twinning </w:t>
      </w:r>
      <w:r>
        <w:rPr>
          <w:noProof/>
        </w:rPr>
        <w:t>T</w:t>
      </w:r>
      <w:r w:rsidRPr="006969A8">
        <w:rPr>
          <w:noProof/>
        </w:rPr>
        <w:t>ransfo</w:t>
      </w:r>
      <w:r>
        <w:rPr>
          <w:noProof/>
        </w:rPr>
        <w:t>rmation Induced Plasticity (TTIP)</w:t>
      </w:r>
      <w:r>
        <w:t xml:space="preserve">. Evidence of </w:t>
      </w:r>
      <w:r>
        <w:rPr>
          <w:rFonts w:cs="Times New Roman"/>
        </w:rPr>
        <w:t xml:space="preserve">the concept of </w:t>
      </w:r>
      <w:r>
        <w:t xml:space="preserve">this </w:t>
      </w:r>
      <w:r w:rsidRPr="00E96EC4">
        <w:t>new plasticity mechanism</w:t>
      </w:r>
      <w:r>
        <w:t xml:space="preserve"> was further analysed through</w:t>
      </w:r>
      <w:r>
        <w:rPr>
          <w:noProof/>
        </w:rPr>
        <w:t xml:space="preserve"> the application of</w:t>
      </w:r>
      <w:r w:rsidRPr="009D4D98">
        <w:rPr>
          <w:noProof/>
        </w:rPr>
        <w:t xml:space="preserve"> the</w:t>
      </w:r>
      <w:r w:rsidRPr="00B15297">
        <w:rPr>
          <w:noProof/>
        </w:rPr>
        <w:t xml:space="preserve"> </w:t>
      </w:r>
      <w:r>
        <w:rPr>
          <w:noProof/>
        </w:rPr>
        <w:t>t</w:t>
      </w:r>
      <w:r w:rsidRPr="00B15297">
        <w:rPr>
          <w:noProof/>
        </w:rPr>
        <w:t xml:space="preserve">heory of the </w:t>
      </w:r>
      <w:r>
        <w:rPr>
          <w:noProof/>
        </w:rPr>
        <w:t>c</w:t>
      </w:r>
      <w:r w:rsidRPr="00B15297">
        <w:rPr>
          <w:noProof/>
        </w:rPr>
        <w:t xml:space="preserve">rystallography of </w:t>
      </w:r>
      <w:r>
        <w:rPr>
          <w:noProof/>
        </w:rPr>
        <w:t>d</w:t>
      </w:r>
      <w:r w:rsidRPr="00B15297">
        <w:rPr>
          <w:noProof/>
        </w:rPr>
        <w:t xml:space="preserve">eformation </w:t>
      </w:r>
      <w:r>
        <w:rPr>
          <w:noProof/>
        </w:rPr>
        <w:t>t</w:t>
      </w:r>
      <w:r w:rsidRPr="00B15297">
        <w:rPr>
          <w:noProof/>
        </w:rPr>
        <w:t>winning</w:t>
      </w:r>
      <w:r>
        <w:rPr>
          <w:noProof/>
        </w:rPr>
        <w:t xml:space="preserve"> and</w:t>
      </w:r>
      <w:r>
        <w:rPr>
          <w:rFonts w:cstheme="minorHAnsi"/>
        </w:rPr>
        <w:t xml:space="preserve"> </w:t>
      </w:r>
      <w:r w:rsidRPr="00591102">
        <w:rPr>
          <w:noProof/>
        </w:rPr>
        <w:t>infinitesimal</w:t>
      </w:r>
      <w:r w:rsidRPr="00B61DD3">
        <w:t xml:space="preserve"> deformation approach</w:t>
      </w:r>
      <w:r>
        <w:t xml:space="preserve"> (IDA). </w:t>
      </w:r>
      <w:r>
        <w:rPr>
          <w:rFonts w:cstheme="minorHAnsi"/>
        </w:rPr>
        <w:t>The</w:t>
      </w:r>
      <w:r w:rsidRPr="00FA52AD">
        <w:rPr>
          <w:rFonts w:cstheme="minorHAnsi"/>
        </w:rPr>
        <w:t xml:space="preserve"> special</w:t>
      </w:r>
      <w:r>
        <w:rPr>
          <w:rFonts w:cstheme="minorHAnsi"/>
        </w:rPr>
        <w:t xml:space="preserve"> SA {351}</w:t>
      </w:r>
      <w:bookmarkStart w:id="313" w:name="_Hlk520634482"/>
      <w:r>
        <w:rPr>
          <w:rFonts w:cstheme="minorHAnsi"/>
        </w:rPr>
        <w:t>&lt;-211&gt;</w:t>
      </w:r>
      <w:r w:rsidRPr="00E9262D">
        <w:rPr>
          <w:rFonts w:eastAsia="等线" w:cstheme="minorHAnsi"/>
          <w:vertAlign w:val="subscript"/>
        </w:rPr>
        <w:t>α’’</w:t>
      </w:r>
      <w:r w:rsidRPr="00FA52AD">
        <w:rPr>
          <w:rFonts w:cstheme="minorHAnsi"/>
        </w:rPr>
        <w:t xml:space="preserve"> </w:t>
      </w:r>
      <w:bookmarkEnd w:id="313"/>
      <w:r>
        <w:rPr>
          <w:rFonts w:cstheme="minorHAnsi"/>
        </w:rPr>
        <w:t xml:space="preserve">type II </w:t>
      </w:r>
      <w:r w:rsidRPr="00FA52AD">
        <w:rPr>
          <w:rFonts w:cstheme="minorHAnsi"/>
        </w:rPr>
        <w:t>twinning</w:t>
      </w:r>
      <w:r>
        <w:rPr>
          <w:rFonts w:cstheme="minorHAnsi"/>
        </w:rPr>
        <w:t xml:space="preserve"> mode which </w:t>
      </w:r>
      <w:r w:rsidRPr="00185A8B">
        <w:rPr>
          <w:rFonts w:cstheme="minorHAnsi"/>
          <w:noProof/>
        </w:rPr>
        <w:t>correspond</w:t>
      </w:r>
      <w:r>
        <w:rPr>
          <w:rFonts w:cstheme="minorHAnsi"/>
          <w:noProof/>
        </w:rPr>
        <w:t>s</w:t>
      </w:r>
      <w:r>
        <w:rPr>
          <w:rFonts w:cstheme="minorHAnsi"/>
        </w:rPr>
        <w:t xml:space="preserve"> to {332}</w:t>
      </w:r>
      <w:r w:rsidRPr="00E9262D">
        <w:rPr>
          <w:rFonts w:cstheme="minorHAnsi"/>
          <w:vertAlign w:val="subscript"/>
        </w:rPr>
        <w:t>β</w:t>
      </w:r>
      <w:r>
        <w:rPr>
          <w:rFonts w:cstheme="minorHAnsi"/>
        </w:rPr>
        <w:t xml:space="preserve"> twinning was predicted by applying the </w:t>
      </w:r>
      <w:r>
        <w:t>IDA</w:t>
      </w:r>
      <w:r>
        <w:rPr>
          <w:rFonts w:cstheme="minorHAnsi"/>
        </w:rPr>
        <w:t xml:space="preserve"> and</w:t>
      </w:r>
      <w:r w:rsidRPr="00FA52AD">
        <w:rPr>
          <w:rFonts w:cstheme="minorHAnsi"/>
        </w:rPr>
        <w:t xml:space="preserve"> </w:t>
      </w:r>
      <w:r>
        <w:rPr>
          <w:rFonts w:cstheme="minorHAnsi"/>
        </w:rPr>
        <w:t>subsequently identified as the key to activate TTIP</w:t>
      </w:r>
      <w:r w:rsidRPr="00FA52AD">
        <w:rPr>
          <w:rFonts w:cstheme="minorHAnsi"/>
        </w:rPr>
        <w:t>.</w:t>
      </w:r>
      <w:r>
        <w:t xml:space="preserve"> Through the activation of this</w:t>
      </w:r>
      <w:r w:rsidRPr="00E96EC4">
        <w:t xml:space="preserve"> specific</w:t>
      </w:r>
      <w:r>
        <w:t xml:space="preserve"> type</w:t>
      </w:r>
      <w:r w:rsidRPr="00E96EC4">
        <w:t xml:space="preserve"> </w:t>
      </w:r>
      <w:r>
        <w:t xml:space="preserve">of </w:t>
      </w:r>
      <w:r w:rsidRPr="00E96EC4">
        <w:t xml:space="preserve">self-accommodation (SA) twinning, </w:t>
      </w:r>
      <w:r>
        <w:rPr>
          <w:noProof/>
        </w:rPr>
        <w:t>larg</w:t>
      </w:r>
      <w:r w:rsidRPr="009D4D98">
        <w:rPr>
          <w:noProof/>
        </w:rPr>
        <w:t>e</w:t>
      </w:r>
      <w:r w:rsidRPr="00E96EC4">
        <w:t xml:space="preserve"> deformation </w:t>
      </w:r>
      <w:r>
        <w:t>could</w:t>
      </w:r>
      <w:r w:rsidRPr="00E96EC4">
        <w:t xml:space="preserve"> be sustained by partially transform</w:t>
      </w:r>
      <w:r>
        <w:t>ed</w:t>
      </w:r>
      <w:r w:rsidRPr="00E96EC4">
        <w:t xml:space="preserve"> SA twinning into mechanical</w:t>
      </w:r>
      <w:r>
        <w:t xml:space="preserve"> deformation products in this IVB element based HEA</w:t>
      </w:r>
      <w:r w:rsidRPr="00E96EC4">
        <w:rPr>
          <w:noProof/>
        </w:rPr>
        <w:t>.</w:t>
      </w:r>
      <w:r>
        <w:rPr>
          <w:noProof/>
        </w:rPr>
        <w:t xml:space="preserve"> </w:t>
      </w:r>
    </w:p>
    <w:p w14:paraId="0B0BEC82" w14:textId="3CB9B68E" w:rsidR="00B145BE" w:rsidRPr="00663841" w:rsidRDefault="00B145BE" w:rsidP="00B145BE">
      <w:pPr>
        <w:spacing w:afterLines="60" w:after="144" w:line="360" w:lineRule="auto"/>
        <w:jc w:val="both"/>
      </w:pPr>
      <w:r>
        <w:rPr>
          <w:rFonts w:cstheme="minorHAnsi"/>
          <w:noProof/>
        </w:rPr>
        <w:t>In Chapter 6, two SA twinning modes {351}</w:t>
      </w:r>
      <w:r>
        <w:rPr>
          <w:rFonts w:cstheme="minorHAnsi"/>
        </w:rPr>
        <w:t>&lt;-211&gt;</w:t>
      </w:r>
      <w:r w:rsidRPr="00E9262D">
        <w:rPr>
          <w:rFonts w:eastAsia="等线" w:cstheme="minorHAnsi"/>
          <w:vertAlign w:val="subscript"/>
        </w:rPr>
        <w:t>α’’</w:t>
      </w:r>
      <w:r>
        <w:rPr>
          <w:rFonts w:cstheme="minorHAnsi"/>
          <w:noProof/>
        </w:rPr>
        <w:t xml:space="preserve"> and {113}</w:t>
      </w:r>
      <w:r>
        <w:rPr>
          <w:rFonts w:cstheme="minorHAnsi"/>
        </w:rPr>
        <w:t>&lt;-211&gt;</w:t>
      </w:r>
      <w:r w:rsidRPr="00E9262D">
        <w:rPr>
          <w:rFonts w:eastAsia="等线" w:cstheme="minorHAnsi"/>
          <w:vertAlign w:val="subscript"/>
        </w:rPr>
        <w:t>α’’</w:t>
      </w:r>
      <w:r w:rsidRPr="00FA52AD">
        <w:rPr>
          <w:rFonts w:cstheme="minorHAnsi"/>
        </w:rPr>
        <w:t xml:space="preserve"> </w:t>
      </w:r>
      <w:r>
        <w:rPr>
          <w:rFonts w:cstheme="minorHAnsi"/>
        </w:rPr>
        <w:t>type II</w:t>
      </w:r>
      <w:r>
        <w:rPr>
          <w:rFonts w:cstheme="minorHAnsi"/>
          <w:noProof/>
        </w:rPr>
        <w:t xml:space="preserve"> twin </w:t>
      </w:r>
      <w:r w:rsidRPr="009D4D98">
        <w:rPr>
          <w:rFonts w:cstheme="minorHAnsi"/>
          <w:noProof/>
        </w:rPr>
        <w:t>were predicted</w:t>
      </w:r>
      <w:r>
        <w:rPr>
          <w:rFonts w:cstheme="minorHAnsi"/>
          <w:noProof/>
        </w:rPr>
        <w:t xml:space="preserve"> as the most likely candidates for TTIP activation. According to the calculated results described in Chapter 6 and </w:t>
      </w:r>
      <w:r>
        <w:rPr>
          <w:rFonts w:cstheme="minorHAnsi"/>
          <w:noProof/>
        </w:rPr>
        <w:lastRenderedPageBreak/>
        <w:t xml:space="preserve">in previous research, the selection of SA twinning modes was mainly determined by </w:t>
      </w:r>
      <w:r w:rsidR="00002F6A">
        <w:rPr>
          <w:rFonts w:cstheme="minorHAnsi"/>
          <w:noProof/>
        </w:rPr>
        <w:t xml:space="preserve">the </w:t>
      </w:r>
      <w:r w:rsidRPr="00C5145B">
        <w:rPr>
          <w:rFonts w:cs="Times New Roman"/>
          <w:noProof/>
        </w:rPr>
        <w:t>β</w:t>
      </w:r>
      <w:r>
        <w:rPr>
          <w:rFonts w:cstheme="minorHAnsi"/>
          <w:noProof/>
        </w:rPr>
        <w:t xml:space="preserve"> phase stability, which was</w:t>
      </w:r>
      <w:r w:rsidRPr="009D4D98">
        <w:rPr>
          <w:rFonts w:cstheme="minorHAnsi"/>
          <w:noProof/>
        </w:rPr>
        <w:t xml:space="preserve"> tuned</w:t>
      </w:r>
      <w:r>
        <w:rPr>
          <w:rFonts w:cstheme="minorHAnsi"/>
          <w:noProof/>
        </w:rPr>
        <w:t xml:space="preserve"> </w:t>
      </w:r>
      <w:r w:rsidRPr="00663841">
        <w:rPr>
          <w:rFonts w:cstheme="minorHAnsi"/>
          <w:noProof/>
        </w:rPr>
        <w:t xml:space="preserve">through varying Ta addition in </w:t>
      </w:r>
      <w:r>
        <w:rPr>
          <w:rFonts w:cstheme="minorHAnsi"/>
          <w:noProof/>
        </w:rPr>
        <w:t xml:space="preserve">the </w:t>
      </w:r>
      <w:r w:rsidRPr="00663841">
        <w:rPr>
          <w:rFonts w:cstheme="minorHAnsi"/>
          <w:noProof/>
        </w:rPr>
        <w:t xml:space="preserve">current work. Thus, </w:t>
      </w:r>
      <w:r>
        <w:rPr>
          <w:rFonts w:cstheme="minorHAnsi"/>
        </w:rPr>
        <w:t>in a similar fashion to</w:t>
      </w:r>
      <w:r w:rsidRPr="00663841">
        <w:rPr>
          <w:rFonts w:cstheme="minorHAnsi"/>
        </w:rPr>
        <w:t xml:space="preserve"> metastable β-Ti alloys, the careful control of heat-treatment conditions and addition of </w:t>
      </w:r>
      <w:r w:rsidRPr="00663841">
        <w:rPr>
          <w:rFonts w:cs="Times New Roman"/>
        </w:rPr>
        <w:t>β</w:t>
      </w:r>
      <w:r w:rsidRPr="00663841">
        <w:rPr>
          <w:rFonts w:cstheme="minorHAnsi"/>
        </w:rPr>
        <w:t xml:space="preserve"> </w:t>
      </w:r>
      <w:r w:rsidRPr="00663841">
        <w:rPr>
          <w:rFonts w:cstheme="minorHAnsi"/>
          <w:noProof/>
        </w:rPr>
        <w:t>stabiliser</w:t>
      </w:r>
      <w:r>
        <w:rPr>
          <w:rFonts w:cstheme="minorHAnsi"/>
          <w:noProof/>
        </w:rPr>
        <w:t>,</w:t>
      </w:r>
      <w:r w:rsidRPr="00663841">
        <w:rPr>
          <w:rFonts w:cstheme="minorHAnsi"/>
        </w:rPr>
        <w:t xml:space="preserve"> may </w:t>
      </w:r>
      <w:r w:rsidRPr="00663841">
        <w:rPr>
          <w:rFonts w:cstheme="minorHAnsi"/>
          <w:noProof/>
        </w:rPr>
        <w:t>profoundly</w:t>
      </w:r>
      <w:r w:rsidRPr="00663841">
        <w:rPr>
          <w:rFonts w:cstheme="minorHAnsi"/>
        </w:rPr>
        <w:t xml:space="preserve"> influence the effect of TTIP. Based on the discovery</w:t>
      </w:r>
      <w:r>
        <w:rPr>
          <w:rFonts w:cstheme="minorHAnsi"/>
        </w:rPr>
        <w:t xml:space="preserve"> outlined</w:t>
      </w:r>
      <w:r w:rsidRPr="00663841">
        <w:rPr>
          <w:rFonts w:cstheme="minorHAnsi"/>
        </w:rPr>
        <w:t xml:space="preserve"> in </w:t>
      </w:r>
      <w:r>
        <w:rPr>
          <w:rFonts w:cstheme="minorHAnsi"/>
        </w:rPr>
        <w:t>C</w:t>
      </w:r>
      <w:r w:rsidRPr="00663841">
        <w:rPr>
          <w:rFonts w:cstheme="minorHAnsi"/>
        </w:rPr>
        <w:t xml:space="preserve">hapter 5, two compositions </w:t>
      </w:r>
      <w:r w:rsidRPr="00663841">
        <w:t>(TiZrHf)</w:t>
      </w:r>
      <w:r w:rsidRPr="00663841">
        <w:rPr>
          <w:vertAlign w:val="subscript"/>
        </w:rPr>
        <w:t>85</w:t>
      </w:r>
      <w:r w:rsidRPr="00663841">
        <w:t>Ta</w:t>
      </w:r>
      <w:r w:rsidRPr="00663841">
        <w:rPr>
          <w:vertAlign w:val="subscript"/>
        </w:rPr>
        <w:t>15</w:t>
      </w:r>
      <w:r w:rsidRPr="00663841">
        <w:t xml:space="preserve"> and</w:t>
      </w:r>
      <w:r w:rsidRPr="00663841">
        <w:rPr>
          <w:rFonts w:cstheme="minorHAnsi"/>
        </w:rPr>
        <w:t xml:space="preserve"> </w:t>
      </w:r>
      <w:r w:rsidRPr="00663841">
        <w:t>(TiZrHf)</w:t>
      </w:r>
      <w:r w:rsidRPr="00663841">
        <w:rPr>
          <w:vertAlign w:val="subscript"/>
        </w:rPr>
        <w:t>87</w:t>
      </w:r>
      <w:r w:rsidRPr="00663841">
        <w:t>Ta</w:t>
      </w:r>
      <w:r w:rsidRPr="00663841">
        <w:rPr>
          <w:vertAlign w:val="subscript"/>
        </w:rPr>
        <w:t>13</w:t>
      </w:r>
      <w:r w:rsidRPr="00663841">
        <w:rPr>
          <w:rFonts w:cstheme="minorHAnsi"/>
        </w:rPr>
        <w:t xml:space="preserve"> were selected to verify the activation of TTIP. </w:t>
      </w:r>
    </w:p>
    <w:p w14:paraId="637CFD22" w14:textId="01949B73" w:rsidR="00B145BE" w:rsidRDefault="00B145BE" w:rsidP="00B145BE">
      <w:pPr>
        <w:spacing w:afterLines="60" w:after="144" w:line="360" w:lineRule="auto"/>
        <w:jc w:val="both"/>
      </w:pPr>
      <w:r>
        <w:rPr>
          <w:noProof/>
        </w:rPr>
        <w:t>By</w:t>
      </w:r>
      <w:r w:rsidRPr="00663841">
        <w:rPr>
          <w:noProof/>
        </w:rPr>
        <w:t xml:space="preserve"> carefully tailoring the </w:t>
      </w:r>
      <w:r w:rsidRPr="00663841">
        <w:rPr>
          <w:rFonts w:cs="Times New Roman"/>
          <w:noProof/>
        </w:rPr>
        <w:t>β</w:t>
      </w:r>
      <w:r w:rsidRPr="00663841">
        <w:rPr>
          <w:noProof/>
        </w:rPr>
        <w:t xml:space="preserve"> phase stability, TTIP activation was enabled in </w:t>
      </w:r>
      <w:r>
        <w:t>the</w:t>
      </w:r>
      <w:r w:rsidRPr="00663841">
        <w:t xml:space="preserve"> metastable multi-component alloy (TiZrHf)</w:t>
      </w:r>
      <w:r w:rsidRPr="00663841">
        <w:rPr>
          <w:vertAlign w:val="subscript"/>
        </w:rPr>
        <w:t>87</w:t>
      </w:r>
      <w:r w:rsidRPr="00663841">
        <w:t>Ta</w:t>
      </w:r>
      <w:r w:rsidRPr="00663841">
        <w:rPr>
          <w:vertAlign w:val="subscript"/>
        </w:rPr>
        <w:t>13</w:t>
      </w:r>
      <w:r w:rsidRPr="00663841">
        <w:t>.</w:t>
      </w:r>
      <w:r w:rsidRPr="00663841">
        <w:rPr>
          <w:noProof/>
        </w:rPr>
        <w:t xml:space="preserve"> The mechanical performance</w:t>
      </w:r>
      <w:r>
        <w:rPr>
          <w:noProof/>
        </w:rPr>
        <w:t xml:space="preserve"> displayed</w:t>
      </w:r>
      <w:r w:rsidRPr="00663841">
        <w:t xml:space="preserve"> </w:t>
      </w:r>
      <w:r>
        <w:t xml:space="preserve">exceptional </w:t>
      </w:r>
      <w:r w:rsidRPr="00663841">
        <w:t>multi</w:t>
      </w:r>
      <w:r>
        <w:t>-</w:t>
      </w:r>
      <w:r w:rsidRPr="00663841">
        <w:t>stage work hardening (10</w:t>
      </w:r>
      <w:r>
        <w:t xml:space="preserve"> </w:t>
      </w:r>
      <w:r w:rsidRPr="00663841">
        <w:t>GPa)</w:t>
      </w:r>
      <w:r w:rsidR="00002F6A">
        <w:t>,</w:t>
      </w:r>
      <w:r w:rsidRPr="00663841">
        <w:t xml:space="preserve"> </w:t>
      </w:r>
      <w:r w:rsidRPr="00663841">
        <w:rPr>
          <w:noProof/>
        </w:rPr>
        <w:t>enabled by a combination of TRIP from the stress-induced orthorhombic α” martensite phase, TTIP via activation of SA type {351}</w:t>
      </w:r>
      <w:r w:rsidRPr="00663841">
        <w:rPr>
          <w:noProof/>
          <w:vertAlign w:val="subscript"/>
        </w:rPr>
        <w:t>α’’</w:t>
      </w:r>
      <w:r w:rsidRPr="00663841">
        <w:rPr>
          <w:noProof/>
        </w:rPr>
        <w:t xml:space="preserve"> twins and TWIP through the formation of nanomet</w:t>
      </w:r>
      <w:r>
        <w:rPr>
          <w:noProof/>
        </w:rPr>
        <w:t>re</w:t>
      </w:r>
      <w:r w:rsidRPr="00663841">
        <w:rPr>
          <w:noProof/>
        </w:rPr>
        <w:t>-scale interpenetrating twisted mechanical twinning laths on {351}</w:t>
      </w:r>
      <w:r w:rsidRPr="00663841">
        <w:rPr>
          <w:noProof/>
          <w:vertAlign w:val="subscript"/>
        </w:rPr>
        <w:t>α’’</w:t>
      </w:r>
      <w:r w:rsidRPr="00663841">
        <w:rPr>
          <w:noProof/>
        </w:rPr>
        <w:t xml:space="preserve">  SA twin. </w:t>
      </w:r>
      <w:bookmarkStart w:id="314" w:name="_Hlk522135187"/>
      <w:r w:rsidRPr="00663841">
        <w:rPr>
          <w:noProof/>
        </w:rPr>
        <w:t>The resulting short mean glide path for any subsequent</w:t>
      </w:r>
      <w:r>
        <w:rPr>
          <w:noProof/>
        </w:rPr>
        <w:t xml:space="preserve"> dislocation mo</w:t>
      </w:r>
      <w:r w:rsidRPr="00FD5DA2">
        <w:rPr>
          <w:noProof/>
        </w:rPr>
        <w:t>tion</w:t>
      </w:r>
      <w:bookmarkEnd w:id="314"/>
      <w:r>
        <w:rPr>
          <w:noProof/>
        </w:rPr>
        <w:t xml:space="preserve"> further contributed to the enhancement of the work hardening capacity</w:t>
      </w:r>
      <w:r w:rsidRPr="003E02EC">
        <w:t>.</w:t>
      </w:r>
      <w:r w:rsidRPr="00225F54">
        <w:t xml:space="preserve"> </w:t>
      </w:r>
    </w:p>
    <w:p w14:paraId="4D07ED3F" w14:textId="51401120" w:rsidR="00B145BE" w:rsidRPr="00C5145B" w:rsidRDefault="00B145BE" w:rsidP="00B145BE">
      <w:pPr>
        <w:spacing w:afterLines="60" w:after="144" w:line="360" w:lineRule="auto"/>
        <w:jc w:val="both"/>
        <w:rPr>
          <w:rFonts w:cstheme="minorHAnsi"/>
          <w:noProof/>
        </w:rPr>
      </w:pPr>
      <w:r>
        <w:rPr>
          <w:rFonts w:cstheme="minorHAnsi"/>
        </w:rPr>
        <w:t xml:space="preserve">The </w:t>
      </w:r>
      <w:r>
        <w:t>observed TTIP mechanism</w:t>
      </w:r>
      <w:r w:rsidRPr="00C56A7F">
        <w:rPr>
          <w:rFonts w:hint="eastAsia"/>
        </w:rPr>
        <w:t xml:space="preserve"> involve</w:t>
      </w:r>
      <w:r>
        <w:t>d</w:t>
      </w:r>
      <w:r w:rsidRPr="00C56A7F">
        <w:rPr>
          <w:rFonts w:hint="eastAsia"/>
        </w:rPr>
        <w:t xml:space="preserve"> </w:t>
      </w:r>
      <w:r>
        <w:t>a previously</w:t>
      </w:r>
      <w:r w:rsidRPr="00C56A7F">
        <w:rPr>
          <w:rFonts w:hint="eastAsia"/>
        </w:rPr>
        <w:t xml:space="preserve"> undiscovered</w:t>
      </w:r>
      <w:r>
        <w:t xml:space="preserve"> SA type</w:t>
      </w:r>
      <w:r w:rsidRPr="00C56A7F">
        <w:rPr>
          <w:rFonts w:hint="eastAsia"/>
        </w:rPr>
        <w:t xml:space="preserve"> </w:t>
      </w:r>
      <w:r>
        <w:t>twin</w:t>
      </w:r>
      <w:r w:rsidR="00002F6A">
        <w:t>s</w:t>
      </w:r>
      <w:r>
        <w:t xml:space="preserve"> working as </w:t>
      </w:r>
      <w:r w:rsidRPr="008E7B49">
        <w:rPr>
          <w:noProof/>
        </w:rPr>
        <w:t>mechanical</w:t>
      </w:r>
      <w:r>
        <w:t xml:space="preserve"> twinning</w:t>
      </w:r>
      <w:r>
        <w:rPr>
          <w:noProof/>
        </w:rPr>
        <w:t>.</w:t>
      </w:r>
      <w:r>
        <w:t xml:space="preserve"> The</w:t>
      </w:r>
      <w:r w:rsidRPr="00C56A7F">
        <w:rPr>
          <w:rFonts w:hint="eastAsia"/>
        </w:rPr>
        <w:t xml:space="preserve"> </w:t>
      </w:r>
      <w:r>
        <w:t xml:space="preserve">deformation products activated on TRIP induced SA </w:t>
      </w:r>
      <w:r w:rsidRPr="00C30D13">
        <w:rPr>
          <w:noProof/>
        </w:rPr>
        <w:t>twin</w:t>
      </w:r>
      <w:r>
        <w:rPr>
          <w:noProof/>
        </w:rPr>
        <w:t xml:space="preserve"> were enabled by preferential shear along </w:t>
      </w:r>
      <w:r w:rsidR="00002F6A">
        <w:rPr>
          <w:noProof/>
        </w:rPr>
        <w:t xml:space="preserve">the </w:t>
      </w:r>
      <w:r w:rsidRPr="009D4D98">
        <w:rPr>
          <w:noProof/>
        </w:rPr>
        <w:t>correspond</w:t>
      </w:r>
      <w:r>
        <w:rPr>
          <w:noProof/>
        </w:rPr>
        <w:t xml:space="preserve">ing austenite </w:t>
      </w:r>
      <w:r w:rsidRPr="008E7B49">
        <w:rPr>
          <w:noProof/>
        </w:rPr>
        <w:t>mechanical</w:t>
      </w:r>
      <w:r>
        <w:rPr>
          <w:noProof/>
        </w:rPr>
        <w:t xml:space="preserve"> twin direction.</w:t>
      </w:r>
      <w:r>
        <w:t xml:space="preserve"> </w:t>
      </w:r>
      <w:r>
        <w:rPr>
          <w:noProof/>
        </w:rPr>
        <w:t>M</w:t>
      </w:r>
      <w:r w:rsidRPr="00591102">
        <w:rPr>
          <w:noProof/>
        </w:rPr>
        <w:t>assive</w:t>
      </w:r>
      <w:r w:rsidRPr="00872E25">
        <w:t xml:space="preserve"> self-accommodating microstructure</w:t>
      </w:r>
      <w:r w:rsidRPr="00185A8B">
        <w:rPr>
          <w:noProof/>
        </w:rPr>
        <w:t xml:space="preserve"> </w:t>
      </w:r>
      <w:r>
        <w:rPr>
          <w:noProof/>
        </w:rPr>
        <w:t xml:space="preserve">was found to be </w:t>
      </w:r>
      <w:r w:rsidRPr="00185A8B">
        <w:rPr>
          <w:noProof/>
        </w:rPr>
        <w:t>emb</w:t>
      </w:r>
      <w:r>
        <w:rPr>
          <w:noProof/>
        </w:rPr>
        <w:t>edd</w:t>
      </w:r>
      <w:r w:rsidRPr="00185A8B">
        <w:rPr>
          <w:noProof/>
        </w:rPr>
        <w:t>ed</w:t>
      </w:r>
      <w:r w:rsidRPr="00872E25">
        <w:t xml:space="preserve"> into </w:t>
      </w:r>
      <w:r>
        <w:t>a matrix</w:t>
      </w:r>
      <w:r w:rsidRPr="00872E25">
        <w:t xml:space="preserve"> of austenite </w:t>
      </w:r>
      <w:r>
        <w:rPr>
          <w:noProof/>
        </w:rPr>
        <w:t>coherently and</w:t>
      </w:r>
      <w:r w:rsidRPr="00872E25">
        <w:t xml:space="preserve"> without introducing macroscopic stresses</w:t>
      </w:r>
      <w:r>
        <w:t xml:space="preserve"> during phase </w:t>
      </w:r>
      <w:r w:rsidRPr="00185A8B">
        <w:rPr>
          <w:noProof/>
        </w:rPr>
        <w:t>tra</w:t>
      </w:r>
      <w:r>
        <w:rPr>
          <w:noProof/>
        </w:rPr>
        <w:t>ns</w:t>
      </w:r>
      <w:r w:rsidRPr="00185A8B">
        <w:rPr>
          <w:noProof/>
        </w:rPr>
        <w:t>formation</w:t>
      </w:r>
      <w:r>
        <w:t>.</w:t>
      </w:r>
      <w:r w:rsidRPr="00872E25">
        <w:t xml:space="preserve"> </w:t>
      </w:r>
      <w:r>
        <w:t xml:space="preserve">This </w:t>
      </w:r>
      <w:r>
        <w:rPr>
          <w:noProof/>
        </w:rPr>
        <w:t>e</w:t>
      </w:r>
      <w:r w:rsidRPr="00872E25">
        <w:t>n</w:t>
      </w:r>
      <w:r>
        <w:t>a</w:t>
      </w:r>
      <w:r w:rsidRPr="00872E25">
        <w:t>ble</w:t>
      </w:r>
      <w:r>
        <w:t>s the {351}</w:t>
      </w:r>
      <w:r w:rsidRPr="00E9262D">
        <w:rPr>
          <w:rFonts w:eastAsia="等线" w:cstheme="minorHAnsi"/>
          <w:vertAlign w:val="subscript"/>
        </w:rPr>
        <w:t>α’’</w:t>
      </w:r>
      <w:r w:rsidRPr="00872E25">
        <w:t xml:space="preserve"> twinning plane</w:t>
      </w:r>
      <w:r w:rsidR="00002F6A">
        <w:t>,</w:t>
      </w:r>
      <w:r>
        <w:t xml:space="preserve"> which was</w:t>
      </w:r>
      <w:r w:rsidRPr="00872E25">
        <w:t xml:space="preserve"> originally formed as</w:t>
      </w:r>
      <w:r>
        <w:t xml:space="preserve"> coherent </w:t>
      </w:r>
      <w:r w:rsidRPr="00872E25">
        <w:t>SA type twin</w:t>
      </w:r>
      <w:r>
        <w:t>s, to</w:t>
      </w:r>
      <w:r w:rsidRPr="00872E25">
        <w:t xml:space="preserve"> </w:t>
      </w:r>
      <w:r>
        <w:t xml:space="preserve">further mediate the strain accommodation by </w:t>
      </w:r>
      <w:r>
        <w:rPr>
          <w:noProof/>
        </w:rPr>
        <w:t>shifting the SA</w:t>
      </w:r>
      <w:r>
        <w:t xml:space="preserve"> shear direction to the favoured mechanical shear direction. A variety</w:t>
      </w:r>
      <w:r w:rsidR="00002F6A">
        <w:t xml:space="preserve"> of</w:t>
      </w:r>
      <w:r>
        <w:t xml:space="preserve"> TTIP products, including {</w:t>
      </w:r>
      <w:r w:rsidR="007F1F94">
        <w:t>351</w:t>
      </w:r>
      <w:r>
        <w:t>}</w:t>
      </w:r>
      <w:r w:rsidRPr="00E9262D">
        <w:rPr>
          <w:rFonts w:eastAsia="等线" w:cstheme="minorHAnsi"/>
          <w:vertAlign w:val="subscript"/>
        </w:rPr>
        <w:t>α’’</w:t>
      </w:r>
      <w:r>
        <w:t xml:space="preserve"> deformation twins and {011}</w:t>
      </w:r>
      <w:r w:rsidRPr="00E9262D">
        <w:rPr>
          <w:rFonts w:eastAsia="等线" w:cstheme="minorHAnsi"/>
          <w:vertAlign w:val="subscript"/>
        </w:rPr>
        <w:t>α’’</w:t>
      </w:r>
      <w:r>
        <w:t xml:space="preserve"> compound SA twins, </w:t>
      </w:r>
      <w:r>
        <w:rPr>
          <w:noProof/>
        </w:rPr>
        <w:t>were</w:t>
      </w:r>
      <w:r w:rsidRPr="008E7FCF">
        <w:rPr>
          <w:noProof/>
        </w:rPr>
        <w:t xml:space="preserve"> observed</w:t>
      </w:r>
      <w:r>
        <w:t xml:space="preserve">. Thus, TTIP was found to produce a </w:t>
      </w:r>
      <w:r w:rsidRPr="00540377">
        <w:t>super-refined nano</w:t>
      </w:r>
      <w:r>
        <w:t>-</w:t>
      </w:r>
      <w:r w:rsidRPr="00540377">
        <w:t xml:space="preserve">laminate structure of α'' (orthorhombic) martensite bounded with multi-type </w:t>
      </w:r>
      <w:r>
        <w:t>SA twins. The ultimate b</w:t>
      </w:r>
      <w:r w:rsidRPr="00540377">
        <w:t xml:space="preserve">enefit from this </w:t>
      </w:r>
      <w:r w:rsidRPr="00206950">
        <w:rPr>
          <w:noProof/>
        </w:rPr>
        <w:t>special</w:t>
      </w:r>
      <w:r w:rsidRPr="00540377">
        <w:t xml:space="preserve"> dynamic </w:t>
      </w:r>
      <w:r w:rsidRPr="00185A8B">
        <w:rPr>
          <w:noProof/>
        </w:rPr>
        <w:t>refin</w:t>
      </w:r>
      <w:r>
        <w:rPr>
          <w:noProof/>
        </w:rPr>
        <w:t>e</w:t>
      </w:r>
      <w:r w:rsidRPr="00185A8B">
        <w:rPr>
          <w:noProof/>
        </w:rPr>
        <w:t>ment</w:t>
      </w:r>
      <w:r>
        <w:rPr>
          <w:noProof/>
        </w:rPr>
        <w:t xml:space="preserve"> mechanism was that it unlocks the constraint</w:t>
      </w:r>
      <w:r w:rsidRPr="00540377">
        <w:t xml:space="preserve"> between </w:t>
      </w:r>
      <w:r>
        <w:t>TRIP</w:t>
      </w:r>
      <w:r w:rsidRPr="00540377">
        <w:t xml:space="preserve"> and </w:t>
      </w:r>
      <w:r>
        <w:t xml:space="preserve">TWIP. Hence, allowing an </w:t>
      </w:r>
      <w:r w:rsidRPr="00540377">
        <w:t>enhance</w:t>
      </w:r>
      <w:r>
        <w:t>ment of</w:t>
      </w:r>
      <w:r w:rsidRPr="00540377">
        <w:t xml:space="preserve"> </w:t>
      </w:r>
      <w:r>
        <w:t xml:space="preserve">mechanical </w:t>
      </w:r>
      <w:r w:rsidRPr="00591102">
        <w:rPr>
          <w:noProof/>
        </w:rPr>
        <w:t>perfo</w:t>
      </w:r>
      <w:r>
        <w:rPr>
          <w:noProof/>
        </w:rPr>
        <w:t>r</w:t>
      </w:r>
      <w:r w:rsidRPr="00591102">
        <w:rPr>
          <w:noProof/>
        </w:rPr>
        <w:t>mance</w:t>
      </w:r>
      <w:r>
        <w:rPr>
          <w:noProof/>
        </w:rPr>
        <w:t xml:space="preserve"> of newly designed alloys</w:t>
      </w:r>
      <w:r w:rsidRPr="00540377">
        <w:t xml:space="preserve">. </w:t>
      </w:r>
      <w:r w:rsidRPr="003E02EC">
        <w:t>T</w:t>
      </w:r>
      <w:r>
        <w:t xml:space="preserve">he </w:t>
      </w:r>
      <w:r w:rsidRPr="00C71E80">
        <w:rPr>
          <w:noProof/>
        </w:rPr>
        <w:t>enhanced</w:t>
      </w:r>
      <w:r>
        <w:t xml:space="preserve"> mechanical performance</w:t>
      </w:r>
      <w:r w:rsidR="00002F6A">
        <w:t>,</w:t>
      </w:r>
      <w:r>
        <w:t xml:space="preserve"> made </w:t>
      </w:r>
      <w:r w:rsidRPr="003E02EC">
        <w:t xml:space="preserve">possible by </w:t>
      </w:r>
      <w:r>
        <w:t>the TTIP</w:t>
      </w:r>
      <w:r w:rsidRPr="003E02EC">
        <w:t xml:space="preserve"> mechanism</w:t>
      </w:r>
      <w:r>
        <w:t>, enables the design</w:t>
      </w:r>
      <w:r w:rsidRPr="003E02EC">
        <w:t xml:space="preserve"> </w:t>
      </w:r>
      <w:r>
        <w:t xml:space="preserve">of </w:t>
      </w:r>
      <w:r w:rsidRPr="00FD5DA2">
        <w:rPr>
          <w:noProof/>
        </w:rPr>
        <w:t>low</w:t>
      </w:r>
      <w:r>
        <w:rPr>
          <w:noProof/>
        </w:rPr>
        <w:t>-</w:t>
      </w:r>
      <w:r w:rsidRPr="008422D3">
        <w:rPr>
          <w:noProof/>
        </w:rPr>
        <w:t xml:space="preserve">density </w:t>
      </w:r>
      <w:r w:rsidRPr="00494C7C">
        <w:rPr>
          <w:rFonts w:cs="Times New Roman"/>
          <w:noProof/>
        </w:rPr>
        <w:t>β</w:t>
      </w:r>
      <w:r w:rsidRPr="008422D3">
        <w:rPr>
          <w:noProof/>
        </w:rPr>
        <w:t>-Ti</w:t>
      </w:r>
      <w:r w:rsidRPr="008422D3">
        <w:t xml:space="preserve"> str</w:t>
      </w:r>
      <w:r w:rsidRPr="003E02EC">
        <w:t xml:space="preserve">uctural materials </w:t>
      </w:r>
      <w:r>
        <w:t>with</w:t>
      </w:r>
      <w:r w:rsidRPr="003E02EC">
        <w:t xml:space="preserve"> exceptional impact resistance</w:t>
      </w:r>
      <w:r>
        <w:t>. This type of material could perform well in such applications as</w:t>
      </w:r>
      <w:r w:rsidRPr="003E02EC">
        <w:t xml:space="preserve"> lightweight safety systems in the transportation sector.</w:t>
      </w:r>
    </w:p>
    <w:p w14:paraId="4425794E" w14:textId="0C1DC359" w:rsidR="00B145BE" w:rsidRPr="00E23D13" w:rsidRDefault="00B145BE" w:rsidP="00B145BE">
      <w:pPr>
        <w:pStyle w:val="af4"/>
        <w:shd w:val="clear" w:color="auto" w:fill="FFFFFF"/>
        <w:spacing w:before="0" w:beforeAutospacing="0" w:afterLines="60" w:after="144" w:afterAutospacing="0" w:line="360" w:lineRule="auto"/>
        <w:jc w:val="both"/>
        <w:rPr>
          <w:rFonts w:asciiTheme="minorHAnsi" w:eastAsiaTheme="minorEastAsia" w:hAnsiTheme="minorHAnsi" w:cstheme="minorBidi"/>
          <w:sz w:val="22"/>
          <w:szCs w:val="22"/>
          <w:lang w:val="en-GB"/>
        </w:rPr>
      </w:pPr>
      <w:r>
        <w:rPr>
          <w:rFonts w:asciiTheme="minorHAnsi" w:eastAsiaTheme="minorEastAsia" w:hAnsiTheme="minorHAnsi" w:cstheme="minorBidi"/>
          <w:sz w:val="22"/>
          <w:szCs w:val="22"/>
          <w:lang w:val="en-GB"/>
        </w:rPr>
        <w:t xml:space="preserve">To investigate the evolution of </w:t>
      </w:r>
      <w:r w:rsidR="00002F6A">
        <w:rPr>
          <w:rFonts w:asciiTheme="minorHAnsi" w:eastAsiaTheme="minorEastAsia" w:hAnsiTheme="minorHAnsi" w:cstheme="minorBidi"/>
          <w:sz w:val="22"/>
          <w:szCs w:val="22"/>
          <w:lang w:val="en-GB"/>
        </w:rPr>
        <w:t xml:space="preserve">the </w:t>
      </w:r>
      <w:r>
        <w:rPr>
          <w:rFonts w:asciiTheme="minorHAnsi" w:eastAsiaTheme="minorEastAsia" w:hAnsiTheme="minorHAnsi" w:cstheme="minorBidi"/>
          <w:sz w:val="22"/>
          <w:szCs w:val="22"/>
          <w:lang w:val="en-GB"/>
        </w:rPr>
        <w:t>deformation mechanism of TTIP, the following experimental results and discussions describe the development and testing of the multi-</w:t>
      </w:r>
      <w:r w:rsidRPr="00591102">
        <w:rPr>
          <w:rFonts w:asciiTheme="minorHAnsi" w:eastAsiaTheme="minorEastAsia" w:hAnsiTheme="minorHAnsi" w:cstheme="minorBidi"/>
          <w:noProof/>
          <w:sz w:val="22"/>
          <w:szCs w:val="22"/>
          <w:lang w:val="en-GB"/>
        </w:rPr>
        <w:t>component</w:t>
      </w:r>
      <w:r>
        <w:rPr>
          <w:rFonts w:asciiTheme="minorHAnsi" w:eastAsiaTheme="minorEastAsia" w:hAnsiTheme="minorHAnsi" w:cstheme="minorBidi"/>
          <w:sz w:val="22"/>
          <w:szCs w:val="22"/>
          <w:lang w:val="en-GB"/>
        </w:rPr>
        <w:t xml:space="preserve"> TTIP alloy</w:t>
      </w:r>
      <w:r w:rsidR="00002F6A">
        <w:rPr>
          <w:rFonts w:asciiTheme="minorHAnsi" w:eastAsiaTheme="minorEastAsia" w:hAnsiTheme="minorHAnsi" w:cstheme="minorBidi"/>
          <w:sz w:val="22"/>
          <w:szCs w:val="22"/>
          <w:lang w:val="en-GB"/>
        </w:rPr>
        <w:t>s</w:t>
      </w:r>
      <w:r>
        <w:rPr>
          <w:rFonts w:asciiTheme="minorHAnsi" w:eastAsiaTheme="minorEastAsia" w:hAnsiTheme="minorHAnsi" w:cstheme="minorBidi"/>
          <w:sz w:val="22"/>
          <w:szCs w:val="22"/>
          <w:lang w:val="en-GB"/>
        </w:rPr>
        <w:t xml:space="preserve"> (</w:t>
      </w:r>
      <w:r w:rsidRPr="00B30F33">
        <w:rPr>
          <w:rFonts w:asciiTheme="minorHAnsi" w:eastAsiaTheme="minorEastAsia" w:hAnsiTheme="minorHAnsi" w:cstheme="minorBidi"/>
          <w:sz w:val="22"/>
          <w:szCs w:val="22"/>
          <w:lang w:val="en-GB"/>
        </w:rPr>
        <w:t>Ti</w:t>
      </w:r>
      <w:r>
        <w:rPr>
          <w:rFonts w:asciiTheme="minorHAnsi" w:eastAsiaTheme="minorEastAsia" w:hAnsiTheme="minorHAnsi" w:cstheme="minorBidi"/>
          <w:sz w:val="22"/>
          <w:szCs w:val="22"/>
          <w:lang w:val="en-GB"/>
        </w:rPr>
        <w:t>ZrHf)</w:t>
      </w:r>
      <w:r>
        <w:rPr>
          <w:rFonts w:asciiTheme="minorHAnsi" w:eastAsiaTheme="minorEastAsia" w:hAnsiTheme="minorHAnsi" w:cstheme="minorBidi"/>
          <w:sz w:val="22"/>
          <w:szCs w:val="22"/>
          <w:vertAlign w:val="subscript"/>
          <w:lang w:val="en-GB"/>
        </w:rPr>
        <w:t>85</w:t>
      </w:r>
      <w:r w:rsidRPr="00B30F33">
        <w:rPr>
          <w:rFonts w:asciiTheme="minorHAnsi" w:eastAsiaTheme="minorEastAsia" w:hAnsiTheme="minorHAnsi" w:cstheme="minorBidi"/>
          <w:sz w:val="22"/>
          <w:szCs w:val="22"/>
          <w:lang w:val="en-GB"/>
        </w:rPr>
        <w:t>Ta</w:t>
      </w:r>
      <w:r w:rsidRPr="00B30F33">
        <w:rPr>
          <w:rFonts w:asciiTheme="minorHAnsi" w:eastAsiaTheme="minorEastAsia" w:hAnsiTheme="minorHAnsi" w:cstheme="minorBidi"/>
          <w:sz w:val="22"/>
          <w:szCs w:val="22"/>
          <w:vertAlign w:val="subscript"/>
          <w:lang w:val="en-GB"/>
        </w:rPr>
        <w:t>1</w:t>
      </w:r>
      <w:r>
        <w:rPr>
          <w:rFonts w:asciiTheme="minorHAnsi" w:eastAsiaTheme="minorEastAsia" w:hAnsiTheme="minorHAnsi" w:cstheme="minorBidi"/>
          <w:sz w:val="22"/>
          <w:szCs w:val="22"/>
          <w:vertAlign w:val="subscript"/>
          <w:lang w:val="en-GB"/>
        </w:rPr>
        <w:t>5</w:t>
      </w:r>
      <w:r>
        <w:rPr>
          <w:rFonts w:asciiTheme="minorHAnsi" w:eastAsiaTheme="minorEastAsia" w:hAnsiTheme="minorHAnsi" w:cstheme="minorBidi"/>
          <w:sz w:val="22"/>
          <w:szCs w:val="22"/>
          <w:lang w:val="en-GB"/>
        </w:rPr>
        <w:t xml:space="preserve"> and (</w:t>
      </w:r>
      <w:r w:rsidRPr="00B30F33">
        <w:rPr>
          <w:rFonts w:asciiTheme="minorHAnsi" w:eastAsiaTheme="minorEastAsia" w:hAnsiTheme="minorHAnsi" w:cstheme="minorBidi"/>
          <w:sz w:val="22"/>
          <w:szCs w:val="22"/>
          <w:lang w:val="en-GB"/>
        </w:rPr>
        <w:t>Ti</w:t>
      </w:r>
      <w:r>
        <w:rPr>
          <w:rFonts w:asciiTheme="minorHAnsi" w:eastAsiaTheme="minorEastAsia" w:hAnsiTheme="minorHAnsi" w:cstheme="minorBidi"/>
          <w:sz w:val="22"/>
          <w:szCs w:val="22"/>
          <w:lang w:val="en-GB"/>
        </w:rPr>
        <w:t>ZrHf)</w:t>
      </w:r>
      <w:r>
        <w:rPr>
          <w:rFonts w:asciiTheme="minorHAnsi" w:eastAsiaTheme="minorEastAsia" w:hAnsiTheme="minorHAnsi" w:cstheme="minorBidi"/>
          <w:sz w:val="22"/>
          <w:szCs w:val="22"/>
          <w:vertAlign w:val="subscript"/>
          <w:lang w:val="en-GB"/>
        </w:rPr>
        <w:t>87</w:t>
      </w:r>
      <w:r w:rsidRPr="00B30F33">
        <w:rPr>
          <w:rFonts w:asciiTheme="minorHAnsi" w:eastAsiaTheme="minorEastAsia" w:hAnsiTheme="minorHAnsi" w:cstheme="minorBidi"/>
          <w:sz w:val="22"/>
          <w:szCs w:val="22"/>
          <w:lang w:val="en-GB"/>
        </w:rPr>
        <w:t>Ta</w:t>
      </w:r>
      <w:r w:rsidRPr="00B30F33">
        <w:rPr>
          <w:rFonts w:asciiTheme="minorHAnsi" w:eastAsiaTheme="minorEastAsia" w:hAnsiTheme="minorHAnsi" w:cstheme="minorBidi"/>
          <w:sz w:val="22"/>
          <w:szCs w:val="22"/>
          <w:vertAlign w:val="subscript"/>
          <w:lang w:val="en-GB"/>
        </w:rPr>
        <w:t>1</w:t>
      </w:r>
      <w:r>
        <w:rPr>
          <w:rFonts w:asciiTheme="minorHAnsi" w:eastAsiaTheme="minorEastAsia" w:hAnsiTheme="minorHAnsi" w:cstheme="minorBidi"/>
          <w:sz w:val="22"/>
          <w:szCs w:val="22"/>
          <w:vertAlign w:val="subscript"/>
          <w:lang w:val="en-GB"/>
        </w:rPr>
        <w:t>3</w:t>
      </w:r>
      <w:r>
        <w:rPr>
          <w:rFonts w:asciiTheme="minorHAnsi" w:eastAsiaTheme="minorEastAsia" w:hAnsiTheme="minorHAnsi" w:cstheme="minorBidi"/>
          <w:noProof/>
          <w:sz w:val="22"/>
          <w:szCs w:val="22"/>
          <w:lang w:val="en-GB"/>
        </w:rPr>
        <w:t>.</w:t>
      </w:r>
      <w:r>
        <w:rPr>
          <w:rFonts w:asciiTheme="minorHAnsi" w:eastAsiaTheme="minorEastAsia" w:hAnsiTheme="minorHAnsi" w:cstheme="minorBidi"/>
          <w:sz w:val="22"/>
          <w:szCs w:val="22"/>
          <w:lang w:val="en-GB"/>
        </w:rPr>
        <w:t xml:space="preserve"> E</w:t>
      </w:r>
      <w:r w:rsidRPr="00E23D13">
        <w:rPr>
          <w:rFonts w:asciiTheme="minorHAnsi" w:eastAsiaTheme="minorEastAsia" w:hAnsiTheme="minorHAnsi" w:cstheme="minorBidi"/>
          <w:sz w:val="22"/>
          <w:szCs w:val="22"/>
          <w:lang w:val="en-GB"/>
        </w:rPr>
        <w:t xml:space="preserve">mploying </w:t>
      </w:r>
      <w:r>
        <w:rPr>
          <w:rFonts w:asciiTheme="minorHAnsi" w:eastAsiaTheme="minorEastAsia" w:hAnsiTheme="minorHAnsi" w:cstheme="minorBidi"/>
          <w:sz w:val="22"/>
          <w:szCs w:val="22"/>
          <w:lang w:val="en-GB"/>
        </w:rPr>
        <w:t>a range of</w:t>
      </w:r>
      <w:r w:rsidRPr="00E23D13">
        <w:rPr>
          <w:rFonts w:asciiTheme="minorHAnsi" w:eastAsiaTheme="minorEastAsia" w:hAnsiTheme="minorHAnsi" w:cstheme="minorBidi"/>
          <w:sz w:val="22"/>
          <w:szCs w:val="22"/>
          <w:lang w:val="en-GB"/>
        </w:rPr>
        <w:t xml:space="preserve"> </w:t>
      </w:r>
      <w:r w:rsidRPr="00206950">
        <w:rPr>
          <w:rFonts w:asciiTheme="minorHAnsi" w:eastAsiaTheme="minorEastAsia" w:hAnsiTheme="minorHAnsi" w:cstheme="minorBidi"/>
          <w:noProof/>
          <w:sz w:val="22"/>
          <w:szCs w:val="22"/>
          <w:lang w:val="en-GB"/>
        </w:rPr>
        <w:t>experimental</w:t>
      </w:r>
      <w:r w:rsidRPr="00E23D13">
        <w:rPr>
          <w:rFonts w:asciiTheme="minorHAnsi" w:eastAsiaTheme="minorEastAsia" w:hAnsiTheme="minorHAnsi" w:cstheme="minorBidi"/>
          <w:sz w:val="22"/>
          <w:szCs w:val="22"/>
          <w:lang w:val="en-GB"/>
        </w:rPr>
        <w:t xml:space="preserve"> tools</w:t>
      </w:r>
      <w:r>
        <w:rPr>
          <w:rFonts w:asciiTheme="minorHAnsi" w:eastAsiaTheme="minorEastAsia" w:hAnsiTheme="minorHAnsi" w:cstheme="minorBidi"/>
          <w:sz w:val="22"/>
          <w:szCs w:val="22"/>
          <w:lang w:val="en-GB"/>
        </w:rPr>
        <w:t xml:space="preserve"> including TEM, HRTEM, XRD and </w:t>
      </w:r>
      <w:r w:rsidR="000A5412">
        <w:rPr>
          <w:rFonts w:asciiTheme="minorHAnsi" w:eastAsiaTheme="minorEastAsia" w:hAnsiTheme="minorHAnsi" w:cstheme="minorBidi"/>
          <w:sz w:val="22"/>
          <w:szCs w:val="22"/>
          <w:lang w:val="en-GB"/>
        </w:rPr>
        <w:t>EBSD, substantial</w:t>
      </w:r>
      <w:r w:rsidRPr="00E23D13">
        <w:rPr>
          <w:rFonts w:asciiTheme="minorHAnsi" w:eastAsiaTheme="minorEastAsia" w:hAnsiTheme="minorHAnsi" w:cstheme="minorBidi"/>
          <w:sz w:val="22"/>
          <w:szCs w:val="22"/>
          <w:lang w:val="en-GB"/>
        </w:rPr>
        <w:t xml:space="preserve"> </w:t>
      </w:r>
      <w:r>
        <w:rPr>
          <w:rFonts w:asciiTheme="minorHAnsi" w:eastAsiaTheme="minorEastAsia" w:hAnsiTheme="minorHAnsi" w:cstheme="minorBidi"/>
          <w:sz w:val="22"/>
          <w:szCs w:val="22"/>
          <w:lang w:val="en-GB"/>
        </w:rPr>
        <w:t>findings were revealed with regard to</w:t>
      </w:r>
      <w:r w:rsidRPr="00E23D13">
        <w:rPr>
          <w:rFonts w:asciiTheme="minorHAnsi" w:eastAsiaTheme="minorEastAsia" w:hAnsiTheme="minorHAnsi" w:cstheme="minorBidi"/>
          <w:sz w:val="22"/>
          <w:szCs w:val="22"/>
          <w:lang w:val="en-GB"/>
        </w:rPr>
        <w:t xml:space="preserve"> the </w:t>
      </w:r>
      <w:r>
        <w:rPr>
          <w:rFonts w:asciiTheme="minorHAnsi" w:eastAsiaTheme="minorEastAsia" w:hAnsiTheme="minorHAnsi" w:cstheme="minorBidi"/>
          <w:sz w:val="22"/>
          <w:szCs w:val="22"/>
          <w:lang w:val="en-GB"/>
        </w:rPr>
        <w:t xml:space="preserve">crystallography of the </w:t>
      </w:r>
      <w:r w:rsidRPr="00E23D13">
        <w:rPr>
          <w:rFonts w:asciiTheme="minorHAnsi" w:eastAsiaTheme="minorEastAsia" w:hAnsiTheme="minorHAnsi" w:cstheme="minorBidi"/>
          <w:sz w:val="22"/>
          <w:szCs w:val="22"/>
          <w:lang w:val="en-GB"/>
        </w:rPr>
        <w:t>structur</w:t>
      </w:r>
      <w:r>
        <w:rPr>
          <w:rFonts w:asciiTheme="minorHAnsi" w:eastAsiaTheme="minorEastAsia" w:hAnsiTheme="minorHAnsi" w:cstheme="minorBidi"/>
          <w:sz w:val="22"/>
          <w:szCs w:val="22"/>
          <w:lang w:val="en-GB"/>
        </w:rPr>
        <w:t>al transformation responsible for the TTIP</w:t>
      </w:r>
      <w:r w:rsidRPr="00E23D13">
        <w:rPr>
          <w:rFonts w:asciiTheme="minorHAnsi" w:eastAsiaTheme="minorEastAsia" w:hAnsiTheme="minorHAnsi" w:cstheme="minorBidi"/>
          <w:sz w:val="22"/>
          <w:szCs w:val="22"/>
          <w:lang w:val="en-GB"/>
        </w:rPr>
        <w:t xml:space="preserve"> </w:t>
      </w:r>
      <w:r>
        <w:rPr>
          <w:rFonts w:asciiTheme="minorHAnsi" w:eastAsiaTheme="minorEastAsia" w:hAnsiTheme="minorHAnsi" w:cstheme="minorBidi"/>
          <w:sz w:val="22"/>
          <w:szCs w:val="22"/>
          <w:lang w:val="en-GB"/>
        </w:rPr>
        <w:t>twinning</w:t>
      </w:r>
      <w:r w:rsidRPr="00E23D13">
        <w:rPr>
          <w:rFonts w:asciiTheme="minorHAnsi" w:eastAsiaTheme="minorEastAsia" w:hAnsiTheme="minorHAnsi" w:cstheme="minorBidi"/>
          <w:sz w:val="22"/>
          <w:szCs w:val="22"/>
          <w:lang w:val="en-GB"/>
        </w:rPr>
        <w:t xml:space="preserve"> </w:t>
      </w:r>
      <w:r>
        <w:rPr>
          <w:rFonts w:asciiTheme="minorHAnsi" w:eastAsiaTheme="minorEastAsia" w:hAnsiTheme="minorHAnsi" w:cstheme="minorBidi"/>
          <w:sz w:val="22"/>
          <w:szCs w:val="22"/>
          <w:lang w:val="en-GB"/>
        </w:rPr>
        <w:t>mechanism</w:t>
      </w:r>
      <w:r w:rsidRPr="00E23D13">
        <w:rPr>
          <w:rFonts w:asciiTheme="minorHAnsi" w:eastAsiaTheme="minorEastAsia" w:hAnsiTheme="minorHAnsi" w:cstheme="minorBidi"/>
          <w:sz w:val="22"/>
          <w:szCs w:val="22"/>
          <w:lang w:val="en-GB"/>
        </w:rPr>
        <w:t>.</w:t>
      </w:r>
    </w:p>
    <w:p w14:paraId="6CAB82FE" w14:textId="77777777" w:rsidR="00B145BE" w:rsidRPr="00F87370" w:rsidRDefault="00B145BE" w:rsidP="00B145BE">
      <w:pPr>
        <w:pStyle w:val="2"/>
        <w:spacing w:before="0" w:afterLines="60" w:after="144" w:line="360" w:lineRule="auto"/>
        <w:rPr>
          <w:rFonts w:asciiTheme="minorHAnsi" w:hAnsiTheme="minorHAnsi"/>
          <w:b/>
          <w:color w:val="auto"/>
          <w:sz w:val="32"/>
          <w:lang w:bidi="hi-IN"/>
        </w:rPr>
      </w:pPr>
      <w:bookmarkStart w:id="315" w:name="_Toc22052553"/>
      <w:r w:rsidRPr="00F87370">
        <w:rPr>
          <w:rFonts w:asciiTheme="minorHAnsi" w:hAnsiTheme="minorHAnsi"/>
          <w:b/>
          <w:color w:val="auto"/>
          <w:sz w:val="32"/>
          <w:lang w:bidi="hi-IN"/>
        </w:rPr>
        <w:lastRenderedPageBreak/>
        <w:t>7.2 Mechanical response and microstructure evolution</w:t>
      </w:r>
      <w:bookmarkEnd w:id="315"/>
      <w:r w:rsidRPr="00F87370">
        <w:rPr>
          <w:rFonts w:asciiTheme="minorHAnsi" w:hAnsiTheme="minorHAnsi"/>
          <w:b/>
          <w:color w:val="auto"/>
          <w:sz w:val="32"/>
          <w:lang w:bidi="hi-IN"/>
        </w:rPr>
        <w:t xml:space="preserve"> </w:t>
      </w:r>
    </w:p>
    <w:p w14:paraId="0ACD4C6D" w14:textId="787A9F53" w:rsidR="00B145BE" w:rsidRPr="009426CA" w:rsidRDefault="009426CA" w:rsidP="00B145BE">
      <w:pPr>
        <w:keepNext/>
        <w:spacing w:after="120" w:line="360" w:lineRule="auto"/>
        <w:jc w:val="center"/>
      </w:pPr>
      <w:r w:rsidRPr="009426CA">
        <w:rPr>
          <w:noProof/>
        </w:rPr>
        <w:drawing>
          <wp:inline distT="0" distB="0" distL="0" distR="0" wp14:anchorId="133F3A40" wp14:editId="2373EDA8">
            <wp:extent cx="5943600" cy="4489450"/>
            <wp:effectExtent l="0" t="0" r="0" b="6350"/>
            <wp:docPr id="232" name="图片 7" descr="地图的截图&#10;&#10;描述已自动生成">
              <a:extLst xmlns:a="http://schemas.openxmlformats.org/drawingml/2006/main">
                <a:ext uri="{FF2B5EF4-FFF2-40B4-BE49-F238E27FC236}">
                  <a16:creationId xmlns:a16="http://schemas.microsoft.com/office/drawing/2014/main" id="{C8D6F2F1-A610-45B9-8DEB-13A4362513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地图的截图&#10;&#10;描述已自动生成">
                      <a:extLst>
                        <a:ext uri="{FF2B5EF4-FFF2-40B4-BE49-F238E27FC236}">
                          <a16:creationId xmlns:a16="http://schemas.microsoft.com/office/drawing/2014/main" id="{C8D6F2F1-A610-45B9-8DEB-13A436251335}"/>
                        </a:ext>
                      </a:extLst>
                    </pic:cNvPr>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943600" cy="4489450"/>
                    </a:xfrm>
                    <a:prstGeom prst="rect">
                      <a:avLst/>
                    </a:prstGeom>
                  </pic:spPr>
                </pic:pic>
              </a:graphicData>
            </a:graphic>
          </wp:inline>
        </w:drawing>
      </w:r>
    </w:p>
    <w:p w14:paraId="00F9B8B5" w14:textId="37DC5ECD" w:rsidR="00B145BE" w:rsidRPr="00BA4F4E" w:rsidRDefault="00B145BE" w:rsidP="00BA4F4E">
      <w:pPr>
        <w:pStyle w:val="af4"/>
        <w:shd w:val="clear" w:color="auto" w:fill="FFFFFF"/>
        <w:spacing w:before="0" w:beforeAutospacing="0" w:afterLines="12" w:after="28" w:afterAutospacing="0" w:line="360" w:lineRule="auto"/>
        <w:jc w:val="both"/>
        <w:rPr>
          <w:rFonts w:asciiTheme="minorHAnsi" w:eastAsiaTheme="minorEastAsia" w:hAnsiTheme="minorHAnsi" w:cstheme="minorHAnsi"/>
          <w:b/>
          <w:color w:val="000000" w:themeColor="text1"/>
          <w:sz w:val="18"/>
          <w:szCs w:val="18"/>
          <w:lang w:val="en-GB"/>
        </w:rPr>
      </w:pPr>
      <w:bookmarkStart w:id="316" w:name="_Toc7364610"/>
      <w:bookmarkStart w:id="317" w:name="_Toc39312724"/>
      <w:r w:rsidRPr="00BA4F4E">
        <w:rPr>
          <w:rFonts w:asciiTheme="minorHAnsi" w:eastAsiaTheme="minorEastAsia" w:hAnsiTheme="minorHAnsi" w:cstheme="minorHAnsi"/>
          <w:b/>
          <w:color w:val="000000" w:themeColor="text1"/>
          <w:sz w:val="20"/>
          <w:szCs w:val="18"/>
          <w:lang w:val="en-GB"/>
        </w:rPr>
        <w:t>Figure 7-</w:t>
      </w:r>
      <w:r w:rsidRPr="00BA4F4E">
        <w:rPr>
          <w:rFonts w:asciiTheme="minorHAnsi" w:hAnsiTheme="minorHAnsi" w:cstheme="minorHAnsi"/>
          <w:b/>
          <w:color w:val="000000" w:themeColor="text1"/>
          <w:sz w:val="20"/>
          <w:szCs w:val="20"/>
        </w:rPr>
        <w:fldChar w:fldCharType="begin"/>
      </w:r>
      <w:r w:rsidRPr="00BA4F4E">
        <w:rPr>
          <w:rFonts w:asciiTheme="minorHAnsi" w:hAnsiTheme="minorHAnsi" w:cstheme="minorHAnsi"/>
          <w:b/>
          <w:color w:val="000000" w:themeColor="text1"/>
          <w:sz w:val="20"/>
          <w:szCs w:val="20"/>
        </w:rPr>
        <w:instrText xml:space="preserve"> SEQ Figure \* ARABIC </w:instrText>
      </w:r>
      <w:r w:rsidRPr="00BA4F4E">
        <w:rPr>
          <w:rFonts w:asciiTheme="minorHAnsi" w:hAnsiTheme="minorHAnsi" w:cstheme="minorHAnsi"/>
          <w:b/>
          <w:color w:val="000000" w:themeColor="text1"/>
          <w:sz w:val="20"/>
          <w:szCs w:val="20"/>
        </w:rPr>
        <w:fldChar w:fldCharType="separate"/>
      </w:r>
      <w:r w:rsidRPr="00BA4F4E">
        <w:rPr>
          <w:rFonts w:asciiTheme="minorHAnsi" w:hAnsiTheme="minorHAnsi" w:cstheme="minorHAnsi"/>
          <w:b/>
          <w:noProof/>
          <w:color w:val="000000" w:themeColor="text1"/>
          <w:sz w:val="20"/>
          <w:szCs w:val="20"/>
        </w:rPr>
        <w:t>1</w:t>
      </w:r>
      <w:r w:rsidRPr="00BA4F4E">
        <w:rPr>
          <w:rFonts w:asciiTheme="minorHAnsi" w:hAnsiTheme="minorHAnsi" w:cstheme="minorHAnsi"/>
          <w:b/>
          <w:color w:val="000000" w:themeColor="text1"/>
          <w:sz w:val="20"/>
          <w:szCs w:val="20"/>
        </w:rPr>
        <w:fldChar w:fldCharType="end"/>
      </w:r>
      <w:r w:rsidRPr="00BA4F4E">
        <w:rPr>
          <w:rFonts w:asciiTheme="minorHAnsi" w:eastAsiaTheme="minorEastAsia" w:hAnsiTheme="minorHAnsi" w:cstheme="minorHAnsi"/>
          <w:b/>
          <w:color w:val="000000" w:themeColor="text1"/>
          <w:sz w:val="20"/>
          <w:szCs w:val="18"/>
          <w:lang w:val="en-GB"/>
        </w:rPr>
        <w:t xml:space="preserve"> mechanical properties of </w:t>
      </w:r>
      <w:r w:rsidRPr="00BA4F4E">
        <w:rPr>
          <w:rFonts w:asciiTheme="minorHAnsi" w:hAnsiTheme="minorHAnsi" w:cstheme="minorHAnsi"/>
          <w:b/>
          <w:color w:val="000000" w:themeColor="text1"/>
          <w:spacing w:val="3"/>
          <w:sz w:val="20"/>
          <w:szCs w:val="18"/>
          <w:shd w:val="clear" w:color="auto" w:fill="FFFFFF"/>
        </w:rPr>
        <w:t>(TiZrHf)</w:t>
      </w:r>
      <w:r w:rsidRPr="00BA4F4E">
        <w:rPr>
          <w:rFonts w:asciiTheme="minorHAnsi" w:hAnsiTheme="minorHAnsi" w:cstheme="minorHAnsi"/>
          <w:b/>
          <w:color w:val="000000" w:themeColor="text1"/>
          <w:spacing w:val="3"/>
          <w:sz w:val="20"/>
          <w:szCs w:val="18"/>
          <w:shd w:val="clear" w:color="auto" w:fill="FFFFFF"/>
          <w:vertAlign w:val="subscript"/>
        </w:rPr>
        <w:t>85</w:t>
      </w:r>
      <w:r w:rsidRPr="00BA4F4E">
        <w:rPr>
          <w:rFonts w:asciiTheme="minorHAnsi" w:hAnsiTheme="minorHAnsi" w:cstheme="minorHAnsi"/>
          <w:b/>
          <w:color w:val="000000" w:themeColor="text1"/>
          <w:spacing w:val="3"/>
          <w:sz w:val="20"/>
          <w:szCs w:val="18"/>
          <w:shd w:val="clear" w:color="auto" w:fill="FFFFFF"/>
        </w:rPr>
        <w:t>Ta</w:t>
      </w:r>
      <w:r w:rsidRPr="00BA4F4E">
        <w:rPr>
          <w:rFonts w:asciiTheme="minorHAnsi" w:hAnsiTheme="minorHAnsi" w:cstheme="minorHAnsi"/>
          <w:b/>
          <w:color w:val="000000" w:themeColor="text1"/>
          <w:spacing w:val="3"/>
          <w:sz w:val="20"/>
          <w:szCs w:val="18"/>
          <w:shd w:val="clear" w:color="auto" w:fill="FFFFFF"/>
          <w:vertAlign w:val="subscript"/>
        </w:rPr>
        <w:t>15</w:t>
      </w:r>
      <w:r w:rsidRPr="00BA4F4E">
        <w:rPr>
          <w:rFonts w:asciiTheme="minorHAnsi" w:eastAsiaTheme="minorEastAsia" w:hAnsiTheme="minorHAnsi" w:cstheme="minorHAnsi"/>
          <w:b/>
          <w:color w:val="000000" w:themeColor="text1"/>
          <w:sz w:val="20"/>
          <w:szCs w:val="18"/>
          <w:lang w:val="en-GB"/>
        </w:rPr>
        <w:t xml:space="preserve"> </w:t>
      </w:r>
      <w:r w:rsidRPr="00BA4F4E">
        <w:rPr>
          <w:rFonts w:asciiTheme="minorHAnsi" w:eastAsiaTheme="minorEastAsia" w:hAnsiTheme="minorHAnsi" w:cstheme="minorHAnsi"/>
          <w:b/>
          <w:color w:val="000000" w:themeColor="text1"/>
          <w:spacing w:val="3"/>
          <w:sz w:val="20"/>
          <w:szCs w:val="18"/>
          <w:shd w:val="clear" w:color="auto" w:fill="FFFFFF"/>
        </w:rPr>
        <w:t>a</w:t>
      </w:r>
      <w:r w:rsidRPr="00BA4F4E">
        <w:rPr>
          <w:rFonts w:asciiTheme="minorHAnsi" w:eastAsiaTheme="minorEastAsia" w:hAnsiTheme="minorHAnsi" w:cstheme="minorHAnsi"/>
          <w:b/>
          <w:color w:val="000000" w:themeColor="text1"/>
          <w:sz w:val="20"/>
          <w:szCs w:val="18"/>
          <w:lang w:val="en-GB"/>
        </w:rPr>
        <w:t xml:space="preserve">nd </w:t>
      </w:r>
      <w:bookmarkStart w:id="318" w:name="_Hlk2258686"/>
      <w:r w:rsidRPr="00BA4F4E">
        <w:rPr>
          <w:rFonts w:asciiTheme="minorHAnsi" w:hAnsiTheme="minorHAnsi" w:cstheme="minorHAnsi"/>
          <w:b/>
          <w:color w:val="000000" w:themeColor="text1"/>
          <w:spacing w:val="3"/>
          <w:sz w:val="20"/>
          <w:szCs w:val="18"/>
          <w:shd w:val="clear" w:color="auto" w:fill="FFFFFF"/>
        </w:rPr>
        <w:t>(TiZrHf)</w:t>
      </w:r>
      <w:r w:rsidRPr="00BA4F4E">
        <w:rPr>
          <w:rFonts w:asciiTheme="minorHAnsi" w:hAnsiTheme="minorHAnsi" w:cstheme="minorHAnsi"/>
          <w:b/>
          <w:color w:val="000000" w:themeColor="text1"/>
          <w:spacing w:val="3"/>
          <w:sz w:val="20"/>
          <w:szCs w:val="18"/>
          <w:shd w:val="clear" w:color="auto" w:fill="FFFFFF"/>
          <w:vertAlign w:val="subscript"/>
        </w:rPr>
        <w:t>87</w:t>
      </w:r>
      <w:r w:rsidRPr="00BA4F4E">
        <w:rPr>
          <w:rFonts w:asciiTheme="minorHAnsi" w:hAnsiTheme="minorHAnsi" w:cstheme="minorHAnsi"/>
          <w:b/>
          <w:color w:val="000000" w:themeColor="text1"/>
          <w:spacing w:val="3"/>
          <w:sz w:val="20"/>
          <w:szCs w:val="18"/>
          <w:shd w:val="clear" w:color="auto" w:fill="FFFFFF"/>
        </w:rPr>
        <w:t>Ta</w:t>
      </w:r>
      <w:r w:rsidRPr="00BA4F4E">
        <w:rPr>
          <w:rFonts w:asciiTheme="minorHAnsi" w:hAnsiTheme="minorHAnsi" w:cstheme="minorHAnsi"/>
          <w:b/>
          <w:color w:val="000000" w:themeColor="text1"/>
          <w:spacing w:val="3"/>
          <w:sz w:val="20"/>
          <w:szCs w:val="18"/>
          <w:shd w:val="clear" w:color="auto" w:fill="FFFFFF"/>
          <w:vertAlign w:val="subscript"/>
        </w:rPr>
        <w:t>13</w:t>
      </w:r>
      <w:bookmarkEnd w:id="316"/>
      <w:bookmarkEnd w:id="318"/>
      <w:r w:rsidRPr="00BA4F4E">
        <w:rPr>
          <w:rFonts w:asciiTheme="minorHAnsi" w:hAnsiTheme="minorHAnsi" w:cstheme="minorHAnsi"/>
          <w:b/>
          <w:color w:val="000000" w:themeColor="text1"/>
          <w:spacing w:val="3"/>
          <w:sz w:val="20"/>
          <w:szCs w:val="18"/>
          <w:shd w:val="clear" w:color="auto" w:fill="FFFFFF"/>
        </w:rPr>
        <w:t xml:space="preserve">. </w:t>
      </w:r>
      <w:r w:rsidRPr="00BA4F4E">
        <w:rPr>
          <w:rFonts w:asciiTheme="minorHAnsi" w:hAnsiTheme="minorHAnsi" w:cstheme="minorHAnsi"/>
          <w:bCs/>
          <w:color w:val="000000" w:themeColor="text1"/>
          <w:spacing w:val="3"/>
          <w:sz w:val="20"/>
          <w:szCs w:val="20"/>
          <w:shd w:val="clear" w:color="auto" w:fill="FFFFFF"/>
        </w:rPr>
        <w:t>(a) tensile</w:t>
      </w:r>
      <w:r w:rsidRPr="00BA4F4E">
        <w:rPr>
          <w:rFonts w:asciiTheme="minorHAnsi" w:hAnsiTheme="minorHAnsi" w:cstheme="minorHAnsi"/>
          <w:color w:val="000000" w:themeColor="text1"/>
          <w:spacing w:val="3"/>
          <w:sz w:val="20"/>
          <w:szCs w:val="20"/>
          <w:shd w:val="clear" w:color="auto" w:fill="FFFFFF"/>
        </w:rPr>
        <w:t xml:space="preserve"> properties. The true stress and true strain curves of (TiZrHf)</w:t>
      </w:r>
      <w:r w:rsidRPr="00BA4F4E">
        <w:rPr>
          <w:rFonts w:asciiTheme="minorHAnsi" w:hAnsiTheme="minorHAnsi" w:cstheme="minorHAnsi"/>
          <w:color w:val="000000" w:themeColor="text1"/>
          <w:spacing w:val="3"/>
          <w:sz w:val="20"/>
          <w:szCs w:val="20"/>
          <w:shd w:val="clear" w:color="auto" w:fill="FFFFFF"/>
          <w:vertAlign w:val="subscript"/>
        </w:rPr>
        <w:t>85</w:t>
      </w:r>
      <w:r w:rsidRPr="00BA4F4E">
        <w:rPr>
          <w:rFonts w:asciiTheme="minorHAnsi" w:hAnsiTheme="minorHAnsi" w:cstheme="minorHAnsi"/>
          <w:color w:val="000000" w:themeColor="text1"/>
          <w:spacing w:val="3"/>
          <w:sz w:val="20"/>
          <w:szCs w:val="20"/>
          <w:shd w:val="clear" w:color="auto" w:fill="FFFFFF"/>
        </w:rPr>
        <w:t>Ta</w:t>
      </w:r>
      <w:r w:rsidRPr="00BA4F4E">
        <w:rPr>
          <w:rFonts w:asciiTheme="minorHAnsi" w:hAnsiTheme="minorHAnsi" w:cstheme="minorHAnsi"/>
          <w:color w:val="000000" w:themeColor="text1"/>
          <w:spacing w:val="3"/>
          <w:sz w:val="20"/>
          <w:szCs w:val="20"/>
          <w:shd w:val="clear" w:color="auto" w:fill="FFFFFF"/>
          <w:vertAlign w:val="subscript"/>
        </w:rPr>
        <w:t>15</w:t>
      </w:r>
      <w:r w:rsidRPr="00BA4F4E">
        <w:rPr>
          <w:rFonts w:asciiTheme="minorHAnsi" w:hAnsiTheme="minorHAnsi" w:cstheme="minorHAnsi"/>
          <w:color w:val="000000" w:themeColor="text1"/>
          <w:spacing w:val="3"/>
          <w:sz w:val="20"/>
          <w:szCs w:val="20"/>
          <w:shd w:val="clear" w:color="auto" w:fill="FFFFFF"/>
        </w:rPr>
        <w:t xml:space="preserve"> (blue) and (TiZrHf)</w:t>
      </w:r>
      <w:r w:rsidRPr="00BA4F4E">
        <w:rPr>
          <w:rFonts w:asciiTheme="minorHAnsi" w:hAnsiTheme="minorHAnsi" w:cstheme="minorHAnsi"/>
          <w:color w:val="000000" w:themeColor="text1"/>
          <w:spacing w:val="3"/>
          <w:sz w:val="20"/>
          <w:szCs w:val="20"/>
          <w:shd w:val="clear" w:color="auto" w:fill="FFFFFF"/>
          <w:vertAlign w:val="subscript"/>
        </w:rPr>
        <w:t>87</w:t>
      </w:r>
      <w:r w:rsidRPr="00BA4F4E">
        <w:rPr>
          <w:rFonts w:asciiTheme="minorHAnsi" w:hAnsiTheme="minorHAnsi" w:cstheme="minorHAnsi"/>
          <w:color w:val="000000" w:themeColor="text1"/>
          <w:spacing w:val="3"/>
          <w:sz w:val="20"/>
          <w:szCs w:val="20"/>
          <w:shd w:val="clear" w:color="auto" w:fill="FFFFFF"/>
        </w:rPr>
        <w:t>Ta</w:t>
      </w:r>
      <w:r w:rsidRPr="00BA4F4E">
        <w:rPr>
          <w:rFonts w:asciiTheme="minorHAnsi" w:hAnsiTheme="minorHAnsi" w:cstheme="minorHAnsi"/>
          <w:color w:val="000000" w:themeColor="text1"/>
          <w:spacing w:val="3"/>
          <w:sz w:val="20"/>
          <w:szCs w:val="20"/>
          <w:shd w:val="clear" w:color="auto" w:fill="FFFFFF"/>
          <w:vertAlign w:val="subscript"/>
        </w:rPr>
        <w:t>13</w:t>
      </w:r>
      <w:r w:rsidRPr="00BA4F4E">
        <w:rPr>
          <w:rFonts w:asciiTheme="minorHAnsi" w:hAnsiTheme="minorHAnsi" w:cstheme="minorHAnsi"/>
          <w:color w:val="000000" w:themeColor="text1"/>
          <w:spacing w:val="3"/>
          <w:sz w:val="20"/>
          <w:szCs w:val="20"/>
          <w:shd w:val="clear" w:color="auto" w:fill="FFFFFF"/>
        </w:rPr>
        <w:t xml:space="preserve"> (red) are shown in </w:t>
      </w:r>
      <w:r w:rsidR="00002F6A" w:rsidRPr="00BA4F4E">
        <w:rPr>
          <w:rFonts w:asciiTheme="minorHAnsi" w:hAnsiTheme="minorHAnsi" w:cstheme="minorHAnsi"/>
          <w:color w:val="000000" w:themeColor="text1"/>
          <w:spacing w:val="3"/>
          <w:sz w:val="20"/>
          <w:szCs w:val="20"/>
          <w:shd w:val="clear" w:color="auto" w:fill="FFFFFF"/>
        </w:rPr>
        <w:t xml:space="preserve">the </w:t>
      </w:r>
      <w:r w:rsidRPr="00BA4F4E">
        <w:rPr>
          <w:rFonts w:asciiTheme="minorHAnsi" w:hAnsiTheme="minorHAnsi" w:cstheme="minorHAnsi"/>
          <w:color w:val="000000" w:themeColor="text1"/>
          <w:spacing w:val="3"/>
          <w:sz w:val="20"/>
          <w:szCs w:val="20"/>
          <w:shd w:val="clear" w:color="auto" w:fill="FFFFFF"/>
        </w:rPr>
        <w:t>top panel. The inset shows the comparisons of normalised work hardening rate (</w:t>
      </w:r>
      <w:r w:rsidRPr="00BA4F4E">
        <w:rPr>
          <w:rFonts w:asciiTheme="minorHAnsi" w:hAnsiTheme="minorHAnsi" w:cstheme="minorHAnsi"/>
          <w:color w:val="000000" w:themeColor="text1"/>
          <w:sz w:val="20"/>
          <w:szCs w:val="20"/>
        </w:rPr>
        <w:t>(dσ</w:t>
      </w:r>
      <w:r w:rsidRPr="00BA4F4E">
        <w:rPr>
          <w:rFonts w:asciiTheme="minorHAnsi" w:hAnsiTheme="minorHAnsi" w:cstheme="minorHAnsi"/>
          <w:color w:val="000000" w:themeColor="text1"/>
          <w:sz w:val="20"/>
          <w:szCs w:val="20"/>
          <w:vertAlign w:val="subscript"/>
        </w:rPr>
        <w:t>T</w:t>
      </w:r>
      <w:r w:rsidRPr="00BA4F4E">
        <w:rPr>
          <w:rFonts w:asciiTheme="minorHAnsi" w:hAnsiTheme="minorHAnsi" w:cstheme="minorHAnsi"/>
          <w:color w:val="000000" w:themeColor="text1"/>
          <w:sz w:val="20"/>
          <w:szCs w:val="20"/>
        </w:rPr>
        <w:t>/dε</w:t>
      </w:r>
      <w:r w:rsidRPr="00BA4F4E">
        <w:rPr>
          <w:rFonts w:asciiTheme="minorHAnsi" w:hAnsiTheme="minorHAnsi" w:cstheme="minorHAnsi"/>
          <w:color w:val="000000" w:themeColor="text1"/>
          <w:sz w:val="20"/>
          <w:szCs w:val="20"/>
          <w:vertAlign w:val="subscript"/>
        </w:rPr>
        <w:t>P</w:t>
      </w:r>
      <w:r w:rsidRPr="00BA4F4E">
        <w:rPr>
          <w:rFonts w:asciiTheme="minorHAnsi" w:hAnsiTheme="minorHAnsi" w:cstheme="minorHAnsi"/>
          <w:color w:val="000000" w:themeColor="text1"/>
          <w:sz w:val="20"/>
          <w:szCs w:val="20"/>
        </w:rPr>
        <w:t>)/G</w:t>
      </w:r>
      <w:r w:rsidRPr="00BA4F4E">
        <w:rPr>
          <w:rFonts w:asciiTheme="minorHAnsi" w:hAnsiTheme="minorHAnsi" w:cstheme="minorHAnsi"/>
          <w:color w:val="000000" w:themeColor="text1"/>
          <w:spacing w:val="3"/>
          <w:sz w:val="20"/>
          <w:szCs w:val="20"/>
          <w:shd w:val="clear" w:color="auto" w:fill="FFFFFF"/>
        </w:rPr>
        <w:t>) as a function of fractured strain between our alloys and other high-performance titanium alloys and TWIP steels.</w:t>
      </w:r>
      <w:r w:rsidRPr="00BA4F4E">
        <w:rPr>
          <w:rFonts w:asciiTheme="minorHAnsi" w:hAnsiTheme="minorHAnsi" w:cstheme="minorHAnsi"/>
          <w:color w:val="000000" w:themeColor="text1"/>
          <w:spacing w:val="3"/>
          <w:sz w:val="22"/>
          <w:szCs w:val="22"/>
          <w:shd w:val="clear" w:color="auto" w:fill="FFFFFF"/>
        </w:rPr>
        <w:t xml:space="preserve"> </w:t>
      </w:r>
      <w:r w:rsidRPr="00BA4F4E">
        <w:rPr>
          <w:rFonts w:asciiTheme="minorHAnsi" w:hAnsiTheme="minorHAnsi" w:cstheme="minorHAnsi"/>
          <w:color w:val="000000" w:themeColor="text1"/>
          <w:spacing w:val="3"/>
          <w:sz w:val="20"/>
          <w:szCs w:val="20"/>
          <w:shd w:val="clear" w:color="auto" w:fill="FFFFFF"/>
        </w:rPr>
        <w:t xml:space="preserve">The </w:t>
      </w:r>
      <w:r w:rsidRPr="00BA4F4E">
        <w:rPr>
          <w:rFonts w:asciiTheme="minorHAnsi" w:hAnsiTheme="minorHAnsi" w:cstheme="minorHAnsi"/>
          <w:noProof/>
          <w:color w:val="000000" w:themeColor="text1"/>
          <w:spacing w:val="3"/>
          <w:sz w:val="20"/>
          <w:szCs w:val="20"/>
          <w:shd w:val="clear" w:color="auto" w:fill="FFFFFF"/>
        </w:rPr>
        <w:t>blue</w:t>
      </w:r>
      <w:r w:rsidRPr="00BA4F4E">
        <w:rPr>
          <w:rFonts w:asciiTheme="minorHAnsi" w:hAnsiTheme="minorHAnsi" w:cstheme="minorHAnsi"/>
          <w:color w:val="000000" w:themeColor="text1"/>
          <w:spacing w:val="3"/>
          <w:sz w:val="20"/>
          <w:szCs w:val="20"/>
          <w:shd w:val="clear" w:color="auto" w:fill="FFFFFF"/>
        </w:rPr>
        <w:t xml:space="preserve"> and green groups represent high strength Ti alloys, TWIP steels </w:t>
      </w:r>
      <w:r w:rsidRPr="00BA4F4E">
        <w:rPr>
          <w:rFonts w:asciiTheme="minorHAnsi" w:hAnsiTheme="minorHAnsi" w:cstheme="minorHAnsi"/>
          <w:color w:val="000000" w:themeColor="text1"/>
          <w:spacing w:val="3"/>
          <w:sz w:val="20"/>
          <w:szCs w:val="20"/>
          <w:shd w:val="clear" w:color="auto" w:fill="FFFFFF"/>
        </w:rPr>
        <w:fldChar w:fldCharType="begin" w:fldLock="1"/>
      </w:r>
      <w:r w:rsidRPr="00BA4F4E">
        <w:rPr>
          <w:rFonts w:asciiTheme="minorHAnsi" w:hAnsiTheme="minorHAnsi" w:cstheme="minorHAnsi"/>
          <w:color w:val="000000" w:themeColor="text1"/>
          <w:spacing w:val="3"/>
          <w:sz w:val="20"/>
          <w:szCs w:val="20"/>
          <w:shd w:val="clear" w:color="auto" w:fill="FFFFFF"/>
        </w:rPr>
        <w:instrText>ADDIN CSL_CITATION {"citationItems":[{"id":"ITEM-1","itemData":{"DOI":"10.1016/0001-6160(81)90112-7","ISBN":"0001-6160","ISSN":"00016160","PMID":"15003161","abstract":"The kinetics of glide at constant structure and the kinetics of structure evolution are correlated on the basis of various experimental observations in pure f.c.c. mono- and polycrystals. Two regimes of behavior are identified. In the initial regime, the Cottrell-Stokes law is satisfied, hardening is athermal, and a single structure parameter is adequate. With increasing importance of dynamic recovery, be it at large strains or at high temperatures, all of these simple assumptions break down. However, the proportionality between the flow stress and the square-root of the dislocation density holds, to a good approximation, over the entire regime; mild deviations arc primarily ascribed to differences between the various experimental techniques used. A phenomenological model is proposed, which incorporates the rate of dynamic recovery into the flow kinetics. It has been successful in matching many experimental data quantitatively. © 1981.","author":[{"dropping-particle":"","family":"Mecking","given":"H.","non-dropping-particle":"","parse-names":false,"suffix":""},{"dropping-particle":"","family":"Kocks","given":"U. F.","non-dropping-particle":"","parse-names":false,"suffix":""}],"container-title":"Acta Metallurgica","id":"ITEM-1","issued":{"date-parts":[["1981"]]},"title":"Kinetics of flow and strain-hardening","type":"article-journal"},"uris":["http://www.mendeley.com/documents/?uuid=55c1aaf5-3efd-4f53-917b-247f47367704"]},{"id":"ITEM-2","itemData":{"DOI":"10.3390/ma10101129","ISSN":"19961944","PMID":"28946692","abstract":"The quantitative characterization of the microstructure evolution in high-Mn steel during deformation is of great importance to understanding its strain-hardening behavior. In the current study, in situ high-energy synchrotron X-ray diffraction was employed to characterize the microstructure evolution in a Fe-17Mn-1.5Al-0.3C steel during a tensile test. The microstructure at different engineering strain levels—in terms of ε-martensite and α’-martensite volume fractions, the stacking fault probability, and the twin fault probability—was analyzed by the Rietveld refinement method. The Fe-17Mn-1.5Al-0.3C steel exhibits a high ultimate tensile strength with a superior uniform elongation and a high strain-hardening rate. The remaining high strain-hardening rate at the strain level about 0.025 to 0.35 results from ε-martensite dominant transformation-induced-plasticity (TRIP) effect. The increase in the strain-hardening rate at the strain level around 0.35 to 0.43 is attributed to the synergetic α’-martensite dominant TRIP and twinning-induced-plasticity (TWIP) effects. An evaluation of the stacking fault energy (SFE) of the Fe-17Mn-1.5Al-0.3C steel by the synchrotron measurements shows good agreement with the thermodynamic calculation of the SFE.","author":[{"dropping-particle":"","family":"Ma","given":"Yan","non-dropping-particle":"","parse-names":false,"suffix":""},{"dropping-particle":"","family":"Song","given":"Wenwen","non-dropping-particle":"","parse-names":false,"suffix":""},{"dropping-particle":"","family":"Bleck","given":"Wolfgang","non-dropping-particle":"","parse-names":false,"suffix":""}],"container-title":"Materials","id":"ITEM-2","issued":{"date-parts":[["2017"]]},"title":"Investigation of the microstructure evolution in a Fe-17Mn-1.5Al-0.3C steel via in situ synchrotron X-ray diffraction during a tensile test","type":"article-journal"},"uris":["http://www.mendeley.com/documents/?uuid=736f6c2a-c44b-4f70-ae6b-0f0b43d004d0"]},{"id":"ITEM-3","itemData":{"DOI":"10.1016/S0749-6419(00)00015-2","ISBN":"4937153161","ISSN":"07496419","abstract":"Deformation twinning, martensitic phase transformation and mechanical properties of austenitic Fe-(15-30) wt.%Mn steels with additions of aluminium and silicon have been investigated. It is known that additions of aluminium increase the stacking fault energy γfccand therefore strongly suppress the γ → ε transformation while silicon decrease γfccand sustains the γ → ε transformation. The γ → ε phase transformation takes place in steels with γfcc≤20 mJ/m2. For steels with higher stacking fault energy twinning is the main deformation mechanism. Tensile tests were carried out at different strain rates and temperatures. The formation of twins, α- and ε- martensite during plastic deformation was analysed by optical microscopy, X-ray diffraction, scanning electron microscopy (SEM) and transmission electron microscopy (TEM). The developed light weight high manganese TRIP ('transformation induced plasticity') and TWIP ('twinning induced plasticity') steels exhibit high flow stress (600-1100 MPa) and extremely large elongation (60-95%) even at extremely high strain rates of about 103s-1. Recent trends in the automotive industry towards improved safety standards and a reduced weight as well as a more rational and cost effective manufacturing have led to great interest in these high strength and 'super tough' steels.","author":[{"dropping-particle":"","family":"Grässel","given":"O.","non-dropping-particle":"","parse-names":false,"suffix":""},{"dropping-particle":"","family":"Krüger","given":"L.","non-dropping-particle":"","parse-names":false,"suffix":""},{"dropping-particle":"","family":"Frommeyer","given":"G.","non-dropping-particle":"","parse-names":false,"suffix":""},{"dropping-particle":"","family":"Meyer","given":"L. W.","non-dropping-particle":"","parse-names":false,"suffix":""}],"container-title":"International journal of plasticity","id":"ITEM-3","issued":{"date-parts":[["2000"]]},"title":"High strength Fe-Mn-(Al, Si) TRIP/TWIP steels development - properties - application","type":"article-journal"},"uris":["http://www.mendeley.com/documents/?uuid=20f7e4fc-8b89-4f33-9de3-45470e696cb5"]}],"mendeley":{"formattedCitation":"[9–11]","plainTextFormattedCitation":"[9–11]","previouslyFormattedCitation":"[26–28]"},"properties":{"noteIndex":0},"schema":"https://github.com/citation-style-language/schema/raw/master/csl-citation.json"}</w:instrText>
      </w:r>
      <w:r w:rsidRPr="00BA4F4E">
        <w:rPr>
          <w:rFonts w:asciiTheme="minorHAnsi" w:hAnsiTheme="minorHAnsi" w:cstheme="minorHAnsi"/>
          <w:color w:val="000000" w:themeColor="text1"/>
          <w:spacing w:val="3"/>
          <w:sz w:val="20"/>
          <w:szCs w:val="20"/>
          <w:shd w:val="clear" w:color="auto" w:fill="FFFFFF"/>
        </w:rPr>
        <w:fldChar w:fldCharType="separate"/>
      </w:r>
      <w:r w:rsidRPr="00BA4F4E">
        <w:rPr>
          <w:rFonts w:asciiTheme="minorHAnsi" w:hAnsiTheme="minorHAnsi" w:cstheme="minorHAnsi"/>
          <w:noProof/>
          <w:color w:val="000000" w:themeColor="text1"/>
          <w:spacing w:val="3"/>
          <w:sz w:val="20"/>
          <w:szCs w:val="20"/>
          <w:shd w:val="clear" w:color="auto" w:fill="FFFFFF"/>
        </w:rPr>
        <w:t>[9–11]</w:t>
      </w:r>
      <w:r w:rsidRPr="00BA4F4E">
        <w:rPr>
          <w:rFonts w:asciiTheme="minorHAnsi" w:hAnsiTheme="minorHAnsi" w:cstheme="minorHAnsi"/>
          <w:color w:val="000000" w:themeColor="text1"/>
          <w:spacing w:val="3"/>
          <w:sz w:val="20"/>
          <w:szCs w:val="20"/>
          <w:shd w:val="clear" w:color="auto" w:fill="FFFFFF"/>
        </w:rPr>
        <w:fldChar w:fldCharType="end"/>
      </w:r>
      <w:r w:rsidRPr="00BA4F4E">
        <w:rPr>
          <w:rFonts w:asciiTheme="minorHAnsi" w:hAnsiTheme="minorHAnsi" w:cstheme="minorHAnsi"/>
          <w:color w:val="000000" w:themeColor="text1"/>
          <w:spacing w:val="3"/>
          <w:sz w:val="20"/>
          <w:szCs w:val="20"/>
          <w:shd w:val="clear" w:color="auto" w:fill="FFFFFF"/>
        </w:rPr>
        <w:t xml:space="preserve"> and TRIP-DP-HEA </w:t>
      </w:r>
      <w:r w:rsidRPr="00BA4F4E">
        <w:rPr>
          <w:rFonts w:asciiTheme="minorHAnsi" w:hAnsiTheme="minorHAnsi" w:cstheme="minorHAnsi"/>
          <w:color w:val="000000" w:themeColor="text1"/>
          <w:spacing w:val="3"/>
          <w:sz w:val="20"/>
          <w:szCs w:val="20"/>
          <w:shd w:val="clear" w:color="auto" w:fill="FFFFFF"/>
        </w:rPr>
        <w:fldChar w:fldCharType="begin" w:fldLock="1"/>
      </w:r>
      <w:r w:rsidRPr="00BA4F4E">
        <w:rPr>
          <w:rFonts w:asciiTheme="minorHAnsi" w:hAnsiTheme="minorHAnsi" w:cstheme="minorHAnsi"/>
          <w:color w:val="000000" w:themeColor="text1"/>
          <w:spacing w:val="3"/>
          <w:sz w:val="20"/>
          <w:szCs w:val="20"/>
          <w:shd w:val="clear" w:color="auto" w:fill="FFFFFF"/>
        </w:rPr>
        <w:instrText>ADDIN CSL_CITATION {"citationItems":[{"id":"ITEM-1","itemData":{"DOI":"10.1038/srep40704","ISBN":"2045-2322 (Electronic) 2045-2322 (Linking)","ISSN":"20452322","PMID":"28079175","abstract":"High-entropy alloys (HEAs) consisting of multiple principle elements provide an avenue for realizing exceptional mechanical, physical and chemical properties. We report a novel strategy for designing a new class of HEAs incorporating the additional interstitial element carbon. This results in joint activation of twinning- and transformation-induced plasticity (TWIP and TRIP) by tuning the matrix phase's instability in a metastable TRIP-assisted dual-phase HEA. Besides TWIP and TRIP, such alloys benefit from massive substitutional and interstitial solid solution strengthening as well as from the composite effect associated with its dual-phase structure. Nanosize particle formation and grain size reduction are also utilized. The new interstitial TWIP-TRIP-HEA thus unifies all metallic strengthening mechanisms in one material, leading to twice the tensile strength compared to a single-phase HEA with similar composition, yet, at identical ductility.","author":[{"dropping-particle":"","family":"Li","given":"Zhiming","non-dropping-particle":"","parse-names":false,"suffix":""},{"dropping-particle":"","family":"Tasan","given":"Cemal Cem","non-dropping-particle":"","parse-names":false,"suffix":""},{"dropping-particle":"","family":"Springer","given":"Hauke","non-dropping-particle":"","parse-names":false,"suffix":""},{"dropping-particle":"","family":"Gault","given":"Baptiste","non-dropping-particle":"","parse-names":false,"suffix":""},{"dropping-particle":"","family":"Raabe","given":"Dierk","non-dropping-particle":"","parse-names":false,"suffix":""}],"container-title":"Scientific Reports","id":"ITEM-1","issued":{"date-parts":[["2017"]]},"title":"Interstitial atoms enable joint twinning and transformation induced plasticity in strong and ductile high-entropy alloys","type":"article-journal"},"uris":["http://www.mendeley.com/documents/?uuid=c7455a60-96a1-4e22-952d-b474fbdf1317"]},{"id":"ITEM-2","itemData":{"DOI":"10.1016/j.actamat.2017.03.069","ISBN":"13596454","ISSN":"13596454","abstract":"We present a systematic microstructure oriented mechanical property investigation for a newly developed class of transformation-induced plasticity-assisted dual-phase high-entropy alloys (TRIP-DP-HEAs) with varying grain sizes and phase fractions. The DP-HEAs in both, as-homogenized and recrystallized states consist of a face-centered cubic (FCC) matrix containing a high-density of stacking faults and a laminate hexagonal close-packed (HCP) phase. No elemental segregation was observed in grain interiors or at interfaces even down to near-atomic resolution, as confirmed by energy-dispersive X-ray spectroscopy and atom probe tomography. The strength-ductility combinations of the recrystallized DP-HEAs (Fe50Mn30Co10Cr10) with varying FCC grain sizes and HCP phase fractions prior to deformation are superior to those of the recrystallized equiatomic single-phase Cantor reference HEA (Fe20Mn20Ni20Co20Cr20). The multiple deformation micro-mechanisms (including strain-induced transformation from FCC to HCP phase) and dynamic strain partitioning behavior among the two phases are revealed in detail. Both, strength and ductility of the DP-HEAs increase with decreasing the average FCC matrix grain size and increasing the HCP phase fraction prior to loading (in the range of 10–35%) due to the resulting enhanced stability of the FCC matrix. These insights are used to project some future directions for designing advanced TRIP-HEAs through the adjustment of the matrix phase's stability by alloy tuning and grain size effects.","author":[{"dropping-particle":"","family":"Li","given":"Zhiming","non-dropping-particle":"","parse-names":false,"suffix":""},{"dropping-particle":"","family":"Tasan","given":"Cemal Cem","non-dropping-particle":"","parse-names":false,"suffix":""},{"dropping-particle":"","family":"Pradeep","given":"Konda Gokuldoss","non-dropping-particle":"","parse-names":false,"suffix":""},{"dropping-particle":"","family":"Raabe","given":"Dierk","non-dropping-particle":"","parse-names":false,"suffix":""}],"container-title":"Acta Materialia","id":"ITEM-2","issued":{"date-parts":[["2017"]]},"title":"A TRIP-assisted dual-phase high-entropy alloy: Grain size and phase fraction effects on deformation behavior","type":"article-journal"},"uris":["http://www.mendeley.com/documents/?uuid=8217745e-99df-4905-a59b-66827e38e19a"]},{"id":"ITEM-3","itemData":{"DOI":"10.1038/nature17981","ISBN":"0028-0836","ISSN":"14764687","PMID":"27279217","abstract":"Metals have been mankind's most essential materials for thousands of years; however, their use is affected by ecological and economical concerns. Alloys with higher strength and ductility could alleviate some of these concerns by reducing weight and improving energy efficiency. However, most metallurgical mechanisms for increasing strength lead to ductility loss, an effect referred to as the strength-ductility trade-off. Here we present a metastability-engineering strategy in which we design nanostructured, bulk high-entropy alloys with multiple compositionally equivalent high-entropy phases. High-entropy alloys were originally proposed to benefit from phase stabilization through entropy maximization. Yet here, motivated by recent work that relaxes the strict restrictions on high-entropy alloy compositions by demonstrating the weakness of this connection, the concept is overturned. We decrease phase stability to achieve two key benefits: interface hardening due to a dual-phase microstructure (resulting from reduced thermal stability of the high-temperature phase); and transformation-induced hardening (resulting from the reduced mechanical stability of the room-temperature phase). This combines the best of two worlds: extensive hardening due to the decreased phase stability known from advanced steels and massive solid-solution strengthening of high-entropy alloys. In our transformation-induced plasticity-assisted, dual-phase high-entropy alloy (TRIP-DP-HEA), these two contributions lead respectively to enhanced trans-grain and inter-grain slip resistance, and hence, increased strength. Moreover, the increased strain hardening capacity that is enabled by dislocation hardening of the stable phase and transformation-induced hardening of the metastable phase produces increased ductility. This combined increase in strength and ductility distinguishes the TRIP-DP-HEA alloy from other recently developed structural materials. This metastability-engineering strategy should thus usefully guide design in the near-infinite compositional space of high-entropy alloys.","author":[{"dropping-particle":"","family":"Li","given":"Zhiming","non-dropping-particle":"","parse-names":false,"suffix":""},{"dropping-particle":"","family":"Pradeep","given":"Konda Gokuldoss","non-dropping-particle":"","parse-names":false,"suffix":""},{"dropping-particle":"","family":"Deng","given":"Yun","non-dropping-particle":"","parse-names":false,"suffix":""},{"dropping-particle":"","family":"Raabe","given":"Dierk","non-dropping-particle":"","parse-names":false,"suffix":""},{"dropping-particle":"","family":"Tasan","given":"Cemal Cem","non-dropping-particle":"","parse-names":false,"suffix":""}],"container-title":"Nature","id":"ITEM-3","issued":{"date-parts":[["2016"]]},"title":"Metastable high-entropy dual-phase alloys overcome the strength-ductility trade-off","type":"article-journal"},"uris":["http://www.mendeley.com/documents/?uuid=082f25b9-5d2c-4b7f-b69b-80e2c555b8ca"]}],"mendeley":{"formattedCitation":"[12–14]","plainTextFormattedCitation":"[12–14]","previouslyFormattedCitation":"[1,2,29]"},"properties":{"noteIndex":0},"schema":"https://github.com/citation-style-language/schema/raw/master/csl-citation.json"}</w:instrText>
      </w:r>
      <w:r w:rsidRPr="00BA4F4E">
        <w:rPr>
          <w:rFonts w:asciiTheme="minorHAnsi" w:hAnsiTheme="minorHAnsi" w:cstheme="minorHAnsi"/>
          <w:color w:val="000000" w:themeColor="text1"/>
          <w:spacing w:val="3"/>
          <w:sz w:val="20"/>
          <w:szCs w:val="20"/>
          <w:shd w:val="clear" w:color="auto" w:fill="FFFFFF"/>
        </w:rPr>
        <w:fldChar w:fldCharType="separate"/>
      </w:r>
      <w:r w:rsidRPr="00BA4F4E">
        <w:rPr>
          <w:rFonts w:asciiTheme="minorHAnsi" w:hAnsiTheme="minorHAnsi" w:cstheme="minorHAnsi"/>
          <w:noProof/>
          <w:color w:val="000000" w:themeColor="text1"/>
          <w:spacing w:val="3"/>
          <w:sz w:val="20"/>
          <w:szCs w:val="20"/>
          <w:shd w:val="clear" w:color="auto" w:fill="FFFFFF"/>
        </w:rPr>
        <w:t>[12–14]</w:t>
      </w:r>
      <w:r w:rsidRPr="00BA4F4E">
        <w:rPr>
          <w:rFonts w:asciiTheme="minorHAnsi" w:hAnsiTheme="minorHAnsi" w:cstheme="minorHAnsi"/>
          <w:color w:val="000000" w:themeColor="text1"/>
          <w:spacing w:val="3"/>
          <w:sz w:val="20"/>
          <w:szCs w:val="20"/>
          <w:shd w:val="clear" w:color="auto" w:fill="FFFFFF"/>
        </w:rPr>
        <w:fldChar w:fldCharType="end"/>
      </w:r>
      <w:r w:rsidRPr="00BA4F4E">
        <w:rPr>
          <w:rFonts w:asciiTheme="minorHAnsi" w:hAnsiTheme="minorHAnsi" w:cstheme="minorHAnsi"/>
          <w:color w:val="000000" w:themeColor="text1"/>
          <w:spacing w:val="3"/>
          <w:sz w:val="20"/>
          <w:szCs w:val="20"/>
          <w:shd w:val="clear" w:color="auto" w:fill="FFFFFF"/>
        </w:rPr>
        <w:t xml:space="preserve">, respectively. </w:t>
      </w:r>
      <w:r w:rsidRPr="00BA4F4E">
        <w:rPr>
          <w:rFonts w:asciiTheme="minorHAnsi" w:hAnsiTheme="minorHAnsi" w:cstheme="minorHAnsi"/>
          <w:noProof/>
          <w:color w:val="000000" w:themeColor="text1"/>
          <w:spacing w:val="3"/>
          <w:sz w:val="20"/>
          <w:szCs w:val="20"/>
          <w:shd w:val="clear" w:color="auto" w:fill="FFFFFF"/>
        </w:rPr>
        <w:t>Work</w:t>
      </w:r>
      <w:r w:rsidRPr="00BA4F4E">
        <w:rPr>
          <w:rFonts w:asciiTheme="minorHAnsi" w:hAnsiTheme="minorHAnsi" w:cstheme="minorHAnsi"/>
          <w:color w:val="000000" w:themeColor="text1"/>
          <w:spacing w:val="3"/>
          <w:sz w:val="20"/>
          <w:szCs w:val="20"/>
          <w:shd w:val="clear" w:color="auto" w:fill="FFFFFF"/>
        </w:rPr>
        <w:t xml:space="preserve"> hardening rate (WHR) curves of (TiZrHf)</w:t>
      </w:r>
      <w:r w:rsidRPr="00BA4F4E">
        <w:rPr>
          <w:rFonts w:asciiTheme="minorHAnsi" w:hAnsiTheme="minorHAnsi" w:cstheme="minorHAnsi"/>
          <w:color w:val="000000" w:themeColor="text1"/>
          <w:spacing w:val="3"/>
          <w:sz w:val="20"/>
          <w:szCs w:val="20"/>
          <w:shd w:val="clear" w:color="auto" w:fill="FFFFFF"/>
          <w:vertAlign w:val="subscript"/>
        </w:rPr>
        <w:t>85</w:t>
      </w:r>
      <w:r w:rsidRPr="00BA4F4E">
        <w:rPr>
          <w:rFonts w:asciiTheme="minorHAnsi" w:hAnsiTheme="minorHAnsi" w:cstheme="minorHAnsi"/>
          <w:color w:val="000000" w:themeColor="text1"/>
          <w:spacing w:val="3"/>
          <w:sz w:val="20"/>
          <w:szCs w:val="20"/>
          <w:shd w:val="clear" w:color="auto" w:fill="FFFFFF"/>
        </w:rPr>
        <w:t>Ta</w:t>
      </w:r>
      <w:r w:rsidRPr="00BA4F4E">
        <w:rPr>
          <w:rFonts w:asciiTheme="minorHAnsi" w:hAnsiTheme="minorHAnsi" w:cstheme="minorHAnsi"/>
          <w:color w:val="000000" w:themeColor="text1"/>
          <w:spacing w:val="3"/>
          <w:sz w:val="20"/>
          <w:szCs w:val="20"/>
          <w:shd w:val="clear" w:color="auto" w:fill="FFFFFF"/>
          <w:vertAlign w:val="subscript"/>
        </w:rPr>
        <w:t>15</w:t>
      </w:r>
      <w:r w:rsidRPr="00BA4F4E">
        <w:rPr>
          <w:rFonts w:asciiTheme="minorHAnsi" w:hAnsiTheme="minorHAnsi" w:cstheme="minorHAnsi"/>
          <w:noProof/>
          <w:color w:val="000000" w:themeColor="text1"/>
          <w:spacing w:val="3"/>
          <w:sz w:val="20"/>
          <w:szCs w:val="20"/>
          <w:shd w:val="clear" w:color="auto" w:fill="FFFFFF"/>
        </w:rPr>
        <w:t xml:space="preserve"> </w:t>
      </w:r>
      <w:r w:rsidRPr="00BA4F4E">
        <w:rPr>
          <w:rFonts w:asciiTheme="minorHAnsi" w:hAnsiTheme="minorHAnsi" w:cstheme="minorHAnsi"/>
          <w:color w:val="000000" w:themeColor="text1"/>
          <w:spacing w:val="3"/>
          <w:sz w:val="20"/>
          <w:szCs w:val="20"/>
          <w:shd w:val="clear" w:color="auto" w:fill="FFFFFF"/>
        </w:rPr>
        <w:t>(blue) and (TiZrHf)</w:t>
      </w:r>
      <w:r w:rsidRPr="00BA4F4E">
        <w:rPr>
          <w:rFonts w:asciiTheme="minorHAnsi" w:hAnsiTheme="minorHAnsi" w:cstheme="minorHAnsi"/>
          <w:color w:val="000000" w:themeColor="text1"/>
          <w:spacing w:val="3"/>
          <w:sz w:val="20"/>
          <w:szCs w:val="20"/>
          <w:shd w:val="clear" w:color="auto" w:fill="FFFFFF"/>
          <w:vertAlign w:val="subscript"/>
        </w:rPr>
        <w:t>87</w:t>
      </w:r>
      <w:r w:rsidRPr="00BA4F4E">
        <w:rPr>
          <w:rFonts w:asciiTheme="minorHAnsi" w:hAnsiTheme="minorHAnsi" w:cstheme="minorHAnsi"/>
          <w:color w:val="000000" w:themeColor="text1"/>
          <w:spacing w:val="3"/>
          <w:sz w:val="20"/>
          <w:szCs w:val="20"/>
          <w:shd w:val="clear" w:color="auto" w:fill="FFFFFF"/>
        </w:rPr>
        <w:t>Ta</w:t>
      </w:r>
      <w:r w:rsidRPr="00BA4F4E">
        <w:rPr>
          <w:rFonts w:asciiTheme="minorHAnsi" w:hAnsiTheme="minorHAnsi" w:cstheme="minorHAnsi"/>
          <w:color w:val="000000" w:themeColor="text1"/>
          <w:spacing w:val="3"/>
          <w:sz w:val="20"/>
          <w:szCs w:val="20"/>
          <w:shd w:val="clear" w:color="auto" w:fill="FFFFFF"/>
          <w:vertAlign w:val="subscript"/>
        </w:rPr>
        <w:t>13</w:t>
      </w:r>
      <w:r w:rsidRPr="00BA4F4E">
        <w:rPr>
          <w:rFonts w:asciiTheme="minorHAnsi" w:hAnsiTheme="minorHAnsi" w:cstheme="minorHAnsi"/>
          <w:color w:val="000000" w:themeColor="text1"/>
          <w:spacing w:val="3"/>
          <w:sz w:val="20"/>
          <w:szCs w:val="20"/>
          <w:shd w:val="clear" w:color="auto" w:fill="FFFFFF"/>
        </w:rPr>
        <w:t xml:space="preserve"> (red) are shown in </w:t>
      </w:r>
      <w:r w:rsidR="00002F6A" w:rsidRPr="00BA4F4E">
        <w:rPr>
          <w:rFonts w:asciiTheme="minorHAnsi" w:hAnsiTheme="minorHAnsi" w:cstheme="minorHAnsi"/>
          <w:color w:val="000000" w:themeColor="text1"/>
          <w:spacing w:val="3"/>
          <w:sz w:val="20"/>
          <w:szCs w:val="20"/>
          <w:shd w:val="clear" w:color="auto" w:fill="FFFFFF"/>
        </w:rPr>
        <w:t xml:space="preserve">the </w:t>
      </w:r>
      <w:r w:rsidRPr="00BA4F4E">
        <w:rPr>
          <w:rFonts w:asciiTheme="minorHAnsi" w:hAnsiTheme="minorHAnsi" w:cstheme="minorHAnsi"/>
          <w:color w:val="000000" w:themeColor="text1"/>
          <w:spacing w:val="3"/>
          <w:sz w:val="20"/>
          <w:szCs w:val="20"/>
          <w:shd w:val="clear" w:color="auto" w:fill="FFFFFF"/>
        </w:rPr>
        <w:t xml:space="preserve">middle panel. Four deformation stages are </w:t>
      </w:r>
      <w:r w:rsidRPr="00BA4F4E">
        <w:rPr>
          <w:rFonts w:asciiTheme="minorHAnsi" w:hAnsiTheme="minorHAnsi" w:cstheme="minorHAnsi"/>
          <w:noProof/>
          <w:color w:val="000000" w:themeColor="text1"/>
          <w:spacing w:val="3"/>
          <w:sz w:val="20"/>
          <w:szCs w:val="20"/>
          <w:shd w:val="clear" w:color="auto" w:fill="FFFFFF"/>
        </w:rPr>
        <w:t>divided</w:t>
      </w:r>
      <w:r w:rsidRPr="00BA4F4E">
        <w:rPr>
          <w:rFonts w:asciiTheme="minorHAnsi" w:hAnsiTheme="minorHAnsi" w:cstheme="minorHAnsi"/>
          <w:color w:val="000000" w:themeColor="text1"/>
          <w:spacing w:val="3"/>
          <w:sz w:val="20"/>
          <w:szCs w:val="20"/>
          <w:shd w:val="clear" w:color="auto" w:fill="FFFFFF"/>
        </w:rPr>
        <w:t xml:space="preserve"> by the </w:t>
      </w:r>
      <w:r w:rsidRPr="00BA4F4E">
        <w:rPr>
          <w:rFonts w:asciiTheme="minorHAnsi" w:hAnsiTheme="minorHAnsi" w:cstheme="minorHAnsi"/>
          <w:noProof/>
          <w:color w:val="000000" w:themeColor="text1"/>
          <w:spacing w:val="3"/>
          <w:sz w:val="20"/>
          <w:szCs w:val="20"/>
          <w:shd w:val="clear" w:color="auto" w:fill="FFFFFF"/>
        </w:rPr>
        <w:t>green</w:t>
      </w:r>
      <w:r w:rsidRPr="00BA4F4E">
        <w:rPr>
          <w:rFonts w:asciiTheme="minorHAnsi" w:hAnsiTheme="minorHAnsi" w:cstheme="minorHAnsi"/>
          <w:color w:val="000000" w:themeColor="text1"/>
          <w:spacing w:val="3"/>
          <w:sz w:val="20"/>
          <w:szCs w:val="20"/>
          <w:shd w:val="clear" w:color="auto" w:fill="FFFFFF"/>
        </w:rPr>
        <w:t xml:space="preserve"> dash line. In the bottom panel, the dynamic change of the work hardening exponents (WHE) indicates three main deformation stages attribute to the effect of TRIP, TTIP and TWIP, respectively; and  (</w:t>
      </w:r>
      <w:r w:rsidRPr="00BA4F4E">
        <w:rPr>
          <w:rFonts w:asciiTheme="minorHAnsi" w:hAnsiTheme="minorHAnsi" w:cstheme="minorHAnsi"/>
          <w:b/>
          <w:color w:val="000000" w:themeColor="text1"/>
          <w:spacing w:val="3"/>
          <w:sz w:val="20"/>
          <w:szCs w:val="20"/>
          <w:shd w:val="clear" w:color="auto" w:fill="FFFFFF"/>
        </w:rPr>
        <w:t>b</w:t>
      </w:r>
      <w:r w:rsidRPr="00BA4F4E">
        <w:rPr>
          <w:rFonts w:asciiTheme="minorHAnsi" w:hAnsiTheme="minorHAnsi" w:cstheme="minorHAnsi"/>
          <w:color w:val="000000" w:themeColor="text1"/>
          <w:spacing w:val="3"/>
          <w:sz w:val="20"/>
          <w:szCs w:val="20"/>
          <w:shd w:val="clear" w:color="auto" w:fill="FFFFFF"/>
        </w:rPr>
        <w:t xml:space="preserve">) </w:t>
      </w:r>
      <w:r w:rsidRPr="00BA4F4E">
        <w:rPr>
          <w:rFonts w:asciiTheme="minorHAnsi" w:hAnsiTheme="minorHAnsi" w:cstheme="minorHAnsi"/>
          <w:bCs/>
          <w:color w:val="000000" w:themeColor="text1"/>
          <w:spacing w:val="3"/>
          <w:sz w:val="20"/>
          <w:szCs w:val="20"/>
          <w:shd w:val="clear" w:color="auto" w:fill="FFFFFF"/>
        </w:rPr>
        <w:t>XRD patterns and EBSD maps of (TiZrHf)</w:t>
      </w:r>
      <w:r w:rsidRPr="00BA4F4E">
        <w:rPr>
          <w:rFonts w:asciiTheme="minorHAnsi" w:hAnsiTheme="minorHAnsi" w:cstheme="minorHAnsi"/>
          <w:bCs/>
          <w:color w:val="000000" w:themeColor="text1"/>
          <w:spacing w:val="3"/>
          <w:sz w:val="20"/>
          <w:szCs w:val="20"/>
          <w:shd w:val="clear" w:color="auto" w:fill="FFFFFF"/>
          <w:vertAlign w:val="subscript"/>
        </w:rPr>
        <w:t>87</w:t>
      </w:r>
      <w:r w:rsidRPr="00BA4F4E">
        <w:rPr>
          <w:rFonts w:asciiTheme="minorHAnsi" w:hAnsiTheme="minorHAnsi" w:cstheme="minorHAnsi"/>
          <w:bCs/>
          <w:color w:val="000000" w:themeColor="text1"/>
          <w:spacing w:val="3"/>
          <w:sz w:val="20"/>
          <w:szCs w:val="20"/>
          <w:shd w:val="clear" w:color="auto" w:fill="FFFFFF"/>
        </w:rPr>
        <w:t>Ta</w:t>
      </w:r>
      <w:r w:rsidRPr="00BA4F4E">
        <w:rPr>
          <w:rFonts w:asciiTheme="minorHAnsi" w:hAnsiTheme="minorHAnsi" w:cstheme="minorHAnsi"/>
          <w:bCs/>
          <w:color w:val="000000" w:themeColor="text1"/>
          <w:spacing w:val="3"/>
          <w:sz w:val="20"/>
          <w:szCs w:val="20"/>
          <w:shd w:val="clear" w:color="auto" w:fill="FFFFFF"/>
          <w:vertAlign w:val="subscript"/>
        </w:rPr>
        <w:t>13</w:t>
      </w:r>
      <w:r w:rsidRPr="00BA4F4E">
        <w:rPr>
          <w:rFonts w:asciiTheme="minorHAnsi" w:hAnsiTheme="minorHAnsi" w:cstheme="minorHAnsi"/>
          <w:bCs/>
          <w:color w:val="000000" w:themeColor="text1"/>
          <w:spacing w:val="3"/>
          <w:sz w:val="20"/>
          <w:szCs w:val="20"/>
          <w:shd w:val="clear" w:color="auto" w:fill="FFFFFF"/>
        </w:rPr>
        <w:t xml:space="preserve"> subjected to x% deformation (where x=0, </w:t>
      </w:r>
      <w:r w:rsidR="009426CA" w:rsidRPr="00BA4F4E">
        <w:rPr>
          <w:rFonts w:asciiTheme="minorHAnsi" w:hAnsiTheme="minorHAnsi" w:cstheme="minorHAnsi"/>
          <w:bCs/>
          <w:color w:val="000000" w:themeColor="text1"/>
          <w:spacing w:val="3"/>
          <w:sz w:val="20"/>
          <w:szCs w:val="20"/>
          <w:shd w:val="clear" w:color="auto" w:fill="FFFFFF"/>
        </w:rPr>
        <w:t>3</w:t>
      </w:r>
      <w:r w:rsidRPr="00BA4F4E">
        <w:rPr>
          <w:rFonts w:asciiTheme="minorHAnsi" w:hAnsiTheme="minorHAnsi" w:cstheme="minorHAnsi"/>
          <w:bCs/>
          <w:color w:val="000000" w:themeColor="text1"/>
          <w:spacing w:val="3"/>
          <w:sz w:val="20"/>
          <w:szCs w:val="20"/>
          <w:shd w:val="clear" w:color="auto" w:fill="FFFFFF"/>
        </w:rPr>
        <w:t xml:space="preserve">, </w:t>
      </w:r>
      <w:r w:rsidR="009426CA" w:rsidRPr="00BA4F4E">
        <w:rPr>
          <w:rFonts w:asciiTheme="minorHAnsi" w:hAnsiTheme="minorHAnsi" w:cstheme="minorHAnsi"/>
          <w:bCs/>
          <w:color w:val="000000" w:themeColor="text1"/>
          <w:spacing w:val="3"/>
          <w:sz w:val="20"/>
          <w:szCs w:val="20"/>
          <w:shd w:val="clear" w:color="auto" w:fill="FFFFFF"/>
        </w:rPr>
        <w:t>6</w:t>
      </w:r>
      <w:r w:rsidRPr="00BA4F4E">
        <w:rPr>
          <w:rFonts w:asciiTheme="minorHAnsi" w:hAnsiTheme="minorHAnsi" w:cstheme="minorHAnsi"/>
          <w:bCs/>
          <w:color w:val="000000" w:themeColor="text1"/>
          <w:spacing w:val="3"/>
          <w:sz w:val="20"/>
          <w:szCs w:val="20"/>
          <w:shd w:val="clear" w:color="auto" w:fill="FFFFFF"/>
        </w:rPr>
        <w:t xml:space="preserve">, </w:t>
      </w:r>
      <w:r w:rsidR="009426CA" w:rsidRPr="00BA4F4E">
        <w:rPr>
          <w:rFonts w:asciiTheme="minorHAnsi" w:hAnsiTheme="minorHAnsi" w:cstheme="minorHAnsi"/>
          <w:bCs/>
          <w:color w:val="000000" w:themeColor="text1"/>
          <w:spacing w:val="3"/>
          <w:sz w:val="20"/>
          <w:szCs w:val="20"/>
          <w:shd w:val="clear" w:color="auto" w:fill="FFFFFF"/>
        </w:rPr>
        <w:t>9</w:t>
      </w:r>
      <w:r w:rsidRPr="00BA4F4E">
        <w:rPr>
          <w:rFonts w:asciiTheme="minorHAnsi" w:hAnsiTheme="minorHAnsi" w:cstheme="minorHAnsi"/>
          <w:bCs/>
          <w:color w:val="000000" w:themeColor="text1"/>
          <w:spacing w:val="3"/>
          <w:sz w:val="20"/>
          <w:szCs w:val="20"/>
          <w:shd w:val="clear" w:color="auto" w:fill="FFFFFF"/>
        </w:rPr>
        <w:t>% true strain).</w:t>
      </w:r>
      <w:r w:rsidRPr="00BA4F4E">
        <w:rPr>
          <w:rFonts w:asciiTheme="minorHAnsi" w:hAnsiTheme="minorHAnsi" w:cstheme="minorHAnsi"/>
          <w:color w:val="000000" w:themeColor="text1"/>
          <w:spacing w:val="3"/>
          <w:sz w:val="20"/>
          <w:szCs w:val="20"/>
          <w:shd w:val="clear" w:color="auto" w:fill="FFFFFF"/>
        </w:rPr>
        <w:t xml:space="preserve"> θ is the Bragg angle. The effect of TRIP is directly related to the extent of strain. Indexed martensite phase’s euler angle maps for </w:t>
      </w:r>
      <w:r w:rsidR="009426CA" w:rsidRPr="00BA4F4E">
        <w:rPr>
          <w:rFonts w:asciiTheme="minorHAnsi" w:hAnsiTheme="minorHAnsi" w:cstheme="minorHAnsi"/>
          <w:color w:val="000000" w:themeColor="text1"/>
          <w:spacing w:val="3"/>
          <w:sz w:val="20"/>
          <w:szCs w:val="20"/>
          <w:shd w:val="clear" w:color="auto" w:fill="FFFFFF"/>
        </w:rPr>
        <w:t>3</w:t>
      </w:r>
      <w:r w:rsidRPr="00BA4F4E">
        <w:rPr>
          <w:rFonts w:asciiTheme="minorHAnsi" w:hAnsiTheme="minorHAnsi" w:cstheme="minorHAnsi"/>
          <w:color w:val="000000" w:themeColor="text1"/>
          <w:spacing w:val="3"/>
          <w:sz w:val="20"/>
          <w:szCs w:val="20"/>
          <w:shd w:val="clear" w:color="auto" w:fill="FFFFFF"/>
        </w:rPr>
        <w:t xml:space="preserve">%, </w:t>
      </w:r>
      <w:r w:rsidR="009426CA" w:rsidRPr="00BA4F4E">
        <w:rPr>
          <w:rFonts w:asciiTheme="minorHAnsi" w:hAnsiTheme="minorHAnsi" w:cstheme="minorHAnsi"/>
          <w:color w:val="000000" w:themeColor="text1"/>
          <w:spacing w:val="3"/>
          <w:sz w:val="20"/>
          <w:szCs w:val="20"/>
          <w:shd w:val="clear" w:color="auto" w:fill="FFFFFF"/>
        </w:rPr>
        <w:t>6%</w:t>
      </w:r>
      <w:r w:rsidRPr="00BA4F4E">
        <w:rPr>
          <w:rFonts w:asciiTheme="minorHAnsi" w:hAnsiTheme="minorHAnsi" w:cstheme="minorHAnsi"/>
          <w:color w:val="000000" w:themeColor="text1"/>
          <w:spacing w:val="3"/>
          <w:sz w:val="20"/>
          <w:szCs w:val="20"/>
          <w:shd w:val="clear" w:color="auto" w:fill="FFFFFF"/>
        </w:rPr>
        <w:t xml:space="preserve"> and </w:t>
      </w:r>
      <w:r w:rsidR="009426CA" w:rsidRPr="00BA4F4E">
        <w:rPr>
          <w:rFonts w:asciiTheme="minorHAnsi" w:hAnsiTheme="minorHAnsi" w:cstheme="minorHAnsi"/>
          <w:color w:val="000000" w:themeColor="text1"/>
          <w:spacing w:val="3"/>
          <w:sz w:val="20"/>
          <w:szCs w:val="20"/>
          <w:shd w:val="clear" w:color="auto" w:fill="FFFFFF"/>
        </w:rPr>
        <w:t>9</w:t>
      </w:r>
      <w:r w:rsidRPr="00BA4F4E">
        <w:rPr>
          <w:rFonts w:asciiTheme="minorHAnsi" w:hAnsiTheme="minorHAnsi" w:cstheme="minorHAnsi"/>
          <w:color w:val="000000" w:themeColor="text1"/>
          <w:spacing w:val="3"/>
          <w:sz w:val="20"/>
          <w:szCs w:val="20"/>
          <w:shd w:val="clear" w:color="auto" w:fill="FFFFFF"/>
        </w:rPr>
        <w:t>% strain are presented while the β phase is characterized with red. (scale bars = 20μm).</w:t>
      </w:r>
      <w:bookmarkEnd w:id="317"/>
      <w:r w:rsidRPr="00BA4F4E">
        <w:rPr>
          <w:rFonts w:asciiTheme="minorHAnsi" w:hAnsiTheme="minorHAnsi" w:cstheme="minorHAnsi"/>
          <w:color w:val="000000" w:themeColor="text1"/>
          <w:spacing w:val="3"/>
          <w:sz w:val="18"/>
          <w:szCs w:val="18"/>
          <w:shd w:val="clear" w:color="auto" w:fill="FFFFFF"/>
        </w:rPr>
        <w:t xml:space="preserve"> </w:t>
      </w:r>
    </w:p>
    <w:p w14:paraId="2A626EB1" w14:textId="6CDBE3F4" w:rsidR="00E44DB1" w:rsidRPr="00686B8D" w:rsidRDefault="00B145BE" w:rsidP="00B145BE">
      <w:pPr>
        <w:spacing w:afterLines="60" w:after="144" w:line="360" w:lineRule="auto"/>
        <w:jc w:val="both"/>
        <w:rPr>
          <w:rFonts w:cstheme="minorHAnsi"/>
          <w:color w:val="000000" w:themeColor="text1"/>
          <w:spacing w:val="3"/>
          <w:szCs w:val="18"/>
          <w:shd w:val="clear" w:color="auto" w:fill="FFFFFF"/>
        </w:rPr>
      </w:pPr>
      <w:r>
        <w:lastRenderedPageBreak/>
        <w:t xml:space="preserve">The </w:t>
      </w:r>
      <w:r w:rsidRPr="00206950">
        <w:rPr>
          <w:noProof/>
        </w:rPr>
        <w:t>r</w:t>
      </w:r>
      <w:r w:rsidRPr="00206950">
        <w:rPr>
          <w:rFonts w:hint="eastAsia"/>
          <w:noProof/>
        </w:rPr>
        <w:t>epresentative</w:t>
      </w:r>
      <w:r>
        <w:t xml:space="preserve"> </w:t>
      </w:r>
      <w:r w:rsidRPr="00E01F36">
        <w:t xml:space="preserve">mechanical </w:t>
      </w:r>
      <w:r>
        <w:t>response during tensile deformation for</w:t>
      </w:r>
      <w:r w:rsidRPr="00A71FD6">
        <w:rPr>
          <w:rFonts w:hint="eastAsia"/>
        </w:rPr>
        <w:t xml:space="preserve"> </w:t>
      </w:r>
      <w:r w:rsidRPr="00224EBF">
        <w:rPr>
          <w:rFonts w:cstheme="minorHAnsi"/>
          <w:color w:val="222222"/>
          <w:spacing w:val="3"/>
          <w:szCs w:val="18"/>
          <w:shd w:val="clear" w:color="auto" w:fill="FFFFFF"/>
        </w:rPr>
        <w:t>(TiZrHf)</w:t>
      </w:r>
      <w:r w:rsidRPr="00224EBF">
        <w:rPr>
          <w:rFonts w:cstheme="minorHAnsi"/>
          <w:color w:val="222222"/>
          <w:spacing w:val="3"/>
          <w:szCs w:val="18"/>
          <w:shd w:val="clear" w:color="auto" w:fill="FFFFFF"/>
          <w:vertAlign w:val="subscript"/>
        </w:rPr>
        <w:t>85</w:t>
      </w:r>
      <w:r w:rsidRPr="00224EBF">
        <w:rPr>
          <w:rFonts w:cstheme="minorHAnsi"/>
          <w:color w:val="222222"/>
          <w:spacing w:val="3"/>
          <w:szCs w:val="18"/>
          <w:shd w:val="clear" w:color="auto" w:fill="FFFFFF"/>
        </w:rPr>
        <w:t>Ta</w:t>
      </w:r>
      <w:r w:rsidRPr="00224EBF">
        <w:rPr>
          <w:rFonts w:cstheme="minorHAnsi"/>
          <w:color w:val="222222"/>
          <w:spacing w:val="3"/>
          <w:szCs w:val="18"/>
          <w:shd w:val="clear" w:color="auto" w:fill="FFFFFF"/>
          <w:vertAlign w:val="subscript"/>
        </w:rPr>
        <w:t>15</w:t>
      </w:r>
      <w:r w:rsidRPr="00224EBF">
        <w:rPr>
          <w:rFonts w:cstheme="minorHAnsi"/>
          <w:b/>
          <w:szCs w:val="18"/>
        </w:rPr>
        <w:t xml:space="preserve"> </w:t>
      </w:r>
      <w:r>
        <w:t>and (</w:t>
      </w:r>
      <w:r w:rsidRPr="00B30F33">
        <w:t>Ti</w:t>
      </w:r>
      <w:r>
        <w:t>ZrHf)</w:t>
      </w:r>
      <w:r>
        <w:rPr>
          <w:vertAlign w:val="subscript"/>
        </w:rPr>
        <w:t>87</w:t>
      </w:r>
      <w:r w:rsidRPr="00B30F33">
        <w:t>Ta</w:t>
      </w:r>
      <w:r w:rsidRPr="00B30F33">
        <w:rPr>
          <w:vertAlign w:val="subscript"/>
        </w:rPr>
        <w:t>1</w:t>
      </w:r>
      <w:r>
        <w:rPr>
          <w:vertAlign w:val="subscript"/>
        </w:rPr>
        <w:t>3</w:t>
      </w:r>
      <w:r w:rsidRPr="00A71FD6">
        <w:rPr>
          <w:rFonts w:hint="eastAsia"/>
        </w:rPr>
        <w:t xml:space="preserve"> </w:t>
      </w:r>
      <w:r>
        <w:rPr>
          <w:noProof/>
        </w:rPr>
        <w:t>are</w:t>
      </w:r>
      <w:r w:rsidRPr="00206950">
        <w:rPr>
          <w:rFonts w:hint="eastAsia"/>
          <w:noProof/>
        </w:rPr>
        <w:t xml:space="preserve"> shown</w:t>
      </w:r>
      <w:r w:rsidRPr="00A71FD6">
        <w:rPr>
          <w:rFonts w:hint="eastAsia"/>
        </w:rPr>
        <w:t xml:space="preserve"> </w:t>
      </w:r>
      <w:r w:rsidRPr="006B3536">
        <w:rPr>
          <w:rFonts w:hint="eastAsia"/>
        </w:rPr>
        <w:t>in Fig</w:t>
      </w:r>
      <w:r w:rsidRPr="006B3536">
        <w:t>.</w:t>
      </w:r>
      <w:r w:rsidRPr="006B3536">
        <w:rPr>
          <w:rFonts w:hint="eastAsia"/>
        </w:rPr>
        <w:t xml:space="preserve"> </w:t>
      </w:r>
      <w:r w:rsidRPr="006B3536">
        <w:t>7-1(</w:t>
      </w:r>
      <w:r w:rsidRPr="006B3536">
        <w:rPr>
          <w:rFonts w:hint="eastAsia"/>
        </w:rPr>
        <w:t>a</w:t>
      </w:r>
      <w:r w:rsidRPr="006B3536">
        <w:t>)</w:t>
      </w:r>
      <w:r w:rsidRPr="006B3536">
        <w:rPr>
          <w:rFonts w:hint="eastAsia"/>
        </w:rPr>
        <w:t xml:space="preserve">. </w:t>
      </w:r>
      <w:r w:rsidRPr="006B3536">
        <w:t>Both samples</w:t>
      </w:r>
      <w:r w:rsidRPr="006B3536">
        <w:rPr>
          <w:noProof/>
        </w:rPr>
        <w:t xml:space="preserve"> demonstrate</w:t>
      </w:r>
      <w:r>
        <w:rPr>
          <w:noProof/>
        </w:rPr>
        <w:t>d</w:t>
      </w:r>
      <w:r w:rsidRPr="006B3536">
        <w:rPr>
          <w:noProof/>
        </w:rPr>
        <w:t xml:space="preserve"> </w:t>
      </w:r>
      <w:r w:rsidRPr="006B3536">
        <w:t xml:space="preserve">a combination of high strength and </w:t>
      </w:r>
      <w:r>
        <w:t>high</w:t>
      </w:r>
      <w:r w:rsidRPr="006B3536">
        <w:t xml:space="preserve"> </w:t>
      </w:r>
      <w:r w:rsidRPr="006B3536">
        <w:rPr>
          <w:noProof/>
        </w:rPr>
        <w:t>ductility</w:t>
      </w:r>
      <w:r w:rsidRPr="006B3536">
        <w:t xml:space="preserve">. Compared with </w:t>
      </w:r>
      <w:r w:rsidRPr="006B3536">
        <w:rPr>
          <w:rFonts w:cstheme="minorHAnsi"/>
          <w:color w:val="222222"/>
          <w:spacing w:val="3"/>
          <w:szCs w:val="18"/>
          <w:shd w:val="clear" w:color="auto" w:fill="FFFFFF"/>
        </w:rPr>
        <w:t>(TiZrHf)</w:t>
      </w:r>
      <w:r w:rsidRPr="006B3536">
        <w:rPr>
          <w:rFonts w:cstheme="minorHAnsi"/>
          <w:color w:val="222222"/>
          <w:spacing w:val="3"/>
          <w:szCs w:val="18"/>
          <w:shd w:val="clear" w:color="auto" w:fill="FFFFFF"/>
          <w:vertAlign w:val="subscript"/>
        </w:rPr>
        <w:t>85</w:t>
      </w:r>
      <w:r w:rsidRPr="006B3536">
        <w:rPr>
          <w:rFonts w:cstheme="minorHAnsi"/>
          <w:color w:val="222222"/>
          <w:spacing w:val="3"/>
          <w:szCs w:val="18"/>
          <w:shd w:val="clear" w:color="auto" w:fill="FFFFFF"/>
        </w:rPr>
        <w:t>Ta</w:t>
      </w:r>
      <w:r w:rsidRPr="006B3536">
        <w:rPr>
          <w:rFonts w:cstheme="minorHAnsi"/>
          <w:color w:val="222222"/>
          <w:spacing w:val="3"/>
          <w:szCs w:val="18"/>
          <w:shd w:val="clear" w:color="auto" w:fill="FFFFFF"/>
          <w:vertAlign w:val="subscript"/>
        </w:rPr>
        <w:t>15</w:t>
      </w:r>
      <w:r w:rsidRPr="006B3536">
        <w:rPr>
          <w:rFonts w:cstheme="minorHAnsi"/>
          <w:szCs w:val="18"/>
        </w:rPr>
        <w:t xml:space="preserve">, </w:t>
      </w:r>
      <w:r w:rsidRPr="006B3536">
        <w:t xml:space="preserve">the </w:t>
      </w:r>
      <w:r w:rsidRPr="006B3536">
        <w:rPr>
          <w:noProof/>
        </w:rPr>
        <w:t xml:space="preserve">reduction of Ta addition to 13% </w:t>
      </w:r>
      <w:r>
        <w:t>(</w:t>
      </w:r>
      <w:r w:rsidRPr="00B30F33">
        <w:t>Ti</w:t>
      </w:r>
      <w:r>
        <w:t>ZrHf)</w:t>
      </w:r>
      <w:r>
        <w:rPr>
          <w:vertAlign w:val="subscript"/>
        </w:rPr>
        <w:t>87</w:t>
      </w:r>
      <w:r w:rsidRPr="00B30F33">
        <w:t>Ta</w:t>
      </w:r>
      <w:r w:rsidRPr="00B30F33">
        <w:rPr>
          <w:vertAlign w:val="subscript"/>
        </w:rPr>
        <w:t>1</w:t>
      </w:r>
      <w:r>
        <w:rPr>
          <w:vertAlign w:val="subscript"/>
        </w:rPr>
        <w:t>3</w:t>
      </w:r>
      <w:r>
        <w:t xml:space="preserve">) </w:t>
      </w:r>
      <w:r w:rsidRPr="006B3536">
        <w:rPr>
          <w:noProof/>
        </w:rPr>
        <w:t>further</w:t>
      </w:r>
      <w:r w:rsidRPr="006B3536">
        <w:t xml:space="preserve"> lower</w:t>
      </w:r>
      <w:r>
        <w:t>ed</w:t>
      </w:r>
      <w:r w:rsidRPr="006B3536">
        <w:t xml:space="preserve"> the </w:t>
      </w:r>
      <w:r w:rsidRPr="006B3536">
        <w:rPr>
          <w:rFonts w:ascii="Times New Roman" w:hAnsi="Times New Roman" w:cs="Times New Roman"/>
        </w:rPr>
        <w:t>β</w:t>
      </w:r>
      <w:r w:rsidRPr="006B3536">
        <w:t xml:space="preserve"> phase stability and </w:t>
      </w:r>
      <w:r w:rsidRPr="006B3536">
        <w:rPr>
          <w:noProof/>
        </w:rPr>
        <w:t>result</w:t>
      </w:r>
      <w:r>
        <w:rPr>
          <w:noProof/>
        </w:rPr>
        <w:t>ed</w:t>
      </w:r>
      <w:r w:rsidRPr="006B3536">
        <w:t xml:space="preserve"> in </w:t>
      </w:r>
      <w:r>
        <w:t xml:space="preserve">an </w:t>
      </w:r>
      <w:r w:rsidRPr="006B3536">
        <w:t>increase</w:t>
      </w:r>
      <w:r>
        <w:t xml:space="preserve"> in</w:t>
      </w:r>
      <w:r w:rsidRPr="006B3536">
        <w:t xml:space="preserve"> </w:t>
      </w:r>
      <w:r>
        <w:t>UTS</w:t>
      </w:r>
      <w:r w:rsidRPr="006B3536">
        <w:rPr>
          <w:noProof/>
        </w:rPr>
        <w:t xml:space="preserve"> </w:t>
      </w:r>
      <w:r>
        <w:rPr>
          <w:noProof/>
        </w:rPr>
        <w:t xml:space="preserve">to 1310 MPa </w:t>
      </w:r>
      <w:r w:rsidRPr="006B3536">
        <w:rPr>
          <w:noProof/>
        </w:rPr>
        <w:t>and</w:t>
      </w:r>
      <w:r w:rsidRPr="006B3536">
        <w:t xml:space="preserve"> </w:t>
      </w:r>
      <w:r>
        <w:t>an elongation of</w:t>
      </w:r>
      <w:r w:rsidRPr="006B3536">
        <w:t xml:space="preserve"> 25%. </w:t>
      </w:r>
      <w:r>
        <w:t>This</w:t>
      </w:r>
      <w:r w:rsidRPr="006B3536">
        <w:t xml:space="preserve"> notable increase </w:t>
      </w:r>
      <w:r>
        <w:t>was</w:t>
      </w:r>
      <w:r w:rsidRPr="006B3536">
        <w:t xml:space="preserve"> </w:t>
      </w:r>
      <w:r>
        <w:t>attributed</w:t>
      </w:r>
      <w:r w:rsidRPr="006B3536">
        <w:t xml:space="preserve"> to the </w:t>
      </w:r>
      <w:r>
        <w:t>excellent</w:t>
      </w:r>
      <w:r w:rsidRPr="006B3536">
        <w:t xml:space="preserve"> work-hardening (</w:t>
      </w:r>
      <w:r w:rsidRPr="006B3536">
        <w:rPr>
          <w:rFonts w:cstheme="minorHAnsi"/>
          <w:szCs w:val="18"/>
        </w:rPr>
        <w:t>dσ</w:t>
      </w:r>
      <w:r w:rsidRPr="006B3536">
        <w:rPr>
          <w:rFonts w:cstheme="minorHAnsi"/>
          <w:szCs w:val="18"/>
          <w:vertAlign w:val="subscript"/>
        </w:rPr>
        <w:t>T</w:t>
      </w:r>
      <w:r w:rsidRPr="006B3536">
        <w:rPr>
          <w:rFonts w:cstheme="minorHAnsi"/>
          <w:szCs w:val="18"/>
        </w:rPr>
        <w:t>/dε</w:t>
      </w:r>
      <w:r w:rsidRPr="006B3536">
        <w:rPr>
          <w:rFonts w:cstheme="minorHAnsi"/>
          <w:szCs w:val="18"/>
          <w:vertAlign w:val="subscript"/>
        </w:rPr>
        <w:t>P</w:t>
      </w:r>
      <w:r w:rsidRPr="006B3536">
        <w:t xml:space="preserve">) </w:t>
      </w:r>
      <w:r>
        <w:t>displayed by</w:t>
      </w:r>
      <w:r w:rsidRPr="006B3536">
        <w:t xml:space="preserve"> (TiZrHf)</w:t>
      </w:r>
      <w:r w:rsidRPr="006B3536">
        <w:rPr>
          <w:vertAlign w:val="subscript"/>
        </w:rPr>
        <w:t>87</w:t>
      </w:r>
      <w:r w:rsidRPr="006B3536">
        <w:t>Ta</w:t>
      </w:r>
      <w:r w:rsidRPr="006B3536">
        <w:rPr>
          <w:vertAlign w:val="subscript"/>
        </w:rPr>
        <w:t>13</w:t>
      </w:r>
      <w:r w:rsidRPr="006B3536">
        <w:t xml:space="preserve"> </w:t>
      </w:r>
      <w:r>
        <w:t>(</w:t>
      </w:r>
      <w:r w:rsidRPr="006B3536">
        <w:t>Fig. 7-1(a)</w:t>
      </w:r>
      <w:r>
        <w:t>)</w:t>
      </w:r>
      <w:r w:rsidRPr="006B3536">
        <w:t>. While the maximum theoretical value of dislocation</w:t>
      </w:r>
      <w:r w:rsidR="00002F6A">
        <w:t xml:space="preserve"> density</w:t>
      </w:r>
      <w:r w:rsidRPr="006B3536">
        <w:t xml:space="preserve"> enabled </w:t>
      </w:r>
      <w:r>
        <w:t xml:space="preserve">the </w:t>
      </w:r>
      <w:r w:rsidRPr="006B3536">
        <w:rPr>
          <w:rFonts w:cstheme="minorHAnsi"/>
          <w:noProof/>
          <w:color w:val="222222"/>
          <w:spacing w:val="3"/>
          <w:szCs w:val="18"/>
          <w:shd w:val="clear" w:color="auto" w:fill="FFFFFF"/>
        </w:rPr>
        <w:t>normalised</w:t>
      </w:r>
      <w:r w:rsidRPr="006B3536">
        <w:rPr>
          <w:rFonts w:cstheme="minorHAnsi"/>
          <w:color w:val="222222"/>
          <w:spacing w:val="3"/>
          <w:szCs w:val="18"/>
          <w:shd w:val="clear" w:color="auto" w:fill="FFFFFF"/>
        </w:rPr>
        <w:t xml:space="preserve"> </w:t>
      </w:r>
      <w:r w:rsidRPr="006B3536">
        <w:t xml:space="preserve">work hardening rate </w:t>
      </w:r>
      <w:r>
        <w:t xml:space="preserve">to be </w:t>
      </w:r>
      <w:r w:rsidRPr="006B3536">
        <w:t xml:space="preserve">predicted from the </w:t>
      </w:r>
      <w:r w:rsidRPr="006B3536">
        <w:rPr>
          <w:noProof/>
        </w:rPr>
        <w:t>Kocks</w:t>
      </w:r>
      <w:r w:rsidRPr="006B3536">
        <w:t xml:space="preserve">–Mecking model </w:t>
      </w:r>
      <w:r>
        <w:t>as</w:t>
      </w:r>
      <w:r w:rsidRPr="006B3536">
        <w:t xml:space="preserve"> 0.05G</w:t>
      </w:r>
      <w:r>
        <w:t xml:space="preserve"> </w:t>
      </w:r>
      <w:r w:rsidRPr="006B3536">
        <w:t>(wher</w:t>
      </w:r>
      <w:r>
        <w:t xml:space="preserve">e G is the bulk shear modulus) </w:t>
      </w:r>
      <w:r w:rsidRPr="006B3536">
        <w:fldChar w:fldCharType="begin" w:fldLock="1"/>
      </w:r>
      <w:r>
        <w:instrText>ADDIN CSL_CITATION {"citationItems":[{"id":"ITEM-1","itemData":{"DOI":"10.1016/0001-6160(81)90112-7","ISBN":"0001-6160","ISSN":"00016160","PMID":"15003161","abstract":"The kinetics of glide at constant structure and the kinetics of structure evolution are correlated on the basis of various experimental observations in pure f.c.c. mono- and polycrystals. Two regimes of behavior are identified. In the initial regime, the Cottrell-Stokes law is satisfied, hardening is athermal, and a single structure parameter is adequate. With increasing importance of dynamic recovery, be it at large strains or at high temperatures, all of these simple assumptions break down. However, the proportionality between the flow stress and the square-root of the dislocation density holds, to a good approximation, over the entire regime; mild deviations arc primarily ascribed to differences between the various experimental techniques used. A phenomenological model is proposed, which incorporates the rate of dynamic recovery into the flow kinetics. It has been successful in matching many experimental data quantitatively. © 1981.","author":[{"dropping-particle":"","family":"Mecking","given":"H.","non-dropping-particle":"","parse-names":false,"suffix":""},{"dropping-particle":"","family":"Kocks","given":"U. F.","non-dropping-particle":"","parse-names":false,"suffix":""}],"container-title":"Acta Metallurgica","id":"ITEM-1","issued":{"date-parts":[["1981"]]},"title":"Kinetics of flow and strain-hardening","type":"article-journal"},"uris":["http://www.mendeley.com/documents/?uuid=55c1aaf5-3efd-4f53-917b-247f47367704"]}],"mendeley":{"formattedCitation":"[9]","plainTextFormattedCitation":"[9]","previouslyFormattedCitation":"[26]"},"properties":{"noteIndex":0},"schema":"https://github.com/citation-style-language/schema/raw/master/csl-citation.json"}</w:instrText>
      </w:r>
      <w:r w:rsidRPr="006B3536">
        <w:fldChar w:fldCharType="separate"/>
      </w:r>
      <w:r w:rsidRPr="00681C64">
        <w:rPr>
          <w:noProof/>
        </w:rPr>
        <w:t>[9]</w:t>
      </w:r>
      <w:r w:rsidRPr="006B3536">
        <w:fldChar w:fldCharType="end"/>
      </w:r>
      <w:r w:rsidRPr="006B3536">
        <w:t xml:space="preserve">, the </w:t>
      </w:r>
      <w:r w:rsidRPr="006B3536">
        <w:rPr>
          <w:rFonts w:cstheme="minorHAnsi"/>
          <w:noProof/>
          <w:color w:val="222222"/>
          <w:spacing w:val="3"/>
          <w:szCs w:val="18"/>
          <w:shd w:val="clear" w:color="auto" w:fill="FFFFFF"/>
        </w:rPr>
        <w:t>normalised</w:t>
      </w:r>
      <w:r w:rsidRPr="006B3536">
        <w:rPr>
          <w:rFonts w:cstheme="minorHAnsi"/>
          <w:color w:val="222222"/>
          <w:spacing w:val="3"/>
          <w:szCs w:val="18"/>
          <w:shd w:val="clear" w:color="auto" w:fill="FFFFFF"/>
        </w:rPr>
        <w:t xml:space="preserve"> work hardening rate (</w:t>
      </w:r>
      <w:r w:rsidRPr="006B3536">
        <w:rPr>
          <w:rFonts w:cstheme="minorHAnsi"/>
          <w:szCs w:val="18"/>
        </w:rPr>
        <w:t>(dσ</w:t>
      </w:r>
      <w:r w:rsidRPr="006B3536">
        <w:rPr>
          <w:rFonts w:cstheme="minorHAnsi"/>
          <w:szCs w:val="18"/>
          <w:vertAlign w:val="subscript"/>
        </w:rPr>
        <w:t>T</w:t>
      </w:r>
      <w:r w:rsidRPr="006B3536">
        <w:rPr>
          <w:rFonts w:cstheme="minorHAnsi"/>
          <w:szCs w:val="18"/>
        </w:rPr>
        <w:t>/dε</w:t>
      </w:r>
      <w:r w:rsidRPr="006B3536">
        <w:rPr>
          <w:rFonts w:cstheme="minorHAnsi"/>
          <w:szCs w:val="18"/>
          <w:vertAlign w:val="subscript"/>
        </w:rPr>
        <w:t>P</w:t>
      </w:r>
      <w:r w:rsidRPr="006B3536">
        <w:rPr>
          <w:rFonts w:cstheme="minorHAnsi"/>
          <w:szCs w:val="18"/>
        </w:rPr>
        <w:t>)/G</w:t>
      </w:r>
      <w:r w:rsidRPr="006B3536">
        <w:rPr>
          <w:rFonts w:cstheme="minorHAnsi"/>
          <w:color w:val="222222"/>
          <w:spacing w:val="3"/>
          <w:szCs w:val="18"/>
          <w:shd w:val="clear" w:color="auto" w:fill="FFFFFF"/>
        </w:rPr>
        <w:t>) of</w:t>
      </w:r>
      <w:r w:rsidRPr="006B3536">
        <w:t xml:space="preserve"> (TiZrHf)</w:t>
      </w:r>
      <w:r w:rsidRPr="006B3536">
        <w:rPr>
          <w:vertAlign w:val="subscript"/>
        </w:rPr>
        <w:t>87</w:t>
      </w:r>
      <w:r w:rsidRPr="006B3536">
        <w:t>Ta</w:t>
      </w:r>
      <w:r w:rsidRPr="006B3536">
        <w:rPr>
          <w:vertAlign w:val="subscript"/>
        </w:rPr>
        <w:t>13</w:t>
      </w:r>
      <w:r w:rsidRPr="006B3536">
        <w:rPr>
          <w:rFonts w:cstheme="minorHAnsi"/>
          <w:color w:val="222222"/>
          <w:spacing w:val="3"/>
          <w:szCs w:val="18"/>
          <w:shd w:val="clear" w:color="auto" w:fill="FFFFFF"/>
        </w:rPr>
        <w:t xml:space="preserve"> </w:t>
      </w:r>
      <w:r w:rsidRPr="006B3536">
        <w:t>reache</w:t>
      </w:r>
      <w:r>
        <w:t>d</w:t>
      </w:r>
      <w:r w:rsidRPr="006B3536">
        <w:t xml:space="preserve"> 0.47G</w:t>
      </w:r>
      <w:r>
        <w:t>,</w:t>
      </w:r>
      <w:r w:rsidRPr="006B3536">
        <w:t xml:space="preserve"> which</w:t>
      </w:r>
      <w:r>
        <w:rPr>
          <w:vertAlign w:val="subscript"/>
        </w:rPr>
        <w:t xml:space="preserve"> </w:t>
      </w:r>
      <w:r w:rsidRPr="006B3536">
        <w:t xml:space="preserve">outperforms most well-known </w:t>
      </w:r>
      <w:r w:rsidRPr="006B3536">
        <w:rPr>
          <w:noProof/>
        </w:rPr>
        <w:t>high-performance</w:t>
      </w:r>
      <w:r w:rsidRPr="006B3536">
        <w:t xml:space="preserve"> TWIP and TRIP polycrystalline alloys. To investigate the microstructural</w:t>
      </w:r>
      <w:r>
        <w:t xml:space="preserve"> evolution, the p</w:t>
      </w:r>
      <w:r w:rsidRPr="003A23DA">
        <w:t xml:space="preserve">hase constitution and </w:t>
      </w:r>
      <w:r>
        <w:t>micro</w:t>
      </w:r>
      <w:r w:rsidRPr="003A23DA">
        <w:t>structur</w:t>
      </w:r>
      <w:r>
        <w:t>e of (</w:t>
      </w:r>
      <w:r w:rsidRPr="00B30F33">
        <w:t>Ti</w:t>
      </w:r>
      <w:r>
        <w:t>ZrHf)</w:t>
      </w:r>
      <w:r>
        <w:rPr>
          <w:vertAlign w:val="subscript"/>
        </w:rPr>
        <w:t>87</w:t>
      </w:r>
      <w:r w:rsidRPr="00B30F33">
        <w:t>Ta</w:t>
      </w:r>
      <w:r w:rsidRPr="00B30F33">
        <w:rPr>
          <w:vertAlign w:val="subscript"/>
        </w:rPr>
        <w:t>1</w:t>
      </w:r>
      <w:r>
        <w:rPr>
          <w:vertAlign w:val="subscript"/>
        </w:rPr>
        <w:t>3</w:t>
      </w:r>
      <w:r w:rsidRPr="003A23DA">
        <w:t xml:space="preserve"> </w:t>
      </w:r>
      <w:r>
        <w:rPr>
          <w:noProof/>
        </w:rPr>
        <w:t>was</w:t>
      </w:r>
      <w:r w:rsidRPr="009D4D98">
        <w:rPr>
          <w:noProof/>
        </w:rPr>
        <w:t xml:space="preserve"> examined</w:t>
      </w:r>
      <w:r>
        <w:t xml:space="preserve"> at 0%, </w:t>
      </w:r>
      <w:r w:rsidR="002D3265">
        <w:t>3</w:t>
      </w:r>
      <w:r w:rsidR="002D3265">
        <w:rPr>
          <w:rFonts w:hint="eastAsia"/>
        </w:rPr>
        <w:t>%</w:t>
      </w:r>
      <w:r>
        <w:t xml:space="preserve">, </w:t>
      </w:r>
      <w:r w:rsidR="002D3265">
        <w:t>6</w:t>
      </w:r>
      <w:r>
        <w:t xml:space="preserve">% and </w:t>
      </w:r>
      <w:r w:rsidR="002D3265">
        <w:t>9</w:t>
      </w:r>
      <w:r>
        <w:t>% tensile strain levels.</w:t>
      </w:r>
      <w:r w:rsidRPr="003A23DA">
        <w:t xml:space="preserve"> </w:t>
      </w:r>
      <w:r>
        <w:t>R</w:t>
      </w:r>
      <w:r w:rsidRPr="005014A8">
        <w:t>epresentative</w:t>
      </w:r>
      <w:r w:rsidRPr="003A23DA">
        <w:t xml:space="preserve"> </w:t>
      </w:r>
      <w:r>
        <w:t>XRD patterns and</w:t>
      </w:r>
      <w:r w:rsidRPr="003A23DA">
        <w:t xml:space="preserve"> </w:t>
      </w:r>
      <w:r>
        <w:t xml:space="preserve">EBSD images </w:t>
      </w:r>
      <w:r w:rsidRPr="009F4067">
        <w:rPr>
          <w:noProof/>
        </w:rPr>
        <w:t>are shown</w:t>
      </w:r>
      <w:r w:rsidRPr="00206950">
        <w:t xml:space="preserve"> in </w:t>
      </w:r>
      <w:r>
        <w:t>F</w:t>
      </w:r>
      <w:r w:rsidRPr="00206950">
        <w:t xml:space="preserve">ig. </w:t>
      </w:r>
      <w:r>
        <w:t>7-1(b)</w:t>
      </w:r>
      <w:r w:rsidRPr="00206950">
        <w:t>.</w:t>
      </w:r>
      <w:r>
        <w:t xml:space="preserve"> Together with the mechanical response curve in Fig.7-1(a), t</w:t>
      </w:r>
      <w:r w:rsidRPr="00A71FD6">
        <w:t>hree</w:t>
      </w:r>
      <w:r>
        <w:t xml:space="preserve">-stage </w:t>
      </w:r>
      <w:r w:rsidR="002F3A48">
        <w:t>work</w:t>
      </w:r>
      <w:r w:rsidRPr="00A71FD6">
        <w:t xml:space="preserve"> hardening </w:t>
      </w:r>
      <w:r>
        <w:t xml:space="preserve">was observed for </w:t>
      </w:r>
      <w:r w:rsidRPr="00224EBF">
        <w:rPr>
          <w:rFonts w:cstheme="minorHAnsi"/>
          <w:color w:val="222222"/>
          <w:spacing w:val="3"/>
          <w:szCs w:val="18"/>
          <w:shd w:val="clear" w:color="auto" w:fill="FFFFFF"/>
        </w:rPr>
        <w:t>(TiZrHf)</w:t>
      </w:r>
      <w:r w:rsidRPr="00224EBF">
        <w:rPr>
          <w:rFonts w:cstheme="minorHAnsi"/>
          <w:color w:val="222222"/>
          <w:spacing w:val="3"/>
          <w:szCs w:val="18"/>
          <w:shd w:val="clear" w:color="auto" w:fill="FFFFFF"/>
          <w:vertAlign w:val="subscript"/>
        </w:rPr>
        <w:t>85</w:t>
      </w:r>
      <w:r w:rsidRPr="00224EBF">
        <w:rPr>
          <w:rFonts w:cstheme="minorHAnsi"/>
          <w:color w:val="222222"/>
          <w:spacing w:val="3"/>
          <w:szCs w:val="18"/>
          <w:shd w:val="clear" w:color="auto" w:fill="FFFFFF"/>
        </w:rPr>
        <w:t>Ta</w:t>
      </w:r>
      <w:r w:rsidRPr="00224EBF">
        <w:rPr>
          <w:rFonts w:cstheme="minorHAnsi"/>
          <w:color w:val="222222"/>
          <w:spacing w:val="3"/>
          <w:szCs w:val="18"/>
          <w:shd w:val="clear" w:color="auto" w:fill="FFFFFF"/>
          <w:vertAlign w:val="subscript"/>
        </w:rPr>
        <w:t>15</w:t>
      </w:r>
      <w:r w:rsidRPr="00224EBF">
        <w:rPr>
          <w:rFonts w:cstheme="minorHAnsi"/>
          <w:b/>
          <w:szCs w:val="18"/>
        </w:rPr>
        <w:t xml:space="preserve"> </w:t>
      </w:r>
      <w:r>
        <w:t>and (</w:t>
      </w:r>
      <w:r w:rsidRPr="00B30F33">
        <w:t>Ti</w:t>
      </w:r>
      <w:r>
        <w:t>ZrHf)</w:t>
      </w:r>
      <w:r w:rsidRPr="008A50C2">
        <w:rPr>
          <w:vertAlign w:val="subscript"/>
        </w:rPr>
        <w:t>87</w:t>
      </w:r>
      <w:r w:rsidRPr="00077293">
        <w:t>Ta</w:t>
      </w:r>
      <w:r w:rsidRPr="008A50C2">
        <w:rPr>
          <w:vertAlign w:val="subscript"/>
        </w:rPr>
        <w:t>13</w:t>
      </w:r>
      <w:r>
        <w:t xml:space="preserve"> alloys as shown in Fig.7-1. Stage I is known as the elastic-plastic transition stage, whereby the work hardening rate drops dramatically after the yield. At this stage, o</w:t>
      </w:r>
      <w:r w:rsidRPr="004A1887">
        <w:t xml:space="preserve">nly β phase peaks </w:t>
      </w:r>
      <w:r>
        <w:t>were</w:t>
      </w:r>
      <w:r w:rsidRPr="004A1887">
        <w:t xml:space="preserve"> indexed</w:t>
      </w:r>
      <w:r>
        <w:t xml:space="preserve"> using XRD. This</w:t>
      </w:r>
      <w:r w:rsidRPr="004A1887">
        <w:t xml:space="preserve"> indicate</w:t>
      </w:r>
      <w:r>
        <w:t>d</w:t>
      </w:r>
      <w:r w:rsidRPr="004A1887">
        <w:t xml:space="preserve"> that the quenched sample </w:t>
      </w:r>
      <w:r w:rsidR="00002F6A">
        <w:t xml:space="preserve">comprised </w:t>
      </w:r>
      <w:r>
        <w:t>mostly a single phase,</w:t>
      </w:r>
      <w:r w:rsidRPr="004A1887">
        <w:t xml:space="preserve"> </w:t>
      </w:r>
      <w:r>
        <w:t xml:space="preserve">where </w:t>
      </w:r>
      <w:r w:rsidR="00002F6A">
        <w:t xml:space="preserve">solely </w:t>
      </w:r>
      <w:r>
        <w:t xml:space="preserve">dislocation glide accommodated the </w:t>
      </w:r>
      <w:r w:rsidR="00002F6A">
        <w:t xml:space="preserve">applied </w:t>
      </w:r>
      <w:r>
        <w:t xml:space="preserve">stress, as the critical resolved shear stress (CRSS) was not high enough to activate other deformation mechanisms </w:t>
      </w:r>
      <w:r>
        <w:fldChar w:fldCharType="begin" w:fldLock="1"/>
      </w:r>
      <w:r>
        <w:instrText>ADDIN CSL_CITATION {"citationItems":[{"id":"ITEM-1","itemData":{"DOI":"10.1080/21663831.2016.1221861","ISBN":"2166-3831","ISSN":"21663831","abstract":"ABSTRACTA new bcc Ti-rich high-entropy alloy (HEA) of composition Ti35Zr27.5Hf27.5Nb5Ta5 was designed using the ‘d-electron alloy design’ approach. The tensile behavior displays a marked transformation-induced plasticity effect resulting in a high normalized work-hardening rate of 0.103 without loss of ductility when compared to the reference composition Ti</w:instrText>
      </w:r>
      <w:r>
        <w:rPr>
          <w:rFonts w:hint="eastAsia"/>
        </w:rPr>
        <w:instrText xml:space="preserve">20Zr20Hf20Nb20Ta20. In this paper, a detailed microstructural analysis was performed to understand the deformation process, revealing architectural-type microstructures and a high volume fraction (65%) of internally twinned stress-induced martensite </w:instrText>
      </w:r>
      <w:r>
        <w:rPr>
          <w:rFonts w:hint="eastAsia"/>
        </w:rPr>
        <w:instrText>α″</w:instrText>
      </w:r>
      <w:r>
        <w:rPr>
          <w:rFonts w:hint="eastAsia"/>
        </w:rPr>
        <w:instrText xml:space="preserve"> af</w:instrText>
      </w:r>
      <w:r>
        <w:instrText>ter mechanical testing. This study opens the way to mechanical properties optimization and enhancement of titanium-based HEAs by combining multiple alloying designs.IMPACT STATEMENTFor the first time, proof is given that transformation-induced plasticity was triggered in a bcc refractory high-entropy alloy, leading to a twofold increase in the normalized work-hardening rate.","author":[{"dropping-particle":"","family":"Lilensten","given":"Lola","non-dropping-particle":"","parse-names":false,"suffix":""},{"dropping-particle":"","family":"Couzinié","given":"Jean Philippe","non-dropping-particle":"","parse-names":false,"suffix":""},{"dropping-particle":"","family":"Bourgon","given":"Julie","non-dropping-particle":"","parse-names":false,"suffix":""},{"dropping-particle":"","family":"Perrière","given":"Loïc","non-dropping-particle":"","parse-names":false,"suffix":""},{"dropping-particle":"","family":"Dirras","given":"Guy","non-dropping-particle":"","parse-names":false,"suffix":""},{"dropping-particle":"","family":"Prima","given":"Frédéric","non-dropping-particle":"","parse-names":false,"suffix":""},{"dropping-particle":"","family":"Guillot","given":"Ivan","non-dropping-particle":"","parse-names":false,"suffix":""}],"container-title":"Materials Research Letters","id":"ITEM-1","issued":{"date-parts":[["2017"]]},"title":"Design and tensile properties of a bcc Ti-rich high-entropy alloy with transformation-induced plasticity","type":"article-journal"},"uris":["http://www.mendeley.com/documents/?uuid=927b9064-4d30-4f71-b016-5b50c9e0e6e5"]},{"id":"ITEM-2","itemData":{"DOI":"10.1002/adma.201701678","ISBN":"1521-4095","ISSN":"15214095","PMID":"28590527","abstract":"High-entropy alloys (HEAs) in which interesting physical, chemical, and structural properties are being continuously revealed have recently attracted extensive attention. Body-centered cubic (bcc) HEAs, particularly those based on refractory elements are promising for high-temperature application but generally fail by early cracking with limited plasticity at room temperature, which limits their malleability and widespread uses. Here, the “metastability-engineering” strategy is exploited in brittle bcc HEAs via tailoring the stability of the constituent phases, and transformation-induced ductility and work-hardening capability are successfully achieved. This not only sheds new insights on the development of HEAs with excellent combination of strength and ductility, but also has great implications on overcoming the long-standing strength–ductility tradeoff of metallic materials in general.","author":[{"dropping-particle":"","family":"Huang","given":"Hailong","non-dropping-particle":"","parse-names":false,"suffix":""},{"dropping-particle":"","family":"Wu","given":"Yuan","non-dropping-particle":"","parse-names":false,"suffix":""},{"dropping-particle":"","family":"He","given":"Junyang","non-dropping-particle":"","parse-names":false,"suffix":""},{"dropping-particle":"","family":"Wang","given":"Hui","non-dropping-particle":"","parse-names":false,"suffix":""},{"dropping-particle":"","family":"Liu","given":"Xiongjun","non-dropping-particle":"","parse-names":false,"suffix":""},{"dropping-particle":"","family":"An","given":"Ke","non-dropping-particle":"","parse-names":false,"suffix":""},{"dropping-particle":"","family":"Wu","given":"Wei","non-dropping-particle":"","parse-names":false,"suffix":""},{"dropping-particle":"","family":"Lu","given":"Zhaoping","non-dropping-particle":"","parse-names":false,"suffix":""}],"container-title":"Advanced Materials","id":"ITEM-2","issued":{"date-parts":[["2017"]]},"title":"Phase-Transformation Ductilization of Brittle High-Entropy Alloys via Metastability Engineering","type":"article-journal"},"uris":["http://www.mendeley.com/documents/?uuid=a70db21f-f0c1-4d7a-8de8-59b660f6fd83"]}],"mendeley":{"formattedCitation":"[4,15]","plainTextFormattedCitation":"[4,15]","previouslyFormattedCitation":"[3,22]"},"properties":{"noteIndex":0},"schema":"https://github.com/citation-style-language/schema/raw/master/csl-citation.json"}</w:instrText>
      </w:r>
      <w:r>
        <w:fldChar w:fldCharType="separate"/>
      </w:r>
      <w:r w:rsidRPr="00681C64">
        <w:rPr>
          <w:noProof/>
        </w:rPr>
        <w:t>[4,15]</w:t>
      </w:r>
      <w:r>
        <w:fldChar w:fldCharType="end"/>
      </w:r>
      <w:r>
        <w:t>. With</w:t>
      </w:r>
      <w:r w:rsidRPr="003A23DA">
        <w:t xml:space="preserve"> </w:t>
      </w:r>
      <w:r>
        <w:t xml:space="preserve">the increase in deformation from 1.3% to 6% (Stage II) strain, a rapid rise in work hardening rate can </w:t>
      </w:r>
      <w:r w:rsidRPr="00206950">
        <w:rPr>
          <w:noProof/>
        </w:rPr>
        <w:t>be seen</w:t>
      </w:r>
      <w:r>
        <w:t>. TRIP was activated (strain = 2%) and</w:t>
      </w:r>
      <w:r w:rsidRPr="003A23DA">
        <w:t xml:space="preserve"> </w:t>
      </w:r>
      <w:r w:rsidRPr="009B5F42">
        <w:rPr>
          <w:noProof/>
        </w:rPr>
        <w:t>needle</w:t>
      </w:r>
      <w:r>
        <w:rPr>
          <w:noProof/>
        </w:rPr>
        <w:t>-</w:t>
      </w:r>
      <w:r w:rsidRPr="009B5F42">
        <w:rPr>
          <w:noProof/>
        </w:rPr>
        <w:t>like</w:t>
      </w:r>
      <w:r w:rsidRPr="003A23DA">
        <w:t xml:space="preserve"> </w:t>
      </w:r>
      <w:r>
        <w:rPr>
          <w:rFonts w:cstheme="minorHAnsi"/>
        </w:rPr>
        <w:t>α</w:t>
      </w:r>
      <w:r>
        <w:t>’’ martensite</w:t>
      </w:r>
      <w:r w:rsidRPr="003A23DA">
        <w:t xml:space="preserve"> phase </w:t>
      </w:r>
      <w:r>
        <w:t xml:space="preserve">started to form within the </w:t>
      </w:r>
      <w:r w:rsidRPr="00332853">
        <w:rPr>
          <w:rFonts w:cstheme="minorHAnsi"/>
          <w:noProof/>
        </w:rPr>
        <w:t>β</w:t>
      </w:r>
      <w:r>
        <w:rPr>
          <w:rFonts w:cstheme="minorHAnsi"/>
        </w:rPr>
        <w:t xml:space="preserve"> grains (Fig.7-1(b))</w:t>
      </w:r>
      <w:r>
        <w:t xml:space="preserve">. A </w:t>
      </w:r>
      <w:r w:rsidRPr="009B5F42">
        <w:rPr>
          <w:noProof/>
        </w:rPr>
        <w:t>small</w:t>
      </w:r>
      <w:r>
        <w:t xml:space="preserve"> peak related to (020)</w:t>
      </w:r>
      <w:r w:rsidRPr="00AC20CB">
        <w:rPr>
          <w:rFonts w:cstheme="minorHAnsi"/>
          <w:vertAlign w:val="subscript"/>
        </w:rPr>
        <w:t>α</w:t>
      </w:r>
      <w:r w:rsidRPr="00AC20CB">
        <w:rPr>
          <w:vertAlign w:val="subscript"/>
        </w:rPr>
        <w:t>’’</w:t>
      </w:r>
      <w:r>
        <w:t xml:space="preserve"> was detected in the corresponding XRD spectrum</w:t>
      </w:r>
      <w:r w:rsidRPr="003A23DA">
        <w:t xml:space="preserve">. </w:t>
      </w:r>
      <w:r>
        <w:t xml:space="preserve">The intensity of </w:t>
      </w:r>
      <w:r>
        <w:rPr>
          <w:rFonts w:ascii="Times New Roman" w:hAnsi="Times New Roman" w:cs="Times New Roman"/>
        </w:rPr>
        <w:t>α</w:t>
      </w:r>
      <w:r>
        <w:t>’’ reflections increased, which demonstrated further promotion of martensitic phase transformation</w:t>
      </w:r>
      <w:r w:rsidRPr="003A23DA">
        <w:t>.</w:t>
      </w:r>
      <w:r w:rsidRPr="006B7BC0">
        <w:t xml:space="preserve"> </w:t>
      </w:r>
      <w:r>
        <w:t xml:space="preserve">This confirms that </w:t>
      </w:r>
      <w:r w:rsidRPr="002C676E">
        <w:t xml:space="preserve">the </w:t>
      </w:r>
      <w:r>
        <w:t>desired</w:t>
      </w:r>
      <w:r w:rsidRPr="002C676E">
        <w:t xml:space="preserve"> </w:t>
      </w:r>
      <w:r>
        <w:t>in</w:t>
      </w:r>
      <w:r w:rsidRPr="002C676E">
        <w:t xml:space="preserve">stability </w:t>
      </w:r>
      <w:r>
        <w:t xml:space="preserve">of the </w:t>
      </w:r>
      <w:r>
        <w:rPr>
          <w:rFonts w:ascii="Times New Roman" w:hAnsi="Times New Roman" w:cs="Times New Roman"/>
        </w:rPr>
        <w:t>β</w:t>
      </w:r>
      <w:r>
        <w:t xml:space="preserve"> phase was</w:t>
      </w:r>
      <w:r w:rsidRPr="00206950">
        <w:rPr>
          <w:noProof/>
        </w:rPr>
        <w:t xml:space="preserve"> successfully </w:t>
      </w:r>
      <w:r>
        <w:rPr>
          <w:noProof/>
        </w:rPr>
        <w:t>introduced</w:t>
      </w:r>
      <w:r w:rsidRPr="002C676E">
        <w:t xml:space="preserve"> by tuning the </w:t>
      </w:r>
      <w:r>
        <w:t>Ta content and subsequently resulted in the introduction of stress-induced martensite and SA morphology. This leads to the visible rebound of work hardening rate in this stage</w:t>
      </w:r>
      <w:r w:rsidRPr="002C676E">
        <w:t>.</w:t>
      </w:r>
      <w:r>
        <w:t xml:space="preserve"> At</w:t>
      </w:r>
      <w:r w:rsidRPr="00AB5D9A">
        <w:t xml:space="preserve"> </w:t>
      </w:r>
      <w:r>
        <w:t>S</w:t>
      </w:r>
      <w:r w:rsidRPr="00AB5D9A">
        <w:t>tage III</w:t>
      </w:r>
      <w:r>
        <w:t>, starting at 6% strain</w:t>
      </w:r>
      <w:r w:rsidRPr="00AB5D9A">
        <w:t>, the</w:t>
      </w:r>
      <w:r>
        <w:t xml:space="preserve"> early</w:t>
      </w:r>
      <w:r w:rsidRPr="00AB5D9A">
        <w:t xml:space="preserve"> </w:t>
      </w:r>
      <w:r>
        <w:t>strengthening</w:t>
      </w:r>
      <w:r w:rsidRPr="00AB5D9A">
        <w:t xml:space="preserve"> effect </w:t>
      </w:r>
      <w:r>
        <w:t>subsided, w</w:t>
      </w:r>
      <w:r w:rsidRPr="00686B8D">
        <w:rPr>
          <w:color w:val="000000" w:themeColor="text1"/>
        </w:rPr>
        <w:t xml:space="preserve">hile dislocation glide and other deformation mechanisms continue to accommodate the extensive strain which maintained the continuous strengthening to higher strain levels. In contrast with </w:t>
      </w:r>
      <w:r w:rsidRPr="00686B8D">
        <w:rPr>
          <w:rFonts w:cstheme="minorHAnsi"/>
          <w:color w:val="000000" w:themeColor="text1"/>
          <w:spacing w:val="3"/>
          <w:szCs w:val="18"/>
          <w:shd w:val="clear" w:color="auto" w:fill="FFFFFF"/>
        </w:rPr>
        <w:t>(TiZrHf)</w:t>
      </w:r>
      <w:r w:rsidRPr="00686B8D">
        <w:rPr>
          <w:rFonts w:cstheme="minorHAnsi"/>
          <w:color w:val="000000" w:themeColor="text1"/>
          <w:spacing w:val="3"/>
          <w:szCs w:val="18"/>
          <w:shd w:val="clear" w:color="auto" w:fill="FFFFFF"/>
          <w:vertAlign w:val="subscript"/>
        </w:rPr>
        <w:t>85</w:t>
      </w:r>
      <w:r w:rsidRPr="00686B8D">
        <w:rPr>
          <w:rFonts w:cstheme="minorHAnsi"/>
          <w:color w:val="000000" w:themeColor="text1"/>
          <w:spacing w:val="3"/>
          <w:szCs w:val="18"/>
          <w:shd w:val="clear" w:color="auto" w:fill="FFFFFF"/>
        </w:rPr>
        <w:t>Ta</w:t>
      </w:r>
      <w:r w:rsidRPr="00686B8D">
        <w:rPr>
          <w:rFonts w:cstheme="minorHAnsi"/>
          <w:color w:val="000000" w:themeColor="text1"/>
          <w:spacing w:val="3"/>
          <w:szCs w:val="18"/>
          <w:shd w:val="clear" w:color="auto" w:fill="FFFFFF"/>
          <w:vertAlign w:val="subscript"/>
        </w:rPr>
        <w:t>15</w:t>
      </w:r>
      <w:r w:rsidRPr="00686B8D">
        <w:rPr>
          <w:rFonts w:cstheme="minorHAnsi"/>
          <w:color w:val="000000" w:themeColor="text1"/>
          <w:spacing w:val="3"/>
          <w:szCs w:val="18"/>
          <w:shd w:val="clear" w:color="auto" w:fill="FFFFFF"/>
        </w:rPr>
        <w:t>, the work hardening curve of (TiZrHf)</w:t>
      </w:r>
      <w:r w:rsidRPr="00686B8D">
        <w:rPr>
          <w:rFonts w:cstheme="minorHAnsi"/>
          <w:color w:val="000000" w:themeColor="text1"/>
          <w:spacing w:val="3"/>
          <w:szCs w:val="18"/>
          <w:shd w:val="clear" w:color="auto" w:fill="FFFFFF"/>
          <w:vertAlign w:val="subscript"/>
        </w:rPr>
        <w:t>87</w:t>
      </w:r>
      <w:r w:rsidRPr="00686B8D">
        <w:rPr>
          <w:rFonts w:cstheme="minorHAnsi"/>
          <w:color w:val="000000" w:themeColor="text1"/>
          <w:spacing w:val="3"/>
          <w:szCs w:val="18"/>
          <w:shd w:val="clear" w:color="auto" w:fill="FFFFFF"/>
        </w:rPr>
        <w:t>Ta</w:t>
      </w:r>
      <w:r w:rsidRPr="00686B8D">
        <w:rPr>
          <w:rFonts w:cstheme="minorHAnsi"/>
          <w:color w:val="000000" w:themeColor="text1"/>
          <w:spacing w:val="3"/>
          <w:szCs w:val="18"/>
          <w:shd w:val="clear" w:color="auto" w:fill="FFFFFF"/>
          <w:vertAlign w:val="subscript"/>
        </w:rPr>
        <w:t>13</w:t>
      </w:r>
      <w:r w:rsidRPr="00686B8D">
        <w:rPr>
          <w:rFonts w:cstheme="minorHAnsi"/>
          <w:color w:val="000000" w:themeColor="text1"/>
          <w:spacing w:val="3"/>
          <w:szCs w:val="18"/>
          <w:shd w:val="clear" w:color="auto" w:fill="FFFFFF"/>
        </w:rPr>
        <w:t xml:space="preserve"> (bottom panel of Fig.7-1(a)) was found to slowly increase after 12.5% (stage IV). This indicated a new deformation mechanism may have activated, hence resulting in the sustainment of working hardening following this strain. </w:t>
      </w:r>
    </w:p>
    <w:p w14:paraId="737B0CEB" w14:textId="70C15F40" w:rsidR="00FC58F8" w:rsidRDefault="00B145BE" w:rsidP="00B145BE">
      <w:pPr>
        <w:spacing w:afterLines="60" w:after="144" w:line="360" w:lineRule="auto"/>
        <w:jc w:val="both"/>
      </w:pPr>
      <w:r>
        <w:t xml:space="preserve">Detailed microstructural analysis </w:t>
      </w:r>
      <w:r w:rsidRPr="00DF3176">
        <w:t xml:space="preserve">was then undertaken to aid in distinguishing the evolution of the underlying deformation mechanism in </w:t>
      </w:r>
      <w:r w:rsidRPr="00DF3176">
        <w:rPr>
          <w:rFonts w:cstheme="minorHAnsi"/>
          <w:color w:val="222222"/>
          <w:spacing w:val="3"/>
          <w:shd w:val="clear" w:color="auto" w:fill="FFFFFF"/>
        </w:rPr>
        <w:t>(TiZrHf)</w:t>
      </w:r>
      <w:r w:rsidRPr="00DF3176">
        <w:rPr>
          <w:rFonts w:cstheme="minorHAnsi"/>
          <w:color w:val="222222"/>
          <w:spacing w:val="3"/>
          <w:shd w:val="clear" w:color="auto" w:fill="FFFFFF"/>
          <w:vertAlign w:val="subscript"/>
        </w:rPr>
        <w:t>85</w:t>
      </w:r>
      <w:r w:rsidRPr="00DF3176">
        <w:rPr>
          <w:rFonts w:cstheme="minorHAnsi"/>
          <w:color w:val="222222"/>
          <w:spacing w:val="3"/>
          <w:shd w:val="clear" w:color="auto" w:fill="FFFFFF"/>
        </w:rPr>
        <w:t>Ta</w:t>
      </w:r>
      <w:r w:rsidRPr="00DF3176">
        <w:rPr>
          <w:rFonts w:cstheme="minorHAnsi"/>
          <w:color w:val="222222"/>
          <w:spacing w:val="3"/>
          <w:shd w:val="clear" w:color="auto" w:fill="FFFFFF"/>
          <w:vertAlign w:val="subscript"/>
        </w:rPr>
        <w:t>15</w:t>
      </w:r>
      <w:r w:rsidRPr="00DF3176">
        <w:rPr>
          <w:rFonts w:cstheme="minorHAnsi"/>
          <w:b/>
        </w:rPr>
        <w:t xml:space="preserve"> </w:t>
      </w:r>
      <w:r w:rsidRPr="00DF3176">
        <w:t>and (TiZrHf)</w:t>
      </w:r>
      <w:r w:rsidRPr="00DF3176">
        <w:rPr>
          <w:vertAlign w:val="subscript"/>
        </w:rPr>
        <w:t>87</w:t>
      </w:r>
      <w:r w:rsidRPr="00DF3176">
        <w:t>Ta</w:t>
      </w:r>
      <w:r w:rsidRPr="00DF3176">
        <w:rPr>
          <w:vertAlign w:val="subscript"/>
        </w:rPr>
        <w:t>13</w:t>
      </w:r>
      <w:r w:rsidRPr="00DF3176">
        <w:t xml:space="preserve">. A </w:t>
      </w:r>
      <w:r w:rsidR="000A5412" w:rsidRPr="00DF3176">
        <w:t>noise reduced</w:t>
      </w:r>
      <w:r w:rsidRPr="00DF3176">
        <w:t xml:space="preserve"> EBSD image of (TiZrHf)</w:t>
      </w:r>
      <w:r w:rsidRPr="00DF3176">
        <w:rPr>
          <w:vertAlign w:val="subscript"/>
        </w:rPr>
        <w:t>87</w:t>
      </w:r>
      <w:r w:rsidRPr="00DF3176">
        <w:t>Ta</w:t>
      </w:r>
      <w:r w:rsidRPr="00DF3176">
        <w:rPr>
          <w:vertAlign w:val="subscript"/>
        </w:rPr>
        <w:t>13</w:t>
      </w:r>
      <w:r w:rsidRPr="00DF3176">
        <w:t xml:space="preserve"> subjected to </w:t>
      </w:r>
      <w:r w:rsidR="0066291C">
        <w:t>3</w:t>
      </w:r>
      <w:r w:rsidRPr="00DF3176">
        <w:t xml:space="preserve">% </w:t>
      </w:r>
      <w:r w:rsidRPr="00DF3176">
        <w:rPr>
          <w:noProof/>
        </w:rPr>
        <w:t>deformation</w:t>
      </w:r>
      <w:r w:rsidRPr="00DF3176">
        <w:t xml:space="preserve"> is given in Fig. 7-2(a). The indexed phase constitution of </w:t>
      </w:r>
      <w:r w:rsidRPr="00DF3176">
        <w:lastRenderedPageBreak/>
        <w:t xml:space="preserve">martensite was </w:t>
      </w:r>
      <w:r w:rsidR="00EA5185">
        <w:t>11.2</w:t>
      </w:r>
      <w:r w:rsidRPr="00DF3176">
        <w:t xml:space="preserve">%, while </w:t>
      </w:r>
      <w:r w:rsidRPr="00DF3176">
        <w:rPr>
          <w:noProof/>
        </w:rPr>
        <w:t>primary</w:t>
      </w:r>
      <w:r w:rsidRPr="00DF3176">
        <w:t xml:space="preserve"> SA twinning starts to form as marked in Fig. 7-2(b). In Fig. 7-2(c), a secondary martensite variant was identified within the </w:t>
      </w:r>
      <w:r w:rsidRPr="00DF3176">
        <w:rPr>
          <w:noProof/>
        </w:rPr>
        <w:t>original</w:t>
      </w:r>
      <w:r w:rsidRPr="00DF3176">
        <w:t xml:space="preserve"> martensite matrix. The misorientation profile between the secondary martensite variant and primary martensite, was measured as &lt;331&gt;</w:t>
      </w:r>
      <w:r w:rsidRPr="00DF3176">
        <w:rPr>
          <w:rFonts w:cs="Times New Roman"/>
          <w:vertAlign w:val="subscript"/>
        </w:rPr>
        <w:t>α</w:t>
      </w:r>
      <w:r w:rsidRPr="00DF3176">
        <w:rPr>
          <w:vertAlign w:val="subscript"/>
        </w:rPr>
        <w:t>’’</w:t>
      </w:r>
      <w:r w:rsidRPr="00DF3176">
        <w:t>~64°, which is not related to any known martensite twinning system. Applying the stereo-projection figures, the OR between two variants was identified as</w:t>
      </w:r>
      <w:r w:rsidRPr="00DF3176">
        <w:rPr>
          <w:noProof/>
        </w:rPr>
        <w:t xml:space="preserve"> a &lt;</w:t>
      </w:r>
      <w:r w:rsidRPr="00DF3176">
        <w:t>-211&gt;</w:t>
      </w:r>
      <w:r w:rsidRPr="00DF3176">
        <w:rPr>
          <w:rFonts w:cs="Times New Roman"/>
          <w:vertAlign w:val="subscript"/>
        </w:rPr>
        <w:t>α</w:t>
      </w:r>
      <w:r w:rsidRPr="00DF3176">
        <w:rPr>
          <w:vertAlign w:val="subscript"/>
        </w:rPr>
        <w:t>’’</w:t>
      </w:r>
      <w:r w:rsidRPr="00DF3176">
        <w:t xml:space="preserve"> type II twinning system with (-113)</w:t>
      </w:r>
      <w:r w:rsidRPr="00DF3176">
        <w:rPr>
          <w:rFonts w:cs="Times New Roman"/>
          <w:vertAlign w:val="subscript"/>
        </w:rPr>
        <w:t>α</w:t>
      </w:r>
      <w:r w:rsidRPr="00DF3176">
        <w:rPr>
          <w:vertAlign w:val="subscript"/>
        </w:rPr>
        <w:t>’’</w:t>
      </w:r>
      <w:r w:rsidRPr="00DF3176">
        <w:t xml:space="preserve"> as the </w:t>
      </w:r>
      <w:r w:rsidRPr="00DF3176">
        <w:rPr>
          <w:noProof/>
        </w:rPr>
        <w:t>twinning</w:t>
      </w:r>
      <w:r w:rsidRPr="00DF3176">
        <w:t xml:space="preserve"> plane. Another SA twin system </w:t>
      </w:r>
      <w:r w:rsidRPr="00DF3176">
        <w:rPr>
          <w:noProof/>
        </w:rPr>
        <w:t>was also captured</w:t>
      </w:r>
      <w:r>
        <w:t xml:space="preserve"> in the same sample. In Fig. 7-</w:t>
      </w:r>
      <w:r w:rsidR="00CE2756">
        <w:t>2</w:t>
      </w:r>
      <w:r>
        <w:t>(d), the misorientation angle of &lt;311&gt;</w:t>
      </w:r>
      <w:r w:rsidRPr="00877F43">
        <w:rPr>
          <w:rFonts w:cs="Times New Roman"/>
          <w:vertAlign w:val="subscript"/>
        </w:rPr>
        <w:t>α</w:t>
      </w:r>
      <w:r w:rsidRPr="00877F43">
        <w:rPr>
          <w:vertAlign w:val="subscript"/>
        </w:rPr>
        <w:t>’’</w:t>
      </w:r>
      <w:r>
        <w:t>~71</w:t>
      </w:r>
      <w:r w:rsidRPr="0037620D">
        <w:t>° was acquired between</w:t>
      </w:r>
      <w:r>
        <w:t xml:space="preserve"> the martensite matrix and the twinned variant. After applying the </w:t>
      </w:r>
      <w:r w:rsidRPr="009D4D98">
        <w:rPr>
          <w:noProof/>
        </w:rPr>
        <w:t>stereo-projection</w:t>
      </w:r>
      <w:r>
        <w:t xml:space="preserve"> figure, the OR between the twinned martensite variant and matrix was determined to be (-111)</w:t>
      </w:r>
      <w:r w:rsidRPr="00877F43">
        <w:rPr>
          <w:rFonts w:cs="Times New Roman"/>
          <w:vertAlign w:val="subscript"/>
        </w:rPr>
        <w:t>α</w:t>
      </w:r>
      <w:r w:rsidRPr="00877F43">
        <w:rPr>
          <w:vertAlign w:val="subscript"/>
        </w:rPr>
        <w:t>’’</w:t>
      </w:r>
      <w:r w:rsidRPr="0037620D">
        <w:t xml:space="preserve"> </w:t>
      </w:r>
      <w:r>
        <w:t xml:space="preserve">type I SA twinning. </w:t>
      </w:r>
    </w:p>
    <w:p w14:paraId="178F4A92" w14:textId="661450AD" w:rsidR="00FC58F8" w:rsidRPr="00FC58F8" w:rsidRDefault="00FC58F8" w:rsidP="00B145BE">
      <w:pPr>
        <w:spacing w:afterLines="60" w:after="144" w:line="360" w:lineRule="auto"/>
        <w:jc w:val="both"/>
        <w:rPr>
          <w:sz w:val="20"/>
        </w:rPr>
      </w:pPr>
      <w:bookmarkStart w:id="319" w:name="_Toc39312725"/>
      <w:r w:rsidRPr="00EA5185">
        <w:rPr>
          <w:noProof/>
        </w:rPr>
        <w:drawing>
          <wp:inline distT="0" distB="0" distL="0" distR="0" wp14:anchorId="47111ADC" wp14:editId="4F76457C">
            <wp:extent cx="5943600" cy="3012440"/>
            <wp:effectExtent l="0" t="0" r="0" b="0"/>
            <wp:docPr id="233" name="图片 15" descr="地图上有字&#10;&#10;描述已自动生成">
              <a:extLst xmlns:a="http://schemas.openxmlformats.org/drawingml/2006/main">
                <a:ext uri="{FF2B5EF4-FFF2-40B4-BE49-F238E27FC236}">
                  <a16:creationId xmlns:a16="http://schemas.microsoft.com/office/drawing/2014/main" id="{FABAE806-FDBF-43F4-90FA-0B13D466F9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地图上有字&#10;&#10;描述已自动生成">
                      <a:extLst>
                        <a:ext uri="{FF2B5EF4-FFF2-40B4-BE49-F238E27FC236}">
                          <a16:creationId xmlns:a16="http://schemas.microsoft.com/office/drawing/2014/main" id="{FABAE806-FDBF-43F4-90FA-0B13D466F910}"/>
                        </a:ext>
                      </a:extLst>
                    </pic:cNvPr>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5943600" cy="3012440"/>
                    </a:xfrm>
                    <a:prstGeom prst="rect">
                      <a:avLst/>
                    </a:prstGeom>
                  </pic:spPr>
                </pic:pic>
              </a:graphicData>
            </a:graphic>
          </wp:inline>
        </w:drawing>
      </w:r>
      <w:bookmarkStart w:id="320" w:name="_Toc7364612"/>
      <w:r w:rsidRPr="00FC58F8">
        <w:rPr>
          <w:b/>
          <w:sz w:val="20"/>
        </w:rPr>
        <w:t xml:space="preserve"> </w:t>
      </w:r>
      <w:r w:rsidRPr="00EB43B0">
        <w:rPr>
          <w:b/>
          <w:sz w:val="20"/>
        </w:rPr>
        <w:t>Figure 7-</w:t>
      </w:r>
      <w:r w:rsidRPr="00F87370">
        <w:rPr>
          <w:b/>
          <w:sz w:val="20"/>
        </w:rPr>
        <w:fldChar w:fldCharType="begin"/>
      </w:r>
      <w:r w:rsidRPr="00F87370">
        <w:rPr>
          <w:b/>
          <w:sz w:val="20"/>
        </w:rPr>
        <w:instrText xml:space="preserve"> SEQ Figure \* ARABIC </w:instrText>
      </w:r>
      <w:r w:rsidRPr="00F87370">
        <w:rPr>
          <w:b/>
          <w:sz w:val="20"/>
        </w:rPr>
        <w:fldChar w:fldCharType="separate"/>
      </w:r>
      <w:r>
        <w:rPr>
          <w:b/>
          <w:noProof/>
          <w:sz w:val="20"/>
        </w:rPr>
        <w:t>2</w:t>
      </w:r>
      <w:r w:rsidRPr="00F87370">
        <w:rPr>
          <w:b/>
          <w:sz w:val="20"/>
        </w:rPr>
        <w:fldChar w:fldCharType="end"/>
      </w:r>
      <w:r w:rsidRPr="00EB43B0">
        <w:rPr>
          <w:b/>
          <w:sz w:val="20"/>
        </w:rPr>
        <w:t xml:space="preserve"> Noise</w:t>
      </w:r>
      <w:r>
        <w:rPr>
          <w:b/>
          <w:sz w:val="20"/>
        </w:rPr>
        <w:t>-</w:t>
      </w:r>
      <w:r w:rsidRPr="00EB43B0">
        <w:rPr>
          <w:b/>
          <w:sz w:val="20"/>
        </w:rPr>
        <w:t>reduced EBSD maps of (TiZrHf)</w:t>
      </w:r>
      <w:r w:rsidRPr="00EB43B0">
        <w:rPr>
          <w:b/>
          <w:sz w:val="20"/>
          <w:vertAlign w:val="subscript"/>
        </w:rPr>
        <w:t>87</w:t>
      </w:r>
      <w:r w:rsidRPr="00EB43B0">
        <w:rPr>
          <w:b/>
          <w:sz w:val="20"/>
        </w:rPr>
        <w:t>Ta</w:t>
      </w:r>
      <w:r w:rsidRPr="00EB43B0">
        <w:rPr>
          <w:b/>
          <w:sz w:val="20"/>
          <w:vertAlign w:val="subscript"/>
        </w:rPr>
        <w:t>13</w:t>
      </w:r>
      <w:r w:rsidRPr="00EB43B0">
        <w:rPr>
          <w:b/>
          <w:sz w:val="20"/>
        </w:rPr>
        <w:t xml:space="preserve"> subjected to </w:t>
      </w:r>
      <w:r>
        <w:rPr>
          <w:b/>
          <w:sz w:val="20"/>
        </w:rPr>
        <w:t>3</w:t>
      </w:r>
      <w:r w:rsidRPr="00EB43B0">
        <w:rPr>
          <w:b/>
          <w:sz w:val="20"/>
        </w:rPr>
        <w:t xml:space="preserve">% </w:t>
      </w:r>
      <w:r w:rsidRPr="00EB43B0">
        <w:rPr>
          <w:b/>
          <w:noProof/>
          <w:sz w:val="20"/>
        </w:rPr>
        <w:t>deformation</w:t>
      </w:r>
      <w:r w:rsidRPr="00EB43B0">
        <w:rPr>
          <w:b/>
          <w:sz w:val="20"/>
        </w:rPr>
        <w:t xml:space="preserve">. </w:t>
      </w:r>
      <w:r w:rsidRPr="003C56F1">
        <w:rPr>
          <w:sz w:val="20"/>
        </w:rPr>
        <w:t>(</w:t>
      </w:r>
      <w:r w:rsidRPr="003C56F1">
        <w:rPr>
          <w:b/>
          <w:sz w:val="20"/>
        </w:rPr>
        <w:t>a</w:t>
      </w:r>
      <w:r w:rsidRPr="003C56F1">
        <w:rPr>
          <w:sz w:val="20"/>
        </w:rPr>
        <w:t>)</w:t>
      </w:r>
      <w:r w:rsidRPr="00EB43B0">
        <w:rPr>
          <w:sz w:val="20"/>
        </w:rPr>
        <w:t xml:space="preserve"> Euler map of the deformed sample, the indexed martensite phase constitution </w:t>
      </w:r>
      <w:r>
        <w:rPr>
          <w:noProof/>
          <w:sz w:val="20"/>
        </w:rPr>
        <w:t>was</w:t>
      </w:r>
      <w:r w:rsidRPr="00EB43B0">
        <w:rPr>
          <w:noProof/>
          <w:sz w:val="20"/>
        </w:rPr>
        <w:t xml:space="preserve"> confirmed</w:t>
      </w:r>
      <w:r w:rsidRPr="00EB43B0">
        <w:rPr>
          <w:sz w:val="20"/>
        </w:rPr>
        <w:t xml:space="preserve"> </w:t>
      </w:r>
      <w:r>
        <w:rPr>
          <w:sz w:val="20"/>
        </w:rPr>
        <w:t>to be</w:t>
      </w:r>
      <w:r w:rsidRPr="00EB43B0">
        <w:rPr>
          <w:sz w:val="20"/>
        </w:rPr>
        <w:t xml:space="preserve"> </w:t>
      </w:r>
      <w:r>
        <w:rPr>
          <w:sz w:val="20"/>
        </w:rPr>
        <w:t>11.2</w:t>
      </w:r>
      <w:r w:rsidRPr="00EB43B0">
        <w:rPr>
          <w:sz w:val="20"/>
        </w:rPr>
        <w:t>%</w:t>
      </w:r>
      <w:r>
        <w:rPr>
          <w:sz w:val="20"/>
        </w:rPr>
        <w:t>;</w:t>
      </w:r>
      <w:r w:rsidRPr="00EB43B0">
        <w:rPr>
          <w:sz w:val="20"/>
        </w:rPr>
        <w:t xml:space="preserve"> </w:t>
      </w:r>
      <w:r w:rsidRPr="003C56F1">
        <w:rPr>
          <w:sz w:val="20"/>
        </w:rPr>
        <w:t>(</w:t>
      </w:r>
      <w:r w:rsidRPr="003C56F1">
        <w:rPr>
          <w:b/>
          <w:sz w:val="20"/>
        </w:rPr>
        <w:t>b</w:t>
      </w:r>
      <w:r w:rsidRPr="003C56F1">
        <w:rPr>
          <w:sz w:val="20"/>
        </w:rPr>
        <w:t>)</w:t>
      </w:r>
      <w:r w:rsidRPr="00EB43B0">
        <w:rPr>
          <w:sz w:val="20"/>
        </w:rPr>
        <w:t xml:space="preserve"> Euler map of </w:t>
      </w:r>
      <w:r>
        <w:rPr>
          <w:sz w:val="20"/>
        </w:rPr>
        <w:t xml:space="preserve">the </w:t>
      </w:r>
      <w:r w:rsidRPr="00EB43B0">
        <w:rPr>
          <w:sz w:val="20"/>
        </w:rPr>
        <w:t>martensite phase</w:t>
      </w:r>
      <w:r>
        <w:rPr>
          <w:sz w:val="20"/>
        </w:rPr>
        <w:t>.</w:t>
      </w:r>
      <w:r w:rsidRPr="00EB43B0">
        <w:rPr>
          <w:sz w:val="20"/>
        </w:rPr>
        <w:t xml:space="preserve"> </w:t>
      </w:r>
      <w:r>
        <w:rPr>
          <w:sz w:val="20"/>
        </w:rPr>
        <w:t>I</w:t>
      </w:r>
      <w:r w:rsidRPr="00EB43B0">
        <w:rPr>
          <w:sz w:val="20"/>
        </w:rPr>
        <w:t xml:space="preserve">nset </w:t>
      </w:r>
      <w:r>
        <w:rPr>
          <w:noProof/>
          <w:sz w:val="20"/>
        </w:rPr>
        <w:t>shows</w:t>
      </w:r>
      <w:r w:rsidRPr="00EB43B0">
        <w:rPr>
          <w:sz w:val="20"/>
        </w:rPr>
        <w:t xml:space="preserve"> </w:t>
      </w:r>
      <w:r>
        <w:rPr>
          <w:sz w:val="20"/>
        </w:rPr>
        <w:t xml:space="preserve">an </w:t>
      </w:r>
      <w:r w:rsidRPr="00EB43B0">
        <w:rPr>
          <w:noProof/>
          <w:sz w:val="20"/>
        </w:rPr>
        <w:t>interesting</w:t>
      </w:r>
      <w:r w:rsidRPr="00EB43B0">
        <w:rPr>
          <w:sz w:val="20"/>
        </w:rPr>
        <w:t xml:space="preserve"> feature which </w:t>
      </w:r>
      <w:r w:rsidRPr="00EB43B0">
        <w:rPr>
          <w:noProof/>
          <w:sz w:val="20"/>
        </w:rPr>
        <w:t>involves</w:t>
      </w:r>
      <w:r w:rsidRPr="00EB43B0">
        <w:rPr>
          <w:sz w:val="20"/>
        </w:rPr>
        <w:t xml:space="preserve"> SA twinning within </w:t>
      </w:r>
      <w:r>
        <w:rPr>
          <w:sz w:val="20"/>
        </w:rPr>
        <w:t xml:space="preserve">a </w:t>
      </w:r>
      <w:r w:rsidRPr="00EB43B0">
        <w:rPr>
          <w:sz w:val="20"/>
        </w:rPr>
        <w:t>primary martensite grain</w:t>
      </w:r>
      <w:r>
        <w:rPr>
          <w:sz w:val="20"/>
        </w:rPr>
        <w:t>;</w:t>
      </w:r>
      <w:r w:rsidRPr="00EB43B0">
        <w:rPr>
          <w:sz w:val="20"/>
        </w:rPr>
        <w:t xml:space="preserve"> </w:t>
      </w:r>
      <w:r w:rsidRPr="003C56F1">
        <w:rPr>
          <w:sz w:val="20"/>
        </w:rPr>
        <w:t>(</w:t>
      </w:r>
      <w:r w:rsidRPr="003C56F1">
        <w:rPr>
          <w:b/>
          <w:sz w:val="20"/>
        </w:rPr>
        <w:t>c</w:t>
      </w:r>
      <w:r w:rsidRPr="003C56F1">
        <w:rPr>
          <w:sz w:val="20"/>
        </w:rPr>
        <w:t>)</w:t>
      </w:r>
      <w:r w:rsidRPr="00EB43B0">
        <w:rPr>
          <w:sz w:val="20"/>
        </w:rPr>
        <w:t xml:space="preserve"> </w:t>
      </w:r>
      <w:r>
        <w:rPr>
          <w:sz w:val="20"/>
        </w:rPr>
        <w:t>OR</w:t>
      </w:r>
      <w:r w:rsidRPr="00EB43B0">
        <w:rPr>
          <w:sz w:val="20"/>
        </w:rPr>
        <w:t xml:space="preserve"> of martensite variants. The crystal orientation data </w:t>
      </w:r>
      <w:r>
        <w:rPr>
          <w:noProof/>
          <w:sz w:val="20"/>
        </w:rPr>
        <w:t>was</w:t>
      </w:r>
      <w:r w:rsidRPr="00EB43B0">
        <w:rPr>
          <w:noProof/>
          <w:sz w:val="20"/>
        </w:rPr>
        <w:t xml:space="preserve"> acquired</w:t>
      </w:r>
      <w:r w:rsidRPr="00EB43B0">
        <w:rPr>
          <w:sz w:val="20"/>
        </w:rPr>
        <w:t xml:space="preserve"> at the red spot. </w:t>
      </w:r>
      <w:r>
        <w:rPr>
          <w:sz w:val="20"/>
        </w:rPr>
        <w:t>The s</w:t>
      </w:r>
      <w:r w:rsidRPr="00EB43B0">
        <w:rPr>
          <w:sz w:val="20"/>
        </w:rPr>
        <w:t xml:space="preserve">tereo-projection figure </w:t>
      </w:r>
      <w:r>
        <w:rPr>
          <w:noProof/>
          <w:sz w:val="20"/>
        </w:rPr>
        <w:t>was</w:t>
      </w:r>
      <w:r w:rsidRPr="00EB43B0">
        <w:rPr>
          <w:noProof/>
          <w:sz w:val="20"/>
        </w:rPr>
        <w:t xml:space="preserve"> generated</w:t>
      </w:r>
      <w:r w:rsidRPr="00EB43B0">
        <w:rPr>
          <w:sz w:val="20"/>
        </w:rPr>
        <w:t xml:space="preserve"> following the pole acquired from orientation data. The normal axis was [31-1]</w:t>
      </w:r>
      <w:r w:rsidRPr="00EB43B0">
        <w:rPr>
          <w:rFonts w:cs="Times New Roman"/>
          <w:sz w:val="20"/>
          <w:vertAlign w:val="subscript"/>
        </w:rPr>
        <w:t>α</w:t>
      </w:r>
      <w:r w:rsidRPr="00EB43B0">
        <w:rPr>
          <w:sz w:val="20"/>
          <w:vertAlign w:val="subscript"/>
        </w:rPr>
        <w:t>’’</w:t>
      </w:r>
      <w:r w:rsidRPr="00EB43B0">
        <w:rPr>
          <w:sz w:val="20"/>
        </w:rPr>
        <w:t xml:space="preserve"> and [132]</w:t>
      </w:r>
      <w:r w:rsidRPr="00EB43B0">
        <w:rPr>
          <w:rFonts w:cs="Times New Roman"/>
          <w:sz w:val="20"/>
          <w:vertAlign w:val="subscript"/>
        </w:rPr>
        <w:t>α</w:t>
      </w:r>
      <w:r w:rsidRPr="00EB43B0">
        <w:rPr>
          <w:sz w:val="20"/>
          <w:vertAlign w:val="subscript"/>
        </w:rPr>
        <w:t>’’</w:t>
      </w:r>
      <w:r w:rsidRPr="00EB43B0">
        <w:rPr>
          <w:sz w:val="20"/>
        </w:rPr>
        <w:t xml:space="preserve"> for primary and secondary martensite</w:t>
      </w:r>
      <w:r>
        <w:rPr>
          <w:sz w:val="20"/>
        </w:rPr>
        <w:t>,</w:t>
      </w:r>
      <w:r w:rsidRPr="00EB43B0">
        <w:rPr>
          <w:sz w:val="20"/>
        </w:rPr>
        <w:t xml:space="preserve"> respectively</w:t>
      </w:r>
      <w:r>
        <w:rPr>
          <w:sz w:val="20"/>
        </w:rPr>
        <w:t>; and</w:t>
      </w:r>
      <w:r w:rsidRPr="003C56F1">
        <w:rPr>
          <w:sz w:val="20"/>
        </w:rPr>
        <w:t xml:space="preserve"> (</w:t>
      </w:r>
      <w:r w:rsidRPr="003C56F1">
        <w:rPr>
          <w:b/>
          <w:sz w:val="20"/>
        </w:rPr>
        <w:t>d</w:t>
      </w:r>
      <w:r w:rsidRPr="003C56F1">
        <w:rPr>
          <w:sz w:val="20"/>
        </w:rPr>
        <w:t xml:space="preserve">) </w:t>
      </w:r>
      <w:r>
        <w:rPr>
          <w:sz w:val="20"/>
        </w:rPr>
        <w:t>OR</w:t>
      </w:r>
      <w:r w:rsidRPr="00EB43B0">
        <w:rPr>
          <w:sz w:val="20"/>
        </w:rPr>
        <w:t xml:space="preserve"> of martensite variants. The crystal orientation data </w:t>
      </w:r>
      <w:r>
        <w:rPr>
          <w:noProof/>
          <w:sz w:val="20"/>
        </w:rPr>
        <w:t>was</w:t>
      </w:r>
      <w:r w:rsidRPr="00EB43B0">
        <w:rPr>
          <w:noProof/>
          <w:sz w:val="20"/>
        </w:rPr>
        <w:t xml:space="preserve"> </w:t>
      </w:r>
      <w:r>
        <w:rPr>
          <w:noProof/>
          <w:sz w:val="20"/>
        </w:rPr>
        <w:t>measured</w:t>
      </w:r>
      <w:r w:rsidRPr="00EB43B0">
        <w:rPr>
          <w:sz w:val="20"/>
        </w:rPr>
        <w:t xml:space="preserve"> at the red spot. </w:t>
      </w:r>
      <w:r>
        <w:rPr>
          <w:sz w:val="20"/>
        </w:rPr>
        <w:t>The s</w:t>
      </w:r>
      <w:r w:rsidRPr="00EB43B0">
        <w:rPr>
          <w:sz w:val="20"/>
        </w:rPr>
        <w:t xml:space="preserve">tereo-projection figure </w:t>
      </w:r>
      <w:r>
        <w:rPr>
          <w:noProof/>
          <w:sz w:val="20"/>
        </w:rPr>
        <w:t>was formed</w:t>
      </w:r>
      <w:r w:rsidRPr="00EB43B0">
        <w:rPr>
          <w:sz w:val="20"/>
        </w:rPr>
        <w:t xml:space="preserve"> following the pole acquired from </w:t>
      </w:r>
      <w:r>
        <w:rPr>
          <w:sz w:val="20"/>
        </w:rPr>
        <w:t xml:space="preserve">the </w:t>
      </w:r>
      <w:r w:rsidRPr="00EB43B0">
        <w:rPr>
          <w:sz w:val="20"/>
        </w:rPr>
        <w:t xml:space="preserve">orientation data. The normal axis </w:t>
      </w:r>
      <w:r w:rsidRPr="00EB43B0">
        <w:rPr>
          <w:noProof/>
          <w:sz w:val="20"/>
        </w:rPr>
        <w:t>was</w:t>
      </w:r>
      <w:r w:rsidRPr="00EB43B0">
        <w:rPr>
          <w:sz w:val="20"/>
        </w:rPr>
        <w:t xml:space="preserve"> [621]</w:t>
      </w:r>
      <w:r w:rsidRPr="00EB43B0">
        <w:rPr>
          <w:rFonts w:cs="Times New Roman"/>
          <w:sz w:val="20"/>
          <w:vertAlign w:val="subscript"/>
        </w:rPr>
        <w:t>α</w:t>
      </w:r>
      <w:r w:rsidRPr="00EB43B0">
        <w:rPr>
          <w:sz w:val="20"/>
          <w:vertAlign w:val="subscript"/>
        </w:rPr>
        <w:t>’’</w:t>
      </w:r>
      <w:r w:rsidRPr="00EB43B0">
        <w:rPr>
          <w:sz w:val="20"/>
        </w:rPr>
        <w:t xml:space="preserve"> and [253]</w:t>
      </w:r>
      <w:r w:rsidRPr="00EB43B0">
        <w:rPr>
          <w:rFonts w:cs="Times New Roman"/>
          <w:sz w:val="20"/>
          <w:vertAlign w:val="subscript"/>
        </w:rPr>
        <w:t>α</w:t>
      </w:r>
      <w:r w:rsidRPr="00EB43B0">
        <w:rPr>
          <w:sz w:val="20"/>
          <w:vertAlign w:val="subscript"/>
        </w:rPr>
        <w:t>’’</w:t>
      </w:r>
      <w:r w:rsidRPr="00EB43B0">
        <w:rPr>
          <w:sz w:val="20"/>
        </w:rPr>
        <w:t xml:space="preserve"> for primary and secondary martensite, respectively.</w:t>
      </w:r>
      <w:bookmarkEnd w:id="319"/>
      <w:bookmarkEnd w:id="320"/>
      <w:r w:rsidRPr="00EB43B0">
        <w:rPr>
          <w:sz w:val="20"/>
        </w:rPr>
        <w:t xml:space="preserve"> </w:t>
      </w:r>
    </w:p>
    <w:p w14:paraId="0C91BC6A" w14:textId="77777777" w:rsidR="002F1C61" w:rsidRDefault="00B145BE" w:rsidP="00B145BE">
      <w:pPr>
        <w:spacing w:afterLines="60" w:after="144" w:line="360" w:lineRule="auto"/>
        <w:jc w:val="both"/>
        <w:rPr>
          <w:rFonts w:cstheme="minorHAnsi"/>
        </w:rPr>
      </w:pPr>
      <w:r>
        <w:t>F</w:t>
      </w:r>
      <w:r w:rsidRPr="003A23DA">
        <w:t xml:space="preserve">urther </w:t>
      </w:r>
      <w:r>
        <w:t>deformation</w:t>
      </w:r>
      <w:r w:rsidRPr="003A23DA">
        <w:t xml:space="preserve"> </w:t>
      </w:r>
      <w:r>
        <w:t xml:space="preserve">was found to </w:t>
      </w:r>
      <w:r w:rsidRPr="003A23DA">
        <w:t>successfully</w:t>
      </w:r>
      <w:r>
        <w:t xml:space="preserve"> enhance the magnitude of the TRIP effect </w:t>
      </w:r>
      <w:r w:rsidR="00032795" w:rsidRPr="00032795">
        <w:rPr>
          <w:rFonts w:cstheme="minorHAnsi"/>
          <w:bCs/>
        </w:rPr>
        <w:t xml:space="preserve">while </w:t>
      </w:r>
      <w:r w:rsidR="00032795" w:rsidRPr="00032795">
        <w:rPr>
          <w:rFonts w:cstheme="minorHAnsi"/>
        </w:rPr>
        <w:t xml:space="preserve">the martensite volume fractions come to </w:t>
      </w:r>
      <w:r w:rsidR="00032795" w:rsidRPr="00032795">
        <w:rPr>
          <w:rFonts w:cstheme="minorHAnsi"/>
          <w:bCs/>
        </w:rPr>
        <w:t>31% and 24% for Ta 13 and Ta15</w:t>
      </w:r>
      <w:r w:rsidR="00032795">
        <w:rPr>
          <w:rFonts w:cstheme="minorHAnsi"/>
          <w:bCs/>
        </w:rPr>
        <w:t>,</w:t>
      </w:r>
      <w:r w:rsidR="00032795" w:rsidRPr="00032795">
        <w:rPr>
          <w:rFonts w:cstheme="minorHAnsi"/>
          <w:bCs/>
        </w:rPr>
        <w:t xml:space="preserve"> respectively</w:t>
      </w:r>
      <w:r w:rsidR="00032795">
        <w:rPr>
          <w:rFonts w:cstheme="minorHAnsi"/>
          <w:bCs/>
        </w:rPr>
        <w:t>.</w:t>
      </w:r>
      <w:r w:rsidR="00032795" w:rsidRPr="00032795">
        <w:rPr>
          <w:rFonts w:cstheme="minorHAnsi"/>
          <w:bCs/>
        </w:rPr>
        <w:t xml:space="preserve"> </w:t>
      </w:r>
      <w:r w:rsidR="00032795">
        <w:rPr>
          <w:rFonts w:cstheme="minorHAnsi"/>
          <w:bCs/>
        </w:rPr>
        <w:t>T</w:t>
      </w:r>
      <w:r w:rsidR="00032795" w:rsidRPr="00032795">
        <w:rPr>
          <w:rFonts w:cstheme="minorHAnsi"/>
          <w:bCs/>
        </w:rPr>
        <w:t>he increased α’’ fraction</w:t>
      </w:r>
      <w:r w:rsidR="00032795" w:rsidRPr="00032795">
        <w:rPr>
          <w:rFonts w:cstheme="minorHAnsi"/>
        </w:rPr>
        <w:t xml:space="preserve"> encourages the martensite variants to arrange themselves into a more complex </w:t>
      </w:r>
      <w:r w:rsidR="0046449A">
        <w:rPr>
          <w:rFonts w:cstheme="minorHAnsi"/>
        </w:rPr>
        <w:t>martensitic</w:t>
      </w:r>
      <w:r w:rsidR="00032795" w:rsidRPr="00032795">
        <w:rPr>
          <w:rFonts w:cstheme="minorHAnsi"/>
        </w:rPr>
        <w:t xml:space="preserve"> </w:t>
      </w:r>
      <w:r w:rsidR="0046449A">
        <w:rPr>
          <w:rFonts w:cstheme="minorHAnsi"/>
        </w:rPr>
        <w:t xml:space="preserve">SA </w:t>
      </w:r>
      <w:r w:rsidR="00032795" w:rsidRPr="00032795">
        <w:rPr>
          <w:rFonts w:cstheme="minorHAnsi"/>
        </w:rPr>
        <w:lastRenderedPageBreak/>
        <w:t>twinned structures</w:t>
      </w:r>
      <w:r w:rsidR="0046449A">
        <w:rPr>
          <w:noProof/>
        </w:rPr>
        <w:t>, in order t</w:t>
      </w:r>
      <w:r w:rsidR="0046449A" w:rsidRPr="00206950">
        <w:rPr>
          <w:noProof/>
        </w:rPr>
        <w:t xml:space="preserve">o </w:t>
      </w:r>
      <w:r w:rsidR="0046449A">
        <w:rPr>
          <w:noProof/>
        </w:rPr>
        <w:t>accommondate</w:t>
      </w:r>
      <w:r w:rsidR="0046449A" w:rsidRPr="00206950">
        <w:rPr>
          <w:noProof/>
        </w:rPr>
        <w:t xml:space="preserve"> the increasing volume misfit </w:t>
      </w:r>
      <w:r w:rsidR="0046449A">
        <w:rPr>
          <w:noProof/>
        </w:rPr>
        <w:t>which occurred</w:t>
      </w:r>
      <w:r w:rsidR="0046449A" w:rsidRPr="00206950">
        <w:rPr>
          <w:noProof/>
        </w:rPr>
        <w:t xml:space="preserve"> by</w:t>
      </w:r>
      <w:r w:rsidR="0046449A">
        <w:rPr>
          <w:noProof/>
        </w:rPr>
        <w:t xml:space="preserve"> the progressive</w:t>
      </w:r>
      <w:r w:rsidR="0046449A" w:rsidRPr="00206950">
        <w:rPr>
          <w:noProof/>
        </w:rPr>
        <w:t xml:space="preserve"> </w:t>
      </w:r>
      <w:r w:rsidR="0046449A" w:rsidRPr="009D2DC7">
        <w:rPr>
          <w:rFonts w:cstheme="minorHAnsi"/>
          <w:noProof/>
        </w:rPr>
        <w:t>β</w:t>
      </w:r>
      <w:r w:rsidR="0046449A" w:rsidRPr="00F91522">
        <w:rPr>
          <w:rFonts w:cs="Times New Roman"/>
        </w:rPr>
        <w:t xml:space="preserve"> </w:t>
      </w:r>
      <w:r w:rsidR="0046449A">
        <w:rPr>
          <w:rFonts w:cs="Times New Roman"/>
        </w:rPr>
        <w:t xml:space="preserve">to </w:t>
      </w:r>
      <w:r w:rsidR="0046449A" w:rsidRPr="00F91522">
        <w:rPr>
          <w:rFonts w:cs="Times New Roman"/>
        </w:rPr>
        <w:t>α</w:t>
      </w:r>
      <w:r w:rsidR="0046449A" w:rsidRPr="00F91522">
        <w:t>’’</w:t>
      </w:r>
      <w:r w:rsidR="0046449A">
        <w:t xml:space="preserve"> </w:t>
      </w:r>
      <w:r w:rsidR="0046449A" w:rsidRPr="00206950">
        <w:rPr>
          <w:noProof/>
        </w:rPr>
        <w:t>phase transformation</w:t>
      </w:r>
      <w:r w:rsidR="0046449A">
        <w:t xml:space="preserve">. The classical </w:t>
      </w:r>
      <w:r w:rsidR="0046449A" w:rsidRPr="00206950">
        <w:rPr>
          <w:noProof/>
        </w:rPr>
        <w:t>zi</w:t>
      </w:r>
      <w:r w:rsidR="0046449A">
        <w:rPr>
          <w:noProof/>
        </w:rPr>
        <w:t>g</w:t>
      </w:r>
      <w:r w:rsidR="0046449A">
        <w:t xml:space="preserve">-zag SA morphology of martensite can be observed clearly in the sample deformed to 6% strain, </w:t>
      </w:r>
      <w:r w:rsidR="00032795" w:rsidRPr="00032795">
        <w:rPr>
          <w:rFonts w:cstheme="minorHAnsi"/>
        </w:rPr>
        <w:t xml:space="preserve">where the formation of </w:t>
      </w:r>
      <w:r w:rsidR="00032795">
        <w:rPr>
          <w:rFonts w:cstheme="minorHAnsi"/>
        </w:rPr>
        <w:t xml:space="preserve"> a </w:t>
      </w:r>
      <w:r w:rsidR="00032795" w:rsidRPr="00032795">
        <w:rPr>
          <w:rFonts w:cstheme="minorHAnsi"/>
        </w:rPr>
        <w:t>mechanical type I twins</w:t>
      </w:r>
      <w:r w:rsidR="00032795">
        <w:rPr>
          <w:rFonts w:cstheme="minorHAnsi"/>
        </w:rPr>
        <w:t xml:space="preserve"> </w:t>
      </w:r>
      <w:r w:rsidR="00032795" w:rsidRPr="00032795">
        <w:rPr>
          <w:rFonts w:cstheme="minorHAnsi"/>
        </w:rPr>
        <w:t xml:space="preserve">have been observed in both alloys. </w:t>
      </w:r>
      <w:r w:rsidR="0046449A" w:rsidRPr="00E44DB1">
        <w:rPr>
          <w:rFonts w:cstheme="minorHAnsi"/>
        </w:rPr>
        <w:t xml:space="preserve">A special case is confirmed in </w:t>
      </w:r>
      <w:r w:rsidR="0046449A">
        <w:rPr>
          <w:rFonts w:cstheme="minorHAnsi"/>
        </w:rPr>
        <w:t>F</w:t>
      </w:r>
      <w:r w:rsidR="0046449A">
        <w:rPr>
          <w:rFonts w:cstheme="minorHAnsi" w:hint="eastAsia"/>
        </w:rPr>
        <w:t>ig.</w:t>
      </w:r>
      <w:r w:rsidR="0046449A">
        <w:rPr>
          <w:rFonts w:cstheme="minorHAnsi"/>
        </w:rPr>
        <w:t xml:space="preserve"> 7</w:t>
      </w:r>
      <w:r w:rsidR="0046449A">
        <w:rPr>
          <w:rFonts w:cstheme="minorHAnsi" w:hint="eastAsia"/>
        </w:rPr>
        <w:t>-</w:t>
      </w:r>
      <w:r w:rsidR="0046449A">
        <w:rPr>
          <w:rFonts w:cstheme="minorHAnsi"/>
        </w:rPr>
        <w:t xml:space="preserve">3 </w:t>
      </w:r>
      <w:r w:rsidR="0046449A" w:rsidRPr="00E44DB1">
        <w:rPr>
          <w:rFonts w:cstheme="minorHAnsi"/>
        </w:rPr>
        <w:t>where the misorientation angle of the {111}</w:t>
      </w:r>
      <w:r w:rsidR="0046449A" w:rsidRPr="00E44DB1">
        <w:rPr>
          <w:rFonts w:cstheme="minorHAnsi"/>
          <w:vertAlign w:val="subscript"/>
        </w:rPr>
        <w:t>α’’</w:t>
      </w:r>
      <w:r w:rsidR="0046449A" w:rsidRPr="00E44DB1">
        <w:rPr>
          <w:rFonts w:cstheme="minorHAnsi"/>
        </w:rPr>
        <w:t xml:space="preserve"> type I twinned α’’ variant is &lt;032&gt;</w:t>
      </w:r>
      <w:r w:rsidR="0046449A" w:rsidRPr="00E44DB1">
        <w:rPr>
          <w:rFonts w:cstheme="minorHAnsi"/>
          <w:vertAlign w:val="subscript"/>
        </w:rPr>
        <w:t>α’’</w:t>
      </w:r>
      <w:r w:rsidR="0046449A" w:rsidRPr="00E44DB1">
        <w:rPr>
          <w:rFonts w:cstheme="minorHAnsi"/>
        </w:rPr>
        <w:t>~70</w:t>
      </w:r>
      <w:r w:rsidR="0046449A" w:rsidRPr="00E44DB1">
        <w:rPr>
          <w:rFonts w:cstheme="minorHAnsi"/>
          <w:bCs/>
          <w:color w:val="000000" w:themeColor="text1"/>
        </w:rPr>
        <w:t xml:space="preserve">° </w:t>
      </w:r>
      <w:r w:rsidR="0046449A" w:rsidRPr="00E44DB1">
        <w:rPr>
          <w:rFonts w:cstheme="minorHAnsi"/>
        </w:rPr>
        <w:t>with the {351}&lt;1-12&gt;</w:t>
      </w:r>
      <w:r w:rsidR="0046449A" w:rsidRPr="00E44DB1">
        <w:rPr>
          <w:rFonts w:cstheme="minorHAnsi"/>
          <w:vertAlign w:val="subscript"/>
        </w:rPr>
        <w:t>α’’</w:t>
      </w:r>
      <w:r w:rsidR="0046449A" w:rsidRPr="00E44DB1">
        <w:rPr>
          <w:rFonts w:cstheme="minorHAnsi"/>
        </w:rPr>
        <w:t xml:space="preserve"> type I twinned variant. With &lt;211&gt;</w:t>
      </w:r>
      <w:r w:rsidR="0046449A" w:rsidRPr="00E44DB1">
        <w:rPr>
          <w:rFonts w:cstheme="minorHAnsi"/>
          <w:vertAlign w:val="subscript"/>
        </w:rPr>
        <w:t>α’’</w:t>
      </w:r>
      <w:r w:rsidR="0046449A" w:rsidRPr="00E44DB1">
        <w:rPr>
          <w:rFonts w:cstheme="minorHAnsi"/>
        </w:rPr>
        <w:t xml:space="preserve"> in Fig. </w:t>
      </w:r>
      <w:r w:rsidR="0046449A">
        <w:rPr>
          <w:rFonts w:cstheme="minorHAnsi"/>
        </w:rPr>
        <w:t>7-</w:t>
      </w:r>
      <w:r w:rsidR="0046449A" w:rsidRPr="00E44DB1">
        <w:rPr>
          <w:rFonts w:cstheme="minorHAnsi"/>
        </w:rPr>
        <w:t xml:space="preserve">3c(ii) superimposed on Fig. </w:t>
      </w:r>
      <w:r w:rsidR="0046449A">
        <w:rPr>
          <w:rFonts w:cstheme="minorHAnsi"/>
        </w:rPr>
        <w:t>7-</w:t>
      </w:r>
      <w:r w:rsidR="0046449A" w:rsidRPr="00E44DB1">
        <w:rPr>
          <w:rFonts w:cstheme="minorHAnsi"/>
        </w:rPr>
        <w:t xml:space="preserve">3c(iii), this misorientation </w:t>
      </w:r>
      <w:r w:rsidR="0046449A">
        <w:rPr>
          <w:rFonts w:cstheme="minorHAnsi"/>
        </w:rPr>
        <w:t>relationship</w:t>
      </w:r>
      <w:r w:rsidR="0046449A" w:rsidRPr="00E44DB1">
        <w:rPr>
          <w:rFonts w:cstheme="minorHAnsi"/>
        </w:rPr>
        <w:t xml:space="preserve"> was considered as a special type I</w:t>
      </w:r>
      <w:r w:rsidR="0046449A">
        <w:rPr>
          <w:rFonts w:cstheme="minorHAnsi"/>
        </w:rPr>
        <w:t>I</w:t>
      </w:r>
      <w:r w:rsidR="0046449A" w:rsidRPr="00E44DB1">
        <w:rPr>
          <w:rFonts w:cstheme="minorHAnsi"/>
        </w:rPr>
        <w:t xml:space="preserve"> &lt;211&gt;</w:t>
      </w:r>
      <w:r w:rsidR="0046449A" w:rsidRPr="00E44DB1">
        <w:rPr>
          <w:rFonts w:cstheme="minorHAnsi"/>
          <w:vertAlign w:val="subscript"/>
        </w:rPr>
        <w:t>α’’</w:t>
      </w:r>
      <w:r w:rsidR="0046449A" w:rsidRPr="00E44DB1">
        <w:rPr>
          <w:rFonts w:cstheme="minorHAnsi"/>
        </w:rPr>
        <w:t xml:space="preserve"> twins</w:t>
      </w:r>
      <w:r w:rsidR="0046449A">
        <w:rPr>
          <w:rFonts w:cstheme="minorHAnsi"/>
        </w:rPr>
        <w:t xml:space="preserve"> which activated as secondary twins on primary type I twined variants</w:t>
      </w:r>
      <w:r w:rsidR="0046449A" w:rsidRPr="00E44DB1">
        <w:rPr>
          <w:rFonts w:cstheme="minorHAnsi"/>
        </w:rPr>
        <w:t>.</w:t>
      </w:r>
      <w:r w:rsidR="0046449A">
        <w:rPr>
          <w:rFonts w:cstheme="minorHAnsi" w:hint="eastAsia"/>
        </w:rPr>
        <w:t xml:space="preserve"> </w:t>
      </w:r>
      <w:r w:rsidR="00032795" w:rsidRPr="00032795">
        <w:rPr>
          <w:rFonts w:cstheme="minorHAnsi"/>
        </w:rPr>
        <w:t xml:space="preserve">The resultant average width of martensite </w:t>
      </w:r>
      <w:r w:rsidR="00032795" w:rsidRPr="00032795">
        <w:rPr>
          <w:rFonts w:cstheme="minorHAnsi"/>
          <w:color w:val="000000" w:themeColor="text1"/>
        </w:rPr>
        <w:t>plate</w:t>
      </w:r>
      <w:r w:rsidR="00032795" w:rsidRPr="00032795">
        <w:rPr>
          <w:rFonts w:cstheme="minorHAnsi"/>
        </w:rPr>
        <w:t>s comes to 0.67μm for Ta13, while for Ta15, the average width is 0.97μm at 6% strain. This confirms that the desired instability of the β phase enables the formation of lamellar stress-induced martensite plus various SA twins and martensitic mechanical twins, which contributes to the notable peak of work hardening rate at stage. II.</w:t>
      </w:r>
    </w:p>
    <w:p w14:paraId="21B4801A" w14:textId="77777777" w:rsidR="00E44DB1" w:rsidRPr="008877CE" w:rsidRDefault="00E44DB1" w:rsidP="00E44DB1">
      <w:pPr>
        <w:spacing w:after="120" w:line="480" w:lineRule="auto"/>
        <w:jc w:val="center"/>
        <w:rPr>
          <w:rFonts w:ascii="Arial" w:hAnsi="Arial" w:cs="Arial"/>
          <w:sz w:val="20"/>
          <w:szCs w:val="20"/>
        </w:rPr>
      </w:pPr>
      <w:r w:rsidRPr="008C24C9">
        <w:rPr>
          <w:rFonts w:ascii="Arial" w:hAnsi="Arial" w:cs="Arial"/>
          <w:noProof/>
          <w:sz w:val="20"/>
          <w:szCs w:val="20"/>
        </w:rPr>
        <w:drawing>
          <wp:inline distT="0" distB="0" distL="0" distR="0" wp14:anchorId="21BD735D" wp14:editId="7BFF7738">
            <wp:extent cx="5943600" cy="3425190"/>
            <wp:effectExtent l="0" t="0" r="0" b="3810"/>
            <wp:docPr id="64" name="图片 63" descr="图片包含 游戏机, 地图&#10;&#10;描述已自动生成">
              <a:extLst xmlns:a="http://schemas.openxmlformats.org/drawingml/2006/main">
                <a:ext uri="{FF2B5EF4-FFF2-40B4-BE49-F238E27FC236}">
                  <a16:creationId xmlns:a16="http://schemas.microsoft.com/office/drawing/2014/main" id="{090A218F-D518-4ADB-848E-0A74BAD7D1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descr="图片包含 游戏机, 地图&#10;&#10;描述已自动生成">
                      <a:extLst>
                        <a:ext uri="{FF2B5EF4-FFF2-40B4-BE49-F238E27FC236}">
                          <a16:creationId xmlns:a16="http://schemas.microsoft.com/office/drawing/2014/main" id="{090A218F-D518-4ADB-848E-0A74BAD7D10E}"/>
                        </a:ext>
                      </a:extLst>
                    </pic:cNvPr>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5943600" cy="3425190"/>
                    </a:xfrm>
                    <a:prstGeom prst="rect">
                      <a:avLst/>
                    </a:prstGeom>
                  </pic:spPr>
                </pic:pic>
              </a:graphicData>
            </a:graphic>
          </wp:inline>
        </w:drawing>
      </w:r>
    </w:p>
    <w:p w14:paraId="16D7079E" w14:textId="50A2565C" w:rsidR="00E44DB1" w:rsidRDefault="00E44DB1" w:rsidP="00E44DB1">
      <w:pPr>
        <w:spacing w:afterLines="12" w:after="28" w:line="360" w:lineRule="auto"/>
        <w:jc w:val="both"/>
        <w:rPr>
          <w:rFonts w:cstheme="minorHAnsi"/>
          <w:sz w:val="20"/>
          <w:szCs w:val="20"/>
        </w:rPr>
      </w:pPr>
      <w:bookmarkStart w:id="321" w:name="_Toc39312726"/>
      <w:r w:rsidRPr="00E44DB1">
        <w:rPr>
          <w:rFonts w:cstheme="minorHAnsi"/>
          <w:b/>
          <w:sz w:val="20"/>
        </w:rPr>
        <w:t>Figure 7-</w:t>
      </w:r>
      <w:r w:rsidRPr="00E44DB1">
        <w:rPr>
          <w:rFonts w:cstheme="minorHAnsi"/>
          <w:b/>
          <w:sz w:val="20"/>
        </w:rPr>
        <w:fldChar w:fldCharType="begin"/>
      </w:r>
      <w:r w:rsidRPr="00E44DB1">
        <w:rPr>
          <w:rFonts w:cstheme="minorHAnsi"/>
          <w:b/>
          <w:sz w:val="20"/>
        </w:rPr>
        <w:instrText xml:space="preserve"> SEQ Figure \* ARABIC </w:instrText>
      </w:r>
      <w:r w:rsidRPr="00E44DB1">
        <w:rPr>
          <w:rFonts w:cstheme="minorHAnsi"/>
          <w:b/>
          <w:sz w:val="20"/>
        </w:rPr>
        <w:fldChar w:fldCharType="separate"/>
      </w:r>
      <w:r w:rsidRPr="00E44DB1">
        <w:rPr>
          <w:rFonts w:cstheme="minorHAnsi"/>
          <w:b/>
          <w:noProof/>
          <w:sz w:val="20"/>
        </w:rPr>
        <w:t>3</w:t>
      </w:r>
      <w:r w:rsidRPr="00E44DB1">
        <w:rPr>
          <w:rFonts w:cstheme="minorHAnsi"/>
          <w:b/>
          <w:sz w:val="20"/>
        </w:rPr>
        <w:fldChar w:fldCharType="end"/>
      </w:r>
      <w:r w:rsidRPr="00E44DB1">
        <w:rPr>
          <w:rFonts w:cstheme="minorHAnsi"/>
          <w:b/>
          <w:sz w:val="20"/>
          <w:szCs w:val="20"/>
        </w:rPr>
        <w:t>: Noise-filtered EBSD maps of (TiZrHf)</w:t>
      </w:r>
      <w:r w:rsidRPr="00E44DB1">
        <w:rPr>
          <w:rFonts w:cstheme="minorHAnsi"/>
          <w:b/>
          <w:sz w:val="20"/>
          <w:szCs w:val="20"/>
          <w:vertAlign w:val="subscript"/>
        </w:rPr>
        <w:t>87</w:t>
      </w:r>
      <w:r w:rsidRPr="00E44DB1">
        <w:rPr>
          <w:rFonts w:cstheme="minorHAnsi"/>
          <w:b/>
          <w:sz w:val="20"/>
          <w:szCs w:val="20"/>
        </w:rPr>
        <w:t>Ta</w:t>
      </w:r>
      <w:r w:rsidRPr="00E44DB1">
        <w:rPr>
          <w:rFonts w:cstheme="minorHAnsi"/>
          <w:b/>
          <w:sz w:val="20"/>
          <w:szCs w:val="20"/>
          <w:vertAlign w:val="subscript"/>
        </w:rPr>
        <w:t>13</w:t>
      </w:r>
      <w:r w:rsidRPr="00E44DB1">
        <w:rPr>
          <w:rFonts w:cstheme="minorHAnsi"/>
          <w:b/>
          <w:sz w:val="20"/>
          <w:szCs w:val="20"/>
        </w:rPr>
        <w:t xml:space="preserve"> </w:t>
      </w:r>
      <w:r w:rsidR="00032795">
        <w:rPr>
          <w:rFonts w:cstheme="minorHAnsi"/>
          <w:b/>
          <w:sz w:val="20"/>
          <w:szCs w:val="20"/>
        </w:rPr>
        <w:t xml:space="preserve">and </w:t>
      </w:r>
      <w:r w:rsidR="00032795" w:rsidRPr="00E44DB1">
        <w:rPr>
          <w:rFonts w:cstheme="minorHAnsi"/>
          <w:b/>
          <w:sz w:val="20"/>
          <w:szCs w:val="20"/>
        </w:rPr>
        <w:t>(TiZrHf)</w:t>
      </w:r>
      <w:r w:rsidR="00032795">
        <w:rPr>
          <w:rFonts w:cstheme="minorHAnsi"/>
          <w:b/>
          <w:sz w:val="20"/>
          <w:szCs w:val="20"/>
          <w:vertAlign w:val="subscript"/>
        </w:rPr>
        <w:t>85</w:t>
      </w:r>
      <w:r w:rsidR="00032795" w:rsidRPr="00E44DB1">
        <w:rPr>
          <w:rFonts w:cstheme="minorHAnsi"/>
          <w:b/>
          <w:sz w:val="20"/>
          <w:szCs w:val="20"/>
        </w:rPr>
        <w:t>Ta</w:t>
      </w:r>
      <w:r w:rsidR="00032795" w:rsidRPr="00E44DB1">
        <w:rPr>
          <w:rFonts w:cstheme="minorHAnsi"/>
          <w:b/>
          <w:sz w:val="20"/>
          <w:szCs w:val="20"/>
          <w:vertAlign w:val="subscript"/>
        </w:rPr>
        <w:t>1</w:t>
      </w:r>
      <w:r w:rsidR="00032795">
        <w:rPr>
          <w:rFonts w:cstheme="minorHAnsi"/>
          <w:b/>
          <w:sz w:val="20"/>
          <w:szCs w:val="20"/>
          <w:vertAlign w:val="subscript"/>
        </w:rPr>
        <w:t xml:space="preserve">5 </w:t>
      </w:r>
      <w:r w:rsidRPr="00E44DB1">
        <w:rPr>
          <w:rFonts w:cstheme="minorHAnsi"/>
          <w:b/>
          <w:sz w:val="20"/>
          <w:szCs w:val="20"/>
        </w:rPr>
        <w:t xml:space="preserve">subjected to 6% deformation. </w:t>
      </w:r>
      <w:r w:rsidRPr="00E44DB1">
        <w:rPr>
          <w:rFonts w:cstheme="minorHAnsi"/>
          <w:sz w:val="20"/>
          <w:szCs w:val="20"/>
        </w:rPr>
        <w:t>(</w:t>
      </w:r>
      <w:r w:rsidRPr="00E44DB1">
        <w:rPr>
          <w:rFonts w:cstheme="minorHAnsi"/>
          <w:b/>
          <w:sz w:val="20"/>
          <w:szCs w:val="20"/>
        </w:rPr>
        <w:t>a</w:t>
      </w:r>
      <w:r w:rsidRPr="00E44DB1">
        <w:rPr>
          <w:rFonts w:cstheme="minorHAnsi"/>
          <w:sz w:val="20"/>
          <w:szCs w:val="20"/>
        </w:rPr>
        <w:t>) Euler angle map of the deformed sample. The inset highlights martensitic misorientation profile used for twinning indexation.  (</w:t>
      </w:r>
      <w:r w:rsidRPr="00E44DB1">
        <w:rPr>
          <w:rFonts w:cstheme="minorHAnsi"/>
          <w:b/>
          <w:sz w:val="20"/>
          <w:szCs w:val="20"/>
        </w:rPr>
        <w:t>b</w:t>
      </w:r>
      <w:r w:rsidRPr="00E44DB1">
        <w:rPr>
          <w:rFonts w:cstheme="minorHAnsi"/>
          <w:sz w:val="20"/>
          <w:szCs w:val="20"/>
        </w:rPr>
        <w:t>) Euler angle map of martensite phase. (</w:t>
      </w:r>
      <w:r w:rsidRPr="00E44DB1">
        <w:rPr>
          <w:rFonts w:cstheme="minorHAnsi"/>
          <w:b/>
          <w:sz w:val="20"/>
          <w:szCs w:val="20"/>
        </w:rPr>
        <w:t>c</w:t>
      </w:r>
      <w:r w:rsidRPr="00E44DB1">
        <w:rPr>
          <w:rFonts w:cstheme="minorHAnsi"/>
          <w:sz w:val="20"/>
          <w:szCs w:val="20"/>
        </w:rPr>
        <w:t>) Orientation relationship of martensite variants from the red box in (a). The crystal orientation data is acquired at the red spots. Stereographic projections are generated from the orientation data. The normal axes are (i) [3-1-5]</w:t>
      </w:r>
      <w:r w:rsidRPr="00E44DB1">
        <w:rPr>
          <w:rFonts w:cstheme="minorHAnsi"/>
          <w:sz w:val="20"/>
          <w:szCs w:val="20"/>
          <w:vertAlign w:val="subscript"/>
        </w:rPr>
        <w:t>α’’</w:t>
      </w:r>
      <w:r w:rsidRPr="00E44DB1">
        <w:rPr>
          <w:rFonts w:cstheme="minorHAnsi"/>
          <w:sz w:val="20"/>
          <w:szCs w:val="20"/>
        </w:rPr>
        <w:t xml:space="preserve"> for α’’ matrix,  (ii) [503]</w:t>
      </w:r>
      <w:r w:rsidRPr="00E44DB1">
        <w:rPr>
          <w:rFonts w:cstheme="minorHAnsi"/>
          <w:sz w:val="20"/>
          <w:szCs w:val="20"/>
          <w:vertAlign w:val="subscript"/>
        </w:rPr>
        <w:t>α’’</w:t>
      </w:r>
      <w:r w:rsidRPr="00E44DB1">
        <w:rPr>
          <w:rFonts w:cstheme="minorHAnsi"/>
          <w:sz w:val="20"/>
          <w:szCs w:val="20"/>
        </w:rPr>
        <w:t xml:space="preserve"> for {111}</w:t>
      </w:r>
      <w:r w:rsidRPr="00E44DB1">
        <w:rPr>
          <w:rFonts w:cstheme="minorHAnsi"/>
          <w:sz w:val="20"/>
          <w:szCs w:val="20"/>
          <w:vertAlign w:val="subscript"/>
        </w:rPr>
        <w:t>α’’</w:t>
      </w:r>
      <w:r w:rsidRPr="00E44DB1">
        <w:rPr>
          <w:rFonts w:cstheme="minorHAnsi"/>
          <w:sz w:val="20"/>
          <w:szCs w:val="20"/>
        </w:rPr>
        <w:t xml:space="preserve"> type I twinned variant  (iii) [315]</w:t>
      </w:r>
      <w:r w:rsidRPr="00E44DB1">
        <w:rPr>
          <w:rFonts w:cstheme="minorHAnsi"/>
          <w:sz w:val="20"/>
          <w:szCs w:val="20"/>
          <w:vertAlign w:val="subscript"/>
        </w:rPr>
        <w:t>α’’</w:t>
      </w:r>
      <w:r w:rsidRPr="00E44DB1">
        <w:rPr>
          <w:rFonts w:cstheme="minorHAnsi"/>
          <w:sz w:val="20"/>
          <w:szCs w:val="20"/>
        </w:rPr>
        <w:t xml:space="preserve"> for α’’ {351}&lt;1-12&gt;</w:t>
      </w:r>
      <w:r w:rsidRPr="00E44DB1">
        <w:rPr>
          <w:rFonts w:cstheme="minorHAnsi"/>
          <w:sz w:val="20"/>
          <w:szCs w:val="20"/>
          <w:vertAlign w:val="subscript"/>
        </w:rPr>
        <w:t>α’’</w:t>
      </w:r>
      <w:r w:rsidRPr="00E44DB1">
        <w:rPr>
          <w:rFonts w:cstheme="minorHAnsi"/>
          <w:sz w:val="20"/>
          <w:szCs w:val="20"/>
        </w:rPr>
        <w:t xml:space="preserve"> compound twinned variant. (</w:t>
      </w:r>
      <w:r w:rsidRPr="00E44DB1">
        <w:rPr>
          <w:rFonts w:cstheme="minorHAnsi"/>
          <w:b/>
          <w:sz w:val="20"/>
          <w:szCs w:val="20"/>
        </w:rPr>
        <w:t>d</w:t>
      </w:r>
      <w:r w:rsidRPr="00E44DB1">
        <w:rPr>
          <w:rFonts w:cstheme="minorHAnsi"/>
          <w:sz w:val="20"/>
          <w:szCs w:val="20"/>
        </w:rPr>
        <w:t xml:space="preserve">) Euler angle map of the deformed sample. The inset </w:t>
      </w:r>
      <w:r w:rsidRPr="00E44DB1">
        <w:rPr>
          <w:rFonts w:cstheme="minorHAnsi"/>
          <w:sz w:val="20"/>
          <w:szCs w:val="20"/>
        </w:rPr>
        <w:lastRenderedPageBreak/>
        <w:t>highlights martensitic twinning misorientation profile used for twinning indexation. (</w:t>
      </w:r>
      <w:r w:rsidRPr="00E44DB1">
        <w:rPr>
          <w:rFonts w:cstheme="minorHAnsi"/>
          <w:b/>
          <w:sz w:val="20"/>
          <w:szCs w:val="20"/>
        </w:rPr>
        <w:t>e</w:t>
      </w:r>
      <w:r w:rsidRPr="00E44DB1">
        <w:rPr>
          <w:rFonts w:cstheme="minorHAnsi"/>
          <w:sz w:val="20"/>
          <w:szCs w:val="20"/>
        </w:rPr>
        <w:t>) Euler angle map of martensite phase. Scale bars, 10μm.</w:t>
      </w:r>
      <w:bookmarkEnd w:id="321"/>
      <w:r w:rsidRPr="00E44DB1">
        <w:rPr>
          <w:rFonts w:cstheme="minorHAnsi"/>
          <w:sz w:val="20"/>
          <w:szCs w:val="20"/>
        </w:rPr>
        <w:t xml:space="preserve"> </w:t>
      </w:r>
    </w:p>
    <w:p w14:paraId="577D435D" w14:textId="41195F2E" w:rsidR="00B145BE" w:rsidRPr="002F1C61" w:rsidRDefault="002F1C61" w:rsidP="00B145BE">
      <w:pPr>
        <w:spacing w:afterLines="60" w:after="144" w:line="360" w:lineRule="auto"/>
        <w:jc w:val="both"/>
        <w:rPr>
          <w:rFonts w:cstheme="minorHAnsi"/>
        </w:rPr>
      </w:pPr>
      <w:r w:rsidRPr="002F1C61">
        <w:rPr>
          <w:rFonts w:cstheme="minorHAnsi"/>
        </w:rPr>
        <w:t xml:space="preserve">To keep compensating for the overall volume change and accommodating the increased local stress, formation of massive SA twins </w:t>
      </w:r>
      <w:r w:rsidRPr="002F1C61">
        <w:rPr>
          <w:rFonts w:cstheme="minorHAnsi"/>
          <w:noProof/>
        </w:rPr>
        <w:t>was observed</w:t>
      </w:r>
      <w:r w:rsidRPr="002F1C61">
        <w:rPr>
          <w:rFonts w:cstheme="minorHAnsi"/>
        </w:rPr>
        <w:t xml:space="preserve"> in the sample deformed with 9% strain. Increasing the strain to 9% (stage III) leads to the volume fractions of α’’ further rise to ~43% and ~34% in Ta13 and Ta15 respectively, whilst the primary β grains were divided into separated smaller grains (about 2~3μm</w:t>
      </w:r>
      <w:r w:rsidRPr="002F1C61">
        <w:rPr>
          <w:rFonts w:cstheme="minorHAnsi"/>
          <w:color w:val="000000" w:themeColor="text1"/>
        </w:rPr>
        <w:t xml:space="preserve">) from </w:t>
      </w:r>
      <w:r w:rsidRPr="002F1C61">
        <w:rPr>
          <w:rFonts w:cstheme="minorHAnsi"/>
        </w:rPr>
        <w:t>~</w:t>
      </w:r>
      <w:r w:rsidRPr="002F1C61">
        <w:rPr>
          <w:rFonts w:cstheme="minorHAnsi"/>
          <w:color w:val="000000" w:themeColor="text1"/>
        </w:rPr>
        <w:t>80</w:t>
      </w:r>
      <w:r w:rsidRPr="002F1C61">
        <w:rPr>
          <w:rFonts w:cstheme="minorHAnsi"/>
        </w:rPr>
        <w:t>μm after recrystallization</w:t>
      </w:r>
      <w:r w:rsidRPr="002F1C61">
        <w:rPr>
          <w:rFonts w:cstheme="minorHAnsi"/>
          <w:color w:val="000000" w:themeColor="text1"/>
        </w:rPr>
        <w:t xml:space="preserve">. </w:t>
      </w:r>
      <w:r w:rsidRPr="002F1C61">
        <w:rPr>
          <w:rFonts w:cstheme="minorHAnsi"/>
        </w:rPr>
        <w:t>Although the volume fraction of α″ phase increased in Ta13 and Ta15 at ε</w:t>
      </w:r>
      <w:r w:rsidRPr="002F1C61">
        <w:rPr>
          <w:rFonts w:cstheme="minorHAnsi"/>
          <w:vertAlign w:val="subscript"/>
        </w:rPr>
        <w:t>T</w:t>
      </w:r>
      <w:r w:rsidRPr="002F1C61">
        <w:rPr>
          <w:rFonts w:cstheme="minorHAnsi"/>
        </w:rPr>
        <w:t>=9%, the martensite transformation rate in both alloys dropped, meaning that the effect of TRIP may have saturated upon further loading. However, a</w:t>
      </w:r>
      <w:r w:rsidRPr="002F1C61">
        <w:rPr>
          <w:rFonts w:cstheme="minorHAnsi"/>
          <w:color w:val="222222"/>
          <w:spacing w:val="3"/>
          <w:szCs w:val="18"/>
          <w:shd w:val="clear" w:color="auto" w:fill="FFFFFF"/>
        </w:rPr>
        <w:t xml:space="preserve"> </w:t>
      </w:r>
      <w:r w:rsidRPr="002F1C61">
        <w:rPr>
          <w:rFonts w:cstheme="minorHAnsi"/>
        </w:rPr>
        <w:t xml:space="preserve">small hump is observed in the work hardening exponent curve of both samples at 6-9% strain, indicating the activation of new deformation mechanism. Beyond 12% strain(stage IV), the work hardening exponent of Ta15 alloy decreases gradually and fractured at 20% strain with a strength of 980MPa. Whereas, for the Ta13 with higher β phase instability, the work hardening exponent n exhibits a liner increase from 0.22 at 12% strain to 0.31 at 20% strain, suggesting an additional strengthening mechanism occurred. </w:t>
      </w:r>
      <w:r w:rsidR="00B145BE">
        <w:t xml:space="preserve">While in the </w:t>
      </w:r>
      <w:r w:rsidR="000A5412">
        <w:t>noise reduced</w:t>
      </w:r>
      <w:r w:rsidR="00B145BE">
        <w:t xml:space="preserve"> EBSD image</w:t>
      </w:r>
      <w:r>
        <w:t xml:space="preserve"> of 20% deformed Ta13</w:t>
      </w:r>
      <w:r w:rsidR="00B145BE">
        <w:t>, nearly 90</w:t>
      </w:r>
      <w:r w:rsidR="00B145BE" w:rsidRPr="00114097">
        <w:t>%</w:t>
      </w:r>
      <w:r w:rsidR="00B145BE">
        <w:t xml:space="preserve"> of the phase constitution </w:t>
      </w:r>
      <w:r w:rsidR="00002F6A">
        <w:rPr>
          <w:noProof/>
        </w:rPr>
        <w:t>was</w:t>
      </w:r>
      <w:r w:rsidR="00002F6A" w:rsidRPr="00206950">
        <w:rPr>
          <w:noProof/>
        </w:rPr>
        <w:t xml:space="preserve"> </w:t>
      </w:r>
      <w:r w:rsidR="00B145BE" w:rsidRPr="00206950">
        <w:rPr>
          <w:noProof/>
        </w:rPr>
        <w:t>indexed</w:t>
      </w:r>
      <w:r w:rsidR="00B145BE">
        <w:t xml:space="preserve"> as martensite phases. This revealed that the phase transformation-induced lattice distortion and atomic shuffle may influence the accuracy of EBSD</w:t>
      </w:r>
      <w:r w:rsidR="00B145BE" w:rsidRPr="00262603">
        <w:t xml:space="preserve"> </w:t>
      </w:r>
      <w:r w:rsidR="00B145BE">
        <w:t>index</w:t>
      </w:r>
      <w:r w:rsidR="00002F6A">
        <w:t>ing</w:t>
      </w:r>
      <w:r w:rsidR="00B145BE">
        <w:t xml:space="preserve">. Three SA twinning systems </w:t>
      </w:r>
      <w:r w:rsidR="00B145BE" w:rsidRPr="00206950">
        <w:rPr>
          <w:noProof/>
        </w:rPr>
        <w:t>were indexed</w:t>
      </w:r>
      <w:r w:rsidR="00B145BE">
        <w:t xml:space="preserve"> within one martensite grain as shown in Fig.7-</w:t>
      </w:r>
      <w:r>
        <w:t>4</w:t>
      </w:r>
      <w:r w:rsidR="00B145BE">
        <w:t>. The indexed SA twin in Fig. 7-</w:t>
      </w:r>
      <w:r>
        <w:t>4</w:t>
      </w:r>
      <w:r w:rsidR="00B145BE">
        <w:t xml:space="preserve">(a) </w:t>
      </w:r>
      <w:r w:rsidR="00B145BE">
        <w:rPr>
          <w:noProof/>
        </w:rPr>
        <w:t xml:space="preserve">includes </w:t>
      </w:r>
      <w:r w:rsidR="00B145BE" w:rsidRPr="00534477">
        <w:rPr>
          <w:noProof/>
        </w:rPr>
        <w:t xml:space="preserve">an </w:t>
      </w:r>
      <w:r w:rsidR="00B145BE">
        <w:rPr>
          <w:noProof/>
        </w:rPr>
        <w:t>unusu</w:t>
      </w:r>
      <w:r w:rsidR="00B145BE" w:rsidRPr="00534477">
        <w:rPr>
          <w:noProof/>
        </w:rPr>
        <w:t>al</w:t>
      </w:r>
      <w:r w:rsidR="00B145BE">
        <w:rPr>
          <w:noProof/>
        </w:rPr>
        <w:t xml:space="preserve"> combination of</w:t>
      </w:r>
      <w:r w:rsidR="00B145BE">
        <w:t xml:space="preserve"> SA type I {</w:t>
      </w:r>
      <w:r w:rsidR="00B145BE" w:rsidRPr="00262603">
        <w:t>111}</w:t>
      </w:r>
      <w:r w:rsidR="00B145BE" w:rsidRPr="00262603">
        <w:rPr>
          <w:rFonts w:cs="Times New Roman"/>
          <w:vertAlign w:val="subscript"/>
        </w:rPr>
        <w:t>α</w:t>
      </w:r>
      <w:r w:rsidR="00B145BE" w:rsidRPr="00262603">
        <w:rPr>
          <w:vertAlign w:val="subscript"/>
        </w:rPr>
        <w:t>’’</w:t>
      </w:r>
      <w:r w:rsidR="00B145BE" w:rsidRPr="00262603">
        <w:t>, type II &lt;211&gt;</w:t>
      </w:r>
      <w:r w:rsidR="00B145BE" w:rsidRPr="00262603">
        <w:rPr>
          <w:rFonts w:cs="Times New Roman"/>
          <w:vertAlign w:val="subscript"/>
        </w:rPr>
        <w:t>α</w:t>
      </w:r>
      <w:r w:rsidR="00B145BE" w:rsidRPr="00262603">
        <w:rPr>
          <w:vertAlign w:val="subscript"/>
        </w:rPr>
        <w:t>’’</w:t>
      </w:r>
      <w:r w:rsidR="00B145BE" w:rsidRPr="00262603">
        <w:t xml:space="preserve"> and {011}</w:t>
      </w:r>
      <w:r w:rsidR="00B145BE" w:rsidRPr="00262603">
        <w:rPr>
          <w:rFonts w:cs="Times New Roman"/>
          <w:vertAlign w:val="subscript"/>
        </w:rPr>
        <w:t>α</w:t>
      </w:r>
      <w:r w:rsidR="00B145BE" w:rsidRPr="00262603">
        <w:rPr>
          <w:vertAlign w:val="subscript"/>
        </w:rPr>
        <w:t>’’</w:t>
      </w:r>
      <w:r w:rsidR="00B145BE" w:rsidRPr="00262603">
        <w:t xml:space="preserve"> compound</w:t>
      </w:r>
      <w:r w:rsidR="00B145BE">
        <w:t xml:space="preserve"> twins, which are difficult to activate </w:t>
      </w:r>
      <w:r w:rsidR="00B145BE" w:rsidRPr="00206950">
        <w:rPr>
          <w:noProof/>
        </w:rPr>
        <w:t>simultaneously</w:t>
      </w:r>
      <w:r w:rsidR="00B145BE">
        <w:rPr>
          <w:noProof/>
        </w:rPr>
        <w:t>,</w:t>
      </w:r>
      <w:r w:rsidR="00B145BE">
        <w:t xml:space="preserve"> as </w:t>
      </w:r>
      <w:r w:rsidR="00B145BE" w:rsidRPr="009D4D98">
        <w:rPr>
          <w:noProof/>
        </w:rPr>
        <w:t>previous</w:t>
      </w:r>
      <w:r w:rsidR="00002F6A">
        <w:rPr>
          <w:noProof/>
        </w:rPr>
        <w:t>ly</w:t>
      </w:r>
      <w:r w:rsidR="00B145BE">
        <w:t xml:space="preserve"> reported </w:t>
      </w:r>
      <w:r w:rsidR="00B145BE">
        <w:fldChar w:fldCharType="begin" w:fldLock="1"/>
      </w:r>
      <w:r w:rsidR="00B145BE">
        <w:instrText>ADDIN CSL_CITATION {"citationItems":[{"id":"ITEM-1","itemData":{"DOI":"10.1080/14786430601003874","ISBN":"1478-6435","ISSN":"14786435","abstract":"11q","author":[{"dropping-particle":"","family":"Inamura","given":"T.","non-dropping-particle":"","parse-names":false,"suffix":""},{"dropping-particle":"","family":"Kim","given":"J. I.","non-dropping-particle":"","parse-names":false,"suffix":""},{"dropping-particle":"","family":"Kim","given":"H. Y.","non-dropping-particle":"","parse-names":false,"suffix":""},{"dropping-particle":"","family":"Hosoda","given":"H.","non-dropping-particle":"","parse-names":false,"suffix":""},{"dropping-particle":"","family":"Wakashima","given":"K.","non-dropping-particle":"","parse-names":false,"suffix":""},{"dropping-particle":"",</w:instrText>
      </w:r>
      <w:r w:rsidR="00B145BE">
        <w:rPr>
          <w:rFonts w:hint="eastAsia"/>
        </w:rPr>
        <w:instrText xml:space="preserve">"family":"Miyazaki","given":"S.","non-dropping-particle":"","parse-names":false,"suffix":""}],"container-title":"Philosophical Magazine","id":"ITEM-1","issued":{"date-parts":[["2007"]]},"title":"Composition dependent crystallography of </w:instrText>
      </w:r>
      <w:r w:rsidR="00B145BE">
        <w:rPr>
          <w:rFonts w:hint="eastAsia"/>
        </w:rPr>
        <w:instrText>α″</w:instrText>
      </w:r>
      <w:r w:rsidR="00B145BE">
        <w:rPr>
          <w:rFonts w:hint="eastAsia"/>
        </w:rPr>
        <w:instrText>-martensite in Ti</w:instrText>
      </w:r>
      <w:r w:rsidR="00B145BE">
        <w:instrText>-Nb-based β-titanium alloy","type":"article-journal"},"uris":["http://www.mendeley.com/documents/?uuid=26904a4b-d6c6-4c17-b6da-29a902ada479"]}],"mendeley":{"formattedCitation":"[3]","plainTextFormattedCitation":"[3]","previouslyFormattedCitation":"[21]"},"properties":{"noteIndex":0},"schema":"https://github.com/citation-style-language/schema/raw/master/csl-citation.json"}</w:instrText>
      </w:r>
      <w:r w:rsidR="00B145BE">
        <w:fldChar w:fldCharType="separate"/>
      </w:r>
      <w:r w:rsidR="00B145BE" w:rsidRPr="00681C64">
        <w:rPr>
          <w:noProof/>
        </w:rPr>
        <w:t>[3]</w:t>
      </w:r>
      <w:r w:rsidR="00B145BE">
        <w:fldChar w:fldCharType="end"/>
      </w:r>
      <w:r w:rsidR="00B145BE">
        <w:t>. When substituting the misorientation relationship acquired from EBSD analysis into the four martensite variants (V1-V4) shown in Fig. 7-</w:t>
      </w:r>
      <w:r>
        <w:t>4</w:t>
      </w:r>
      <w:r w:rsidR="00B145BE">
        <w:t xml:space="preserve">, in addition to the </w:t>
      </w:r>
      <w:r w:rsidR="00B145BE" w:rsidRPr="009D4D98">
        <w:rPr>
          <w:noProof/>
        </w:rPr>
        <w:t>type</w:t>
      </w:r>
      <w:r w:rsidR="00B145BE">
        <w:t xml:space="preserve"> I {111}</w:t>
      </w:r>
      <w:r w:rsidR="00B145BE" w:rsidRPr="00104571">
        <w:rPr>
          <w:rFonts w:ascii="Times New Roman" w:hAnsi="Times New Roman" w:cs="Times New Roman"/>
          <w:vertAlign w:val="subscript"/>
        </w:rPr>
        <w:t>α</w:t>
      </w:r>
      <w:r w:rsidR="00B145BE" w:rsidRPr="00104571">
        <w:rPr>
          <w:vertAlign w:val="subscript"/>
        </w:rPr>
        <w:t>’’</w:t>
      </w:r>
      <w:r w:rsidR="00B145BE">
        <w:t>, type II &lt;211&gt;</w:t>
      </w:r>
      <w:r w:rsidR="00B145BE" w:rsidRPr="00104571">
        <w:rPr>
          <w:rFonts w:ascii="Times New Roman" w:hAnsi="Times New Roman" w:cs="Times New Roman"/>
          <w:vertAlign w:val="subscript"/>
        </w:rPr>
        <w:t>α</w:t>
      </w:r>
      <w:r w:rsidR="00B145BE" w:rsidRPr="00104571">
        <w:rPr>
          <w:vertAlign w:val="subscript"/>
        </w:rPr>
        <w:t>’’</w:t>
      </w:r>
      <w:r w:rsidR="00B145BE">
        <w:t xml:space="preserve"> SA twin, a new misorientation profile </w:t>
      </w:r>
      <w:r w:rsidR="00B145BE" w:rsidRPr="00206950">
        <w:rPr>
          <w:noProof/>
        </w:rPr>
        <w:t>was observed</w:t>
      </w:r>
      <w:r w:rsidR="00B145BE">
        <w:t xml:space="preserve"> between V2 and V4 and determined as &lt;011&gt;</w:t>
      </w:r>
      <w:r w:rsidR="00B145BE" w:rsidRPr="00877F43">
        <w:rPr>
          <w:rFonts w:cs="Times New Roman"/>
          <w:vertAlign w:val="subscript"/>
        </w:rPr>
        <w:t>α</w:t>
      </w:r>
      <w:r w:rsidR="00B145BE" w:rsidRPr="00877F43">
        <w:rPr>
          <w:vertAlign w:val="subscript"/>
        </w:rPr>
        <w:t>’’</w:t>
      </w:r>
      <w:r w:rsidR="00B145BE">
        <w:t>~85</w:t>
      </w:r>
      <w:r w:rsidR="00B145BE" w:rsidRPr="0037620D">
        <w:t>°</w:t>
      </w:r>
      <w:r w:rsidR="00B145BE">
        <w:t>. The {011}</w:t>
      </w:r>
      <w:r w:rsidR="00B145BE" w:rsidRPr="00877F43">
        <w:rPr>
          <w:rFonts w:cs="Times New Roman"/>
          <w:vertAlign w:val="subscript"/>
        </w:rPr>
        <w:t>α</w:t>
      </w:r>
      <w:r w:rsidR="00B145BE" w:rsidRPr="00877F43">
        <w:rPr>
          <w:vertAlign w:val="subscript"/>
        </w:rPr>
        <w:t>’’</w:t>
      </w:r>
      <w:r w:rsidR="00B145BE">
        <w:t xml:space="preserve"> compound twinning in </w:t>
      </w:r>
      <w:r w:rsidR="00B145BE" w:rsidRPr="00114097">
        <w:t>α</w:t>
      </w:r>
      <w:r w:rsidR="000A5412" w:rsidRPr="00114097">
        <w:t xml:space="preserve">″ </w:t>
      </w:r>
      <w:r w:rsidR="000A5412">
        <w:t>has</w:t>
      </w:r>
      <w:r w:rsidR="00B145BE">
        <w:t xml:space="preserve"> a lattice corresponding with {10-12}&lt;10-11&gt;</w:t>
      </w:r>
      <w:r w:rsidR="00B145BE" w:rsidRPr="00877F43">
        <w:rPr>
          <w:rFonts w:cs="Times New Roman"/>
          <w:vertAlign w:val="subscript"/>
        </w:rPr>
        <w:t>α</w:t>
      </w:r>
      <w:r w:rsidR="00B145BE">
        <w:t xml:space="preserve"> twinning in </w:t>
      </w:r>
      <w:r w:rsidR="00B145BE" w:rsidRPr="00114097">
        <w:t>α</w:t>
      </w:r>
      <w:r w:rsidR="00B145BE">
        <w:t xml:space="preserve"> and possesses the misorientation profile &lt;10-11&gt;</w:t>
      </w:r>
      <w:r w:rsidR="00B145BE" w:rsidRPr="00877F43">
        <w:rPr>
          <w:rFonts w:cs="Times New Roman"/>
          <w:vertAlign w:val="subscript"/>
        </w:rPr>
        <w:t>α</w:t>
      </w:r>
      <w:r w:rsidR="00B145BE">
        <w:t>~86</w:t>
      </w:r>
      <w:r w:rsidR="00B145BE" w:rsidRPr="0037620D">
        <w:t>°</w:t>
      </w:r>
      <w:r w:rsidR="00B145BE">
        <w:t xml:space="preserve">. By taking </w:t>
      </w:r>
      <w:r w:rsidR="00B145BE" w:rsidRPr="00114097">
        <w:t>α</w:t>
      </w:r>
      <w:r w:rsidR="00B145BE">
        <w:t>’’ phase as the intermediate phase between</w:t>
      </w:r>
      <w:r w:rsidR="00002F6A">
        <w:t xml:space="preserve"> the</w:t>
      </w:r>
      <w:r w:rsidR="00B145BE">
        <w:t xml:space="preserve"> β and α phase</w:t>
      </w:r>
      <w:r w:rsidR="00002F6A">
        <w:t>s</w:t>
      </w:r>
      <w:r w:rsidR="00B145BE">
        <w:t>, the lattice correspondence between &lt;011&gt;</w:t>
      </w:r>
      <w:r w:rsidR="00B145BE" w:rsidRPr="00877F43">
        <w:rPr>
          <w:rFonts w:cs="Times New Roman"/>
          <w:vertAlign w:val="subscript"/>
        </w:rPr>
        <w:t>α</w:t>
      </w:r>
      <w:r w:rsidR="00B145BE" w:rsidRPr="00877F43">
        <w:rPr>
          <w:vertAlign w:val="subscript"/>
        </w:rPr>
        <w:t>’’</w:t>
      </w:r>
      <w:r w:rsidR="00B145BE">
        <w:t xml:space="preserve"> and &lt;10-11&gt;</w:t>
      </w:r>
      <w:r w:rsidR="00B145BE" w:rsidRPr="00877F43">
        <w:rPr>
          <w:rFonts w:cs="Times New Roman"/>
          <w:vertAlign w:val="subscript"/>
        </w:rPr>
        <w:t>α</w:t>
      </w:r>
      <w:r w:rsidR="00B145BE">
        <w:rPr>
          <w:rFonts w:cs="Times New Roman"/>
        </w:rPr>
        <w:t xml:space="preserve"> can be derived. Thus, the OR between </w:t>
      </w:r>
      <w:r w:rsidR="00B145BE">
        <w:t>V2 and V4 was identified as {011}</w:t>
      </w:r>
      <w:r w:rsidR="00B145BE" w:rsidRPr="00877F43">
        <w:rPr>
          <w:rFonts w:cs="Times New Roman"/>
          <w:vertAlign w:val="subscript"/>
        </w:rPr>
        <w:t>α</w:t>
      </w:r>
      <w:r w:rsidR="00B145BE" w:rsidRPr="00877F43">
        <w:rPr>
          <w:vertAlign w:val="subscript"/>
        </w:rPr>
        <w:t>’’</w:t>
      </w:r>
      <w:r w:rsidR="00B145BE">
        <w:t xml:space="preserve"> compound twinning </w:t>
      </w:r>
      <w:r w:rsidR="00B145BE">
        <w:fldChar w:fldCharType="begin" w:fldLock="1"/>
      </w:r>
      <w:r w:rsidR="00B145BE">
        <w:instrText>ADDIN CSL_CITATION {"citationItems":[{"id":"ITEM-1","itemData":{"DOI":"10.1016/j.msea.2018.06.043","ISSN":"09215093","abstract":"In current study, microstructure and texture evolutions, the mechanism of variant selection for {10-12} twins, the nucleation and propagation of twins during uniaxial multi-pass compression in an extruded AZ31 Mg alloy were investigated by in-situ EBSD technology. The specimen was compressed along ND to different strains of 1.9%, 3.4% and 6% at a strain rate of 1 mm/min at room temperature. The results show that the yield stress maintains increased during the uniaxial multi-pass compression. Due to the growth and propagation of the pre-generated twins, the ultimate stress of last compression is approximately equal to the yield stress of next recompression along ND. It is found that the mechanism of variant selection for {10-12} tension twinning is dominated by both high Schmid factor (SF) and high strain compatibility factor m’ in extruded Mg alloys. Meanwhile, the strain compatibility plays an important role in the propagation of twins in common grain boundaries. Two types of grains were discussed in the paper: grains containing one twin variant (one-twin grains) and grains containing two twin variants (two-twin grains). In the one-twin grains, the twinning growth speed shows scattered distribution after three-pass compression. Twin growth and propagation are affected by the maximum length of activated twins. In addition, the misorientation of twinning boundaries can affect the expanding of pre-generated twins. While in the two-twin grains, the variants with para-position (PP) relationships (7.4°&lt;1–210&gt;) can promote the twin growth and coalescence. More nucleation sites and close misorientations between two variants lead to the high speed of twinning growth and propagation in those two-twin grains. This is the reason why two-twin grains can achieve higher volume fraction of twins compared with that in one-twin grains.","author":[{"dropping-particle":"","family":"Wang","given":"Bingshu","non-dropping-particle":"","parse-names":false,"suffix":""},{"dropping-particle":"","family":"Shi","given":"Jingjing","non-dropping-particle":"","parse-names":false,"suffix":""},{"dropping-particle":"","family":"Ye","given":"Peng","non-dropping-particle":"","parse-names":false,"suffix":""},{"dropping-particle":"","family":"Deng","given":"Liping","non-dropping-particle":"","parse-names":false,"suffix":""},{"dropping-particle":"","family":"Wang","given":"Chen","non-dropping-particle":"","parse-names":false,"suffix":""},{"dropping-particle":"","family":"Chen","given":"Junfeng","non-dropping-particle":"","parse-names":false,"suffix":""},{"dropping-particle":"","family":"Yang","given":"Xiaohua","non-dropping-particle":"","parse-names":false,"suffix":""},{"dropping-particle":"","family":"Li","given":"Qiang","non-dropping-particle":"","parse-names":false,"suffix":""}],"container-title":"Materials Science and Engineering A","id":"ITEM-1","issued":{"date-parts":[["2018"]]},"title":"In-situ investigation on nucleation and propagation of {10-12} twins during uniaxial multi-pass compression in an extruded AZ31 Mg alloy","type":"article-journal"},"uris":["http://www.mendeley.com/documents/?uuid=d3536b5b-cbf0-44f1-97ab-b2d2eb142178"]}],"mendeley":{"formattedCitation":"[16]","plainTextFormattedCitation":"[16]","previouslyFormattedCitation":"[30]"},"properties":{"noteIndex":0},"schema":"https://github.com/citation-style-language/schema/raw/master/csl-citation.json"}</w:instrText>
      </w:r>
      <w:r w:rsidR="00B145BE">
        <w:fldChar w:fldCharType="separate"/>
      </w:r>
      <w:r w:rsidR="00B145BE" w:rsidRPr="00681C64">
        <w:rPr>
          <w:noProof/>
        </w:rPr>
        <w:t>[16]</w:t>
      </w:r>
      <w:r w:rsidR="00B145BE">
        <w:fldChar w:fldCharType="end"/>
      </w:r>
      <w:r w:rsidR="00B145BE">
        <w:t>. Previous reports described that the {011}</w:t>
      </w:r>
      <w:r w:rsidR="00B145BE" w:rsidRPr="00877F43">
        <w:rPr>
          <w:rFonts w:cs="Times New Roman"/>
          <w:vertAlign w:val="subscript"/>
        </w:rPr>
        <w:t>α</w:t>
      </w:r>
      <w:r w:rsidR="00B145BE" w:rsidRPr="00877F43">
        <w:rPr>
          <w:vertAlign w:val="subscript"/>
        </w:rPr>
        <w:t>’’</w:t>
      </w:r>
      <w:r w:rsidR="00B145BE">
        <w:t xml:space="preserve"> compound twinning can serve as self-accommodation twinning, however, it can also </w:t>
      </w:r>
      <w:r w:rsidR="00B145BE" w:rsidRPr="00206950">
        <w:rPr>
          <w:noProof/>
        </w:rPr>
        <w:t>act</w:t>
      </w:r>
      <w:r w:rsidR="00B145BE">
        <w:t xml:space="preserve"> as deformation twinning </w:t>
      </w:r>
      <w:r w:rsidR="00B145BE">
        <w:fldChar w:fldCharType="begin" w:fldLock="1"/>
      </w:r>
      <w:r w:rsidR="00B145BE">
        <w:instrText>ADDIN CSL_CITATION {"citationItems":[{"id":"ITEM-1","itemData":{"DOI":"10.1080/14786430601003874","ISBN":"1478-6435","ISSN":"14786435","abstract":"11q","author":[{"dropping-particle":"","family":"Inamura","given":"T.","non-dropping-particle":"","parse-names":false,"suffix":""},{"dropping-particle":"","family":"Kim","given":"J. I.","non-dropping-particle":"","parse-names":false,"suffix":""},{"dropping-particle":"","family":"Kim","given":"H. Y.","non-dropping-particle":"","parse-names":false,"suffix":""},{"dropping-particle":"","family":"Hosoda","given":"H.","non-dropping-particle":"","parse-names":false,"suffix":""},{"dropping-particle":"","family":"Wakashima","given":"K.","non-dropping-particle":"","parse-names":false,"suffix":""},{"dropping-particle":"",</w:instrText>
      </w:r>
      <w:r w:rsidR="00B145BE">
        <w:rPr>
          <w:rFonts w:hint="eastAsia"/>
        </w:rPr>
        <w:instrText xml:space="preserve">"family":"Miyazaki","given":"S.","non-dropping-particle":"","parse-names":false,"suffix":""}],"container-title":"Philosophical Magazine","id":"ITEM-1","issued":{"date-parts":[["2007"]]},"title":"Composition dependent crystallography of </w:instrText>
      </w:r>
      <w:r w:rsidR="00B145BE">
        <w:rPr>
          <w:rFonts w:hint="eastAsia"/>
        </w:rPr>
        <w:instrText>α″</w:instrText>
      </w:r>
      <w:r w:rsidR="00B145BE">
        <w:rPr>
          <w:rFonts w:hint="eastAsia"/>
        </w:rPr>
        <w:instrText>-martensite in Ti</w:instrText>
      </w:r>
      <w:r w:rsidR="00B145BE">
        <w:instrText>-Nb-based β-titanium alloy","type":"article-journal"},"uris":["http://www.mendeley.com/documents/?uuid=26904a4b-d6c6-4c17-b6da-29a902ada479"]}],"mendeley":{"formattedCitation":"[3]","plainTextFormattedCitation":"[3]","previouslyFormattedCitation":"[21]"},"properties":{"noteIndex":0},"schema":"https://github.com/citation-style-language/schema/raw/master/csl-citation.json"}</w:instrText>
      </w:r>
      <w:r w:rsidR="00B145BE">
        <w:fldChar w:fldCharType="separate"/>
      </w:r>
      <w:r w:rsidR="00B145BE" w:rsidRPr="00681C64">
        <w:rPr>
          <w:noProof/>
        </w:rPr>
        <w:t>[3]</w:t>
      </w:r>
      <w:r w:rsidR="00B145BE">
        <w:fldChar w:fldCharType="end"/>
      </w:r>
      <w:r w:rsidR="00B145BE">
        <w:t>. Therefore, the exact reasons for the activation of {011}</w:t>
      </w:r>
      <w:r w:rsidR="00B145BE" w:rsidRPr="00877F43">
        <w:rPr>
          <w:rFonts w:cs="Times New Roman"/>
          <w:vertAlign w:val="subscript"/>
        </w:rPr>
        <w:t>α</w:t>
      </w:r>
      <w:r w:rsidR="00B145BE" w:rsidRPr="00877F43">
        <w:rPr>
          <w:vertAlign w:val="subscript"/>
        </w:rPr>
        <w:t>’’</w:t>
      </w:r>
      <w:r w:rsidR="00B145BE">
        <w:t xml:space="preserve"> compound twinning in </w:t>
      </w:r>
      <w:r w:rsidR="00002F6A">
        <w:t xml:space="preserve">the </w:t>
      </w:r>
      <w:r w:rsidR="00B145BE">
        <w:t xml:space="preserve">current alloy system </w:t>
      </w:r>
      <w:r w:rsidR="00002F6A">
        <w:t xml:space="preserve">are </w:t>
      </w:r>
      <w:r w:rsidR="00B145BE">
        <w:t xml:space="preserve">unclear. Interestingly, by using the stereo-projection figure, the OR between V2 and V1 </w:t>
      </w:r>
      <w:r w:rsidR="00B145BE">
        <w:rPr>
          <w:noProof/>
        </w:rPr>
        <w:t>was identified as</w:t>
      </w:r>
      <w:r w:rsidR="00B145BE" w:rsidRPr="009D2DC7">
        <w:rPr>
          <w:noProof/>
        </w:rPr>
        <w:t xml:space="preserve"> </w:t>
      </w:r>
      <w:r w:rsidR="00B145BE">
        <w:rPr>
          <w:noProof/>
        </w:rPr>
        <w:t xml:space="preserve">being related to </w:t>
      </w:r>
      <w:r w:rsidR="00B145BE">
        <w:t>type II SA &lt;211&gt;</w:t>
      </w:r>
      <w:r w:rsidR="00B145BE" w:rsidRPr="00104571">
        <w:rPr>
          <w:rFonts w:ascii="Times New Roman" w:hAnsi="Times New Roman" w:cs="Times New Roman"/>
          <w:vertAlign w:val="subscript"/>
        </w:rPr>
        <w:t>α</w:t>
      </w:r>
      <w:r w:rsidR="00B145BE" w:rsidRPr="00104571">
        <w:rPr>
          <w:vertAlign w:val="subscript"/>
        </w:rPr>
        <w:t>’’</w:t>
      </w:r>
      <w:r w:rsidR="00B145BE">
        <w:t xml:space="preserve"> twin</w:t>
      </w:r>
      <w:r w:rsidR="00002F6A">
        <w:t>ning</w:t>
      </w:r>
      <w:r w:rsidR="00B145BE">
        <w:t xml:space="preserve"> (Fig. 7-</w:t>
      </w:r>
      <w:r>
        <w:t>4</w:t>
      </w:r>
      <w:r w:rsidR="00B145BE">
        <w:t>(b)). This indicates that the cooperation of type I {111}</w:t>
      </w:r>
      <w:r w:rsidR="00B145BE" w:rsidRPr="00104571">
        <w:rPr>
          <w:rFonts w:ascii="Times New Roman" w:hAnsi="Times New Roman" w:cs="Times New Roman"/>
          <w:vertAlign w:val="subscript"/>
        </w:rPr>
        <w:t>α</w:t>
      </w:r>
      <w:r w:rsidR="00B145BE" w:rsidRPr="00104571">
        <w:rPr>
          <w:vertAlign w:val="subscript"/>
        </w:rPr>
        <w:t>’’</w:t>
      </w:r>
      <w:r w:rsidR="00B145BE">
        <w:t xml:space="preserve"> and {011}</w:t>
      </w:r>
      <w:r w:rsidR="00B145BE" w:rsidRPr="00877F43">
        <w:rPr>
          <w:rFonts w:cs="Times New Roman"/>
          <w:vertAlign w:val="subscript"/>
        </w:rPr>
        <w:t>α</w:t>
      </w:r>
      <w:r w:rsidR="00B145BE" w:rsidRPr="00877F43">
        <w:rPr>
          <w:vertAlign w:val="subscript"/>
        </w:rPr>
        <w:t>’’</w:t>
      </w:r>
      <w:r w:rsidR="00B145BE">
        <w:t xml:space="preserve"> compound twinning may be </w:t>
      </w:r>
      <w:r w:rsidR="00B145BE" w:rsidRPr="00206950">
        <w:rPr>
          <w:noProof/>
        </w:rPr>
        <w:t>activate</w:t>
      </w:r>
      <w:r w:rsidR="00B145BE">
        <w:rPr>
          <w:noProof/>
        </w:rPr>
        <w:t>d</w:t>
      </w:r>
      <w:r w:rsidR="00B145BE">
        <w:t xml:space="preserve"> as TTIP </w:t>
      </w:r>
      <w:r w:rsidR="00B145BE">
        <w:lastRenderedPageBreak/>
        <w:t>deformation products on the existing type II SA &lt;211&gt;</w:t>
      </w:r>
      <w:r w:rsidR="00B145BE" w:rsidRPr="00104571">
        <w:rPr>
          <w:rFonts w:ascii="Times New Roman" w:hAnsi="Times New Roman" w:cs="Times New Roman"/>
          <w:vertAlign w:val="subscript"/>
        </w:rPr>
        <w:t>α</w:t>
      </w:r>
      <w:r w:rsidR="00B145BE" w:rsidRPr="00104571">
        <w:rPr>
          <w:vertAlign w:val="subscript"/>
        </w:rPr>
        <w:t>’’</w:t>
      </w:r>
      <w:r w:rsidR="00B145BE">
        <w:t xml:space="preserve"> twinning structures during the later stages of deformation. </w:t>
      </w:r>
    </w:p>
    <w:p w14:paraId="7B8E21BF" w14:textId="77777777" w:rsidR="00B145BE" w:rsidRDefault="00B145BE" w:rsidP="00B145BE">
      <w:pPr>
        <w:keepNext/>
        <w:spacing w:after="120" w:line="360" w:lineRule="auto"/>
        <w:jc w:val="both"/>
      </w:pPr>
      <w:r w:rsidRPr="00681C64">
        <w:rPr>
          <w:noProof/>
        </w:rPr>
        <w:drawing>
          <wp:inline distT="0" distB="0" distL="0" distR="0" wp14:anchorId="68DD395A" wp14:editId="09EE1A73">
            <wp:extent cx="5943600" cy="3484880"/>
            <wp:effectExtent l="0" t="0" r="0" b="1270"/>
            <wp:docPr id="234" name="图片 9" descr="地图的截图&#10;&#10;描述已自动生成">
              <a:extLst xmlns:a="http://schemas.openxmlformats.org/drawingml/2006/main">
                <a:ext uri="{FF2B5EF4-FFF2-40B4-BE49-F238E27FC236}">
                  <a16:creationId xmlns:a16="http://schemas.microsoft.com/office/drawing/2014/main" id="{DBEAEFAB-1CC2-47F5-A971-5A071E72A1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地图的截图&#10;&#10;描述已自动生成">
                      <a:extLst>
                        <a:ext uri="{FF2B5EF4-FFF2-40B4-BE49-F238E27FC236}">
                          <a16:creationId xmlns:a16="http://schemas.microsoft.com/office/drawing/2014/main" id="{DBEAEFAB-1CC2-47F5-A971-5A071E72A1C6}"/>
                        </a:ext>
                      </a:extLst>
                    </pic:cNvPr>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5943600" cy="3484880"/>
                    </a:xfrm>
                    <a:prstGeom prst="rect">
                      <a:avLst/>
                    </a:prstGeom>
                  </pic:spPr>
                </pic:pic>
              </a:graphicData>
            </a:graphic>
          </wp:inline>
        </w:drawing>
      </w:r>
    </w:p>
    <w:p w14:paraId="16B189DC" w14:textId="31D59F8C" w:rsidR="00B145BE" w:rsidRDefault="00B145BE" w:rsidP="00B145BE">
      <w:pPr>
        <w:spacing w:after="120" w:line="360" w:lineRule="auto"/>
        <w:jc w:val="both"/>
        <w:rPr>
          <w:sz w:val="18"/>
        </w:rPr>
      </w:pPr>
      <w:bookmarkStart w:id="322" w:name="_Toc7364613"/>
      <w:bookmarkStart w:id="323" w:name="_Toc39312727"/>
      <w:r w:rsidRPr="00EB43B0">
        <w:rPr>
          <w:b/>
          <w:sz w:val="20"/>
        </w:rPr>
        <w:t>Figure 7-</w:t>
      </w:r>
      <w:r w:rsidR="00E44DB1" w:rsidRPr="00F87370">
        <w:rPr>
          <w:b/>
          <w:sz w:val="20"/>
        </w:rPr>
        <w:fldChar w:fldCharType="begin"/>
      </w:r>
      <w:r w:rsidR="00E44DB1" w:rsidRPr="00F87370">
        <w:rPr>
          <w:b/>
          <w:sz w:val="20"/>
        </w:rPr>
        <w:instrText xml:space="preserve"> SEQ Figure \* ARABIC </w:instrText>
      </w:r>
      <w:r w:rsidR="00E44DB1" w:rsidRPr="00F87370">
        <w:rPr>
          <w:b/>
          <w:sz w:val="20"/>
        </w:rPr>
        <w:fldChar w:fldCharType="separate"/>
      </w:r>
      <w:r w:rsidR="00E44DB1">
        <w:rPr>
          <w:b/>
          <w:noProof/>
          <w:sz w:val="20"/>
        </w:rPr>
        <w:t>4</w:t>
      </w:r>
      <w:r w:rsidR="00E44DB1" w:rsidRPr="00F87370">
        <w:rPr>
          <w:b/>
          <w:sz w:val="20"/>
        </w:rPr>
        <w:fldChar w:fldCharType="end"/>
      </w:r>
      <w:r w:rsidRPr="00EB43B0">
        <w:rPr>
          <w:b/>
          <w:sz w:val="20"/>
        </w:rPr>
        <w:t xml:space="preserve"> Noise</w:t>
      </w:r>
      <w:r>
        <w:rPr>
          <w:b/>
          <w:sz w:val="20"/>
        </w:rPr>
        <w:t>-</w:t>
      </w:r>
      <w:r w:rsidRPr="00EB43B0">
        <w:rPr>
          <w:b/>
          <w:sz w:val="20"/>
        </w:rPr>
        <w:t>reduced EBSD maps of (TiZrHf)</w:t>
      </w:r>
      <w:r w:rsidRPr="00EB43B0">
        <w:rPr>
          <w:b/>
          <w:sz w:val="20"/>
          <w:vertAlign w:val="subscript"/>
        </w:rPr>
        <w:t>87</w:t>
      </w:r>
      <w:r w:rsidRPr="00EB43B0">
        <w:rPr>
          <w:b/>
          <w:sz w:val="20"/>
        </w:rPr>
        <w:t>Ta</w:t>
      </w:r>
      <w:r w:rsidRPr="00EB43B0">
        <w:rPr>
          <w:b/>
          <w:sz w:val="20"/>
          <w:vertAlign w:val="subscript"/>
        </w:rPr>
        <w:t>13</w:t>
      </w:r>
      <w:r w:rsidRPr="00EB43B0">
        <w:rPr>
          <w:b/>
          <w:sz w:val="20"/>
        </w:rPr>
        <w:t xml:space="preserve"> subjected to </w:t>
      </w:r>
      <w:r w:rsidR="00E44DB1">
        <w:rPr>
          <w:b/>
          <w:sz w:val="20"/>
        </w:rPr>
        <w:t>20</w:t>
      </w:r>
      <w:r w:rsidRPr="00EB43B0">
        <w:rPr>
          <w:b/>
          <w:sz w:val="20"/>
        </w:rPr>
        <w:t xml:space="preserve">% </w:t>
      </w:r>
      <w:r w:rsidRPr="00EB43B0">
        <w:rPr>
          <w:b/>
          <w:noProof/>
          <w:sz w:val="20"/>
        </w:rPr>
        <w:t>deformation</w:t>
      </w:r>
      <w:r w:rsidRPr="00EB43B0">
        <w:rPr>
          <w:sz w:val="20"/>
        </w:rPr>
        <w:t xml:space="preserve">. </w:t>
      </w:r>
      <w:r w:rsidRPr="003C56F1">
        <w:rPr>
          <w:sz w:val="20"/>
        </w:rPr>
        <w:t>(</w:t>
      </w:r>
      <w:r w:rsidRPr="003C56F1">
        <w:rPr>
          <w:b/>
          <w:sz w:val="20"/>
        </w:rPr>
        <w:t>a</w:t>
      </w:r>
      <w:r w:rsidRPr="003C56F1">
        <w:rPr>
          <w:sz w:val="20"/>
        </w:rPr>
        <w:t>)</w:t>
      </w:r>
      <w:r w:rsidRPr="00EB43B0">
        <w:rPr>
          <w:sz w:val="20"/>
        </w:rPr>
        <w:t xml:space="preserve"> Euler map of</w:t>
      </w:r>
      <w:r w:rsidR="00002F6A">
        <w:rPr>
          <w:sz w:val="20"/>
        </w:rPr>
        <w:t xml:space="preserve"> the</w:t>
      </w:r>
      <w:r w:rsidRPr="00EB43B0">
        <w:rPr>
          <w:sz w:val="20"/>
        </w:rPr>
        <w:t xml:space="preserve"> martensite phase, </w:t>
      </w:r>
      <w:r>
        <w:rPr>
          <w:sz w:val="20"/>
        </w:rPr>
        <w:t xml:space="preserve">with the </w:t>
      </w:r>
      <w:r w:rsidRPr="00EB43B0">
        <w:rPr>
          <w:sz w:val="20"/>
        </w:rPr>
        <w:t xml:space="preserve">four martensite variants annotated with black, green, purple and pink. </w:t>
      </w:r>
      <w:r>
        <w:rPr>
          <w:sz w:val="20"/>
        </w:rPr>
        <w:t>In addition to the</w:t>
      </w:r>
      <w:r w:rsidRPr="00EB43B0">
        <w:rPr>
          <w:sz w:val="20"/>
        </w:rPr>
        <w:t xml:space="preserve"> previous misorientation profile which represents type I and </w:t>
      </w:r>
      <w:r w:rsidRPr="00EB43B0">
        <w:rPr>
          <w:noProof/>
          <w:sz w:val="20"/>
        </w:rPr>
        <w:t>type</w:t>
      </w:r>
      <w:r w:rsidRPr="00EB43B0">
        <w:rPr>
          <w:sz w:val="20"/>
        </w:rPr>
        <w:t xml:space="preserve"> II SA twin</w:t>
      </w:r>
      <w:r w:rsidR="00002F6A">
        <w:rPr>
          <w:sz w:val="20"/>
        </w:rPr>
        <w:t>ning</w:t>
      </w:r>
      <w:r w:rsidRPr="00EB43B0">
        <w:rPr>
          <w:sz w:val="20"/>
        </w:rPr>
        <w:t xml:space="preserve">, the misorientation </w:t>
      </w:r>
      <w:r w:rsidRPr="00EB43B0">
        <w:rPr>
          <w:sz w:val="20"/>
          <w:szCs w:val="18"/>
        </w:rPr>
        <w:t>angle &lt;011&gt;</w:t>
      </w:r>
      <w:r w:rsidRPr="00EB43B0">
        <w:rPr>
          <w:rFonts w:cs="Times New Roman"/>
          <w:sz w:val="20"/>
          <w:szCs w:val="18"/>
          <w:vertAlign w:val="subscript"/>
        </w:rPr>
        <w:t xml:space="preserve"> α</w:t>
      </w:r>
      <w:r w:rsidRPr="00EB43B0">
        <w:rPr>
          <w:sz w:val="20"/>
          <w:szCs w:val="18"/>
          <w:vertAlign w:val="subscript"/>
        </w:rPr>
        <w:t>’’</w:t>
      </w:r>
      <w:r w:rsidRPr="00EB43B0">
        <w:rPr>
          <w:sz w:val="20"/>
          <w:szCs w:val="18"/>
        </w:rPr>
        <w:t>~85°</w:t>
      </w:r>
      <w:r w:rsidRPr="00EB43B0">
        <w:rPr>
          <w:sz w:val="24"/>
        </w:rPr>
        <w:t xml:space="preserve"> </w:t>
      </w:r>
      <w:r>
        <w:rPr>
          <w:noProof/>
          <w:sz w:val="20"/>
        </w:rPr>
        <w:t>was</w:t>
      </w:r>
      <w:r w:rsidRPr="00EB43B0">
        <w:rPr>
          <w:noProof/>
          <w:sz w:val="20"/>
        </w:rPr>
        <w:t xml:space="preserve"> applied</w:t>
      </w:r>
      <w:r w:rsidRPr="00EB43B0">
        <w:rPr>
          <w:sz w:val="20"/>
        </w:rPr>
        <w:t xml:space="preserve"> to index</w:t>
      </w:r>
      <w:r>
        <w:rPr>
          <w:sz w:val="20"/>
        </w:rPr>
        <w:t xml:space="preserve"> the</w:t>
      </w:r>
      <w:r w:rsidRPr="00EB43B0">
        <w:rPr>
          <w:sz w:val="20"/>
        </w:rPr>
        <w:t xml:space="preserve"> {011}</w:t>
      </w:r>
      <w:r w:rsidRPr="00EB43B0">
        <w:rPr>
          <w:rFonts w:cs="Times New Roman"/>
          <w:sz w:val="20"/>
          <w:szCs w:val="18"/>
          <w:vertAlign w:val="subscript"/>
        </w:rPr>
        <w:t>α</w:t>
      </w:r>
      <w:r w:rsidRPr="00EB43B0">
        <w:rPr>
          <w:sz w:val="20"/>
          <w:szCs w:val="18"/>
          <w:vertAlign w:val="subscript"/>
        </w:rPr>
        <w:t>’’</w:t>
      </w:r>
      <w:r w:rsidRPr="00EB43B0">
        <w:rPr>
          <w:sz w:val="20"/>
        </w:rPr>
        <w:t xml:space="preserve"> compound twin</w:t>
      </w:r>
      <w:r w:rsidR="00002F6A">
        <w:rPr>
          <w:sz w:val="20"/>
        </w:rPr>
        <w:t>s</w:t>
      </w:r>
      <w:r>
        <w:rPr>
          <w:sz w:val="20"/>
        </w:rPr>
        <w:t>; and</w:t>
      </w:r>
      <w:r w:rsidRPr="00EB43B0">
        <w:rPr>
          <w:sz w:val="20"/>
        </w:rPr>
        <w:t xml:space="preserve"> </w:t>
      </w:r>
      <w:r w:rsidRPr="003C56F1">
        <w:rPr>
          <w:sz w:val="20"/>
        </w:rPr>
        <w:t>(</w:t>
      </w:r>
      <w:r w:rsidRPr="003C56F1">
        <w:rPr>
          <w:b/>
          <w:sz w:val="20"/>
        </w:rPr>
        <w:t>b</w:t>
      </w:r>
      <w:r w:rsidRPr="003C56F1">
        <w:rPr>
          <w:sz w:val="20"/>
        </w:rPr>
        <w:t>)</w:t>
      </w:r>
      <w:r w:rsidRPr="00EB43B0">
        <w:rPr>
          <w:sz w:val="20"/>
        </w:rPr>
        <w:t xml:space="preserve"> </w:t>
      </w:r>
      <w:r>
        <w:rPr>
          <w:sz w:val="20"/>
        </w:rPr>
        <w:t>OR</w:t>
      </w:r>
      <w:r w:rsidRPr="00EB43B0">
        <w:rPr>
          <w:sz w:val="20"/>
        </w:rPr>
        <w:t xml:space="preserve"> of </w:t>
      </w:r>
      <w:r w:rsidR="00002F6A">
        <w:rPr>
          <w:sz w:val="20"/>
        </w:rPr>
        <w:t xml:space="preserve">the </w:t>
      </w:r>
      <w:r w:rsidRPr="00EB43B0">
        <w:rPr>
          <w:sz w:val="20"/>
        </w:rPr>
        <w:t xml:space="preserve">martensite variants. The crystal orientation data </w:t>
      </w:r>
      <w:r w:rsidR="00002F6A">
        <w:rPr>
          <w:noProof/>
          <w:sz w:val="20"/>
        </w:rPr>
        <w:t>were</w:t>
      </w:r>
      <w:r w:rsidR="00002F6A" w:rsidRPr="00EB43B0">
        <w:rPr>
          <w:noProof/>
          <w:sz w:val="20"/>
        </w:rPr>
        <w:t xml:space="preserve"> </w:t>
      </w:r>
      <w:r w:rsidRPr="00EB43B0">
        <w:rPr>
          <w:noProof/>
          <w:sz w:val="20"/>
        </w:rPr>
        <w:t>acquired</w:t>
      </w:r>
      <w:r w:rsidRPr="00EB43B0">
        <w:rPr>
          <w:sz w:val="20"/>
        </w:rPr>
        <w:t xml:space="preserve"> at the red spot</w:t>
      </w:r>
      <w:r>
        <w:rPr>
          <w:sz w:val="20"/>
        </w:rPr>
        <w:t>s</w:t>
      </w:r>
      <w:r w:rsidRPr="00EB43B0">
        <w:rPr>
          <w:sz w:val="20"/>
        </w:rPr>
        <w:t xml:space="preserve">. </w:t>
      </w:r>
      <w:r>
        <w:rPr>
          <w:sz w:val="20"/>
        </w:rPr>
        <w:t>A st</w:t>
      </w:r>
      <w:r w:rsidRPr="00EB43B0">
        <w:rPr>
          <w:sz w:val="20"/>
        </w:rPr>
        <w:t xml:space="preserve">ereo-projection figure </w:t>
      </w:r>
      <w:r>
        <w:rPr>
          <w:noProof/>
          <w:sz w:val="20"/>
        </w:rPr>
        <w:t>was</w:t>
      </w:r>
      <w:r w:rsidRPr="00EB43B0">
        <w:rPr>
          <w:noProof/>
          <w:sz w:val="20"/>
        </w:rPr>
        <w:t xml:space="preserve"> </w:t>
      </w:r>
      <w:r>
        <w:rPr>
          <w:noProof/>
          <w:sz w:val="20"/>
        </w:rPr>
        <w:t>formed</w:t>
      </w:r>
      <w:r w:rsidRPr="00EB43B0">
        <w:rPr>
          <w:sz w:val="20"/>
        </w:rPr>
        <w:t xml:space="preserve"> following the pole acquired from orientation data. The normal ax</w:t>
      </w:r>
      <w:r w:rsidR="00002F6A">
        <w:rPr>
          <w:sz w:val="20"/>
        </w:rPr>
        <w:t>e</w:t>
      </w:r>
      <w:r w:rsidRPr="00EB43B0">
        <w:rPr>
          <w:sz w:val="20"/>
        </w:rPr>
        <w:t xml:space="preserve">s </w:t>
      </w:r>
      <w:r>
        <w:rPr>
          <w:noProof/>
          <w:sz w:val="20"/>
        </w:rPr>
        <w:t>was determined as</w:t>
      </w:r>
      <w:r w:rsidRPr="00EB43B0">
        <w:rPr>
          <w:sz w:val="20"/>
        </w:rPr>
        <w:t xml:space="preserve"> [436]</w:t>
      </w:r>
      <w:r w:rsidRPr="00EB43B0">
        <w:rPr>
          <w:rFonts w:cs="Times New Roman"/>
          <w:sz w:val="20"/>
          <w:vertAlign w:val="subscript"/>
        </w:rPr>
        <w:t>α</w:t>
      </w:r>
      <w:r w:rsidRPr="00EB43B0">
        <w:rPr>
          <w:sz w:val="20"/>
          <w:vertAlign w:val="subscript"/>
        </w:rPr>
        <w:t>’’</w:t>
      </w:r>
      <w:r w:rsidRPr="00EB43B0">
        <w:rPr>
          <w:sz w:val="20"/>
        </w:rPr>
        <w:t>, [401]</w:t>
      </w:r>
      <w:r w:rsidRPr="00EB43B0">
        <w:rPr>
          <w:rFonts w:cs="Times New Roman"/>
          <w:sz w:val="20"/>
          <w:vertAlign w:val="subscript"/>
        </w:rPr>
        <w:t>α</w:t>
      </w:r>
      <w:r w:rsidRPr="00EB43B0">
        <w:rPr>
          <w:sz w:val="20"/>
          <w:vertAlign w:val="subscript"/>
        </w:rPr>
        <w:t>’’</w:t>
      </w:r>
      <w:r w:rsidRPr="00EB43B0">
        <w:rPr>
          <w:sz w:val="20"/>
        </w:rPr>
        <w:t xml:space="preserve">  and [513]</w:t>
      </w:r>
      <w:r w:rsidRPr="00EB43B0">
        <w:rPr>
          <w:rFonts w:cs="Times New Roman"/>
          <w:sz w:val="20"/>
          <w:vertAlign w:val="subscript"/>
        </w:rPr>
        <w:t>α</w:t>
      </w:r>
      <w:r w:rsidRPr="00EB43B0">
        <w:rPr>
          <w:sz w:val="20"/>
          <w:vertAlign w:val="subscript"/>
        </w:rPr>
        <w:t>’’</w:t>
      </w:r>
      <w:r w:rsidRPr="00EB43B0">
        <w:rPr>
          <w:sz w:val="20"/>
        </w:rPr>
        <w:t xml:space="preserve"> for V1, V2, and V3</w:t>
      </w:r>
      <w:r>
        <w:rPr>
          <w:sz w:val="20"/>
        </w:rPr>
        <w:t>, respectively</w:t>
      </w:r>
      <w:r w:rsidRPr="00EB43B0">
        <w:rPr>
          <w:sz w:val="20"/>
        </w:rPr>
        <w:t>.</w:t>
      </w:r>
      <w:bookmarkEnd w:id="322"/>
      <w:bookmarkEnd w:id="323"/>
      <w:r w:rsidRPr="00EB43B0">
        <w:rPr>
          <w:sz w:val="20"/>
        </w:rPr>
        <w:t xml:space="preserve"> </w:t>
      </w:r>
    </w:p>
    <w:p w14:paraId="34027EEF" w14:textId="77777777" w:rsidR="00B145BE" w:rsidRPr="00F87370" w:rsidRDefault="00B145BE" w:rsidP="00B145BE">
      <w:pPr>
        <w:pStyle w:val="2"/>
        <w:spacing w:before="0" w:after="120" w:line="360" w:lineRule="auto"/>
        <w:rPr>
          <w:rFonts w:asciiTheme="minorHAnsi" w:hAnsiTheme="minorHAnsi"/>
          <w:b/>
          <w:color w:val="auto"/>
          <w:sz w:val="32"/>
          <w:lang w:bidi="hi-IN"/>
        </w:rPr>
      </w:pPr>
      <w:bookmarkStart w:id="324" w:name="_Toc22052554"/>
      <w:r w:rsidRPr="00F87370">
        <w:rPr>
          <w:rFonts w:asciiTheme="minorHAnsi" w:hAnsiTheme="minorHAnsi"/>
          <w:b/>
          <w:color w:val="auto"/>
          <w:sz w:val="32"/>
          <w:lang w:bidi="hi-IN"/>
        </w:rPr>
        <w:t>7.3 Deformation mechanism evolution</w:t>
      </w:r>
      <w:bookmarkEnd w:id="324"/>
      <w:r w:rsidRPr="00F87370">
        <w:rPr>
          <w:rFonts w:asciiTheme="minorHAnsi" w:hAnsiTheme="minorHAnsi"/>
          <w:b/>
          <w:color w:val="auto"/>
          <w:sz w:val="32"/>
          <w:lang w:bidi="hi-IN"/>
        </w:rPr>
        <w:t xml:space="preserve">  </w:t>
      </w:r>
    </w:p>
    <w:p w14:paraId="5ECC71A3" w14:textId="77777777" w:rsidR="00B145BE" w:rsidRPr="001C513B" w:rsidRDefault="00B145BE" w:rsidP="00B145BE">
      <w:pPr>
        <w:pStyle w:val="3"/>
        <w:spacing w:before="0" w:after="120" w:line="360" w:lineRule="auto"/>
        <w:rPr>
          <w:rFonts w:asciiTheme="minorHAnsi" w:hAnsiTheme="minorHAnsi"/>
          <w:b/>
          <w:color w:val="auto"/>
          <w:sz w:val="32"/>
          <w:szCs w:val="32"/>
          <w:lang w:bidi="hi-IN"/>
        </w:rPr>
      </w:pPr>
      <w:bookmarkStart w:id="325" w:name="_Toc22052555"/>
      <w:r w:rsidRPr="001C513B">
        <w:rPr>
          <w:rFonts w:asciiTheme="minorHAnsi" w:hAnsiTheme="minorHAnsi"/>
          <w:b/>
          <w:color w:val="auto"/>
          <w:sz w:val="32"/>
          <w:szCs w:val="32"/>
          <w:lang w:bidi="hi-IN"/>
        </w:rPr>
        <w:t>7.3.1 Identification of type II {351}&lt;-211&gt;</w:t>
      </w:r>
      <w:r w:rsidRPr="001C513B">
        <w:rPr>
          <w:rFonts w:asciiTheme="minorHAnsi" w:hAnsiTheme="minorHAnsi"/>
          <w:b/>
          <w:color w:val="auto"/>
          <w:sz w:val="32"/>
          <w:szCs w:val="32"/>
          <w:vertAlign w:val="subscript"/>
          <w:lang w:bidi="hi-IN"/>
        </w:rPr>
        <w:t>α’’</w:t>
      </w:r>
      <w:r w:rsidRPr="001C513B">
        <w:rPr>
          <w:rFonts w:asciiTheme="minorHAnsi" w:hAnsiTheme="minorHAnsi"/>
          <w:b/>
          <w:color w:val="auto"/>
          <w:sz w:val="32"/>
          <w:szCs w:val="32"/>
          <w:lang w:bidi="hi-IN"/>
        </w:rPr>
        <w:t xml:space="preserve"> SA twinning</w:t>
      </w:r>
      <w:bookmarkEnd w:id="325"/>
    </w:p>
    <w:p w14:paraId="643059BF" w14:textId="15E49C4E" w:rsidR="00B145BE" w:rsidRDefault="00B145BE" w:rsidP="00B145BE">
      <w:pPr>
        <w:spacing w:after="120" w:line="360" w:lineRule="auto"/>
        <w:jc w:val="both"/>
      </w:pPr>
      <w:r>
        <w:t xml:space="preserve">In </w:t>
      </w:r>
      <w:r>
        <w:rPr>
          <w:noProof/>
        </w:rPr>
        <w:t>Chapter 6</w:t>
      </w:r>
      <w:r>
        <w:t xml:space="preserve">, by application of the </w:t>
      </w:r>
      <w:r w:rsidRPr="00280CF9">
        <w:rPr>
          <w:noProof/>
        </w:rPr>
        <w:t>IDA</w:t>
      </w:r>
      <w:r>
        <w:t xml:space="preserve"> approach and crystallography of deformation twinning mechanisms, the type II {351}&lt;-211&gt;</w:t>
      </w:r>
      <w:r w:rsidRPr="00877F43">
        <w:rPr>
          <w:rFonts w:cs="Times New Roman"/>
          <w:vertAlign w:val="subscript"/>
        </w:rPr>
        <w:t>α</w:t>
      </w:r>
      <w:r w:rsidRPr="00877F43">
        <w:rPr>
          <w:vertAlign w:val="subscript"/>
        </w:rPr>
        <w:t>’’</w:t>
      </w:r>
      <w:r>
        <w:t xml:space="preserve"> SA twin system was determined as the key deformation structure that occurs during TTIP. By conducting stereo-projection figures on V1 and V2 (Fig. 7-</w:t>
      </w:r>
      <w:r w:rsidR="000442F5">
        <w:t>3</w:t>
      </w:r>
      <w:r>
        <w:t>(</w:t>
      </w:r>
      <w:r w:rsidR="000442F5">
        <w:t>c</w:t>
      </w:r>
      <w:r>
        <w:t>)), the observation of {351}&lt;-211&gt;</w:t>
      </w:r>
      <w:r w:rsidRPr="00877F43">
        <w:rPr>
          <w:rFonts w:cs="Times New Roman"/>
          <w:vertAlign w:val="subscript"/>
        </w:rPr>
        <w:t>α</w:t>
      </w:r>
      <w:r w:rsidRPr="00877F43">
        <w:rPr>
          <w:vertAlign w:val="subscript"/>
        </w:rPr>
        <w:t>’’</w:t>
      </w:r>
      <w:r>
        <w:t xml:space="preserve"> was first captured by EBSD for </w:t>
      </w:r>
      <w:r w:rsidRPr="00224EBF">
        <w:rPr>
          <w:rFonts w:cstheme="minorHAnsi"/>
          <w:color w:val="222222"/>
          <w:spacing w:val="3"/>
          <w:szCs w:val="18"/>
          <w:shd w:val="clear" w:color="auto" w:fill="FFFFFF"/>
        </w:rPr>
        <w:t>(TiZrHf)</w:t>
      </w:r>
      <w:r w:rsidRPr="00224EBF">
        <w:rPr>
          <w:rFonts w:cstheme="minorHAnsi"/>
          <w:color w:val="222222"/>
          <w:spacing w:val="3"/>
          <w:szCs w:val="18"/>
          <w:shd w:val="clear" w:color="auto" w:fill="FFFFFF"/>
          <w:vertAlign w:val="subscript"/>
        </w:rPr>
        <w:t>8</w:t>
      </w:r>
      <w:r>
        <w:rPr>
          <w:rFonts w:cstheme="minorHAnsi"/>
          <w:color w:val="222222"/>
          <w:spacing w:val="3"/>
          <w:szCs w:val="18"/>
          <w:shd w:val="clear" w:color="auto" w:fill="FFFFFF"/>
          <w:vertAlign w:val="subscript"/>
        </w:rPr>
        <w:t>7</w:t>
      </w:r>
      <w:r w:rsidRPr="00224EBF">
        <w:rPr>
          <w:rFonts w:cstheme="minorHAnsi"/>
          <w:color w:val="222222"/>
          <w:spacing w:val="3"/>
          <w:szCs w:val="18"/>
          <w:shd w:val="clear" w:color="auto" w:fill="FFFFFF"/>
        </w:rPr>
        <w:t>Ta</w:t>
      </w:r>
      <w:r w:rsidRPr="00224EBF">
        <w:rPr>
          <w:rFonts w:cstheme="minorHAnsi"/>
          <w:color w:val="222222"/>
          <w:spacing w:val="3"/>
          <w:szCs w:val="18"/>
          <w:shd w:val="clear" w:color="auto" w:fill="FFFFFF"/>
          <w:vertAlign w:val="subscript"/>
        </w:rPr>
        <w:t>1</w:t>
      </w:r>
      <w:r>
        <w:rPr>
          <w:rFonts w:cstheme="minorHAnsi"/>
          <w:color w:val="222222"/>
          <w:spacing w:val="3"/>
          <w:szCs w:val="18"/>
          <w:shd w:val="clear" w:color="auto" w:fill="FFFFFF"/>
          <w:vertAlign w:val="subscript"/>
        </w:rPr>
        <w:t>3</w:t>
      </w:r>
      <w:r>
        <w:t xml:space="preserve"> deformed to </w:t>
      </w:r>
      <w:r w:rsidR="000442F5">
        <w:t>6</w:t>
      </w:r>
      <w:r>
        <w:t>% strain. However, it was difficult to identify whether the observed twinning is related to the type II twin</w:t>
      </w:r>
      <w:r w:rsidR="006C2250">
        <w:t>ning</w:t>
      </w:r>
      <w:r>
        <w:t>. V1 and V2 shared the same lattice vector of [-211]</w:t>
      </w:r>
      <w:r w:rsidRPr="00877F43">
        <w:rPr>
          <w:rFonts w:cs="Times New Roman"/>
          <w:vertAlign w:val="subscript"/>
        </w:rPr>
        <w:t>α</w:t>
      </w:r>
      <w:r w:rsidRPr="00877F43">
        <w:rPr>
          <w:vertAlign w:val="subscript"/>
        </w:rPr>
        <w:t>’’</w:t>
      </w:r>
      <w:r>
        <w:t xml:space="preserve"> and [1-12]</w:t>
      </w:r>
      <w:r w:rsidRPr="00877F43">
        <w:rPr>
          <w:rFonts w:cs="Times New Roman"/>
          <w:vertAlign w:val="subscript"/>
        </w:rPr>
        <w:t>α</w:t>
      </w:r>
      <w:r w:rsidRPr="00877F43">
        <w:rPr>
          <w:vertAlign w:val="subscript"/>
        </w:rPr>
        <w:t>’’</w:t>
      </w:r>
      <w:r>
        <w:t xml:space="preserve"> along</w:t>
      </w:r>
      <w:r w:rsidR="006C2250">
        <w:t xml:space="preserve"> the</w:t>
      </w:r>
      <w:r>
        <w:t xml:space="preserve"> (351)</w:t>
      </w:r>
      <w:r w:rsidRPr="00877F43">
        <w:rPr>
          <w:rFonts w:cs="Times New Roman"/>
          <w:vertAlign w:val="subscript"/>
        </w:rPr>
        <w:t>α</w:t>
      </w:r>
      <w:r w:rsidRPr="00877F43">
        <w:rPr>
          <w:vertAlign w:val="subscript"/>
        </w:rPr>
        <w:t>’’</w:t>
      </w:r>
      <w:r>
        <w:t xml:space="preserve"> plane, which are twinning directions </w:t>
      </w:r>
      <w:r w:rsidRPr="009D4D98">
        <w:rPr>
          <w:noProof/>
        </w:rPr>
        <w:t>of type</w:t>
      </w:r>
      <w:r>
        <w:t xml:space="preserve"> II SA </w:t>
      </w:r>
      <w:r>
        <w:lastRenderedPageBreak/>
        <w:t xml:space="preserve">and mechanical twinning modes. To further identify if the twinning elements of SA twinning observed belong to the mode II TTIP type twinning derived in Chapter 6, TEM </w:t>
      </w:r>
      <w:r w:rsidRPr="00280CF9">
        <w:rPr>
          <w:noProof/>
        </w:rPr>
        <w:t>was conducted</w:t>
      </w:r>
      <w:r>
        <w:t xml:space="preserve"> on specimens</w:t>
      </w:r>
      <w:r w:rsidRPr="00940066">
        <w:t xml:space="preserve"> </w:t>
      </w:r>
      <w:r>
        <w:t>deformed to 6% strain</w:t>
      </w:r>
      <w:r w:rsidRPr="00C7283E">
        <w:rPr>
          <w:rFonts w:cstheme="minorHAnsi"/>
        </w:rPr>
        <w:t>.</w:t>
      </w:r>
      <w:r w:rsidRPr="00977885">
        <w:t xml:space="preserve"> </w:t>
      </w:r>
      <w:r w:rsidRPr="0084377B">
        <w:rPr>
          <w:noProof/>
        </w:rPr>
        <w:t xml:space="preserve"> </w:t>
      </w:r>
      <w:r>
        <w:t>In addition to the widely observed type I {111}</w:t>
      </w:r>
      <w:r w:rsidRPr="00104571">
        <w:rPr>
          <w:rFonts w:ascii="Times New Roman" w:hAnsi="Times New Roman" w:cs="Times New Roman"/>
          <w:vertAlign w:val="subscript"/>
        </w:rPr>
        <w:t>α</w:t>
      </w:r>
      <w:r w:rsidRPr="00104571">
        <w:rPr>
          <w:vertAlign w:val="subscript"/>
        </w:rPr>
        <w:t>’’</w:t>
      </w:r>
      <w:r>
        <w:t xml:space="preserve"> twin, mode II SA {351}&lt;-211&gt;</w:t>
      </w:r>
      <w:r w:rsidRPr="00104571">
        <w:rPr>
          <w:rFonts w:ascii="Times New Roman" w:hAnsi="Times New Roman" w:cs="Times New Roman"/>
          <w:vertAlign w:val="subscript"/>
        </w:rPr>
        <w:t>α</w:t>
      </w:r>
      <w:r w:rsidRPr="00104571">
        <w:rPr>
          <w:vertAlign w:val="subscript"/>
        </w:rPr>
        <w:t>’’</w:t>
      </w:r>
      <w:r w:rsidRPr="00182204">
        <w:t xml:space="preserve"> </w:t>
      </w:r>
      <w:r>
        <w:t>twin</w:t>
      </w:r>
      <w:r w:rsidR="006C2250">
        <w:t>ning</w:t>
      </w:r>
      <w:r>
        <w:t xml:space="preserve"> </w:t>
      </w:r>
      <w:r w:rsidRPr="00280CF9">
        <w:rPr>
          <w:noProof/>
        </w:rPr>
        <w:t>was</w:t>
      </w:r>
      <w:r>
        <w:rPr>
          <w:noProof/>
        </w:rPr>
        <w:t xml:space="preserve"> </w:t>
      </w:r>
      <w:r>
        <w:rPr>
          <w:rFonts w:hint="eastAsia"/>
          <w:noProof/>
        </w:rPr>
        <w:t>also</w:t>
      </w:r>
      <w:r w:rsidRPr="00280CF9">
        <w:rPr>
          <w:noProof/>
        </w:rPr>
        <w:t xml:space="preserve"> imaged</w:t>
      </w:r>
      <w:r w:rsidRPr="009D4D98">
        <w:t xml:space="preserve"> (</w:t>
      </w:r>
      <w:r>
        <w:t>F</w:t>
      </w:r>
      <w:r w:rsidRPr="009D4D98">
        <w:t>ig.</w:t>
      </w:r>
      <w:r>
        <w:t xml:space="preserve"> 7-</w:t>
      </w:r>
      <w:r w:rsidR="000442F5">
        <w:t>5</w:t>
      </w:r>
      <w:r>
        <w:t>(</w:t>
      </w:r>
      <w:r w:rsidRPr="009D4D98">
        <w:t>a</w:t>
      </w:r>
      <w:r>
        <w:t>)</w:t>
      </w:r>
      <w:r w:rsidRPr="009D4D98">
        <w:t>)</w:t>
      </w:r>
      <w:r>
        <w:t xml:space="preserve"> along the [1-12]</w:t>
      </w:r>
      <w:r w:rsidRPr="00104571">
        <w:rPr>
          <w:rFonts w:ascii="Times New Roman" w:hAnsi="Times New Roman" w:cs="Times New Roman"/>
          <w:vertAlign w:val="subscript"/>
        </w:rPr>
        <w:t>α</w:t>
      </w:r>
      <w:r w:rsidRPr="00104571">
        <w:rPr>
          <w:vertAlign w:val="subscript"/>
        </w:rPr>
        <w:t>’’</w:t>
      </w:r>
      <w:r>
        <w:t>//[1-31]</w:t>
      </w:r>
      <w:r w:rsidRPr="00C7283E">
        <w:rPr>
          <w:rFonts w:cstheme="minorHAnsi"/>
          <w:vertAlign w:val="subscript"/>
        </w:rPr>
        <w:t>β</w:t>
      </w:r>
      <w:r>
        <w:t xml:space="preserve"> zone axis for the sample deformed to </w:t>
      </w:r>
      <w:r w:rsidR="000442F5">
        <w:t>6</w:t>
      </w:r>
      <w:r>
        <w:t xml:space="preserve">% strain </w:t>
      </w:r>
      <w:r w:rsidRPr="007E61BC">
        <w:t xml:space="preserve">(the following lattice correspondences </w:t>
      </w:r>
      <w:r w:rsidRPr="007E61BC">
        <w:rPr>
          <w:noProof/>
        </w:rPr>
        <w:t>are used</w:t>
      </w:r>
      <w:r w:rsidRPr="007E61BC">
        <w:t xml:space="preserve"> in </w:t>
      </w:r>
      <w:r w:rsidR="006C2250">
        <w:t xml:space="preserve">the </w:t>
      </w:r>
      <w:r w:rsidRPr="007E61BC">
        <w:t>present chapter</w:t>
      </w:r>
      <w:r w:rsidRPr="00C35785">
        <w:rPr>
          <w:rFonts w:cstheme="minorHAnsi"/>
        </w:rPr>
        <w:t>: β→α″: [10</w:t>
      </w:r>
      <w:r w:rsidRPr="007E61BC">
        <w:t>0]</w:t>
      </w:r>
      <w:r w:rsidRPr="007E61BC">
        <w:rPr>
          <w:rFonts w:ascii="Times New Roman" w:hAnsi="Times New Roman" w:cs="Times New Roman" w:hint="eastAsia"/>
          <w:vertAlign w:val="subscript"/>
        </w:rPr>
        <w:t>α</w:t>
      </w:r>
      <w:r w:rsidRPr="007E61BC">
        <w:rPr>
          <w:vertAlign w:val="subscript"/>
        </w:rPr>
        <w:t>’’</w:t>
      </w:r>
      <w:r w:rsidRPr="007E61BC">
        <w:rPr>
          <w:rFonts w:hint="eastAsia"/>
        </w:rPr>
        <w:t>–</w:t>
      </w:r>
      <w:r w:rsidRPr="007E61BC">
        <w:t>[100]</w:t>
      </w:r>
      <w:r w:rsidRPr="007E61BC">
        <w:rPr>
          <w:rFonts w:cstheme="minorHAnsi" w:hint="eastAsia"/>
          <w:vertAlign w:val="subscript"/>
        </w:rPr>
        <w:t>β</w:t>
      </w:r>
      <w:r w:rsidRPr="007E61BC">
        <w:rPr>
          <w:rFonts w:cstheme="minorHAnsi"/>
        </w:rPr>
        <w:t>, [010]</w:t>
      </w:r>
      <w:r w:rsidRPr="007E61BC">
        <w:rPr>
          <w:rFonts w:cstheme="minorHAnsi" w:hint="eastAsia"/>
          <w:vertAlign w:val="subscript"/>
        </w:rPr>
        <w:t>α″</w:t>
      </w:r>
      <w:r w:rsidRPr="007E61BC">
        <w:rPr>
          <w:rFonts w:cstheme="minorHAnsi"/>
        </w:rPr>
        <w:t>–[011]</w:t>
      </w:r>
      <w:r w:rsidRPr="007E61BC">
        <w:rPr>
          <w:rFonts w:cstheme="minorHAnsi" w:hint="eastAsia"/>
          <w:vertAlign w:val="subscript"/>
        </w:rPr>
        <w:t>β</w:t>
      </w:r>
      <w:r w:rsidRPr="007E61BC">
        <w:rPr>
          <w:rFonts w:cstheme="minorHAnsi"/>
        </w:rPr>
        <w:t>, [001]</w:t>
      </w:r>
      <w:r w:rsidRPr="007E61BC">
        <w:rPr>
          <w:rFonts w:cstheme="minorHAnsi" w:hint="eastAsia"/>
          <w:vertAlign w:val="subscript"/>
        </w:rPr>
        <w:t>α″</w:t>
      </w:r>
      <w:r w:rsidRPr="007E61BC">
        <w:rPr>
          <w:rFonts w:cstheme="minorHAnsi"/>
        </w:rPr>
        <w:t>–[0–11]</w:t>
      </w:r>
      <w:r w:rsidRPr="007E61BC">
        <w:rPr>
          <w:rFonts w:cstheme="minorHAnsi" w:hint="eastAsia"/>
          <w:vertAlign w:val="subscript"/>
        </w:rPr>
        <w:t>β</w:t>
      </w:r>
      <w:r w:rsidRPr="007E61BC">
        <w:rPr>
          <w:rFonts w:cstheme="minorHAnsi"/>
        </w:rPr>
        <w:t>)</w:t>
      </w:r>
      <w:r w:rsidRPr="0039536F">
        <w:t>.</w:t>
      </w:r>
      <w:r>
        <w:t xml:space="preserve"> T</w:t>
      </w:r>
      <w:r w:rsidRPr="009D4D98">
        <w:t xml:space="preserve">wo dark-field images in </w:t>
      </w:r>
      <w:r>
        <w:t>F</w:t>
      </w:r>
      <w:r w:rsidRPr="009D4D98">
        <w:t xml:space="preserve">ig. </w:t>
      </w:r>
      <w:r>
        <w:t>7-</w:t>
      </w:r>
      <w:r w:rsidR="000442F5">
        <w:t>5</w:t>
      </w:r>
      <w:r>
        <w:t>b</w:t>
      </w:r>
      <w:r w:rsidRPr="009D4D98">
        <w:t>(</w:t>
      </w:r>
      <w:r w:rsidRPr="00280CF9">
        <w:rPr>
          <w:noProof/>
        </w:rPr>
        <w:t>i-ii</w:t>
      </w:r>
      <w:r w:rsidRPr="009D4D98">
        <w:t>) were obtained using (-111)</w:t>
      </w:r>
      <w:r w:rsidRPr="009D4D98">
        <w:rPr>
          <w:rFonts w:ascii="Times New Roman" w:hAnsi="Times New Roman" w:cs="Times New Roman"/>
          <w:vertAlign w:val="subscript"/>
        </w:rPr>
        <w:t>α</w:t>
      </w:r>
      <w:r w:rsidRPr="009D4D98">
        <w:rPr>
          <w:vertAlign w:val="subscript"/>
        </w:rPr>
        <w:t>’’</w:t>
      </w:r>
      <w:r w:rsidRPr="009D4D98">
        <w:t xml:space="preserve"> and (-111)</w:t>
      </w:r>
      <w:r w:rsidRPr="009D4D98">
        <w:rPr>
          <w:rFonts w:ascii="Times New Roman" w:hAnsi="Times New Roman" w:cs="Times New Roman"/>
          <w:vertAlign w:val="subscript"/>
        </w:rPr>
        <w:t>α</w:t>
      </w:r>
      <w:r w:rsidRPr="009D4D98">
        <w:rPr>
          <w:vertAlign w:val="subscript"/>
        </w:rPr>
        <w:t>’’T</w:t>
      </w:r>
      <w:r w:rsidRPr="009D4D98">
        <w:t xml:space="preserve"> reflections from the SADP in </w:t>
      </w:r>
      <w:r>
        <w:t>F</w:t>
      </w:r>
      <w:r w:rsidRPr="009D4D98">
        <w:t>ig.</w:t>
      </w:r>
      <w:r>
        <w:t xml:space="preserve"> 7-</w:t>
      </w:r>
      <w:r w:rsidR="000442F5">
        <w:t>5</w:t>
      </w:r>
      <w:r>
        <w:t>(</w:t>
      </w:r>
      <w:r w:rsidRPr="009D4D98">
        <w:t>b</w:t>
      </w:r>
      <w:r>
        <w:t>). The wavy band features indicate other deformation products may exist in this {351}</w:t>
      </w:r>
      <w:r w:rsidRPr="00104571">
        <w:rPr>
          <w:rFonts w:ascii="Times New Roman" w:hAnsi="Times New Roman" w:cs="Times New Roman"/>
          <w:vertAlign w:val="subscript"/>
        </w:rPr>
        <w:t>α</w:t>
      </w:r>
      <w:r w:rsidRPr="00104571">
        <w:rPr>
          <w:vertAlign w:val="subscript"/>
        </w:rPr>
        <w:t>’’</w:t>
      </w:r>
      <w:r>
        <w:t xml:space="preserve"> twinned</w:t>
      </w:r>
      <w:r w:rsidRPr="00DA2170">
        <w:t xml:space="preserve"> </w:t>
      </w:r>
      <w:r w:rsidRPr="00DA2170">
        <w:rPr>
          <w:rFonts w:cs="Times New Roman"/>
        </w:rPr>
        <w:t>α</w:t>
      </w:r>
      <w:r w:rsidRPr="00DA2170">
        <w:t>’’</w:t>
      </w:r>
      <w:r>
        <w:t xml:space="preserve"> variant.</w:t>
      </w:r>
      <w:r w:rsidRPr="009D4D98">
        <w:t xml:space="preserve"> The image in </w:t>
      </w:r>
      <w:r>
        <w:t>F</w:t>
      </w:r>
      <w:r w:rsidRPr="009D4D98">
        <w:t xml:space="preserve">ig. </w:t>
      </w:r>
      <w:r>
        <w:t>7-</w:t>
      </w:r>
      <w:r w:rsidR="000442F5">
        <w:t>5</w:t>
      </w:r>
      <w:r>
        <w:t xml:space="preserve"> b</w:t>
      </w:r>
      <w:r w:rsidRPr="009D4D98">
        <w:t>(</w:t>
      </w:r>
      <w:r w:rsidRPr="00280CF9">
        <w:rPr>
          <w:noProof/>
        </w:rPr>
        <w:t>i-ii</w:t>
      </w:r>
      <w:r w:rsidRPr="009D4D98">
        <w:t xml:space="preserve">) shows that the </w:t>
      </w:r>
      <w:r w:rsidRPr="009D4D98">
        <w:rPr>
          <w:noProof/>
        </w:rPr>
        <w:t>twinning</w:t>
      </w:r>
      <w:r w:rsidRPr="009D4D98">
        <w:t xml:space="preserve"> plane is exactly perpendicular to</w:t>
      </w:r>
      <w:r>
        <w:t xml:space="preserve"> the </w:t>
      </w:r>
      <w:r w:rsidRPr="00AC20CB">
        <w:rPr>
          <w:b/>
        </w:rPr>
        <w:t>g</w:t>
      </w:r>
      <w:r>
        <w:t xml:space="preserve"> vector of (351)</w:t>
      </w:r>
      <w:r w:rsidRPr="00104571">
        <w:rPr>
          <w:rFonts w:ascii="Times New Roman" w:hAnsi="Times New Roman" w:cs="Times New Roman"/>
          <w:vertAlign w:val="subscript"/>
        </w:rPr>
        <w:t>α</w:t>
      </w:r>
      <w:r w:rsidRPr="00104571">
        <w:rPr>
          <w:vertAlign w:val="subscript"/>
        </w:rPr>
        <w:t>’’</w:t>
      </w:r>
      <w:r>
        <w:t xml:space="preserve">, which coincides </w:t>
      </w:r>
      <w:r w:rsidR="000A5412">
        <w:t>with (</w:t>
      </w:r>
      <w:r>
        <w:t>351)</w:t>
      </w:r>
      <w:r w:rsidRPr="00104571">
        <w:rPr>
          <w:rFonts w:ascii="Times New Roman" w:hAnsi="Times New Roman" w:cs="Times New Roman"/>
          <w:vertAlign w:val="subscript"/>
        </w:rPr>
        <w:t>α</w:t>
      </w:r>
      <w:r w:rsidRPr="00104571">
        <w:rPr>
          <w:vertAlign w:val="subscript"/>
        </w:rPr>
        <w:t>’’</w:t>
      </w:r>
      <w:r>
        <w:rPr>
          <w:vertAlign w:val="subscript"/>
        </w:rPr>
        <w:t>T</w:t>
      </w:r>
      <w:r>
        <w:t xml:space="preserve"> as indicated by the </w:t>
      </w:r>
      <w:r w:rsidRPr="004777A0">
        <w:rPr>
          <w:noProof/>
        </w:rPr>
        <w:t>blue</w:t>
      </w:r>
      <w:r>
        <w:t xml:space="preserve"> arrow. To clarify the feature observed within the twinned </w:t>
      </w:r>
      <w:r>
        <w:rPr>
          <w:rFonts w:cstheme="minorHAnsi"/>
        </w:rPr>
        <w:t>α</w:t>
      </w:r>
      <w:r>
        <w:t xml:space="preserve">’’ variant, </w:t>
      </w:r>
      <w:r w:rsidRPr="00280CF9">
        <w:rPr>
          <w:noProof/>
        </w:rPr>
        <w:t>double</w:t>
      </w:r>
      <w:r>
        <w:t xml:space="preserve">-beam condition (g*=110) was applied on the </w:t>
      </w:r>
      <w:r w:rsidRPr="00206950">
        <w:rPr>
          <w:noProof/>
        </w:rPr>
        <w:t>same</w:t>
      </w:r>
      <w:r>
        <w:t xml:space="preserve"> twinning. Instead of dislocations</w:t>
      </w:r>
      <w:r w:rsidRPr="00206950">
        <w:t xml:space="preserve">, </w:t>
      </w:r>
      <w:r w:rsidR="006C2250">
        <w:t xml:space="preserve">an </w:t>
      </w:r>
      <w:r w:rsidRPr="00206950">
        <w:t>antiphase boundary</w:t>
      </w:r>
      <w:r>
        <w:t xml:space="preserve"> (APB)</w:t>
      </w:r>
      <w:r w:rsidRPr="00206950">
        <w:t xml:space="preserve"> like stacking fault structure</w:t>
      </w:r>
      <w:r w:rsidR="006C2250">
        <w:t>s</w:t>
      </w:r>
      <w:r w:rsidRPr="00206950">
        <w:t xml:space="preserve"> were captured within the twin boundary</w:t>
      </w:r>
      <w:r>
        <w:t xml:space="preserve"> </w:t>
      </w:r>
      <w:r w:rsidRPr="00206950">
        <w:t xml:space="preserve">in </w:t>
      </w:r>
      <w:r>
        <w:t>F</w:t>
      </w:r>
      <w:r w:rsidRPr="00206950">
        <w:t>ig.</w:t>
      </w:r>
      <w:r>
        <w:t xml:space="preserve"> 7-</w:t>
      </w:r>
      <w:r w:rsidR="000442F5">
        <w:t>5</w:t>
      </w:r>
      <w:r>
        <w:t xml:space="preserve"> b</w:t>
      </w:r>
      <w:r w:rsidRPr="00206950">
        <w:t xml:space="preserve">(iii-iv). </w:t>
      </w:r>
      <w:r>
        <w:rPr>
          <w:noProof/>
        </w:rPr>
        <w:t>Known</w:t>
      </w:r>
      <w:r w:rsidRPr="00280CF9">
        <w:rPr>
          <w:noProof/>
        </w:rPr>
        <w:t xml:space="preserve"> as products of martensitic transformation</w:t>
      </w:r>
      <w:r>
        <w:rPr>
          <w:noProof/>
        </w:rPr>
        <w:t xml:space="preserve"> </w:t>
      </w:r>
      <w:r>
        <w:rPr>
          <w:noProof/>
        </w:rPr>
        <w:fldChar w:fldCharType="begin" w:fldLock="1"/>
      </w:r>
      <w:r>
        <w:rPr>
          <w:noProof/>
        </w:rPr>
        <w:instrText>ADDIN CSL_CITATION {"citationItems":[{"id":"ITEM-1","itemData":{"DOI":"10.1080/14786435.2010.489889","ISBN":"1478-6435","ISSN":"14786435","abstract":"The ordering and antiphase boundary (APB)-like fault found in the alpha''-martensite of beta-Ti shape memory alloys are studied. Long-range chemical ordering was not found, but APB-like faults were observed in every martensite plate studied by transmission electron microscopy. These faults have morphology similar to the APBs observed in ordered phases. The superlattice reflections observed in some previous works were a consequence of multiple diffractions. APB-like faults were not observed in the parent phase, leading to the conclusion that the faults were introduced by the martensite transformation. The fault took the form of a wavy tube running perpendicular to the habit plane. The fault was a 'transformation-induced APB' with an additional small displacement due to the pre-existing athermal omega phase. The displacement vector was determined to be [-3/50, -23/50, 1/2]. Geometrical aspects of the formation of APB-like faults are also discussed.","author":[{"dropping-particle":"","family":"Inamura","given":"Tomonari","non-dropping-particle":"","parse-names":false,"suffix":""},{"dropping-particle":"","family":"Hosoda","given":"Hideki","non-dropping-particle":"","parse-names":false,"suffix":""},{"dropping-particle":"","family":"Young Kim","given":"Hee","non-dropping-particle":"","parse-names":false,"suffix":""},{"dropping-particle":"","family":"Miyazaki","giv</w:instrText>
      </w:r>
      <w:r>
        <w:rPr>
          <w:rFonts w:hint="eastAsia"/>
          <w:noProof/>
        </w:rPr>
        <w:instrText xml:space="preserve">en":"Shuichi","non-dropping-particle":"","parse-names":false,"suffix":""}],"container-title":"Philosophical Magazine","id":"ITEM-1","issued":{"date-parts":[["2010"]]},"title":"Antiphase boundary-like stacking fault in </w:instrText>
      </w:r>
      <w:r>
        <w:rPr>
          <w:rFonts w:hint="eastAsia"/>
          <w:noProof/>
        </w:rPr>
        <w:instrText>α″</w:instrText>
      </w:r>
      <w:r>
        <w:rPr>
          <w:rFonts w:hint="eastAsia"/>
          <w:noProof/>
        </w:rPr>
        <w:instrText>-martensite of disordered crystal s</w:instrText>
      </w:r>
      <w:r>
        <w:rPr>
          <w:noProof/>
        </w:rPr>
        <w:instrText>tructure in β-titanium shape memory alloy","type":"article-journal"},"uris":["http://www.mendeley.com/documents/?uuid=9c0b8923-b252-4d20-8016-eb789b499af0"]}],"mendeley":{"formattedCitation":"[17]","plainTextFormattedCitation":"[17]","previouslyFormattedCitation":"[31]"},"properties":{"noteIndex":0},"schema":"https://github.com/citation-style-language/schema/raw/master/csl-citation.json"}</w:instrText>
      </w:r>
      <w:r>
        <w:rPr>
          <w:noProof/>
        </w:rPr>
        <w:fldChar w:fldCharType="separate"/>
      </w:r>
      <w:r w:rsidRPr="00681C64">
        <w:rPr>
          <w:noProof/>
        </w:rPr>
        <w:t>[17]</w:t>
      </w:r>
      <w:r>
        <w:rPr>
          <w:noProof/>
        </w:rPr>
        <w:fldChar w:fldCharType="end"/>
      </w:r>
      <w:r w:rsidRPr="00280CF9">
        <w:rPr>
          <w:noProof/>
        </w:rPr>
        <w:t xml:space="preserve">, </w:t>
      </w:r>
      <w:r>
        <w:t xml:space="preserve">the </w:t>
      </w:r>
      <w:r w:rsidRPr="00206950">
        <w:t>nano-domain</w:t>
      </w:r>
      <w:r>
        <w:t xml:space="preserve"> observed </w:t>
      </w:r>
      <w:r w:rsidRPr="00280CF9">
        <w:rPr>
          <w:noProof/>
        </w:rPr>
        <w:t xml:space="preserve">in </w:t>
      </w:r>
      <w:r>
        <w:rPr>
          <w:noProof/>
        </w:rPr>
        <w:t>F</w:t>
      </w:r>
      <w:r w:rsidRPr="00280CF9">
        <w:rPr>
          <w:noProof/>
        </w:rPr>
        <w:t>ig</w:t>
      </w:r>
      <w:r>
        <w:t>. 7-</w:t>
      </w:r>
      <w:r w:rsidR="000442F5">
        <w:t>5</w:t>
      </w:r>
      <w:r>
        <w:t>(b)</w:t>
      </w:r>
      <w:r w:rsidRPr="00206950">
        <w:t xml:space="preserve"> may serve as </w:t>
      </w:r>
      <w:r w:rsidR="006C2250">
        <w:t xml:space="preserve">a </w:t>
      </w:r>
      <w:r w:rsidRPr="00206950">
        <w:t xml:space="preserve">nucleation </w:t>
      </w:r>
      <w:r w:rsidR="006C2250">
        <w:t>site for</w:t>
      </w:r>
      <w:r w:rsidR="006C2250" w:rsidRPr="00206950">
        <w:t xml:space="preserve"> </w:t>
      </w:r>
      <w:r w:rsidRPr="00206950">
        <w:t>new martensite variants and enable TTIP deformation products to generate within primary {351}</w:t>
      </w:r>
      <w:r w:rsidRPr="00206950">
        <w:rPr>
          <w:rFonts w:ascii="Times New Roman" w:hAnsi="Times New Roman" w:cs="Times New Roman"/>
          <w:vertAlign w:val="subscript"/>
        </w:rPr>
        <w:t>α</w:t>
      </w:r>
      <w:r w:rsidRPr="00206950">
        <w:rPr>
          <w:vertAlign w:val="subscript"/>
        </w:rPr>
        <w:t>’’</w:t>
      </w:r>
      <w:r w:rsidRPr="00206950">
        <w:t xml:space="preserve"> twin</w:t>
      </w:r>
      <w:r>
        <w:t xml:space="preserve">ned variant </w:t>
      </w:r>
      <w:r>
        <w:fldChar w:fldCharType="begin" w:fldLock="1"/>
      </w:r>
      <w:r>
        <w:instrText>ADDIN CSL_CITATION {"citationItems":[{"id":"ITEM-1","itemData":{"DOI":"10.1038/s41598-018-30059-8","ISSN":"20452322","author":[{"dropping-particle":"","family":"Lee","given":"Sangwon","non-dropping-particle":"","parse-names":false,"suffix":""},{"dropping-particle":"","family":"Park","given":"Chanhee","non-dropping-particle":"","parse-names":false,"suffix":""},{"dropping-particle":"","family":"Hong","given":"Jaekeun","non-dropping-particle":"","parse-names":false,"suffix":""},{"dropping-particle":"","family":"Yeom","given":"Jong taek","non-dropping-particle":"","parse-names":false,"suffix":""}],"container-title":"Scientific Reports","id":"ITEM-1","issued":{"date-parts":[["2018"]]},"title":"The Role of Nano-domains in {1–011} Twinned Martensite in Metastable Titanium Alloys","type":"article-journal"},"uris":["http://www.mendeley.com/documents/?uuid=20a7a593-1059-43a7-977b-5a1bdc5dfddd"]}],"mendeley":{"formattedCitation":"[18]","plainTextFormattedCitation":"[18]","previouslyFormattedCitation":"[32]"},"properties":{"noteIndex":0},"schema":"https://github.com/citation-style-language/schema/raw/master/csl-citation.json"}</w:instrText>
      </w:r>
      <w:r>
        <w:fldChar w:fldCharType="separate"/>
      </w:r>
      <w:r w:rsidRPr="00681C64">
        <w:rPr>
          <w:noProof/>
        </w:rPr>
        <w:t>[18]</w:t>
      </w:r>
      <w:r>
        <w:fldChar w:fldCharType="end"/>
      </w:r>
      <w:r w:rsidRPr="00206950">
        <w:t xml:space="preserve">. </w:t>
      </w:r>
    </w:p>
    <w:p w14:paraId="2DEFE4EE" w14:textId="77777777" w:rsidR="00B145BE" w:rsidRDefault="00B145BE" w:rsidP="00B145BE">
      <w:pPr>
        <w:keepNext/>
        <w:spacing w:after="120" w:line="360" w:lineRule="auto"/>
        <w:jc w:val="center"/>
      </w:pPr>
      <w:r w:rsidRPr="000C45BD">
        <w:rPr>
          <w:noProof/>
          <w:lang w:val="en-US" w:eastAsia="en-US"/>
        </w:rPr>
        <w:drawing>
          <wp:inline distT="0" distB="0" distL="0" distR="0" wp14:anchorId="0E795EB5" wp14:editId="75F3F0B6">
            <wp:extent cx="5349240" cy="3533013"/>
            <wp:effectExtent l="0" t="0" r="3810" b="0"/>
            <wp:docPr id="235" name="图片 257" descr="图片包含 照片&#10;&#10;描述已自动生成">
              <a:extLst xmlns:a="http://schemas.openxmlformats.org/drawingml/2006/main">
                <a:ext uri="{FF2B5EF4-FFF2-40B4-BE49-F238E27FC236}">
                  <a16:creationId xmlns:a16="http://schemas.microsoft.com/office/drawing/2014/main" id="{922E4A11-E676-4312-BE23-9B7A1C27A6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7" descr="图片包含 照片&#10;&#10;描述已自动生成">
                      <a:extLst>
                        <a:ext uri="{FF2B5EF4-FFF2-40B4-BE49-F238E27FC236}">
                          <a16:creationId xmlns:a16="http://schemas.microsoft.com/office/drawing/2014/main" id="{922E4A11-E676-4312-BE23-9B7A1C27A651}"/>
                        </a:ext>
                      </a:extLst>
                    </pic:cNvPr>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5353585" cy="3535882"/>
                    </a:xfrm>
                    <a:prstGeom prst="rect">
                      <a:avLst/>
                    </a:prstGeom>
                  </pic:spPr>
                </pic:pic>
              </a:graphicData>
            </a:graphic>
          </wp:inline>
        </w:drawing>
      </w:r>
    </w:p>
    <w:p w14:paraId="672E518E" w14:textId="5C3F04C9" w:rsidR="00B145BE" w:rsidRDefault="00B145BE" w:rsidP="00B145BE">
      <w:pPr>
        <w:spacing w:after="120" w:line="360" w:lineRule="auto"/>
        <w:jc w:val="both"/>
      </w:pPr>
      <w:bookmarkStart w:id="326" w:name="_Toc39312728"/>
      <w:r w:rsidRPr="00142BDE">
        <w:rPr>
          <w:b/>
          <w:sz w:val="20"/>
        </w:rPr>
        <w:t>Figure 7-</w:t>
      </w:r>
      <w:r w:rsidR="000442F5" w:rsidRPr="00F87370">
        <w:rPr>
          <w:b/>
          <w:sz w:val="20"/>
        </w:rPr>
        <w:fldChar w:fldCharType="begin"/>
      </w:r>
      <w:r w:rsidR="000442F5" w:rsidRPr="00F87370">
        <w:rPr>
          <w:b/>
          <w:sz w:val="20"/>
        </w:rPr>
        <w:instrText xml:space="preserve"> SEQ Figure \* ARABIC </w:instrText>
      </w:r>
      <w:r w:rsidR="000442F5" w:rsidRPr="00F87370">
        <w:rPr>
          <w:b/>
          <w:sz w:val="20"/>
        </w:rPr>
        <w:fldChar w:fldCharType="separate"/>
      </w:r>
      <w:r w:rsidR="000442F5">
        <w:rPr>
          <w:b/>
          <w:noProof/>
          <w:sz w:val="20"/>
        </w:rPr>
        <w:t>5</w:t>
      </w:r>
      <w:r w:rsidR="000442F5" w:rsidRPr="00F87370">
        <w:rPr>
          <w:b/>
          <w:sz w:val="20"/>
        </w:rPr>
        <w:fldChar w:fldCharType="end"/>
      </w:r>
      <w:r w:rsidRPr="00142BDE">
        <w:rPr>
          <w:b/>
          <w:sz w:val="20"/>
        </w:rPr>
        <w:t xml:space="preserve"> TEM images of {351}</w:t>
      </w:r>
      <w:r w:rsidRPr="00142BDE">
        <w:rPr>
          <w:rFonts w:ascii="Times New Roman" w:hAnsi="Times New Roman" w:cs="Times New Roman"/>
          <w:b/>
          <w:sz w:val="20"/>
          <w:vertAlign w:val="subscript"/>
        </w:rPr>
        <w:t>α</w:t>
      </w:r>
      <w:r w:rsidRPr="00142BDE">
        <w:rPr>
          <w:b/>
          <w:sz w:val="20"/>
          <w:vertAlign w:val="subscript"/>
        </w:rPr>
        <w:t>’’</w:t>
      </w:r>
      <w:r w:rsidRPr="00142BDE">
        <w:rPr>
          <w:b/>
          <w:sz w:val="20"/>
        </w:rPr>
        <w:t xml:space="preserve"> twinning in the specimen </w:t>
      </w:r>
      <w:r w:rsidRPr="00142BDE">
        <w:rPr>
          <w:b/>
          <w:noProof/>
          <w:sz w:val="20"/>
        </w:rPr>
        <w:t>deformed</w:t>
      </w:r>
      <w:r w:rsidRPr="00142BDE">
        <w:rPr>
          <w:b/>
          <w:sz w:val="20"/>
        </w:rPr>
        <w:t xml:space="preserve"> </w:t>
      </w:r>
      <w:r>
        <w:rPr>
          <w:b/>
          <w:sz w:val="20"/>
        </w:rPr>
        <w:t>to</w:t>
      </w:r>
      <w:r w:rsidRPr="00142BDE">
        <w:rPr>
          <w:b/>
          <w:sz w:val="20"/>
        </w:rPr>
        <w:t xml:space="preserve"> </w:t>
      </w:r>
      <w:r w:rsidR="000442F5">
        <w:rPr>
          <w:b/>
          <w:sz w:val="20"/>
        </w:rPr>
        <w:t>6</w:t>
      </w:r>
      <w:r w:rsidRPr="00142BDE">
        <w:rPr>
          <w:b/>
          <w:sz w:val="20"/>
        </w:rPr>
        <w:t>% strain</w:t>
      </w:r>
      <w:r w:rsidRPr="00142BDE">
        <w:rPr>
          <w:b/>
          <w:noProof/>
          <w:sz w:val="20"/>
        </w:rPr>
        <w:t xml:space="preserve">. </w:t>
      </w:r>
      <w:r w:rsidRPr="003C56F1">
        <w:rPr>
          <w:noProof/>
          <w:sz w:val="20"/>
        </w:rPr>
        <w:t>(</w:t>
      </w:r>
      <w:r w:rsidRPr="003C56F1">
        <w:rPr>
          <w:b/>
          <w:sz w:val="20"/>
        </w:rPr>
        <w:t>a</w:t>
      </w:r>
      <w:r w:rsidRPr="003C56F1">
        <w:rPr>
          <w:sz w:val="20"/>
        </w:rPr>
        <w:t>)</w:t>
      </w:r>
      <w:r>
        <w:rPr>
          <w:sz w:val="20"/>
        </w:rPr>
        <w:t xml:space="preserve"> a b</w:t>
      </w:r>
      <w:r w:rsidRPr="00142BDE">
        <w:rPr>
          <w:sz w:val="20"/>
        </w:rPr>
        <w:t xml:space="preserve">right field image of the </w:t>
      </w:r>
      <w:r w:rsidRPr="00142BDE">
        <w:rPr>
          <w:noProof/>
          <w:sz w:val="20"/>
        </w:rPr>
        <w:t>target</w:t>
      </w:r>
      <w:r w:rsidRPr="00142BDE">
        <w:rPr>
          <w:sz w:val="20"/>
        </w:rPr>
        <w:t xml:space="preserve"> area</w:t>
      </w:r>
      <w:r>
        <w:rPr>
          <w:sz w:val="20"/>
        </w:rPr>
        <w:t>;</w:t>
      </w:r>
      <w:r w:rsidRPr="00142BDE">
        <w:rPr>
          <w:sz w:val="20"/>
        </w:rPr>
        <w:t xml:space="preserve"> </w:t>
      </w:r>
      <w:r w:rsidRPr="003C56F1">
        <w:rPr>
          <w:sz w:val="20"/>
        </w:rPr>
        <w:t>(</w:t>
      </w:r>
      <w:r w:rsidRPr="003C56F1">
        <w:rPr>
          <w:b/>
          <w:sz w:val="20"/>
        </w:rPr>
        <w:t>b</w:t>
      </w:r>
      <w:r w:rsidRPr="003C56F1">
        <w:rPr>
          <w:sz w:val="20"/>
        </w:rPr>
        <w:t>)</w:t>
      </w:r>
      <w:r w:rsidRPr="00142BDE">
        <w:rPr>
          <w:sz w:val="20"/>
        </w:rPr>
        <w:t xml:space="preserve"> SADP taken along</w:t>
      </w:r>
      <w:r w:rsidR="006C2250">
        <w:rPr>
          <w:sz w:val="20"/>
        </w:rPr>
        <w:t xml:space="preserve"> the</w:t>
      </w:r>
      <w:r w:rsidRPr="00142BDE">
        <w:rPr>
          <w:sz w:val="20"/>
        </w:rPr>
        <w:t xml:space="preserve"> [1-12] zone axis of </w:t>
      </w:r>
      <w:r w:rsidR="006C2250">
        <w:rPr>
          <w:sz w:val="20"/>
        </w:rPr>
        <w:t xml:space="preserve">the </w:t>
      </w:r>
      <w:r w:rsidRPr="00142BDE">
        <w:rPr>
          <w:noProof/>
          <w:sz w:val="20"/>
        </w:rPr>
        <w:t>twinning</w:t>
      </w:r>
      <w:r w:rsidRPr="00142BDE">
        <w:rPr>
          <w:sz w:val="20"/>
        </w:rPr>
        <w:t xml:space="preserve"> boundary, matrix and twinning set DP are </w:t>
      </w:r>
      <w:r w:rsidRPr="00142BDE">
        <w:rPr>
          <w:sz w:val="20"/>
        </w:rPr>
        <w:lastRenderedPageBreak/>
        <w:t>marked with green and red circles</w:t>
      </w:r>
      <w:r>
        <w:rPr>
          <w:sz w:val="20"/>
        </w:rPr>
        <w:t>,</w:t>
      </w:r>
      <w:r w:rsidRPr="00142BDE">
        <w:rPr>
          <w:sz w:val="20"/>
        </w:rPr>
        <w:t xml:space="preserve"> respectively</w:t>
      </w:r>
      <w:r>
        <w:rPr>
          <w:sz w:val="20"/>
        </w:rPr>
        <w:t>;</w:t>
      </w:r>
      <w:r w:rsidRPr="00142BDE">
        <w:rPr>
          <w:sz w:val="20"/>
        </w:rPr>
        <w:t xml:space="preserve"> </w:t>
      </w:r>
      <w:r w:rsidRPr="009A32B0">
        <w:rPr>
          <w:b/>
          <w:sz w:val="20"/>
        </w:rPr>
        <w:t>i.</w:t>
      </w:r>
      <w:r>
        <w:rPr>
          <w:sz w:val="20"/>
        </w:rPr>
        <w:t xml:space="preserve"> DFI</w:t>
      </w:r>
      <w:r w:rsidRPr="00142BDE">
        <w:rPr>
          <w:sz w:val="20"/>
        </w:rPr>
        <w:t xml:space="preserve"> of the </w:t>
      </w:r>
      <w:r w:rsidRPr="00142BDE">
        <w:rPr>
          <w:noProof/>
          <w:sz w:val="20"/>
        </w:rPr>
        <w:t>matrix</w:t>
      </w:r>
      <w:r w:rsidRPr="00142BDE">
        <w:rPr>
          <w:sz w:val="20"/>
        </w:rPr>
        <w:t xml:space="preserve"> and </w:t>
      </w:r>
      <w:r w:rsidRPr="00142BDE">
        <w:rPr>
          <w:b/>
          <w:sz w:val="20"/>
        </w:rPr>
        <w:t>ii.</w:t>
      </w:r>
      <w:r w:rsidRPr="00142BDE">
        <w:rPr>
          <w:sz w:val="20"/>
        </w:rPr>
        <w:t xml:space="preserve"> of </w:t>
      </w:r>
      <w:r w:rsidR="006C2250">
        <w:rPr>
          <w:noProof/>
          <w:sz w:val="20"/>
        </w:rPr>
        <w:t>the t</w:t>
      </w:r>
      <w:r w:rsidRPr="00142BDE">
        <w:rPr>
          <w:noProof/>
          <w:sz w:val="20"/>
        </w:rPr>
        <w:t>win</w:t>
      </w:r>
      <w:r w:rsidRPr="00142BDE">
        <w:rPr>
          <w:sz w:val="20"/>
        </w:rPr>
        <w:t xml:space="preserve">; </w:t>
      </w:r>
      <w:r w:rsidRPr="00142BDE">
        <w:rPr>
          <w:b/>
          <w:noProof/>
          <w:sz w:val="20"/>
        </w:rPr>
        <w:t>iii</w:t>
      </w:r>
      <w:r w:rsidRPr="00142BDE">
        <w:rPr>
          <w:sz w:val="20"/>
        </w:rPr>
        <w:t xml:space="preserve">. </w:t>
      </w:r>
      <w:r>
        <w:rPr>
          <w:noProof/>
          <w:sz w:val="20"/>
        </w:rPr>
        <w:t>a</w:t>
      </w:r>
      <w:r w:rsidRPr="00142BDE">
        <w:rPr>
          <w:noProof/>
          <w:sz w:val="20"/>
        </w:rPr>
        <w:t>ntiphase</w:t>
      </w:r>
      <w:r w:rsidRPr="00142BDE">
        <w:rPr>
          <w:sz w:val="20"/>
        </w:rPr>
        <w:t xml:space="preserve"> boundary </w:t>
      </w:r>
      <w:r>
        <w:rPr>
          <w:sz w:val="20"/>
        </w:rPr>
        <w:t>appearing similar to</w:t>
      </w:r>
      <w:r w:rsidRPr="00142BDE">
        <w:rPr>
          <w:sz w:val="20"/>
        </w:rPr>
        <w:t xml:space="preserve"> stacking fault</w:t>
      </w:r>
      <w:r>
        <w:rPr>
          <w:sz w:val="20"/>
        </w:rPr>
        <w:t>s</w:t>
      </w:r>
      <w:r w:rsidRPr="00142BDE">
        <w:rPr>
          <w:sz w:val="20"/>
        </w:rPr>
        <w:t xml:space="preserve"> observed in two</w:t>
      </w:r>
      <w:r>
        <w:rPr>
          <w:sz w:val="20"/>
        </w:rPr>
        <w:t>-</w:t>
      </w:r>
      <w:r w:rsidRPr="00142BDE">
        <w:rPr>
          <w:sz w:val="20"/>
        </w:rPr>
        <w:t xml:space="preserve">beam condition. </w:t>
      </w:r>
      <w:r w:rsidRPr="00142BDE">
        <w:rPr>
          <w:b/>
          <w:sz w:val="20"/>
        </w:rPr>
        <w:t>iv</w:t>
      </w:r>
      <w:r w:rsidRPr="00142BDE">
        <w:rPr>
          <w:sz w:val="20"/>
        </w:rPr>
        <w:t xml:space="preserve">. </w:t>
      </w:r>
      <w:r>
        <w:rPr>
          <w:noProof/>
          <w:sz w:val="20"/>
        </w:rPr>
        <w:t>a</w:t>
      </w:r>
      <w:r w:rsidRPr="00142BDE">
        <w:rPr>
          <w:noProof/>
          <w:sz w:val="20"/>
        </w:rPr>
        <w:t>n enlarged</w:t>
      </w:r>
      <w:r w:rsidRPr="00142BDE">
        <w:rPr>
          <w:sz w:val="20"/>
        </w:rPr>
        <w:t xml:space="preserve"> feature within twin boundary</w:t>
      </w:r>
      <w:r w:rsidRPr="006B3536">
        <w:rPr>
          <w:sz w:val="20"/>
        </w:rPr>
        <w:t xml:space="preserve">. </w:t>
      </w:r>
      <w:r w:rsidRPr="006B3536">
        <w:rPr>
          <w:sz w:val="20"/>
          <w:szCs w:val="18"/>
        </w:rPr>
        <w:t>HRTEM images of the {351}</w:t>
      </w:r>
      <w:r w:rsidRPr="006B3536">
        <w:rPr>
          <w:rFonts w:ascii="Times New Roman" w:hAnsi="Times New Roman" w:cs="Times New Roman"/>
          <w:sz w:val="20"/>
          <w:szCs w:val="18"/>
          <w:vertAlign w:val="subscript"/>
        </w:rPr>
        <w:t>α</w:t>
      </w:r>
      <w:r w:rsidRPr="006B3536">
        <w:rPr>
          <w:sz w:val="20"/>
          <w:szCs w:val="18"/>
          <w:vertAlign w:val="subscript"/>
        </w:rPr>
        <w:t>’’</w:t>
      </w:r>
      <w:r w:rsidRPr="006B3536">
        <w:rPr>
          <w:sz w:val="20"/>
          <w:szCs w:val="18"/>
        </w:rPr>
        <w:t xml:space="preserve"> twinning boundary</w:t>
      </w:r>
      <w:r>
        <w:rPr>
          <w:sz w:val="20"/>
          <w:szCs w:val="18"/>
        </w:rPr>
        <w:t>;</w:t>
      </w:r>
      <w:r w:rsidRPr="00142BDE">
        <w:rPr>
          <w:b/>
          <w:sz w:val="20"/>
          <w:szCs w:val="18"/>
        </w:rPr>
        <w:t xml:space="preserve"> </w:t>
      </w:r>
      <w:r w:rsidRPr="003C56F1">
        <w:rPr>
          <w:sz w:val="20"/>
          <w:szCs w:val="18"/>
        </w:rPr>
        <w:t>(</w:t>
      </w:r>
      <w:r w:rsidR="0000043C">
        <w:rPr>
          <w:b/>
          <w:sz w:val="20"/>
          <w:szCs w:val="18"/>
        </w:rPr>
        <w:t>c</w:t>
      </w:r>
      <w:r w:rsidRPr="003C56F1">
        <w:rPr>
          <w:sz w:val="20"/>
          <w:szCs w:val="18"/>
        </w:rPr>
        <w:t>)</w:t>
      </w:r>
      <w:r w:rsidRPr="00142BDE">
        <w:rPr>
          <w:sz w:val="20"/>
          <w:szCs w:val="18"/>
        </w:rPr>
        <w:t xml:space="preserve"> </w:t>
      </w:r>
      <w:r w:rsidR="0000043C" w:rsidRPr="00142BDE">
        <w:rPr>
          <w:sz w:val="20"/>
        </w:rPr>
        <w:t>SADP taken along</w:t>
      </w:r>
      <w:r w:rsidR="0000043C">
        <w:rPr>
          <w:sz w:val="20"/>
        </w:rPr>
        <w:t xml:space="preserve"> the</w:t>
      </w:r>
      <w:r w:rsidR="0000043C" w:rsidRPr="00142BDE">
        <w:rPr>
          <w:sz w:val="20"/>
        </w:rPr>
        <w:t xml:space="preserve"> [</w:t>
      </w:r>
      <w:r w:rsidR="0000043C">
        <w:rPr>
          <w:sz w:val="20"/>
        </w:rPr>
        <w:t>100</w:t>
      </w:r>
      <w:r w:rsidR="0000043C" w:rsidRPr="00142BDE">
        <w:rPr>
          <w:sz w:val="20"/>
        </w:rPr>
        <w:t>]</w:t>
      </w:r>
      <w:r w:rsidR="0000043C">
        <w:rPr>
          <w:sz w:val="20"/>
        </w:rPr>
        <w:t>//[011]</w:t>
      </w:r>
      <w:r w:rsidR="0000043C" w:rsidRPr="00142BDE">
        <w:rPr>
          <w:sz w:val="20"/>
        </w:rPr>
        <w:t xml:space="preserve"> zone axis of </w:t>
      </w:r>
      <w:r w:rsidR="0000043C">
        <w:rPr>
          <w:sz w:val="20"/>
        </w:rPr>
        <w:t xml:space="preserve">the </w:t>
      </w:r>
      <w:r w:rsidR="0000043C" w:rsidRPr="00142BDE">
        <w:rPr>
          <w:noProof/>
          <w:sz w:val="20"/>
        </w:rPr>
        <w:t>twinning</w:t>
      </w:r>
      <w:r w:rsidR="0000043C" w:rsidRPr="00142BDE">
        <w:rPr>
          <w:sz w:val="20"/>
        </w:rPr>
        <w:t xml:space="preserve"> boundary, matrix and twinning set DP are marked with green and red circles</w:t>
      </w:r>
      <w:r w:rsidR="0000043C">
        <w:rPr>
          <w:sz w:val="20"/>
        </w:rPr>
        <w:t>,</w:t>
      </w:r>
      <w:r w:rsidR="0000043C" w:rsidRPr="00142BDE">
        <w:rPr>
          <w:sz w:val="20"/>
        </w:rPr>
        <w:t xml:space="preserve"> respectively</w:t>
      </w:r>
      <w:r w:rsidR="0000043C">
        <w:rPr>
          <w:sz w:val="20"/>
        </w:rPr>
        <w:t>;</w:t>
      </w:r>
      <w:r w:rsidRPr="003C56F1">
        <w:rPr>
          <w:sz w:val="20"/>
          <w:szCs w:val="18"/>
        </w:rPr>
        <w:t xml:space="preserve"> (</w:t>
      </w:r>
      <w:r w:rsidR="0000043C">
        <w:rPr>
          <w:b/>
          <w:sz w:val="20"/>
          <w:szCs w:val="18"/>
        </w:rPr>
        <w:t>d</w:t>
      </w:r>
      <w:r w:rsidRPr="003C56F1">
        <w:rPr>
          <w:sz w:val="20"/>
          <w:szCs w:val="18"/>
        </w:rPr>
        <w:t xml:space="preserve">) </w:t>
      </w:r>
      <w:r w:rsidR="0000043C">
        <w:rPr>
          <w:sz w:val="20"/>
        </w:rPr>
        <w:t>DFI</w:t>
      </w:r>
      <w:r w:rsidR="0000043C" w:rsidRPr="00142BDE">
        <w:rPr>
          <w:sz w:val="20"/>
        </w:rPr>
        <w:t xml:space="preserve"> of the </w:t>
      </w:r>
      <w:r w:rsidR="0000043C">
        <w:rPr>
          <w:noProof/>
          <w:sz w:val="20"/>
        </w:rPr>
        <w:t>primary type II twin.</w:t>
      </w:r>
      <w:r w:rsidRPr="003C56F1">
        <w:rPr>
          <w:rFonts w:hint="eastAsia"/>
          <w:sz w:val="20"/>
          <w:szCs w:val="18"/>
        </w:rPr>
        <w:t xml:space="preserve"> (</w:t>
      </w:r>
      <w:r w:rsidR="0000043C">
        <w:rPr>
          <w:b/>
          <w:sz w:val="20"/>
          <w:szCs w:val="18"/>
        </w:rPr>
        <w:t>e</w:t>
      </w:r>
      <w:r w:rsidR="0000043C">
        <w:rPr>
          <w:bCs/>
          <w:sz w:val="20"/>
          <w:szCs w:val="18"/>
        </w:rPr>
        <w:t>)</w:t>
      </w:r>
      <w:r w:rsidRPr="003C56F1">
        <w:rPr>
          <w:sz w:val="20"/>
          <w:szCs w:val="18"/>
        </w:rPr>
        <w:t xml:space="preserve"> </w:t>
      </w:r>
      <w:r w:rsidR="0000043C">
        <w:rPr>
          <w:sz w:val="20"/>
        </w:rPr>
        <w:t>DFI</w:t>
      </w:r>
      <w:r w:rsidR="0000043C" w:rsidRPr="00142BDE">
        <w:rPr>
          <w:sz w:val="20"/>
        </w:rPr>
        <w:t xml:space="preserve"> of the </w:t>
      </w:r>
      <w:r w:rsidR="0000043C">
        <w:rPr>
          <w:noProof/>
          <w:sz w:val="20"/>
        </w:rPr>
        <w:t>secondary type I twin</w:t>
      </w:r>
      <w:r w:rsidRPr="00142BDE">
        <w:rPr>
          <w:sz w:val="20"/>
          <w:szCs w:val="18"/>
        </w:rPr>
        <w:t xml:space="preserve">. </w:t>
      </w:r>
      <w:r w:rsidR="0000043C">
        <w:rPr>
          <w:sz w:val="20"/>
          <w:szCs w:val="18"/>
        </w:rPr>
        <w:t xml:space="preserve"> Scale bars are 200nm.</w:t>
      </w:r>
      <w:bookmarkEnd w:id="326"/>
    </w:p>
    <w:p w14:paraId="01D8B822" w14:textId="6724F79F" w:rsidR="006C2250" w:rsidRDefault="00B145BE" w:rsidP="00B145BE">
      <w:pPr>
        <w:spacing w:after="0" w:line="360" w:lineRule="auto"/>
        <w:jc w:val="both"/>
        <w:rPr>
          <w:noProof/>
        </w:rPr>
      </w:pPr>
      <w:r w:rsidRPr="004A224A">
        <w:t>A</w:t>
      </w:r>
      <w:r>
        <w:t>n a</w:t>
      </w:r>
      <w:r w:rsidRPr="004A224A">
        <w:t xml:space="preserve">dditional </w:t>
      </w:r>
      <w:r w:rsidRPr="006B3536">
        <w:t>SADP (Fig. 7-</w:t>
      </w:r>
      <w:r w:rsidR="00C35785">
        <w:t>5</w:t>
      </w:r>
      <w:r w:rsidRPr="006B3536">
        <w:t xml:space="preserve">c) </w:t>
      </w:r>
      <w:r>
        <w:t>acquired along</w:t>
      </w:r>
      <w:r w:rsidRPr="004A224A">
        <w:t xml:space="preserve"> [011]</w:t>
      </w:r>
      <w:r w:rsidRPr="004A224A">
        <w:rPr>
          <w:rFonts w:cs="Times New Roman"/>
          <w:vertAlign w:val="subscript"/>
        </w:rPr>
        <w:t>α</w:t>
      </w:r>
      <w:r w:rsidRPr="004A224A">
        <w:rPr>
          <w:vertAlign w:val="subscript"/>
        </w:rPr>
        <w:t>’’</w:t>
      </w:r>
      <w:r w:rsidRPr="004A224A">
        <w:t>//[100]</w:t>
      </w:r>
      <w:r w:rsidRPr="004A224A">
        <w:rPr>
          <w:rFonts w:cs="Times New Roman"/>
          <w:vertAlign w:val="subscript"/>
        </w:rPr>
        <w:t>α</w:t>
      </w:r>
      <w:r w:rsidRPr="004A224A">
        <w:rPr>
          <w:vertAlign w:val="subscript"/>
        </w:rPr>
        <w:t>’’T</w:t>
      </w:r>
      <w:r w:rsidRPr="004A224A">
        <w:t xml:space="preserve"> </w:t>
      </w:r>
      <w:r>
        <w:t xml:space="preserve">was used to </w:t>
      </w:r>
      <w:r w:rsidRPr="004A224A">
        <w:t xml:space="preserve">confirm </w:t>
      </w:r>
      <w:r>
        <w:t xml:space="preserve">whether </w:t>
      </w:r>
      <w:r w:rsidRPr="004A224A">
        <w:t xml:space="preserve">the twinning observed </w:t>
      </w:r>
      <w:r>
        <w:t>belonged</w:t>
      </w:r>
      <w:r w:rsidRPr="004A224A">
        <w:t xml:space="preserve"> to &lt;-211&gt;</w:t>
      </w:r>
      <w:r w:rsidRPr="004A224A">
        <w:rPr>
          <w:rFonts w:cs="Times New Roman"/>
          <w:vertAlign w:val="subscript"/>
        </w:rPr>
        <w:t>α</w:t>
      </w:r>
      <w:r w:rsidRPr="004A224A">
        <w:rPr>
          <w:vertAlign w:val="subscript"/>
        </w:rPr>
        <w:t>’’</w:t>
      </w:r>
      <w:r w:rsidRPr="004A224A">
        <w:t xml:space="preserve"> type II twin</w:t>
      </w:r>
      <w:r w:rsidR="006C2250">
        <w:t>ning</w:t>
      </w:r>
      <w:r>
        <w:t>. By transferring the lattice vector of V1 into {351}</w:t>
      </w:r>
      <w:r w:rsidRPr="00104571">
        <w:rPr>
          <w:rFonts w:ascii="Times New Roman" w:hAnsi="Times New Roman" w:cs="Times New Roman"/>
          <w:vertAlign w:val="subscript"/>
        </w:rPr>
        <w:t>α</w:t>
      </w:r>
      <w:r w:rsidRPr="00104571">
        <w:rPr>
          <w:vertAlign w:val="subscript"/>
        </w:rPr>
        <w:t>’’</w:t>
      </w:r>
      <w:r>
        <w:t xml:space="preserve"> twinned V2, the lattice correspondence between V1 and V2 for {351}&lt;-211&gt;</w:t>
      </w:r>
      <w:r w:rsidRPr="00104571">
        <w:rPr>
          <w:rFonts w:ascii="Times New Roman" w:hAnsi="Times New Roman" w:cs="Times New Roman"/>
          <w:vertAlign w:val="subscript"/>
        </w:rPr>
        <w:t>α</w:t>
      </w:r>
      <w:r w:rsidRPr="00104571">
        <w:rPr>
          <w:vertAlign w:val="subscript"/>
        </w:rPr>
        <w:t>’’</w:t>
      </w:r>
      <w:r>
        <w:t xml:space="preserve"> type II and {351}&lt;1-12&gt;</w:t>
      </w:r>
      <w:r w:rsidRPr="00104571">
        <w:rPr>
          <w:rFonts w:ascii="Times New Roman" w:hAnsi="Times New Roman" w:cs="Times New Roman"/>
          <w:vertAlign w:val="subscript"/>
        </w:rPr>
        <w:t>α</w:t>
      </w:r>
      <w:r w:rsidRPr="00104571">
        <w:rPr>
          <w:vertAlign w:val="subscript"/>
        </w:rPr>
        <w:t>’’</w:t>
      </w:r>
      <w:r>
        <w:t xml:space="preserve"> mechanical twinning </w:t>
      </w:r>
      <w:r w:rsidRPr="00280CF9">
        <w:rPr>
          <w:noProof/>
        </w:rPr>
        <w:t>are listed</w:t>
      </w:r>
      <w:r>
        <w:t xml:space="preserve"> in Table 7-1. Accordingly, s</w:t>
      </w:r>
      <w:r w:rsidRPr="004A224A">
        <w:t>ince the</w:t>
      </w:r>
      <w:r>
        <w:t xml:space="preserve"> </w:t>
      </w:r>
      <w:r w:rsidRPr="004A224A">
        <w:t>[011]</w:t>
      </w:r>
      <w:r w:rsidRPr="004A224A">
        <w:rPr>
          <w:rFonts w:cs="Times New Roman"/>
          <w:vertAlign w:val="subscript"/>
        </w:rPr>
        <w:t>α</w:t>
      </w:r>
      <w:r w:rsidRPr="004A224A">
        <w:rPr>
          <w:vertAlign w:val="subscript"/>
        </w:rPr>
        <w:t>’’</w:t>
      </w:r>
      <w:r>
        <w:rPr>
          <w:vertAlign w:val="subscript"/>
        </w:rPr>
        <w:t>V1</w:t>
      </w:r>
      <w:r w:rsidRPr="004A224A">
        <w:t>//[100]</w:t>
      </w:r>
      <w:r w:rsidRPr="004A224A">
        <w:rPr>
          <w:rFonts w:cs="Times New Roman"/>
          <w:vertAlign w:val="subscript"/>
        </w:rPr>
        <w:t>α</w:t>
      </w:r>
      <w:r w:rsidRPr="004A224A">
        <w:rPr>
          <w:vertAlign w:val="subscript"/>
        </w:rPr>
        <w:t>’’</w:t>
      </w:r>
      <w:r>
        <w:rPr>
          <w:vertAlign w:val="subscript"/>
        </w:rPr>
        <w:t>V2</w:t>
      </w:r>
      <w:r w:rsidRPr="004A224A">
        <w:t xml:space="preserve"> lattice correspondence can only be realised by </w:t>
      </w:r>
      <w:r>
        <w:t>(351)&lt;2-1-1&gt;</w:t>
      </w:r>
      <w:r w:rsidRPr="00104571">
        <w:rPr>
          <w:rFonts w:ascii="Times New Roman" w:hAnsi="Times New Roman" w:cs="Times New Roman"/>
          <w:vertAlign w:val="subscript"/>
        </w:rPr>
        <w:t>α</w:t>
      </w:r>
      <w:r w:rsidRPr="00104571">
        <w:rPr>
          <w:vertAlign w:val="subscript"/>
        </w:rPr>
        <w:t>’’</w:t>
      </w:r>
      <w:r w:rsidRPr="004A224A">
        <w:t xml:space="preserve"> twinning</w:t>
      </w:r>
      <w:r>
        <w:t>, the {351}</w:t>
      </w:r>
      <w:r w:rsidRPr="00104571">
        <w:rPr>
          <w:rFonts w:ascii="Times New Roman" w:hAnsi="Times New Roman" w:cs="Times New Roman"/>
          <w:vertAlign w:val="subscript"/>
        </w:rPr>
        <w:t>α</w:t>
      </w:r>
      <w:r w:rsidRPr="00104571">
        <w:rPr>
          <w:vertAlign w:val="subscript"/>
        </w:rPr>
        <w:t>’’</w:t>
      </w:r>
      <w:r>
        <w:t xml:space="preserve"> twinning observed in Fig. 7-</w:t>
      </w:r>
      <w:r w:rsidR="00C35785">
        <w:t>5</w:t>
      </w:r>
      <w:r>
        <w:t xml:space="preserve"> was identified as type II twinning.</w:t>
      </w:r>
      <w:r w:rsidRPr="004A224A">
        <w:t xml:space="preserve"> </w:t>
      </w:r>
      <w:r>
        <w:t>Moreover</w:t>
      </w:r>
      <w:r w:rsidRPr="004A224A">
        <w:t xml:space="preserve">, the OR </w:t>
      </w:r>
      <w:r>
        <w:t>between</w:t>
      </w:r>
      <w:r w:rsidRPr="004A224A">
        <w:t xml:space="preserve"> secondary twin</w:t>
      </w:r>
      <w:r>
        <w:t>n</w:t>
      </w:r>
      <w:r w:rsidRPr="004A224A">
        <w:t xml:space="preserve">ed </w:t>
      </w:r>
      <w:r w:rsidRPr="004A224A">
        <w:rPr>
          <w:rFonts w:cs="Times New Roman"/>
        </w:rPr>
        <w:t>α</w:t>
      </w:r>
      <w:r w:rsidRPr="004A224A">
        <w:t>’’ variant</w:t>
      </w:r>
      <w:r>
        <w:t xml:space="preserve"> V3 and primary twinned V2</w:t>
      </w:r>
      <w:r w:rsidRPr="004A224A">
        <w:t xml:space="preserve"> </w:t>
      </w:r>
      <w:r>
        <w:t>was</w:t>
      </w:r>
      <w:r w:rsidRPr="004A224A">
        <w:t xml:space="preserve"> identified as type I {111}</w:t>
      </w:r>
      <w:r w:rsidRPr="004A224A">
        <w:rPr>
          <w:rFonts w:cs="Times New Roman"/>
          <w:vertAlign w:val="subscript"/>
        </w:rPr>
        <w:t>α</w:t>
      </w:r>
      <w:r w:rsidRPr="004A224A">
        <w:rPr>
          <w:vertAlign w:val="subscript"/>
        </w:rPr>
        <w:t>’’</w:t>
      </w:r>
      <w:r w:rsidRPr="004A224A">
        <w:t xml:space="preserve"> </w:t>
      </w:r>
      <w:r>
        <w:t>in Fig. 7-</w:t>
      </w:r>
      <w:r w:rsidR="00C35785">
        <w:t>5</w:t>
      </w:r>
      <w:r>
        <w:t xml:space="preserve">(c); </w:t>
      </w:r>
      <w:r w:rsidRPr="004A224A">
        <w:t>while</w:t>
      </w:r>
      <w:r>
        <w:t xml:space="preserve"> the</w:t>
      </w:r>
      <w:r w:rsidRPr="004A224A">
        <w:t xml:space="preserve"> dense laths observed across V1 and V2 </w:t>
      </w:r>
      <w:r w:rsidRPr="004A224A">
        <w:rPr>
          <w:rFonts w:cs="Times New Roman"/>
        </w:rPr>
        <w:t>α</w:t>
      </w:r>
      <w:r w:rsidRPr="004A224A">
        <w:t xml:space="preserve">’’ bands </w:t>
      </w:r>
      <w:r>
        <w:t>corresponded to the</w:t>
      </w:r>
      <w:r w:rsidRPr="004A224A">
        <w:t xml:space="preserve"> anti-phase boundary</w:t>
      </w:r>
      <w:r>
        <w:t xml:space="preserve"> </w:t>
      </w:r>
      <w:r w:rsidRPr="004A224A">
        <w:t>(APB)</w:t>
      </w:r>
      <w:r>
        <w:t>-</w:t>
      </w:r>
      <w:r w:rsidRPr="004A224A">
        <w:t xml:space="preserve">like stacking fault </w:t>
      </w:r>
      <w:r>
        <w:t xml:space="preserve">features observed </w:t>
      </w:r>
      <w:r w:rsidRPr="004A224A">
        <w:t>through conducting DFI under double beam conditions at g*=110</w:t>
      </w:r>
      <w:r>
        <w:t xml:space="preserve"> in Fig. 7-</w:t>
      </w:r>
      <w:r w:rsidR="00C35785">
        <w:t>5</w:t>
      </w:r>
      <w:r>
        <w:t>(b)</w:t>
      </w:r>
      <w:r w:rsidRPr="004A224A">
        <w:t>.</w:t>
      </w:r>
      <w:r w:rsidRPr="004A224A">
        <w:rPr>
          <w:noProof/>
        </w:rPr>
        <w:t xml:space="preserve"> </w:t>
      </w:r>
    </w:p>
    <w:p w14:paraId="2E1A802C" w14:textId="7DE67B6B" w:rsidR="00B145BE" w:rsidRPr="00705BA6" w:rsidRDefault="00B145BE" w:rsidP="00B145BE">
      <w:pPr>
        <w:spacing w:after="0" w:line="360" w:lineRule="auto"/>
        <w:jc w:val="center"/>
        <w:rPr>
          <w:szCs w:val="24"/>
        </w:rPr>
      </w:pPr>
      <w:bookmarkStart w:id="327" w:name="_Toc39312747"/>
      <w:r w:rsidRPr="00705BA6">
        <w:rPr>
          <w:b/>
          <w:bCs/>
          <w:szCs w:val="24"/>
        </w:rPr>
        <w:t>Table 7-</w:t>
      </w:r>
      <w:r w:rsidRPr="00705BA6">
        <w:rPr>
          <w:b/>
          <w:bCs/>
          <w:szCs w:val="24"/>
        </w:rPr>
        <w:fldChar w:fldCharType="begin"/>
      </w:r>
      <w:r w:rsidRPr="00705BA6">
        <w:rPr>
          <w:b/>
          <w:bCs/>
          <w:szCs w:val="24"/>
        </w:rPr>
        <w:instrText xml:space="preserve"> SEQ Table \* ARABIC \s 1 </w:instrText>
      </w:r>
      <w:r w:rsidRPr="00705BA6">
        <w:rPr>
          <w:b/>
          <w:bCs/>
          <w:szCs w:val="24"/>
        </w:rPr>
        <w:fldChar w:fldCharType="separate"/>
      </w:r>
      <w:r w:rsidRPr="00705BA6">
        <w:rPr>
          <w:b/>
          <w:bCs/>
          <w:noProof/>
          <w:szCs w:val="24"/>
        </w:rPr>
        <w:t>1</w:t>
      </w:r>
      <w:r w:rsidRPr="00705BA6">
        <w:rPr>
          <w:b/>
          <w:bCs/>
          <w:szCs w:val="24"/>
        </w:rPr>
        <w:fldChar w:fldCharType="end"/>
      </w:r>
      <w:r w:rsidRPr="00705BA6">
        <w:rPr>
          <w:b/>
          <w:bCs/>
          <w:szCs w:val="24"/>
        </w:rPr>
        <w:t xml:space="preserve"> </w:t>
      </w:r>
      <w:r w:rsidRPr="00705BA6">
        <w:rPr>
          <w:szCs w:val="24"/>
        </w:rPr>
        <w:t>Main Zone axis and correspond</w:t>
      </w:r>
      <w:r w:rsidR="006C2250">
        <w:rPr>
          <w:szCs w:val="24"/>
        </w:rPr>
        <w:t>ing</w:t>
      </w:r>
      <w:r w:rsidRPr="00705BA6">
        <w:rPr>
          <w:szCs w:val="24"/>
        </w:rPr>
        <w:t xml:space="preserve"> zone axis after specific deformation.</w:t>
      </w:r>
      <w:bookmarkEnd w:id="327"/>
    </w:p>
    <w:tbl>
      <w:tblPr>
        <w:tblStyle w:val="afd"/>
        <w:tblW w:w="9684" w:type="dxa"/>
        <w:tblLayout w:type="fixed"/>
        <w:tblLook w:val="04A0" w:firstRow="1" w:lastRow="0" w:firstColumn="1" w:lastColumn="0" w:noHBand="0" w:noVBand="1"/>
      </w:tblPr>
      <w:tblGrid>
        <w:gridCol w:w="2808"/>
        <w:gridCol w:w="1440"/>
        <w:gridCol w:w="1170"/>
        <w:gridCol w:w="1080"/>
        <w:gridCol w:w="1080"/>
        <w:gridCol w:w="1080"/>
        <w:gridCol w:w="1026"/>
      </w:tblGrid>
      <w:tr w:rsidR="00B145BE" w:rsidRPr="009A32B0" w14:paraId="77C52499" w14:textId="77777777" w:rsidTr="00B145BE">
        <w:trPr>
          <w:trHeight w:hRule="exact" w:val="259"/>
        </w:trPr>
        <w:tc>
          <w:tcPr>
            <w:tcW w:w="2808" w:type="dxa"/>
            <w:tcBorders>
              <w:left w:val="single" w:sz="4" w:space="0" w:color="auto"/>
              <w:bottom w:val="single" w:sz="4" w:space="0" w:color="auto"/>
            </w:tcBorders>
          </w:tcPr>
          <w:p w14:paraId="49B3EAEE" w14:textId="77777777" w:rsidR="00B145BE" w:rsidRPr="009A32B0" w:rsidRDefault="00B145BE" w:rsidP="00B145BE">
            <w:pPr>
              <w:spacing w:after="120" w:line="360" w:lineRule="auto"/>
              <w:jc w:val="center"/>
              <w:rPr>
                <w:sz w:val="20"/>
                <w:szCs w:val="20"/>
              </w:rPr>
            </w:pPr>
            <w:r w:rsidRPr="009A32B0">
              <w:rPr>
                <w:sz w:val="20"/>
                <w:szCs w:val="20"/>
              </w:rPr>
              <w:t>Coordinate system</w:t>
            </w:r>
          </w:p>
        </w:tc>
        <w:tc>
          <w:tcPr>
            <w:tcW w:w="6876" w:type="dxa"/>
            <w:gridSpan w:val="6"/>
            <w:tcBorders>
              <w:bottom w:val="single" w:sz="4" w:space="0" w:color="auto"/>
              <w:right w:val="single" w:sz="4" w:space="0" w:color="auto"/>
            </w:tcBorders>
          </w:tcPr>
          <w:p w14:paraId="1648893A" w14:textId="77777777" w:rsidR="00B145BE" w:rsidRPr="009A32B0" w:rsidRDefault="00B145BE" w:rsidP="00B145BE">
            <w:pPr>
              <w:spacing w:after="120" w:line="360" w:lineRule="auto"/>
              <w:jc w:val="center"/>
              <w:rPr>
                <w:sz w:val="20"/>
                <w:szCs w:val="20"/>
              </w:rPr>
            </w:pPr>
            <w:r>
              <w:rPr>
                <w:sz w:val="20"/>
                <w:szCs w:val="20"/>
              </w:rPr>
              <w:t xml:space="preserve">Main target zone axis correspondence </w:t>
            </w:r>
          </w:p>
        </w:tc>
      </w:tr>
      <w:tr w:rsidR="00B145BE" w:rsidRPr="009A32B0" w14:paraId="39D0C6F7" w14:textId="77777777" w:rsidTr="00B145BE">
        <w:trPr>
          <w:trHeight w:hRule="exact" w:val="259"/>
        </w:trPr>
        <w:tc>
          <w:tcPr>
            <w:tcW w:w="2808" w:type="dxa"/>
            <w:tcBorders>
              <w:left w:val="single" w:sz="4" w:space="0" w:color="auto"/>
              <w:bottom w:val="nil"/>
            </w:tcBorders>
          </w:tcPr>
          <w:p w14:paraId="6119FA11" w14:textId="77777777" w:rsidR="00B145BE" w:rsidRPr="009A32B0" w:rsidRDefault="00B145BE" w:rsidP="00B145BE">
            <w:pPr>
              <w:spacing w:after="120" w:line="360" w:lineRule="auto"/>
              <w:jc w:val="center"/>
              <w:rPr>
                <w:sz w:val="20"/>
                <w:szCs w:val="20"/>
              </w:rPr>
            </w:pPr>
            <w:r w:rsidRPr="009A32B0">
              <w:rPr>
                <w:sz w:val="20"/>
                <w:szCs w:val="20"/>
              </w:rPr>
              <w:t>(351)&lt;2-1-1&gt;</w:t>
            </w:r>
            <w:r>
              <w:rPr>
                <w:sz w:val="20"/>
                <w:szCs w:val="20"/>
                <w:vertAlign w:val="subscript"/>
              </w:rPr>
              <w:t xml:space="preserve">α’’ </w:t>
            </w:r>
            <w:r w:rsidRPr="009A32B0">
              <w:rPr>
                <w:sz w:val="20"/>
                <w:szCs w:val="20"/>
              </w:rPr>
              <w:t>matrix</w:t>
            </w:r>
          </w:p>
        </w:tc>
        <w:tc>
          <w:tcPr>
            <w:tcW w:w="1440" w:type="dxa"/>
            <w:tcBorders>
              <w:bottom w:val="nil"/>
            </w:tcBorders>
          </w:tcPr>
          <w:p w14:paraId="3C9B3B03" w14:textId="77777777" w:rsidR="00B145BE" w:rsidRPr="009A32B0" w:rsidRDefault="00B145BE" w:rsidP="00B145BE">
            <w:pPr>
              <w:spacing w:after="120" w:line="360" w:lineRule="auto"/>
              <w:jc w:val="center"/>
              <w:rPr>
                <w:sz w:val="20"/>
                <w:szCs w:val="20"/>
              </w:rPr>
            </w:pPr>
            <w:r>
              <w:rPr>
                <w:sz w:val="20"/>
                <w:szCs w:val="20"/>
              </w:rPr>
              <w:t>&lt;100&gt;</w:t>
            </w:r>
          </w:p>
        </w:tc>
        <w:tc>
          <w:tcPr>
            <w:tcW w:w="1170" w:type="dxa"/>
            <w:tcBorders>
              <w:bottom w:val="nil"/>
            </w:tcBorders>
          </w:tcPr>
          <w:p w14:paraId="2A33BDF4" w14:textId="77777777" w:rsidR="00B145BE" w:rsidRPr="009A32B0" w:rsidRDefault="00B145BE" w:rsidP="00B145BE">
            <w:pPr>
              <w:spacing w:after="120" w:line="360" w:lineRule="auto"/>
              <w:jc w:val="center"/>
              <w:rPr>
                <w:sz w:val="20"/>
                <w:szCs w:val="20"/>
              </w:rPr>
            </w:pPr>
            <w:r>
              <w:rPr>
                <w:sz w:val="20"/>
                <w:szCs w:val="20"/>
              </w:rPr>
              <w:t>&lt;001&gt;</w:t>
            </w:r>
          </w:p>
        </w:tc>
        <w:tc>
          <w:tcPr>
            <w:tcW w:w="1080" w:type="dxa"/>
            <w:tcBorders>
              <w:bottom w:val="nil"/>
            </w:tcBorders>
          </w:tcPr>
          <w:p w14:paraId="1E0B07A5" w14:textId="77777777" w:rsidR="00B145BE" w:rsidRPr="009A32B0" w:rsidRDefault="00B145BE" w:rsidP="00B145BE">
            <w:pPr>
              <w:spacing w:after="120" w:line="360" w:lineRule="auto"/>
              <w:jc w:val="center"/>
              <w:rPr>
                <w:sz w:val="20"/>
                <w:szCs w:val="20"/>
              </w:rPr>
            </w:pPr>
            <w:r>
              <w:rPr>
                <w:sz w:val="20"/>
                <w:szCs w:val="20"/>
              </w:rPr>
              <w:t>&lt;10-1&gt;</w:t>
            </w:r>
          </w:p>
        </w:tc>
        <w:tc>
          <w:tcPr>
            <w:tcW w:w="1080" w:type="dxa"/>
            <w:tcBorders>
              <w:bottom w:val="nil"/>
            </w:tcBorders>
          </w:tcPr>
          <w:p w14:paraId="2830FBCA" w14:textId="77777777" w:rsidR="00B145BE" w:rsidRPr="009A32B0" w:rsidRDefault="00B145BE" w:rsidP="00B145BE">
            <w:pPr>
              <w:spacing w:after="120" w:line="360" w:lineRule="auto"/>
              <w:jc w:val="center"/>
              <w:rPr>
                <w:sz w:val="20"/>
                <w:szCs w:val="20"/>
              </w:rPr>
            </w:pPr>
            <w:r>
              <w:rPr>
                <w:sz w:val="20"/>
                <w:szCs w:val="20"/>
              </w:rPr>
              <w:t>&lt;1-12&gt;</w:t>
            </w:r>
          </w:p>
        </w:tc>
        <w:tc>
          <w:tcPr>
            <w:tcW w:w="1080" w:type="dxa"/>
            <w:tcBorders>
              <w:bottom w:val="nil"/>
            </w:tcBorders>
          </w:tcPr>
          <w:p w14:paraId="7A384CB8" w14:textId="77777777" w:rsidR="00B145BE" w:rsidRPr="009A32B0" w:rsidRDefault="00B145BE" w:rsidP="00B145BE">
            <w:pPr>
              <w:spacing w:after="120" w:line="360" w:lineRule="auto"/>
              <w:jc w:val="center"/>
              <w:rPr>
                <w:sz w:val="20"/>
                <w:szCs w:val="20"/>
              </w:rPr>
            </w:pPr>
            <w:r>
              <w:rPr>
                <w:sz w:val="20"/>
                <w:szCs w:val="20"/>
              </w:rPr>
              <w:t>&lt;2-11&gt;</w:t>
            </w:r>
          </w:p>
        </w:tc>
        <w:tc>
          <w:tcPr>
            <w:tcW w:w="1026" w:type="dxa"/>
            <w:tcBorders>
              <w:bottom w:val="nil"/>
              <w:right w:val="single" w:sz="4" w:space="0" w:color="auto"/>
            </w:tcBorders>
          </w:tcPr>
          <w:p w14:paraId="5CE434F7" w14:textId="77777777" w:rsidR="00B145BE" w:rsidRPr="009A32B0" w:rsidRDefault="00B145BE" w:rsidP="00B145BE">
            <w:pPr>
              <w:spacing w:after="120" w:line="360" w:lineRule="auto"/>
              <w:jc w:val="center"/>
              <w:rPr>
                <w:sz w:val="20"/>
                <w:szCs w:val="20"/>
              </w:rPr>
            </w:pPr>
            <w:r>
              <w:rPr>
                <w:sz w:val="20"/>
                <w:szCs w:val="20"/>
              </w:rPr>
              <w:t>&lt;1-10&gt;</w:t>
            </w:r>
          </w:p>
        </w:tc>
      </w:tr>
      <w:tr w:rsidR="00B145BE" w:rsidRPr="009A32B0" w14:paraId="418A52B0" w14:textId="77777777" w:rsidTr="00B145BE">
        <w:trPr>
          <w:trHeight w:hRule="exact" w:val="259"/>
        </w:trPr>
        <w:tc>
          <w:tcPr>
            <w:tcW w:w="2808" w:type="dxa"/>
            <w:tcBorders>
              <w:top w:val="nil"/>
              <w:left w:val="single" w:sz="4" w:space="0" w:color="auto"/>
              <w:bottom w:val="nil"/>
            </w:tcBorders>
          </w:tcPr>
          <w:p w14:paraId="196DC667" w14:textId="77777777" w:rsidR="00B145BE" w:rsidRPr="009A32B0" w:rsidRDefault="00B145BE" w:rsidP="00B145BE">
            <w:pPr>
              <w:spacing w:after="120" w:line="360" w:lineRule="auto"/>
              <w:jc w:val="center"/>
              <w:rPr>
                <w:sz w:val="20"/>
                <w:szCs w:val="20"/>
              </w:rPr>
            </w:pPr>
            <w:r w:rsidRPr="009A32B0">
              <w:rPr>
                <w:sz w:val="20"/>
                <w:szCs w:val="20"/>
              </w:rPr>
              <w:t>(351)&lt;2-1-1&gt;</w:t>
            </w:r>
            <w:r>
              <w:rPr>
                <w:sz w:val="20"/>
                <w:szCs w:val="20"/>
                <w:vertAlign w:val="subscript"/>
              </w:rPr>
              <w:t xml:space="preserve">α’’ </w:t>
            </w:r>
            <w:r>
              <w:rPr>
                <w:sz w:val="20"/>
                <w:szCs w:val="20"/>
              </w:rPr>
              <w:t>twinned variant</w:t>
            </w:r>
          </w:p>
        </w:tc>
        <w:tc>
          <w:tcPr>
            <w:tcW w:w="1440" w:type="dxa"/>
            <w:tcBorders>
              <w:top w:val="nil"/>
              <w:bottom w:val="nil"/>
            </w:tcBorders>
          </w:tcPr>
          <w:p w14:paraId="23611AA3" w14:textId="77777777" w:rsidR="00B145BE" w:rsidRPr="009A32B0" w:rsidRDefault="00B145BE" w:rsidP="00B145BE">
            <w:pPr>
              <w:spacing w:after="120" w:line="360" w:lineRule="auto"/>
              <w:jc w:val="center"/>
              <w:rPr>
                <w:sz w:val="20"/>
                <w:szCs w:val="20"/>
              </w:rPr>
            </w:pPr>
            <w:r>
              <w:rPr>
                <w:sz w:val="20"/>
                <w:szCs w:val="20"/>
              </w:rPr>
              <w:t>&lt;011&gt;</w:t>
            </w:r>
          </w:p>
        </w:tc>
        <w:tc>
          <w:tcPr>
            <w:tcW w:w="1170" w:type="dxa"/>
            <w:tcBorders>
              <w:top w:val="nil"/>
              <w:bottom w:val="nil"/>
            </w:tcBorders>
          </w:tcPr>
          <w:p w14:paraId="5F47A20D" w14:textId="77777777" w:rsidR="00B145BE" w:rsidRPr="009A32B0" w:rsidRDefault="00B145BE" w:rsidP="00B145BE">
            <w:pPr>
              <w:spacing w:after="120" w:line="360" w:lineRule="auto"/>
              <w:jc w:val="center"/>
              <w:rPr>
                <w:sz w:val="20"/>
                <w:szCs w:val="20"/>
              </w:rPr>
            </w:pPr>
            <w:r>
              <w:rPr>
                <w:sz w:val="20"/>
                <w:szCs w:val="20"/>
              </w:rPr>
              <w:t>&lt;-21-1&gt;</w:t>
            </w:r>
          </w:p>
        </w:tc>
        <w:tc>
          <w:tcPr>
            <w:tcW w:w="1080" w:type="dxa"/>
            <w:tcBorders>
              <w:top w:val="nil"/>
              <w:bottom w:val="nil"/>
            </w:tcBorders>
          </w:tcPr>
          <w:p w14:paraId="5A20A776" w14:textId="77777777" w:rsidR="00B145BE" w:rsidRPr="009A32B0" w:rsidRDefault="00B145BE" w:rsidP="00B145BE">
            <w:pPr>
              <w:spacing w:after="120" w:line="360" w:lineRule="auto"/>
              <w:jc w:val="center"/>
              <w:rPr>
                <w:sz w:val="20"/>
                <w:szCs w:val="20"/>
              </w:rPr>
            </w:pPr>
            <w:r>
              <w:rPr>
                <w:sz w:val="20"/>
                <w:szCs w:val="20"/>
              </w:rPr>
              <w:t>&lt;1-10&gt;</w:t>
            </w:r>
          </w:p>
        </w:tc>
        <w:tc>
          <w:tcPr>
            <w:tcW w:w="1080" w:type="dxa"/>
            <w:tcBorders>
              <w:top w:val="nil"/>
              <w:bottom w:val="nil"/>
            </w:tcBorders>
          </w:tcPr>
          <w:p w14:paraId="31C5326F" w14:textId="77777777" w:rsidR="00B145BE" w:rsidRPr="009A32B0" w:rsidRDefault="00B145BE" w:rsidP="00B145BE">
            <w:pPr>
              <w:spacing w:after="120" w:line="360" w:lineRule="auto"/>
              <w:jc w:val="center"/>
              <w:rPr>
                <w:sz w:val="20"/>
                <w:szCs w:val="20"/>
              </w:rPr>
            </w:pPr>
            <w:r>
              <w:rPr>
                <w:sz w:val="20"/>
                <w:szCs w:val="20"/>
              </w:rPr>
              <w:t>&lt;-11-2&gt;</w:t>
            </w:r>
          </w:p>
        </w:tc>
        <w:tc>
          <w:tcPr>
            <w:tcW w:w="1080" w:type="dxa"/>
            <w:tcBorders>
              <w:top w:val="nil"/>
              <w:bottom w:val="nil"/>
            </w:tcBorders>
          </w:tcPr>
          <w:p w14:paraId="752C9A9F" w14:textId="77777777" w:rsidR="00B145BE" w:rsidRPr="009A32B0" w:rsidRDefault="00B145BE" w:rsidP="00B145BE">
            <w:pPr>
              <w:spacing w:after="120" w:line="360" w:lineRule="auto"/>
              <w:jc w:val="center"/>
              <w:rPr>
                <w:sz w:val="20"/>
                <w:szCs w:val="20"/>
              </w:rPr>
            </w:pPr>
            <w:r>
              <w:rPr>
                <w:sz w:val="20"/>
                <w:szCs w:val="20"/>
              </w:rPr>
              <w:t>&lt;001&gt;</w:t>
            </w:r>
          </w:p>
        </w:tc>
        <w:tc>
          <w:tcPr>
            <w:tcW w:w="1026" w:type="dxa"/>
            <w:tcBorders>
              <w:top w:val="nil"/>
              <w:bottom w:val="nil"/>
              <w:right w:val="single" w:sz="4" w:space="0" w:color="auto"/>
            </w:tcBorders>
          </w:tcPr>
          <w:p w14:paraId="4B34BED8" w14:textId="77777777" w:rsidR="00B145BE" w:rsidRPr="009A32B0" w:rsidRDefault="00B145BE" w:rsidP="00B145BE">
            <w:pPr>
              <w:spacing w:after="120" w:line="360" w:lineRule="auto"/>
              <w:jc w:val="center"/>
              <w:rPr>
                <w:sz w:val="20"/>
                <w:szCs w:val="20"/>
              </w:rPr>
            </w:pPr>
            <w:r>
              <w:rPr>
                <w:sz w:val="20"/>
                <w:szCs w:val="20"/>
              </w:rPr>
              <w:t>&lt;10-1&gt;</w:t>
            </w:r>
          </w:p>
        </w:tc>
      </w:tr>
      <w:tr w:rsidR="00B145BE" w:rsidRPr="009A32B0" w14:paraId="30200807" w14:textId="77777777" w:rsidTr="00B145BE">
        <w:trPr>
          <w:trHeight w:hRule="exact" w:val="259"/>
        </w:trPr>
        <w:tc>
          <w:tcPr>
            <w:tcW w:w="2808" w:type="dxa"/>
            <w:tcBorders>
              <w:top w:val="nil"/>
              <w:left w:val="single" w:sz="4" w:space="0" w:color="auto"/>
            </w:tcBorders>
          </w:tcPr>
          <w:p w14:paraId="72930B31" w14:textId="77777777" w:rsidR="00B145BE" w:rsidRPr="009A32B0" w:rsidRDefault="00B145BE" w:rsidP="00B145BE">
            <w:pPr>
              <w:spacing w:after="120" w:line="360" w:lineRule="auto"/>
              <w:jc w:val="center"/>
              <w:rPr>
                <w:sz w:val="20"/>
                <w:szCs w:val="20"/>
              </w:rPr>
            </w:pPr>
            <w:r w:rsidRPr="009A32B0">
              <w:rPr>
                <w:sz w:val="20"/>
                <w:szCs w:val="20"/>
              </w:rPr>
              <w:t>(351)&lt;</w:t>
            </w:r>
            <w:r>
              <w:rPr>
                <w:sz w:val="20"/>
                <w:szCs w:val="20"/>
              </w:rPr>
              <w:t>1-12</w:t>
            </w:r>
            <w:r w:rsidRPr="009A32B0">
              <w:rPr>
                <w:sz w:val="20"/>
                <w:szCs w:val="20"/>
              </w:rPr>
              <w:t>&gt;</w:t>
            </w:r>
            <w:r>
              <w:rPr>
                <w:sz w:val="20"/>
                <w:szCs w:val="20"/>
                <w:vertAlign w:val="subscript"/>
              </w:rPr>
              <w:t xml:space="preserve">α’’ </w:t>
            </w:r>
            <w:r>
              <w:rPr>
                <w:sz w:val="20"/>
                <w:szCs w:val="20"/>
              </w:rPr>
              <w:t>twinned variant</w:t>
            </w:r>
          </w:p>
        </w:tc>
        <w:tc>
          <w:tcPr>
            <w:tcW w:w="1440" w:type="dxa"/>
            <w:tcBorders>
              <w:top w:val="nil"/>
            </w:tcBorders>
          </w:tcPr>
          <w:p w14:paraId="0E214E2A" w14:textId="77777777" w:rsidR="00B145BE" w:rsidRPr="009A32B0" w:rsidRDefault="00B145BE" w:rsidP="00B145BE">
            <w:pPr>
              <w:spacing w:after="120" w:line="360" w:lineRule="auto"/>
              <w:rPr>
                <w:sz w:val="20"/>
                <w:szCs w:val="20"/>
              </w:rPr>
            </w:pPr>
            <w:r>
              <w:rPr>
                <w:sz w:val="20"/>
                <w:szCs w:val="20"/>
              </w:rPr>
              <w:t>&lt;0.36 1.3 0.3&gt;</w:t>
            </w:r>
          </w:p>
        </w:tc>
        <w:tc>
          <w:tcPr>
            <w:tcW w:w="1170" w:type="dxa"/>
            <w:tcBorders>
              <w:top w:val="nil"/>
            </w:tcBorders>
          </w:tcPr>
          <w:p w14:paraId="2EC0625F" w14:textId="77777777" w:rsidR="00B145BE" w:rsidRPr="009A32B0" w:rsidRDefault="00B145BE" w:rsidP="00B145BE">
            <w:pPr>
              <w:spacing w:after="120" w:line="360" w:lineRule="auto"/>
              <w:jc w:val="center"/>
              <w:rPr>
                <w:sz w:val="20"/>
                <w:szCs w:val="20"/>
              </w:rPr>
            </w:pPr>
            <w:r>
              <w:rPr>
                <w:sz w:val="20"/>
                <w:szCs w:val="20"/>
              </w:rPr>
              <w:t>&lt;11-4&gt;</w:t>
            </w:r>
          </w:p>
        </w:tc>
        <w:tc>
          <w:tcPr>
            <w:tcW w:w="1080" w:type="dxa"/>
            <w:tcBorders>
              <w:top w:val="nil"/>
            </w:tcBorders>
          </w:tcPr>
          <w:p w14:paraId="258AAA6F" w14:textId="77777777" w:rsidR="00B145BE" w:rsidRPr="009A32B0" w:rsidRDefault="00B145BE" w:rsidP="00B145BE">
            <w:pPr>
              <w:spacing w:after="120" w:line="360" w:lineRule="auto"/>
              <w:jc w:val="center"/>
              <w:rPr>
                <w:sz w:val="20"/>
                <w:szCs w:val="20"/>
              </w:rPr>
            </w:pPr>
            <w:r>
              <w:rPr>
                <w:sz w:val="20"/>
                <w:szCs w:val="20"/>
              </w:rPr>
              <w:t>&lt;1-1-2&gt;</w:t>
            </w:r>
          </w:p>
        </w:tc>
        <w:tc>
          <w:tcPr>
            <w:tcW w:w="1080" w:type="dxa"/>
            <w:tcBorders>
              <w:top w:val="nil"/>
            </w:tcBorders>
          </w:tcPr>
          <w:p w14:paraId="53B92895" w14:textId="77777777" w:rsidR="00B145BE" w:rsidRPr="009A32B0" w:rsidRDefault="00B145BE" w:rsidP="00B145BE">
            <w:pPr>
              <w:spacing w:after="120" w:line="360" w:lineRule="auto"/>
              <w:jc w:val="center"/>
              <w:rPr>
                <w:sz w:val="20"/>
                <w:szCs w:val="20"/>
              </w:rPr>
            </w:pPr>
            <w:r>
              <w:rPr>
                <w:sz w:val="20"/>
                <w:szCs w:val="20"/>
              </w:rPr>
              <w:t>&lt;1-12&gt;</w:t>
            </w:r>
          </w:p>
        </w:tc>
        <w:tc>
          <w:tcPr>
            <w:tcW w:w="1080" w:type="dxa"/>
            <w:tcBorders>
              <w:top w:val="nil"/>
            </w:tcBorders>
          </w:tcPr>
          <w:p w14:paraId="0156C82E" w14:textId="77777777" w:rsidR="00B145BE" w:rsidRPr="009A32B0" w:rsidRDefault="00B145BE" w:rsidP="00B145BE">
            <w:pPr>
              <w:spacing w:after="120" w:line="360" w:lineRule="auto"/>
              <w:jc w:val="center"/>
              <w:rPr>
                <w:sz w:val="20"/>
                <w:szCs w:val="20"/>
              </w:rPr>
            </w:pPr>
            <w:r>
              <w:rPr>
                <w:sz w:val="20"/>
                <w:szCs w:val="20"/>
              </w:rPr>
              <w:t>&lt;-99-5&gt;</w:t>
            </w:r>
          </w:p>
        </w:tc>
        <w:tc>
          <w:tcPr>
            <w:tcW w:w="1026" w:type="dxa"/>
            <w:tcBorders>
              <w:top w:val="nil"/>
              <w:right w:val="single" w:sz="4" w:space="0" w:color="auto"/>
            </w:tcBorders>
          </w:tcPr>
          <w:p w14:paraId="794A3D56" w14:textId="77777777" w:rsidR="00B145BE" w:rsidRPr="009A32B0" w:rsidRDefault="00B145BE" w:rsidP="00B145BE">
            <w:pPr>
              <w:spacing w:after="120" w:line="360" w:lineRule="auto"/>
              <w:jc w:val="center"/>
              <w:rPr>
                <w:sz w:val="20"/>
                <w:szCs w:val="20"/>
              </w:rPr>
            </w:pPr>
            <w:r>
              <w:rPr>
                <w:sz w:val="20"/>
                <w:szCs w:val="20"/>
              </w:rPr>
              <w:t>&lt;3-10&gt;</w:t>
            </w:r>
          </w:p>
        </w:tc>
      </w:tr>
    </w:tbl>
    <w:p w14:paraId="7A9E8A2C" w14:textId="77777777" w:rsidR="006C2250" w:rsidRDefault="006C2250" w:rsidP="00B145BE">
      <w:pPr>
        <w:spacing w:after="120" w:line="360" w:lineRule="auto"/>
        <w:jc w:val="both"/>
      </w:pPr>
    </w:p>
    <w:p w14:paraId="62BCC0EA" w14:textId="5DD6E75B" w:rsidR="00B145BE" w:rsidRDefault="00B145BE" w:rsidP="006C2250">
      <w:pPr>
        <w:spacing w:after="120" w:line="360" w:lineRule="auto"/>
        <w:jc w:val="both"/>
        <w:rPr>
          <w:rFonts w:cstheme="minorHAnsi"/>
          <w:color w:val="000000" w:themeColor="text1"/>
        </w:rPr>
      </w:pPr>
      <w:r>
        <w:t xml:space="preserve">A further SADP was acquired along </w:t>
      </w:r>
      <w:r w:rsidRPr="00556929">
        <w:rPr>
          <w:rFonts w:cstheme="minorHAnsi"/>
          <w:color w:val="000000" w:themeColor="text1"/>
        </w:rPr>
        <w:t>[0</w:t>
      </w:r>
      <w:r>
        <w:rPr>
          <w:rFonts w:cstheme="minorHAnsi"/>
          <w:color w:val="000000" w:themeColor="text1"/>
        </w:rPr>
        <w:t>01</w:t>
      </w:r>
      <w:r w:rsidRPr="00556929">
        <w:rPr>
          <w:rFonts w:cstheme="minorHAnsi"/>
          <w:color w:val="000000" w:themeColor="text1"/>
        </w:rPr>
        <w:t>]</w:t>
      </w:r>
      <w:r w:rsidRPr="004A224A">
        <w:rPr>
          <w:rFonts w:cs="Times New Roman"/>
          <w:vertAlign w:val="subscript"/>
        </w:rPr>
        <w:t>α</w:t>
      </w:r>
      <w:r w:rsidRPr="004A224A">
        <w:rPr>
          <w:vertAlign w:val="subscript"/>
        </w:rPr>
        <w:t>’’</w:t>
      </w:r>
      <w:r w:rsidRPr="00556929">
        <w:rPr>
          <w:rFonts w:cstheme="minorHAnsi"/>
          <w:color w:val="000000" w:themeColor="text1"/>
          <w:vertAlign w:val="subscript"/>
        </w:rPr>
        <w:t>V1</w:t>
      </w:r>
      <w:r w:rsidRPr="00556929">
        <w:rPr>
          <w:rFonts w:cstheme="minorHAnsi"/>
          <w:color w:val="000000" w:themeColor="text1"/>
        </w:rPr>
        <w:t xml:space="preserve"> //[</w:t>
      </w:r>
      <w:r>
        <w:rPr>
          <w:rFonts w:cstheme="minorHAnsi"/>
          <w:color w:val="000000" w:themeColor="text1"/>
        </w:rPr>
        <w:t>2-11</w:t>
      </w:r>
      <w:r w:rsidRPr="00556929">
        <w:rPr>
          <w:rFonts w:cstheme="minorHAnsi"/>
          <w:color w:val="000000" w:themeColor="text1"/>
        </w:rPr>
        <w:t>]</w:t>
      </w:r>
      <w:r w:rsidRPr="004A224A">
        <w:rPr>
          <w:rFonts w:cs="Times New Roman"/>
          <w:vertAlign w:val="subscript"/>
        </w:rPr>
        <w:t>α</w:t>
      </w:r>
      <w:r w:rsidRPr="004A224A">
        <w:rPr>
          <w:vertAlign w:val="subscript"/>
        </w:rPr>
        <w:t>’’</w:t>
      </w:r>
      <w:r w:rsidRPr="00556929">
        <w:rPr>
          <w:rFonts w:cstheme="minorHAnsi"/>
          <w:color w:val="000000" w:themeColor="text1"/>
          <w:vertAlign w:val="subscript"/>
        </w:rPr>
        <w:t>V2</w:t>
      </w:r>
      <w:r>
        <w:rPr>
          <w:rFonts w:cstheme="minorHAnsi"/>
          <w:color w:val="000000" w:themeColor="text1"/>
        </w:rPr>
        <w:t xml:space="preserve"> as shown in Fig. 7-</w:t>
      </w:r>
      <w:r w:rsidR="00C35785">
        <w:rPr>
          <w:rFonts w:cstheme="minorHAnsi"/>
          <w:color w:val="000000" w:themeColor="text1"/>
        </w:rPr>
        <w:t>6</w:t>
      </w:r>
      <w:r>
        <w:rPr>
          <w:rFonts w:cstheme="minorHAnsi"/>
          <w:color w:val="000000" w:themeColor="text1"/>
        </w:rPr>
        <w:t xml:space="preserve">, as another </w:t>
      </w:r>
      <w:r w:rsidR="006C2250">
        <w:rPr>
          <w:rFonts w:cstheme="minorHAnsi"/>
          <w:color w:val="000000" w:themeColor="text1"/>
        </w:rPr>
        <w:t xml:space="preserve">analysis </w:t>
      </w:r>
      <w:r>
        <w:rPr>
          <w:rFonts w:cstheme="minorHAnsi"/>
          <w:color w:val="000000" w:themeColor="text1"/>
        </w:rPr>
        <w:t>to ascertain if</w:t>
      </w:r>
      <w:r>
        <w:t xml:space="preserve"> the lattice vector correspondence between the </w:t>
      </w:r>
      <w:r w:rsidRPr="00280CF9">
        <w:rPr>
          <w:noProof/>
        </w:rPr>
        <w:t>matrix</w:t>
      </w:r>
      <w:r>
        <w:t xml:space="preserve"> </w:t>
      </w:r>
      <w:r w:rsidRPr="00280CF9">
        <w:rPr>
          <w:noProof/>
        </w:rPr>
        <w:t>and</w:t>
      </w:r>
      <w:r>
        <w:t xml:space="preserve"> {351}</w:t>
      </w:r>
      <w:r w:rsidRPr="00104571">
        <w:rPr>
          <w:rFonts w:ascii="Times New Roman" w:hAnsi="Times New Roman" w:cs="Times New Roman"/>
          <w:vertAlign w:val="subscript"/>
        </w:rPr>
        <w:t>α</w:t>
      </w:r>
      <w:r w:rsidRPr="00104571">
        <w:rPr>
          <w:vertAlign w:val="subscript"/>
        </w:rPr>
        <w:t>’’</w:t>
      </w:r>
      <w:r>
        <w:t xml:space="preserve"> twinned variant</w:t>
      </w:r>
      <w:r w:rsidRPr="00280CF9">
        <w:rPr>
          <w:noProof/>
        </w:rPr>
        <w:t xml:space="preserve"> </w:t>
      </w:r>
      <w:r>
        <w:rPr>
          <w:noProof/>
        </w:rPr>
        <w:t xml:space="preserve">followed </w:t>
      </w:r>
      <w:r w:rsidR="006C2250">
        <w:rPr>
          <w:noProof/>
        </w:rPr>
        <w:t xml:space="preserve">the </w:t>
      </w:r>
      <w:r w:rsidRPr="00280CF9">
        <w:rPr>
          <w:noProof/>
        </w:rPr>
        <w:t>{351}&lt;-211&gt;</w:t>
      </w:r>
      <w:r w:rsidRPr="00280CF9">
        <w:rPr>
          <w:rFonts w:ascii="Times New Roman" w:hAnsi="Times New Roman" w:cs="Times New Roman"/>
          <w:noProof/>
          <w:vertAlign w:val="subscript"/>
        </w:rPr>
        <w:t>α</w:t>
      </w:r>
      <w:r w:rsidRPr="00280CF9">
        <w:rPr>
          <w:noProof/>
          <w:vertAlign w:val="subscript"/>
        </w:rPr>
        <w:t>’’</w:t>
      </w:r>
      <w:r w:rsidRPr="00280CF9">
        <w:rPr>
          <w:noProof/>
        </w:rPr>
        <w:t xml:space="preserve"> type II twinning</w:t>
      </w:r>
      <w:r>
        <w:rPr>
          <w:noProof/>
        </w:rPr>
        <w:t xml:space="preserve"> relationship</w:t>
      </w:r>
      <w:r>
        <w:rPr>
          <w:rFonts w:cstheme="minorHAnsi"/>
          <w:color w:val="000000" w:themeColor="text1"/>
        </w:rPr>
        <w:t xml:space="preserve">. The OR between V1 and V2 was derived from the result shown in the </w:t>
      </w:r>
      <w:r w:rsidRPr="00280CF9">
        <w:rPr>
          <w:rFonts w:cstheme="minorHAnsi"/>
          <w:noProof/>
          <w:color w:val="000000" w:themeColor="text1"/>
        </w:rPr>
        <w:t>stereo-projection</w:t>
      </w:r>
      <w:r>
        <w:rPr>
          <w:rFonts w:cstheme="minorHAnsi"/>
          <w:color w:val="000000" w:themeColor="text1"/>
        </w:rPr>
        <w:t xml:space="preserve"> figure at Fig. 7-</w:t>
      </w:r>
      <w:r w:rsidR="00C35785">
        <w:rPr>
          <w:rFonts w:cstheme="minorHAnsi"/>
          <w:color w:val="000000" w:themeColor="text1"/>
        </w:rPr>
        <w:t>6</w:t>
      </w:r>
      <w:r>
        <w:rPr>
          <w:rFonts w:cstheme="minorHAnsi"/>
          <w:color w:val="000000" w:themeColor="text1"/>
        </w:rPr>
        <w:t xml:space="preserve">(d). The lattice correspondence </w:t>
      </w:r>
      <w:r w:rsidRPr="00556929">
        <w:rPr>
          <w:rFonts w:cstheme="minorHAnsi"/>
          <w:color w:val="000000" w:themeColor="text1"/>
        </w:rPr>
        <w:t>[0</w:t>
      </w:r>
      <w:r>
        <w:rPr>
          <w:rFonts w:cstheme="minorHAnsi"/>
          <w:color w:val="000000" w:themeColor="text1"/>
        </w:rPr>
        <w:t>01</w:t>
      </w:r>
      <w:r w:rsidRPr="00556929">
        <w:rPr>
          <w:rFonts w:cstheme="minorHAnsi"/>
          <w:color w:val="000000" w:themeColor="text1"/>
        </w:rPr>
        <w:t>]</w:t>
      </w:r>
      <w:r w:rsidRPr="004A224A">
        <w:rPr>
          <w:rFonts w:cs="Times New Roman"/>
          <w:vertAlign w:val="subscript"/>
        </w:rPr>
        <w:t>α</w:t>
      </w:r>
      <w:r w:rsidRPr="004A224A">
        <w:rPr>
          <w:vertAlign w:val="subscript"/>
        </w:rPr>
        <w:t>’’</w:t>
      </w:r>
      <w:r w:rsidRPr="00556929">
        <w:rPr>
          <w:rFonts w:cstheme="minorHAnsi"/>
          <w:color w:val="000000" w:themeColor="text1"/>
          <w:vertAlign w:val="subscript"/>
        </w:rPr>
        <w:t>V</w:t>
      </w:r>
      <w:r>
        <w:rPr>
          <w:rFonts w:cstheme="minorHAnsi"/>
          <w:color w:val="000000" w:themeColor="text1"/>
          <w:vertAlign w:val="subscript"/>
        </w:rPr>
        <w:t>1</w:t>
      </w:r>
      <w:r w:rsidRPr="00556929">
        <w:rPr>
          <w:rFonts w:cstheme="minorHAnsi"/>
          <w:color w:val="000000" w:themeColor="text1"/>
        </w:rPr>
        <w:t xml:space="preserve"> //[</w:t>
      </w:r>
      <w:r>
        <w:rPr>
          <w:rFonts w:cstheme="minorHAnsi"/>
          <w:color w:val="000000" w:themeColor="text1"/>
        </w:rPr>
        <w:t>2-11</w:t>
      </w:r>
      <w:r w:rsidRPr="00556929">
        <w:rPr>
          <w:rFonts w:cstheme="minorHAnsi"/>
          <w:color w:val="000000" w:themeColor="text1"/>
        </w:rPr>
        <w:t>]</w:t>
      </w:r>
      <w:r w:rsidRPr="00556929">
        <w:rPr>
          <w:rFonts w:cstheme="minorHAnsi"/>
          <w:color w:val="000000" w:themeColor="text1"/>
          <w:vertAlign w:val="subscript"/>
        </w:rPr>
        <w:t>V2</w:t>
      </w:r>
      <w:r>
        <w:rPr>
          <w:rFonts w:cstheme="minorHAnsi"/>
          <w:color w:val="000000" w:themeColor="text1"/>
        </w:rPr>
        <w:t xml:space="preserve"> can only be satisfied by the {351}</w:t>
      </w:r>
      <w:r>
        <w:t>&lt;-211&gt;</w:t>
      </w:r>
      <w:r w:rsidRPr="00104571">
        <w:rPr>
          <w:rFonts w:ascii="Times New Roman" w:hAnsi="Times New Roman" w:cs="Times New Roman"/>
          <w:vertAlign w:val="subscript"/>
        </w:rPr>
        <w:t>α</w:t>
      </w:r>
      <w:r w:rsidRPr="00104571">
        <w:rPr>
          <w:vertAlign w:val="subscript"/>
        </w:rPr>
        <w:t>’’</w:t>
      </w:r>
      <w:r>
        <w:t xml:space="preserve"> type II twinning mode as presented in Table 7-1, which reconfirmed the {351}</w:t>
      </w:r>
      <w:r w:rsidRPr="00104571">
        <w:rPr>
          <w:rFonts w:ascii="Times New Roman" w:hAnsi="Times New Roman" w:cs="Times New Roman"/>
          <w:vertAlign w:val="subscript"/>
        </w:rPr>
        <w:t>α</w:t>
      </w:r>
      <w:r w:rsidRPr="00104571">
        <w:rPr>
          <w:vertAlign w:val="subscript"/>
        </w:rPr>
        <w:t>’’</w:t>
      </w:r>
      <w:r>
        <w:t xml:space="preserve"> twinning feature observed in Fig.7-</w:t>
      </w:r>
      <w:r w:rsidR="00C35785">
        <w:t>5</w:t>
      </w:r>
      <w:r>
        <w:t xml:space="preserve"> belonged to </w:t>
      </w:r>
      <w:r w:rsidRPr="00280CF9">
        <w:rPr>
          <w:noProof/>
        </w:rPr>
        <w:t>{351}&lt;-211&gt;</w:t>
      </w:r>
      <w:r w:rsidRPr="00280CF9">
        <w:rPr>
          <w:rFonts w:ascii="Times New Roman" w:hAnsi="Times New Roman" w:cs="Times New Roman"/>
          <w:noProof/>
          <w:vertAlign w:val="subscript"/>
        </w:rPr>
        <w:t>α</w:t>
      </w:r>
      <w:r w:rsidRPr="00280CF9">
        <w:rPr>
          <w:noProof/>
          <w:vertAlign w:val="subscript"/>
        </w:rPr>
        <w:t>’’</w:t>
      </w:r>
      <w:r w:rsidRPr="00280CF9">
        <w:rPr>
          <w:noProof/>
        </w:rPr>
        <w:t xml:space="preserve"> type II twinning</w:t>
      </w:r>
      <w:r>
        <w:t>. Of note is the diffraction pattern</w:t>
      </w:r>
      <w:r w:rsidRPr="00280CF9">
        <w:rPr>
          <w:noProof/>
        </w:rPr>
        <w:t xml:space="preserve"> shown</w:t>
      </w:r>
      <w:r>
        <w:t xml:space="preserve"> in Fig. 7-</w:t>
      </w:r>
      <w:r w:rsidR="00C35785">
        <w:t>5</w:t>
      </w:r>
      <w:r>
        <w:t>(a), where it is seen that great similarities were evident for the diffraction pattern of the {332}</w:t>
      </w:r>
      <w:r w:rsidRPr="00483D39">
        <w:rPr>
          <w:rFonts w:eastAsia="等线" w:cstheme="minorHAnsi"/>
          <w:vertAlign w:val="subscript"/>
        </w:rPr>
        <w:t>β</w:t>
      </w:r>
      <w:r>
        <w:t xml:space="preserve"> mechanical twinning acquired along </w:t>
      </w:r>
      <w:r w:rsidR="006C2250">
        <w:t xml:space="preserve">the </w:t>
      </w:r>
      <w:r>
        <w:t>&lt;1-10&gt;</w:t>
      </w:r>
      <w:r w:rsidRPr="00483D39">
        <w:rPr>
          <w:rFonts w:eastAsia="等线" w:cstheme="minorHAnsi"/>
          <w:vertAlign w:val="subscript"/>
        </w:rPr>
        <w:t>β</w:t>
      </w:r>
      <w:r>
        <w:t xml:space="preserve"> zone axis. Considering the {351}</w:t>
      </w:r>
      <w:r w:rsidRPr="00483D39">
        <w:rPr>
          <w:rFonts w:cstheme="minorHAnsi"/>
          <w:vertAlign w:val="subscript"/>
        </w:rPr>
        <w:t>α’’</w:t>
      </w:r>
      <w:r w:rsidRPr="00483D39">
        <w:rPr>
          <w:rFonts w:cstheme="minorHAnsi"/>
        </w:rPr>
        <w:t xml:space="preserve"> </w:t>
      </w:r>
      <w:r>
        <w:rPr>
          <w:rFonts w:cstheme="minorHAnsi"/>
        </w:rPr>
        <w:t xml:space="preserve">plane </w:t>
      </w:r>
      <w:r>
        <w:t xml:space="preserve">lattice corresponds to the </w:t>
      </w:r>
      <w:r w:rsidRPr="00280CF9">
        <w:rPr>
          <w:noProof/>
        </w:rPr>
        <w:t>{332}</w:t>
      </w:r>
      <w:r w:rsidRPr="00280CF9">
        <w:rPr>
          <w:rFonts w:eastAsia="等线" w:cstheme="minorHAnsi"/>
          <w:noProof/>
          <w:vertAlign w:val="subscript"/>
        </w:rPr>
        <w:t>β</w:t>
      </w:r>
      <w:r>
        <w:rPr>
          <w:rFonts w:cstheme="minorHAnsi"/>
          <w:color w:val="000000" w:themeColor="text1"/>
        </w:rPr>
        <w:t xml:space="preserve"> plane, such similarity in diffraction patterns may </w:t>
      </w:r>
      <w:r w:rsidRPr="00280CF9">
        <w:rPr>
          <w:rFonts w:cstheme="minorHAnsi"/>
          <w:noProof/>
          <w:color w:val="000000" w:themeColor="text1"/>
        </w:rPr>
        <w:t>not</w:t>
      </w:r>
      <w:r>
        <w:rPr>
          <w:rFonts w:cstheme="minorHAnsi"/>
          <w:noProof/>
          <w:color w:val="000000" w:themeColor="text1"/>
        </w:rPr>
        <w:t xml:space="preserve"> be</w:t>
      </w:r>
      <w:r>
        <w:rPr>
          <w:rFonts w:cstheme="minorHAnsi"/>
          <w:color w:val="000000" w:themeColor="text1"/>
        </w:rPr>
        <w:t xml:space="preserve"> a coincidence, but rather indicates some unknown relationship between </w:t>
      </w:r>
      <w:r w:rsidR="006C2250">
        <w:rPr>
          <w:rFonts w:cstheme="minorHAnsi"/>
          <w:color w:val="000000" w:themeColor="text1"/>
        </w:rPr>
        <w:t>{351}&lt;-211&gt;</w:t>
      </w:r>
      <w:r w:rsidR="006C2250" w:rsidRPr="00483D39">
        <w:rPr>
          <w:rFonts w:cstheme="minorHAnsi"/>
          <w:vertAlign w:val="subscript"/>
        </w:rPr>
        <w:t>α’’</w:t>
      </w:r>
      <w:r w:rsidR="006C2250">
        <w:rPr>
          <w:rFonts w:cstheme="minorHAnsi"/>
          <w:color w:val="000000" w:themeColor="text1"/>
        </w:rPr>
        <w:t xml:space="preserve"> type II</w:t>
      </w:r>
      <w:r>
        <w:rPr>
          <w:rFonts w:cstheme="minorHAnsi"/>
          <w:color w:val="000000" w:themeColor="text1"/>
        </w:rPr>
        <w:br/>
        <w:t>and {332}&lt;1-</w:t>
      </w:r>
      <w:r w:rsidR="006C2250">
        <w:rPr>
          <w:rFonts w:cstheme="minorHAnsi"/>
          <w:color w:val="000000" w:themeColor="text1"/>
        </w:rPr>
        <w:t xml:space="preserve"> </w:t>
      </w:r>
      <w:r>
        <w:rPr>
          <w:rFonts w:cstheme="minorHAnsi"/>
          <w:color w:val="000000" w:themeColor="text1"/>
        </w:rPr>
        <w:t>13&gt;</w:t>
      </w:r>
      <w:r w:rsidRPr="00483D39">
        <w:rPr>
          <w:rFonts w:eastAsia="等线" w:cstheme="minorHAnsi"/>
          <w:vertAlign w:val="subscript"/>
        </w:rPr>
        <w:t>β</w:t>
      </w:r>
      <w:r>
        <w:rPr>
          <w:rFonts w:eastAsia="等线" w:cstheme="minorHAnsi"/>
        </w:rPr>
        <w:t xml:space="preserve"> mechanical twinning</w:t>
      </w:r>
      <w:r>
        <w:rPr>
          <w:rFonts w:cstheme="minorHAnsi"/>
          <w:color w:val="000000" w:themeColor="text1"/>
        </w:rPr>
        <w:t xml:space="preserve">. </w:t>
      </w:r>
    </w:p>
    <w:p w14:paraId="7E41C106" w14:textId="77777777" w:rsidR="00B145BE" w:rsidRDefault="00B145BE" w:rsidP="00B145BE">
      <w:pPr>
        <w:spacing w:after="120" w:line="360" w:lineRule="auto"/>
        <w:jc w:val="center"/>
      </w:pPr>
      <w:r w:rsidRPr="00492B43">
        <w:rPr>
          <w:noProof/>
          <w:lang w:val="en-US" w:eastAsia="en-US"/>
        </w:rPr>
        <w:lastRenderedPageBreak/>
        <w:drawing>
          <wp:inline distT="0" distB="0" distL="0" distR="0" wp14:anchorId="7F13D59F" wp14:editId="2F57D042">
            <wp:extent cx="4010539" cy="3667760"/>
            <wp:effectExtent l="0" t="0" r="9525" b="8890"/>
            <wp:docPr id="140" name="图片 139" descr="图片包含 文字, 地图&#10;&#10;自动生成的说明">
              <a:extLst xmlns:a="http://schemas.openxmlformats.org/drawingml/2006/main">
                <a:ext uri="{FF2B5EF4-FFF2-40B4-BE49-F238E27FC236}">
                  <a16:creationId xmlns:a16="http://schemas.microsoft.com/office/drawing/2014/main" id="{0209C92F-D23E-4AE9-B9D1-303D88121B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39" descr="图片包含 文字, 地图&#10;&#10;自动生成的说明">
                      <a:extLst>
                        <a:ext uri="{FF2B5EF4-FFF2-40B4-BE49-F238E27FC236}">
                          <a16:creationId xmlns:a16="http://schemas.microsoft.com/office/drawing/2014/main" id="{0209C92F-D23E-4AE9-B9D1-303D88121BF7}"/>
                        </a:ext>
                      </a:extLst>
                    </pic:cNvPr>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4082430" cy="3733507"/>
                    </a:xfrm>
                    <a:prstGeom prst="rect">
                      <a:avLst/>
                    </a:prstGeom>
                  </pic:spPr>
                </pic:pic>
              </a:graphicData>
            </a:graphic>
          </wp:inline>
        </w:drawing>
      </w:r>
    </w:p>
    <w:p w14:paraId="3B96F239" w14:textId="77276A69" w:rsidR="00B145BE" w:rsidRDefault="00B145BE" w:rsidP="00B145BE">
      <w:pPr>
        <w:spacing w:after="60" w:line="360" w:lineRule="auto"/>
        <w:jc w:val="both"/>
        <w:rPr>
          <w:rFonts w:cstheme="minorHAnsi"/>
          <w:color w:val="000000" w:themeColor="text1"/>
          <w:sz w:val="20"/>
        </w:rPr>
      </w:pPr>
      <w:bookmarkStart w:id="328" w:name="_Toc7364616"/>
      <w:bookmarkStart w:id="329" w:name="_Toc39312729"/>
      <w:r w:rsidRPr="00142BDE">
        <w:rPr>
          <w:rFonts w:cstheme="minorHAnsi"/>
          <w:b/>
          <w:bCs/>
          <w:color w:val="000000" w:themeColor="text1"/>
          <w:sz w:val="20"/>
        </w:rPr>
        <w:t>Figure 7-</w:t>
      </w:r>
      <w:r w:rsidR="00C35785" w:rsidRPr="00351A7D">
        <w:rPr>
          <w:b/>
          <w:sz w:val="20"/>
        </w:rPr>
        <w:fldChar w:fldCharType="begin"/>
      </w:r>
      <w:r w:rsidR="00C35785" w:rsidRPr="00351A7D">
        <w:rPr>
          <w:b/>
          <w:sz w:val="20"/>
        </w:rPr>
        <w:instrText xml:space="preserve"> SEQ Figure \* ARABIC </w:instrText>
      </w:r>
      <w:r w:rsidR="00C35785" w:rsidRPr="00351A7D">
        <w:rPr>
          <w:b/>
          <w:sz w:val="20"/>
        </w:rPr>
        <w:fldChar w:fldCharType="separate"/>
      </w:r>
      <w:r w:rsidR="00C35785">
        <w:rPr>
          <w:b/>
          <w:noProof/>
          <w:sz w:val="20"/>
        </w:rPr>
        <w:t>6</w:t>
      </w:r>
      <w:r w:rsidR="00C35785" w:rsidRPr="00351A7D">
        <w:rPr>
          <w:b/>
          <w:sz w:val="20"/>
        </w:rPr>
        <w:fldChar w:fldCharType="end"/>
      </w:r>
      <w:r w:rsidRPr="00142BDE">
        <w:rPr>
          <w:rFonts w:cstheme="minorHAnsi"/>
          <w:b/>
          <w:bCs/>
          <w:color w:val="000000" w:themeColor="text1"/>
          <w:sz w:val="20"/>
        </w:rPr>
        <w:t xml:space="preserve"> </w:t>
      </w:r>
      <w:r w:rsidRPr="00142BDE">
        <w:rPr>
          <w:rFonts w:cstheme="minorHAnsi"/>
          <w:b/>
          <w:color w:val="000000" w:themeColor="text1"/>
          <w:sz w:val="20"/>
        </w:rPr>
        <w:t>TEM imag</w:t>
      </w:r>
      <w:r>
        <w:rPr>
          <w:rFonts w:cstheme="minorHAnsi"/>
          <w:b/>
          <w:color w:val="000000" w:themeColor="text1"/>
          <w:sz w:val="20"/>
        </w:rPr>
        <w:t>e</w:t>
      </w:r>
      <w:r w:rsidRPr="00142BDE">
        <w:rPr>
          <w:rFonts w:cstheme="minorHAnsi"/>
          <w:b/>
          <w:color w:val="000000" w:themeColor="text1"/>
          <w:sz w:val="20"/>
        </w:rPr>
        <w:t xml:space="preserve"> of {351}</w:t>
      </w:r>
      <w:r w:rsidRPr="00142BDE">
        <w:rPr>
          <w:b/>
          <w:sz w:val="20"/>
          <w:vertAlign w:val="subscript"/>
        </w:rPr>
        <w:t>α’’</w:t>
      </w:r>
      <w:r w:rsidRPr="00142BDE">
        <w:rPr>
          <w:rFonts w:cstheme="minorHAnsi"/>
          <w:b/>
          <w:color w:val="000000" w:themeColor="text1"/>
          <w:sz w:val="20"/>
        </w:rPr>
        <w:t xml:space="preserve"> martensite twin.</w:t>
      </w:r>
      <w:r w:rsidRPr="00142BDE">
        <w:rPr>
          <w:rFonts w:cstheme="minorHAnsi"/>
          <w:color w:val="000000" w:themeColor="text1"/>
          <w:sz w:val="20"/>
        </w:rPr>
        <w:t xml:space="preserve"> </w:t>
      </w:r>
      <w:r w:rsidRPr="003C56F1">
        <w:rPr>
          <w:rFonts w:cstheme="minorHAnsi"/>
          <w:bCs/>
          <w:color w:val="000000" w:themeColor="text1"/>
          <w:sz w:val="20"/>
        </w:rPr>
        <w:t>(</w:t>
      </w:r>
      <w:r w:rsidRPr="003C56F1">
        <w:rPr>
          <w:rFonts w:cstheme="minorHAnsi"/>
          <w:b/>
          <w:bCs/>
          <w:color w:val="000000" w:themeColor="text1"/>
          <w:sz w:val="20"/>
        </w:rPr>
        <w:t>a</w:t>
      </w:r>
      <w:r w:rsidRPr="003C56F1">
        <w:rPr>
          <w:rFonts w:cstheme="minorHAnsi"/>
          <w:bCs/>
          <w:color w:val="000000" w:themeColor="text1"/>
          <w:sz w:val="20"/>
        </w:rPr>
        <w:t>)</w:t>
      </w:r>
      <w:r>
        <w:rPr>
          <w:rFonts w:cstheme="minorHAnsi"/>
          <w:bCs/>
          <w:color w:val="000000" w:themeColor="text1"/>
          <w:sz w:val="20"/>
        </w:rPr>
        <w:t xml:space="preserve"> a </w:t>
      </w:r>
      <w:r w:rsidRPr="003C56F1">
        <w:rPr>
          <w:rFonts w:cstheme="minorHAnsi"/>
          <w:color w:val="000000" w:themeColor="text1"/>
          <w:sz w:val="20"/>
        </w:rPr>
        <w:t>SADP of {351} twinning and B</w:t>
      </w:r>
      <w:r>
        <w:rPr>
          <w:rFonts w:cstheme="minorHAnsi"/>
          <w:color w:val="000000" w:themeColor="text1"/>
          <w:sz w:val="20"/>
        </w:rPr>
        <w:t>CC</w:t>
      </w:r>
      <w:r w:rsidRPr="003C56F1">
        <w:rPr>
          <w:rFonts w:cstheme="minorHAnsi"/>
          <w:color w:val="000000" w:themeColor="text1"/>
          <w:sz w:val="20"/>
        </w:rPr>
        <w:t xml:space="preserve"> matrix </w:t>
      </w:r>
      <w:r>
        <w:rPr>
          <w:rFonts w:cstheme="minorHAnsi"/>
          <w:color w:val="000000" w:themeColor="text1"/>
          <w:sz w:val="20"/>
        </w:rPr>
        <w:t>acquired</w:t>
      </w:r>
      <w:r w:rsidRPr="003C56F1">
        <w:rPr>
          <w:rFonts w:cstheme="minorHAnsi"/>
          <w:color w:val="000000" w:themeColor="text1"/>
          <w:sz w:val="20"/>
        </w:rPr>
        <w:t xml:space="preserve"> from [001]</w:t>
      </w:r>
      <w:r w:rsidRPr="003C56F1">
        <w:rPr>
          <w:sz w:val="20"/>
          <w:vertAlign w:val="subscript"/>
        </w:rPr>
        <w:t>α’’</w:t>
      </w:r>
      <w:r w:rsidRPr="003C56F1">
        <w:rPr>
          <w:rFonts w:cstheme="minorHAnsi"/>
          <w:color w:val="000000" w:themeColor="text1"/>
          <w:sz w:val="20"/>
        </w:rPr>
        <w:t xml:space="preserve"> //[2-11]</w:t>
      </w:r>
      <w:r w:rsidRPr="003C56F1">
        <w:rPr>
          <w:sz w:val="20"/>
          <w:vertAlign w:val="subscript"/>
        </w:rPr>
        <w:t>α’’</w:t>
      </w:r>
      <w:r w:rsidRPr="003C56F1">
        <w:rPr>
          <w:rFonts w:cstheme="minorHAnsi"/>
          <w:color w:val="000000" w:themeColor="text1"/>
          <w:sz w:val="20"/>
        </w:rPr>
        <w:t>//[1-10]</w:t>
      </w:r>
      <w:r w:rsidRPr="003C56F1">
        <w:rPr>
          <w:rFonts w:eastAsia="宋体" w:cstheme="minorHAnsi"/>
          <w:color w:val="000000" w:themeColor="text1"/>
          <w:sz w:val="20"/>
          <w:vertAlign w:val="subscript"/>
        </w:rPr>
        <w:t>β</w:t>
      </w:r>
      <w:r w:rsidRPr="003C56F1">
        <w:rPr>
          <w:rFonts w:cstheme="minorHAnsi"/>
          <w:color w:val="000000" w:themeColor="text1"/>
          <w:sz w:val="20"/>
        </w:rPr>
        <w:t xml:space="preserve"> zone axis with B</w:t>
      </w:r>
      <w:r>
        <w:rPr>
          <w:rFonts w:cstheme="minorHAnsi"/>
          <w:color w:val="000000" w:themeColor="text1"/>
          <w:sz w:val="20"/>
        </w:rPr>
        <w:t>CC</w:t>
      </w:r>
      <w:r w:rsidRPr="003C56F1">
        <w:rPr>
          <w:rFonts w:cstheme="minorHAnsi"/>
          <w:color w:val="000000" w:themeColor="text1"/>
          <w:sz w:val="20"/>
        </w:rPr>
        <w:t xml:space="preserve"> matrix</w:t>
      </w:r>
      <w:r>
        <w:rPr>
          <w:rFonts w:cstheme="minorHAnsi"/>
          <w:color w:val="000000" w:themeColor="text1"/>
          <w:sz w:val="20"/>
        </w:rPr>
        <w:t>;</w:t>
      </w:r>
      <w:r w:rsidRPr="003C56F1">
        <w:rPr>
          <w:rFonts w:cstheme="minorHAnsi"/>
          <w:color w:val="000000" w:themeColor="text1"/>
          <w:sz w:val="20"/>
        </w:rPr>
        <w:t xml:space="preserve"> </w:t>
      </w:r>
      <w:r w:rsidRPr="003C56F1">
        <w:rPr>
          <w:rFonts w:cstheme="minorHAnsi"/>
          <w:bCs/>
          <w:color w:val="000000" w:themeColor="text1"/>
          <w:sz w:val="20"/>
        </w:rPr>
        <w:t>(</w:t>
      </w:r>
      <w:r w:rsidRPr="003C56F1">
        <w:rPr>
          <w:rFonts w:cstheme="minorHAnsi"/>
          <w:b/>
          <w:bCs/>
          <w:color w:val="000000" w:themeColor="text1"/>
          <w:sz w:val="20"/>
        </w:rPr>
        <w:t>b</w:t>
      </w:r>
      <w:r w:rsidRPr="003C56F1">
        <w:rPr>
          <w:rFonts w:cstheme="minorHAnsi"/>
          <w:bCs/>
          <w:color w:val="000000" w:themeColor="text1"/>
          <w:sz w:val="20"/>
        </w:rPr>
        <w:t>)</w:t>
      </w:r>
      <w:r>
        <w:rPr>
          <w:rFonts w:cstheme="minorHAnsi"/>
          <w:bCs/>
          <w:color w:val="000000" w:themeColor="text1"/>
          <w:sz w:val="20"/>
        </w:rPr>
        <w:t xml:space="preserve"> </w:t>
      </w:r>
      <w:r w:rsidR="009268FC">
        <w:rPr>
          <w:rFonts w:cstheme="minorHAnsi"/>
          <w:bCs/>
          <w:color w:val="000000" w:themeColor="text1"/>
          <w:sz w:val="20"/>
        </w:rPr>
        <w:t xml:space="preserve">bright filed image of </w:t>
      </w:r>
      <w:r>
        <w:rPr>
          <w:rFonts w:cstheme="minorHAnsi"/>
          <w:bCs/>
          <w:color w:val="000000" w:themeColor="text1"/>
          <w:sz w:val="20"/>
        </w:rPr>
        <w:t xml:space="preserve">the </w:t>
      </w:r>
      <w:r>
        <w:rPr>
          <w:rFonts w:cstheme="minorHAnsi"/>
          <w:color w:val="000000" w:themeColor="text1"/>
          <w:sz w:val="20"/>
        </w:rPr>
        <w:t>s</w:t>
      </w:r>
      <w:r w:rsidRPr="003C56F1">
        <w:rPr>
          <w:rFonts w:cstheme="minorHAnsi"/>
          <w:color w:val="000000" w:themeColor="text1"/>
          <w:sz w:val="20"/>
        </w:rPr>
        <w:t>elected area</w:t>
      </w:r>
      <w:r>
        <w:rPr>
          <w:rFonts w:cstheme="minorHAnsi"/>
          <w:color w:val="000000" w:themeColor="text1"/>
          <w:sz w:val="20"/>
        </w:rPr>
        <w:t xml:space="preserve">; </w:t>
      </w:r>
      <w:r w:rsidRPr="003C56F1">
        <w:rPr>
          <w:rFonts w:cstheme="minorHAnsi"/>
          <w:color w:val="000000" w:themeColor="text1"/>
          <w:sz w:val="20"/>
        </w:rPr>
        <w:t xml:space="preserve"> </w:t>
      </w:r>
      <w:r w:rsidRPr="002F3A48">
        <w:rPr>
          <w:rFonts w:cstheme="minorHAnsi"/>
          <w:color w:val="000000" w:themeColor="text1"/>
          <w:sz w:val="20"/>
        </w:rPr>
        <w:t>(</w:t>
      </w:r>
      <w:r w:rsidRPr="00572E75">
        <w:rPr>
          <w:rFonts w:cstheme="minorHAnsi"/>
          <w:b/>
          <w:bCs/>
          <w:color w:val="000000" w:themeColor="text1"/>
          <w:sz w:val="20"/>
        </w:rPr>
        <w:t>c</w:t>
      </w:r>
      <w:r w:rsidRPr="002F3A48">
        <w:rPr>
          <w:rFonts w:cstheme="minorHAnsi"/>
          <w:color w:val="000000" w:themeColor="text1"/>
          <w:sz w:val="20"/>
        </w:rPr>
        <w:t>)</w:t>
      </w:r>
      <w:r>
        <w:rPr>
          <w:rFonts w:cstheme="minorHAnsi"/>
          <w:bCs/>
          <w:color w:val="000000" w:themeColor="text1"/>
          <w:sz w:val="20"/>
        </w:rPr>
        <w:t xml:space="preserve"> a </w:t>
      </w:r>
      <w:r w:rsidRPr="003C56F1">
        <w:rPr>
          <w:rFonts w:cstheme="minorHAnsi"/>
          <w:color w:val="000000" w:themeColor="text1"/>
          <w:sz w:val="20"/>
        </w:rPr>
        <w:t xml:space="preserve">simulated DP of </w:t>
      </w:r>
      <w:r>
        <w:rPr>
          <w:rFonts w:cstheme="minorHAnsi"/>
          <w:color w:val="000000" w:themeColor="text1"/>
          <w:sz w:val="20"/>
        </w:rPr>
        <w:t xml:space="preserve">the </w:t>
      </w:r>
      <w:r w:rsidRPr="003C56F1">
        <w:rPr>
          <w:rFonts w:cstheme="minorHAnsi"/>
          <w:color w:val="000000" w:themeColor="text1"/>
          <w:sz w:val="20"/>
        </w:rPr>
        <w:t>denoted zone axis</w:t>
      </w:r>
      <w:r>
        <w:rPr>
          <w:rFonts w:cstheme="minorHAnsi"/>
          <w:color w:val="000000" w:themeColor="text1"/>
          <w:sz w:val="20"/>
        </w:rPr>
        <w:t>;</w:t>
      </w:r>
      <w:r w:rsidRPr="003C56F1">
        <w:rPr>
          <w:rFonts w:cstheme="minorHAnsi"/>
          <w:color w:val="000000" w:themeColor="text1"/>
          <w:sz w:val="20"/>
        </w:rPr>
        <w:t xml:space="preserve"> </w:t>
      </w:r>
      <w:r w:rsidRPr="003C56F1">
        <w:rPr>
          <w:rFonts w:cstheme="minorHAnsi"/>
          <w:bCs/>
          <w:color w:val="000000" w:themeColor="text1"/>
          <w:sz w:val="20"/>
        </w:rPr>
        <w:t>(</w:t>
      </w:r>
      <w:r w:rsidRPr="003C56F1">
        <w:rPr>
          <w:rFonts w:cstheme="minorHAnsi"/>
          <w:b/>
          <w:bCs/>
          <w:color w:val="000000" w:themeColor="text1"/>
          <w:sz w:val="20"/>
        </w:rPr>
        <w:t>d</w:t>
      </w:r>
      <w:r w:rsidRPr="003C56F1">
        <w:rPr>
          <w:rFonts w:cstheme="minorHAnsi"/>
          <w:bCs/>
          <w:color w:val="000000" w:themeColor="text1"/>
          <w:sz w:val="20"/>
        </w:rPr>
        <w:t xml:space="preserve">) </w:t>
      </w:r>
      <w:r>
        <w:rPr>
          <w:rFonts w:cstheme="minorHAnsi"/>
          <w:color w:val="000000" w:themeColor="text1"/>
          <w:sz w:val="20"/>
        </w:rPr>
        <w:t>o</w:t>
      </w:r>
      <w:r w:rsidRPr="003C56F1">
        <w:rPr>
          <w:rFonts w:cstheme="minorHAnsi"/>
          <w:color w:val="000000" w:themeColor="text1"/>
          <w:sz w:val="20"/>
        </w:rPr>
        <w:t>verlapped DP of [001]</w:t>
      </w:r>
      <w:r w:rsidRPr="003C56F1">
        <w:rPr>
          <w:sz w:val="20"/>
          <w:vertAlign w:val="subscript"/>
        </w:rPr>
        <w:t>α’’</w:t>
      </w:r>
      <w:r w:rsidRPr="003C56F1">
        <w:rPr>
          <w:rFonts w:cstheme="minorHAnsi"/>
          <w:color w:val="000000" w:themeColor="text1"/>
          <w:sz w:val="20"/>
        </w:rPr>
        <w:t xml:space="preserve"> //[2-11]</w:t>
      </w:r>
      <w:r w:rsidRPr="003C56F1">
        <w:rPr>
          <w:sz w:val="20"/>
          <w:vertAlign w:val="subscript"/>
        </w:rPr>
        <w:t>α’’</w:t>
      </w:r>
      <w:r w:rsidRPr="003C56F1">
        <w:rPr>
          <w:rFonts w:cstheme="minorHAnsi"/>
          <w:color w:val="000000" w:themeColor="text1"/>
          <w:sz w:val="20"/>
        </w:rPr>
        <w:t>//[1-10]</w:t>
      </w:r>
      <w:r w:rsidRPr="003C56F1">
        <w:rPr>
          <w:rFonts w:eastAsia="宋体" w:cstheme="minorHAnsi"/>
          <w:color w:val="000000" w:themeColor="text1"/>
          <w:sz w:val="20"/>
          <w:vertAlign w:val="subscript"/>
        </w:rPr>
        <w:t>β</w:t>
      </w:r>
      <w:r>
        <w:rPr>
          <w:rFonts w:cstheme="minorHAnsi"/>
          <w:color w:val="000000" w:themeColor="text1"/>
          <w:sz w:val="20"/>
        </w:rPr>
        <w:t xml:space="preserve"> and</w:t>
      </w:r>
      <w:r w:rsidRPr="003C56F1">
        <w:rPr>
          <w:rFonts w:cstheme="minorHAnsi"/>
          <w:color w:val="000000" w:themeColor="text1"/>
          <w:sz w:val="20"/>
        </w:rPr>
        <w:t xml:space="preserve"> can be compared with (a)</w:t>
      </w:r>
      <w:r>
        <w:rPr>
          <w:rFonts w:cstheme="minorHAnsi"/>
          <w:color w:val="000000" w:themeColor="text1"/>
          <w:sz w:val="20"/>
        </w:rPr>
        <w:t>; and</w:t>
      </w:r>
      <w:r w:rsidRPr="003C56F1">
        <w:rPr>
          <w:rFonts w:cstheme="minorHAnsi"/>
          <w:bCs/>
          <w:color w:val="000000" w:themeColor="text1"/>
          <w:sz w:val="20"/>
        </w:rPr>
        <w:t xml:space="preserve"> </w:t>
      </w:r>
      <w:r>
        <w:rPr>
          <w:rFonts w:cstheme="minorHAnsi"/>
          <w:bCs/>
          <w:color w:val="000000" w:themeColor="text1"/>
          <w:sz w:val="20"/>
        </w:rPr>
        <w:t xml:space="preserve">a </w:t>
      </w:r>
      <w:r>
        <w:rPr>
          <w:rFonts w:cstheme="minorHAnsi"/>
          <w:color w:val="000000" w:themeColor="text1"/>
          <w:sz w:val="20"/>
        </w:rPr>
        <w:t>s</w:t>
      </w:r>
      <w:r w:rsidRPr="003C56F1">
        <w:rPr>
          <w:rFonts w:cstheme="minorHAnsi"/>
          <w:color w:val="000000" w:themeColor="text1"/>
          <w:sz w:val="20"/>
        </w:rPr>
        <w:t>chematic</w:t>
      </w:r>
      <w:r w:rsidRPr="00142BDE">
        <w:rPr>
          <w:rFonts w:cstheme="minorHAnsi"/>
          <w:color w:val="000000" w:themeColor="text1"/>
          <w:sz w:val="20"/>
        </w:rPr>
        <w:t xml:space="preserve"> stereo projection figure is </w:t>
      </w:r>
      <w:r>
        <w:rPr>
          <w:rFonts w:cstheme="minorHAnsi"/>
          <w:noProof/>
          <w:color w:val="000000" w:themeColor="text1"/>
          <w:sz w:val="20"/>
        </w:rPr>
        <w:t>acquired</w:t>
      </w:r>
      <w:r w:rsidRPr="00142BDE">
        <w:rPr>
          <w:rFonts w:cstheme="minorHAnsi"/>
          <w:color w:val="000000" w:themeColor="text1"/>
          <w:sz w:val="20"/>
        </w:rPr>
        <w:t xml:space="preserve"> from </w:t>
      </w:r>
      <w:r w:rsidR="009268FC">
        <w:rPr>
          <w:rFonts w:cstheme="minorHAnsi" w:hint="eastAsia"/>
          <w:color w:val="000000" w:themeColor="text1"/>
          <w:sz w:val="20"/>
        </w:rPr>
        <w:t>the</w:t>
      </w:r>
      <w:r w:rsidR="009268FC">
        <w:rPr>
          <w:rFonts w:cstheme="minorHAnsi"/>
          <w:color w:val="000000" w:themeColor="text1"/>
          <w:sz w:val="20"/>
        </w:rPr>
        <w:t xml:space="preserve"> </w:t>
      </w:r>
      <w:r w:rsidRPr="00142BDE">
        <w:rPr>
          <w:rFonts w:cstheme="minorHAnsi"/>
          <w:color w:val="000000" w:themeColor="text1"/>
          <w:sz w:val="20"/>
        </w:rPr>
        <w:t>[001]</w:t>
      </w:r>
      <w:r w:rsidRPr="00142BDE">
        <w:rPr>
          <w:sz w:val="20"/>
          <w:vertAlign w:val="subscript"/>
        </w:rPr>
        <w:t xml:space="preserve"> α’’</w:t>
      </w:r>
      <w:r w:rsidRPr="00142BDE">
        <w:rPr>
          <w:rFonts w:cstheme="minorHAnsi"/>
          <w:color w:val="000000" w:themeColor="text1"/>
          <w:sz w:val="20"/>
        </w:rPr>
        <w:t xml:space="preserve"> and [2-11]</w:t>
      </w:r>
      <w:r w:rsidRPr="00142BDE">
        <w:rPr>
          <w:sz w:val="20"/>
          <w:vertAlign w:val="subscript"/>
        </w:rPr>
        <w:t xml:space="preserve"> α’’</w:t>
      </w:r>
      <w:r w:rsidR="009268FC">
        <w:rPr>
          <w:sz w:val="20"/>
        </w:rPr>
        <w:t xml:space="preserve"> zone axe</w:t>
      </w:r>
      <w:r w:rsidRPr="00142BDE">
        <w:rPr>
          <w:rFonts w:cstheme="minorHAnsi"/>
          <w:color w:val="000000" w:themeColor="text1"/>
          <w:sz w:val="20"/>
        </w:rPr>
        <w:t>.</w:t>
      </w:r>
      <w:bookmarkEnd w:id="328"/>
      <w:bookmarkEnd w:id="329"/>
    </w:p>
    <w:p w14:paraId="28D7560A" w14:textId="77777777" w:rsidR="00B145BE" w:rsidRPr="001C513B" w:rsidRDefault="00B145BE" w:rsidP="00B145BE">
      <w:pPr>
        <w:pStyle w:val="3"/>
        <w:spacing w:before="0" w:after="60" w:line="360" w:lineRule="auto"/>
        <w:rPr>
          <w:rFonts w:asciiTheme="minorHAnsi" w:hAnsiTheme="minorHAnsi"/>
          <w:b/>
          <w:color w:val="auto"/>
          <w:sz w:val="32"/>
          <w:szCs w:val="32"/>
          <w:lang w:bidi="hi-IN"/>
        </w:rPr>
      </w:pPr>
      <w:bookmarkStart w:id="330" w:name="_Toc22052556"/>
      <w:r w:rsidRPr="001C513B">
        <w:rPr>
          <w:rFonts w:asciiTheme="minorHAnsi" w:hAnsiTheme="minorHAnsi"/>
          <w:b/>
          <w:color w:val="auto"/>
          <w:sz w:val="32"/>
          <w:szCs w:val="32"/>
          <w:lang w:bidi="hi-IN"/>
        </w:rPr>
        <w:t>7.3.</w:t>
      </w:r>
      <w:r>
        <w:rPr>
          <w:rFonts w:asciiTheme="minorHAnsi" w:hAnsiTheme="minorHAnsi"/>
          <w:b/>
          <w:color w:val="auto"/>
          <w:sz w:val="32"/>
          <w:szCs w:val="32"/>
          <w:lang w:bidi="hi-IN"/>
        </w:rPr>
        <w:t>2</w:t>
      </w:r>
      <w:r w:rsidRPr="001C513B">
        <w:rPr>
          <w:rFonts w:asciiTheme="minorHAnsi" w:hAnsiTheme="minorHAnsi"/>
          <w:b/>
          <w:color w:val="auto"/>
          <w:sz w:val="32"/>
          <w:szCs w:val="32"/>
          <w:lang w:bidi="hi-IN"/>
        </w:rPr>
        <w:t xml:space="preserve"> </w:t>
      </w:r>
      <w:r>
        <w:rPr>
          <w:rFonts w:asciiTheme="minorHAnsi" w:hAnsiTheme="minorHAnsi"/>
          <w:b/>
          <w:color w:val="auto"/>
          <w:sz w:val="32"/>
          <w:szCs w:val="32"/>
          <w:lang w:bidi="hi-IN"/>
        </w:rPr>
        <w:t>Evolution</w:t>
      </w:r>
      <w:r w:rsidRPr="001C513B">
        <w:rPr>
          <w:rFonts w:asciiTheme="minorHAnsi" w:hAnsiTheme="minorHAnsi"/>
          <w:b/>
          <w:color w:val="auto"/>
          <w:sz w:val="32"/>
          <w:szCs w:val="32"/>
          <w:lang w:bidi="hi-IN"/>
        </w:rPr>
        <w:t xml:space="preserve"> of type II {351}&lt;-211&gt;</w:t>
      </w:r>
      <w:r w:rsidRPr="001C513B">
        <w:rPr>
          <w:rFonts w:asciiTheme="minorHAnsi" w:hAnsiTheme="minorHAnsi"/>
          <w:b/>
          <w:color w:val="auto"/>
          <w:sz w:val="32"/>
          <w:szCs w:val="32"/>
          <w:vertAlign w:val="subscript"/>
          <w:lang w:bidi="hi-IN"/>
        </w:rPr>
        <w:t>α’’</w:t>
      </w:r>
      <w:r w:rsidRPr="001C513B">
        <w:rPr>
          <w:rFonts w:asciiTheme="minorHAnsi" w:hAnsiTheme="minorHAnsi"/>
          <w:b/>
          <w:color w:val="auto"/>
          <w:sz w:val="32"/>
          <w:szCs w:val="32"/>
          <w:lang w:bidi="hi-IN"/>
        </w:rPr>
        <w:t xml:space="preserve"> SA twinning</w:t>
      </w:r>
      <w:bookmarkEnd w:id="330"/>
    </w:p>
    <w:p w14:paraId="7762C1B3" w14:textId="2E793292" w:rsidR="00F56D92" w:rsidRDefault="00B145BE" w:rsidP="00F56D92">
      <w:pPr>
        <w:keepNext/>
        <w:spacing w:after="120" w:line="360" w:lineRule="auto"/>
        <w:jc w:val="both"/>
        <w:rPr>
          <w:rFonts w:cstheme="minorHAnsi"/>
        </w:rPr>
      </w:pPr>
      <w:r>
        <w:t xml:space="preserve">With further deformation </w:t>
      </w:r>
      <w:r w:rsidRPr="006B3536">
        <w:t xml:space="preserve">to </w:t>
      </w:r>
      <w:r w:rsidR="00F56D92">
        <w:t>9</w:t>
      </w:r>
      <w:r w:rsidRPr="006B3536">
        <w:t>%</w:t>
      </w:r>
      <w:r>
        <w:t xml:space="preserve"> strain</w:t>
      </w:r>
      <w:r w:rsidRPr="006B3536">
        <w:t>, the primary SA twin</w:t>
      </w:r>
      <w:r>
        <w:t>n</w:t>
      </w:r>
      <w:r w:rsidRPr="006B3536">
        <w:t xml:space="preserve">ed </w:t>
      </w:r>
      <w:r w:rsidRPr="006B3536">
        <w:rPr>
          <w:rFonts w:cs="Times New Roman"/>
        </w:rPr>
        <w:t>α</w:t>
      </w:r>
      <w:r w:rsidRPr="006B3536">
        <w:t xml:space="preserve">’’ variants arrange themselves in a more complicated structure </w:t>
      </w:r>
      <w:r>
        <w:t>due to the increased stra</w:t>
      </w:r>
      <w:r w:rsidRPr="00EF6368">
        <w:rPr>
          <w:rFonts w:cstheme="minorHAnsi"/>
        </w:rPr>
        <w:t xml:space="preserve">in. </w:t>
      </w:r>
      <w:r w:rsidR="00EF6368" w:rsidRPr="00EF6368">
        <w:rPr>
          <w:rFonts w:cstheme="minorHAnsi"/>
        </w:rPr>
        <w:t xml:space="preserve">In </w:t>
      </w:r>
      <w:r w:rsidR="00EF6368" w:rsidRPr="00EF6368">
        <w:rPr>
          <w:rFonts w:cstheme="minorHAnsi"/>
          <w:bCs/>
        </w:rPr>
        <w:t xml:space="preserve">Fig. </w:t>
      </w:r>
      <w:r w:rsidR="00EF6368">
        <w:rPr>
          <w:rFonts w:cstheme="minorHAnsi"/>
          <w:bCs/>
        </w:rPr>
        <w:t>7-7</w:t>
      </w:r>
      <w:r w:rsidR="00EF6368" w:rsidRPr="00EF6368">
        <w:rPr>
          <w:rFonts w:cstheme="minorHAnsi"/>
          <w:b/>
        </w:rPr>
        <w:t>,</w:t>
      </w:r>
      <w:r w:rsidR="00EF6368" w:rsidRPr="00EF6368">
        <w:rPr>
          <w:rFonts w:cstheme="minorHAnsi"/>
        </w:rPr>
        <w:t xml:space="preserve"> TEM BFI shows a transformed type II {351}&lt;-211&gt;</w:t>
      </w:r>
      <w:r w:rsidR="00EF6368" w:rsidRPr="00EF6368">
        <w:rPr>
          <w:rFonts w:cstheme="minorHAnsi"/>
          <w:vertAlign w:val="subscript"/>
        </w:rPr>
        <w:t>α’’</w:t>
      </w:r>
      <w:r w:rsidR="00EF6368" w:rsidRPr="00EF6368">
        <w:rPr>
          <w:rFonts w:cstheme="minorHAnsi"/>
        </w:rPr>
        <w:t xml:space="preserve"> SA twin structure, with the four involved martensite variants  designated as V1-4. SADPs taken from the origin and transformed {351}&lt;-211&gt;</w:t>
      </w:r>
      <w:r w:rsidR="00EF6368" w:rsidRPr="00EF6368">
        <w:rPr>
          <w:rFonts w:cstheme="minorHAnsi"/>
          <w:vertAlign w:val="subscript"/>
        </w:rPr>
        <w:t>α’’</w:t>
      </w:r>
      <w:r w:rsidR="00EF6368" w:rsidRPr="00EF6368">
        <w:rPr>
          <w:rFonts w:cstheme="minorHAnsi"/>
        </w:rPr>
        <w:t xml:space="preserve"> twin boundary along &lt;112&gt;</w:t>
      </w:r>
      <w:r w:rsidR="00EF6368" w:rsidRPr="00EF6368">
        <w:rPr>
          <w:rFonts w:cstheme="minorHAnsi"/>
          <w:vertAlign w:val="subscript"/>
        </w:rPr>
        <w:t>α’’</w:t>
      </w:r>
      <w:r w:rsidR="00EF6368" w:rsidRPr="00EF6368">
        <w:rPr>
          <w:rFonts w:cstheme="minorHAnsi"/>
        </w:rPr>
        <w:t xml:space="preserve"> and &lt;2-1-1&gt;</w:t>
      </w:r>
      <w:r w:rsidR="00EF6368" w:rsidRPr="00EF6368">
        <w:rPr>
          <w:rFonts w:cstheme="minorHAnsi"/>
          <w:vertAlign w:val="subscript"/>
        </w:rPr>
        <w:t>α’’</w:t>
      </w:r>
      <w:r w:rsidR="00EF6368" w:rsidRPr="00EF6368">
        <w:rPr>
          <w:rFonts w:cstheme="minorHAnsi"/>
        </w:rPr>
        <w:t xml:space="preserve"> are shown in </w:t>
      </w:r>
      <w:r w:rsidR="00EF6368" w:rsidRPr="00EF6368">
        <w:rPr>
          <w:rFonts w:cstheme="minorHAnsi"/>
          <w:bCs/>
        </w:rPr>
        <w:t xml:space="preserve">Fig. </w:t>
      </w:r>
      <w:r w:rsidR="00EF6368">
        <w:rPr>
          <w:rFonts w:cstheme="minorHAnsi"/>
          <w:bCs/>
        </w:rPr>
        <w:t>7-7</w:t>
      </w:r>
      <w:r w:rsidR="00EF6368" w:rsidRPr="00EF6368">
        <w:rPr>
          <w:rFonts w:cstheme="minorHAnsi"/>
          <w:bCs/>
        </w:rPr>
        <w:t>(b-c)</w:t>
      </w:r>
      <w:r w:rsidR="00EF6368" w:rsidRPr="00EF6368">
        <w:rPr>
          <w:rFonts w:cstheme="minorHAnsi"/>
          <w:b/>
        </w:rPr>
        <w:t xml:space="preserve"> </w:t>
      </w:r>
      <w:r w:rsidR="00EF6368" w:rsidRPr="00EF6368">
        <w:rPr>
          <w:rFonts w:cstheme="minorHAnsi"/>
        </w:rPr>
        <w:t xml:space="preserve">for comparison to illustrate the twinning structure evolution. The diffraction spots of α’’V1 variant are first observed in </w:t>
      </w:r>
      <w:r w:rsidR="00EF6368" w:rsidRPr="00EF6368">
        <w:rPr>
          <w:rFonts w:cstheme="minorHAnsi"/>
          <w:bCs/>
        </w:rPr>
        <w:t xml:space="preserve">Fig. </w:t>
      </w:r>
      <w:r w:rsidR="00EF6368">
        <w:rPr>
          <w:rFonts w:cstheme="minorHAnsi"/>
          <w:bCs/>
        </w:rPr>
        <w:t>7-7(</w:t>
      </w:r>
      <w:r w:rsidR="00EF6368" w:rsidRPr="00EF6368">
        <w:rPr>
          <w:rFonts w:cstheme="minorHAnsi"/>
          <w:bCs/>
        </w:rPr>
        <w:t>b</w:t>
      </w:r>
      <w:r w:rsidR="00EF6368">
        <w:rPr>
          <w:rFonts w:cstheme="minorHAnsi"/>
          <w:bCs/>
        </w:rPr>
        <w:t>)</w:t>
      </w:r>
      <w:r w:rsidR="00EF6368" w:rsidRPr="00EF6368">
        <w:rPr>
          <w:rFonts w:cstheme="minorHAnsi"/>
        </w:rPr>
        <w:t xml:space="preserve"> where the lattice correspondence [10-1]</w:t>
      </w:r>
      <w:r w:rsidR="00EF6368" w:rsidRPr="00EF6368">
        <w:rPr>
          <w:rFonts w:cstheme="minorHAnsi"/>
          <w:vertAlign w:val="subscript"/>
        </w:rPr>
        <w:t>α’’V1</w:t>
      </w:r>
      <w:r w:rsidR="00EF6368" w:rsidRPr="00EF6368">
        <w:rPr>
          <w:rFonts w:cstheme="minorHAnsi"/>
        </w:rPr>
        <w:t>//[-110]</w:t>
      </w:r>
      <w:r w:rsidR="00EF6368" w:rsidRPr="00EF6368">
        <w:rPr>
          <w:rFonts w:cstheme="minorHAnsi"/>
          <w:vertAlign w:val="subscript"/>
        </w:rPr>
        <w:t>α’’V2</w:t>
      </w:r>
      <w:r w:rsidR="00EF6368" w:rsidRPr="00EF6368">
        <w:rPr>
          <w:rFonts w:cstheme="minorHAnsi"/>
        </w:rPr>
        <w:t>//[-112]</w:t>
      </w:r>
      <w:r w:rsidR="00EF6368" w:rsidRPr="00EF6368">
        <w:rPr>
          <w:rFonts w:cstheme="minorHAnsi"/>
          <w:vertAlign w:val="subscript"/>
        </w:rPr>
        <w:t>α’’V3&amp;V4</w:t>
      </w:r>
      <w:r w:rsidR="00EF6368" w:rsidRPr="00EF6368">
        <w:rPr>
          <w:rFonts w:cstheme="minorHAnsi"/>
        </w:rPr>
        <w:t xml:space="preserve"> is identified. While the OR between V3 and V4 can be easily identified from SADP as type II (35-1)[2-11]</w:t>
      </w:r>
      <w:r w:rsidR="00EF6368" w:rsidRPr="00EF6368">
        <w:rPr>
          <w:rFonts w:cstheme="minorHAnsi"/>
          <w:vertAlign w:val="subscript"/>
        </w:rPr>
        <w:t>α’’</w:t>
      </w:r>
      <w:r w:rsidR="00EF6368" w:rsidRPr="00EF6368">
        <w:rPr>
          <w:rFonts w:cstheme="minorHAnsi"/>
        </w:rPr>
        <w:t xml:space="preserve">, to establish the origin of the V1 and V2, DFIs were taken from diffraction spots of the three α’’ variants as shown in Fig. </w:t>
      </w:r>
      <w:r w:rsidR="00EF6368">
        <w:rPr>
          <w:rFonts w:cstheme="minorHAnsi"/>
        </w:rPr>
        <w:t>7-7</w:t>
      </w:r>
      <w:r w:rsidR="00EF6368" w:rsidRPr="00EF6368">
        <w:rPr>
          <w:rFonts w:cstheme="minorHAnsi"/>
        </w:rPr>
        <w:t xml:space="preserve">(d-f). Clearly, the DFIs presented in Fig. </w:t>
      </w:r>
      <w:r w:rsidR="00EF6368">
        <w:rPr>
          <w:rFonts w:cstheme="minorHAnsi"/>
        </w:rPr>
        <w:t>7-7</w:t>
      </w:r>
      <w:r w:rsidR="00EF6368" w:rsidRPr="00EF6368">
        <w:rPr>
          <w:rFonts w:cstheme="minorHAnsi"/>
        </w:rPr>
        <w:t>(d, e) indicate that the main α’’ bands belong to V1, V3 and V4 respectively, while the thin laths separating them correspond to V2. The sample was then tilted to the [2-1-1]</w:t>
      </w:r>
      <w:r w:rsidR="00EF6368" w:rsidRPr="00EF6368">
        <w:rPr>
          <w:rFonts w:cstheme="minorHAnsi"/>
          <w:vertAlign w:val="subscript"/>
        </w:rPr>
        <w:t>α’’V1</w:t>
      </w:r>
      <w:r w:rsidR="00EF6368" w:rsidRPr="00EF6368">
        <w:rPr>
          <w:rFonts w:cstheme="minorHAnsi"/>
        </w:rPr>
        <w:t xml:space="preserve"> zone axis to acquire further lattice correspondence information, as shown in Fig. </w:t>
      </w:r>
      <w:r w:rsidR="00EF6368">
        <w:rPr>
          <w:rFonts w:cstheme="minorHAnsi"/>
        </w:rPr>
        <w:t>7-7(</w:t>
      </w:r>
      <w:r w:rsidR="00EF6368" w:rsidRPr="00EF6368">
        <w:rPr>
          <w:rFonts w:cstheme="minorHAnsi"/>
        </w:rPr>
        <w:t>c</w:t>
      </w:r>
      <w:r w:rsidR="00EF6368">
        <w:rPr>
          <w:rFonts w:cstheme="minorHAnsi"/>
        </w:rPr>
        <w:t>)</w:t>
      </w:r>
      <w:r w:rsidR="00EF6368" w:rsidRPr="00EF6368">
        <w:rPr>
          <w:rFonts w:cstheme="minorHAnsi"/>
        </w:rPr>
        <w:t xml:space="preserve">. Interestingly, there are only three sets of DPs indexed in Fig. </w:t>
      </w:r>
      <w:r w:rsidR="00EF6368">
        <w:rPr>
          <w:rFonts w:cstheme="minorHAnsi"/>
        </w:rPr>
        <w:t>7-7(</w:t>
      </w:r>
      <w:r w:rsidR="00EF6368" w:rsidRPr="00EF6368">
        <w:rPr>
          <w:rFonts w:cstheme="minorHAnsi"/>
        </w:rPr>
        <w:t>c</w:t>
      </w:r>
      <w:r w:rsidR="00EF6368">
        <w:rPr>
          <w:rFonts w:cstheme="minorHAnsi"/>
        </w:rPr>
        <w:t>)</w:t>
      </w:r>
      <w:r w:rsidR="00EF6368" w:rsidRPr="00EF6368">
        <w:rPr>
          <w:rFonts w:cstheme="minorHAnsi"/>
        </w:rPr>
        <w:t xml:space="preserve">, while the V2’s </w:t>
      </w:r>
      <w:r w:rsidR="00EF6368" w:rsidRPr="00EF6368">
        <w:rPr>
          <w:rFonts w:cstheme="minorHAnsi"/>
        </w:rPr>
        <w:lastRenderedPageBreak/>
        <w:t xml:space="preserve">DP was missing. From current DPs in Fig. </w:t>
      </w:r>
      <w:r w:rsidR="00EF6368">
        <w:rPr>
          <w:rFonts w:cstheme="minorHAnsi"/>
        </w:rPr>
        <w:t>7-7(</w:t>
      </w:r>
      <w:r w:rsidR="00EF6368" w:rsidRPr="00EF6368">
        <w:rPr>
          <w:rFonts w:cstheme="minorHAnsi"/>
        </w:rPr>
        <w:t>c</w:t>
      </w:r>
      <w:r w:rsidR="00EF6368">
        <w:rPr>
          <w:rFonts w:cstheme="minorHAnsi"/>
        </w:rPr>
        <w:t>)</w:t>
      </w:r>
      <w:r w:rsidR="00EF6368" w:rsidRPr="00EF6368">
        <w:rPr>
          <w:rFonts w:cstheme="minorHAnsi"/>
        </w:rPr>
        <w:t>, the lattice correspondence between V1, V3 and V4 was first confirmed from SADP as [2-1-1]</w:t>
      </w:r>
      <w:r w:rsidR="00EF6368" w:rsidRPr="00EF6368">
        <w:rPr>
          <w:rFonts w:cstheme="minorHAnsi"/>
          <w:vertAlign w:val="subscript"/>
        </w:rPr>
        <w:t>α’’V1</w:t>
      </w:r>
      <w:r w:rsidR="00EF6368" w:rsidRPr="00EF6368">
        <w:rPr>
          <w:rFonts w:cstheme="minorHAnsi"/>
        </w:rPr>
        <w:t>//[2-1-1]</w:t>
      </w:r>
      <w:r w:rsidR="00EF6368" w:rsidRPr="00EF6368">
        <w:rPr>
          <w:rFonts w:cstheme="minorHAnsi"/>
          <w:vertAlign w:val="subscript"/>
        </w:rPr>
        <w:t>α’’V3</w:t>
      </w:r>
      <w:r w:rsidR="00EF6368" w:rsidRPr="00EF6368">
        <w:rPr>
          <w:rFonts w:cstheme="minorHAnsi"/>
        </w:rPr>
        <w:t>//[001]</w:t>
      </w:r>
      <w:r w:rsidR="00EF6368" w:rsidRPr="00EF6368">
        <w:rPr>
          <w:rFonts w:cstheme="minorHAnsi"/>
          <w:vertAlign w:val="subscript"/>
        </w:rPr>
        <w:t>α’’V4</w:t>
      </w:r>
      <w:r w:rsidR="00EF6368" w:rsidRPr="00EF6368">
        <w:rPr>
          <w:rFonts w:cstheme="minorHAnsi"/>
        </w:rPr>
        <w:t xml:space="preserve"> and (351)</w:t>
      </w:r>
      <w:r w:rsidR="00EF6368" w:rsidRPr="00EF6368">
        <w:rPr>
          <w:rFonts w:cstheme="minorHAnsi"/>
          <w:vertAlign w:val="subscript"/>
        </w:rPr>
        <w:t>α’’V1</w:t>
      </w:r>
      <w:r w:rsidR="00EF6368" w:rsidRPr="00EF6368">
        <w:rPr>
          <w:rFonts w:cstheme="minorHAnsi"/>
        </w:rPr>
        <w:t>//(351)</w:t>
      </w:r>
      <w:r w:rsidR="00EF6368" w:rsidRPr="00EF6368">
        <w:rPr>
          <w:rFonts w:cstheme="minorHAnsi"/>
          <w:vertAlign w:val="subscript"/>
        </w:rPr>
        <w:t>α’’V3</w:t>
      </w:r>
      <w:r w:rsidR="00EF6368" w:rsidRPr="00EF6368">
        <w:rPr>
          <w:rFonts w:cstheme="minorHAnsi"/>
        </w:rPr>
        <w:t>//(130)</w:t>
      </w:r>
      <w:r w:rsidR="00EF6368" w:rsidRPr="00EF6368">
        <w:rPr>
          <w:rFonts w:cstheme="minorHAnsi"/>
          <w:vertAlign w:val="subscript"/>
        </w:rPr>
        <w:t>α’’V4</w:t>
      </w:r>
      <w:r w:rsidR="00EF6368" w:rsidRPr="00EF6368">
        <w:rPr>
          <w:rFonts w:cstheme="minorHAnsi"/>
        </w:rPr>
        <w:t>. Clearly, the OR between V1 and V3 can be identified as type of {351}</w:t>
      </w:r>
      <w:r w:rsidR="00EF6368" w:rsidRPr="00EF6368">
        <w:rPr>
          <w:rFonts w:cstheme="minorHAnsi"/>
          <w:vertAlign w:val="subscript"/>
        </w:rPr>
        <w:t>α’’</w:t>
      </w:r>
      <w:r w:rsidR="00EF6368" w:rsidRPr="00EF6368">
        <w:rPr>
          <w:rFonts w:cstheme="minorHAnsi"/>
        </w:rPr>
        <w:t xml:space="preserve"> twinning, when taking [10-1]</w:t>
      </w:r>
      <w:r w:rsidR="00EF6368" w:rsidRPr="00EF6368">
        <w:rPr>
          <w:rFonts w:cstheme="minorHAnsi"/>
          <w:vertAlign w:val="subscript"/>
        </w:rPr>
        <w:t>α’’V1</w:t>
      </w:r>
      <w:r w:rsidR="00EF6368" w:rsidRPr="00EF6368">
        <w:rPr>
          <w:rFonts w:cstheme="minorHAnsi"/>
        </w:rPr>
        <w:t>//[-112]</w:t>
      </w:r>
      <w:r w:rsidR="00EF6368" w:rsidRPr="00EF6368">
        <w:rPr>
          <w:rFonts w:cstheme="minorHAnsi"/>
          <w:vertAlign w:val="subscript"/>
        </w:rPr>
        <w:t>α’’V3</w:t>
      </w:r>
      <w:r w:rsidR="00EF6368" w:rsidRPr="00EF6368">
        <w:rPr>
          <w:rFonts w:cstheme="minorHAnsi"/>
        </w:rPr>
        <w:t xml:space="preserve"> into consideration, the OR between V1 and V3 can be confirmed as {351}&lt;1-12&gt;</w:t>
      </w:r>
      <w:r w:rsidR="00EF6368" w:rsidRPr="00EF6368">
        <w:rPr>
          <w:rFonts w:cstheme="minorHAnsi"/>
          <w:vertAlign w:val="subscript"/>
        </w:rPr>
        <w:t>α’’</w:t>
      </w:r>
      <w:r w:rsidR="00EF6368" w:rsidRPr="00EF6368">
        <w:rPr>
          <w:rFonts w:cstheme="minorHAnsi"/>
        </w:rPr>
        <w:t xml:space="preserve"> type I twinning</w:t>
      </w:r>
      <w:r w:rsidR="00EF6368" w:rsidRPr="00EF6368">
        <w:t xml:space="preserve"> </w:t>
      </w:r>
      <w:r w:rsidR="00EF6368">
        <w:t xml:space="preserve">which </w:t>
      </w:r>
      <w:r w:rsidR="00EF6368" w:rsidRPr="00341579">
        <w:t>is lattice correspondent with {332}&lt;11-3&gt;β mechanical twin</w:t>
      </w:r>
      <w:r w:rsidR="00EF6368">
        <w:t>ning</w:t>
      </w:r>
      <w:r w:rsidR="00EF6368" w:rsidRPr="00341579">
        <w:t xml:space="preserve"> and possesses the same magnitude of shear vector[37]</w:t>
      </w:r>
      <w:r w:rsidR="00EF6368" w:rsidRPr="00EF6368">
        <w:rPr>
          <w:rFonts w:cstheme="minorHAnsi"/>
        </w:rPr>
        <w:t>. With V2 observed between V1 and V3, checking the possible lattice correspondence of martensite twinning in supplementary table I, identified the OR between V1 and V2 as type II (351)[-211]</w:t>
      </w:r>
      <w:r w:rsidR="00EF6368" w:rsidRPr="00EF6368">
        <w:rPr>
          <w:rFonts w:cstheme="minorHAnsi"/>
          <w:vertAlign w:val="subscript"/>
        </w:rPr>
        <w:t>α’’</w:t>
      </w:r>
      <w:r w:rsidR="00EF6368" w:rsidRPr="00EF6368">
        <w:rPr>
          <w:rFonts w:cstheme="minorHAnsi"/>
        </w:rPr>
        <w:t xml:space="preserve"> twinning which helps explain why the DP for V2 is missing in Fig. </w:t>
      </w:r>
      <w:r w:rsidR="00EF6368">
        <w:rPr>
          <w:rFonts w:cstheme="minorHAnsi"/>
        </w:rPr>
        <w:t>7-7(</w:t>
      </w:r>
      <w:r w:rsidR="00EF6368" w:rsidRPr="00EF6368">
        <w:rPr>
          <w:rFonts w:cstheme="minorHAnsi"/>
        </w:rPr>
        <w:t>c</w:t>
      </w:r>
      <w:r w:rsidR="00EF6368">
        <w:rPr>
          <w:rFonts w:cstheme="minorHAnsi"/>
        </w:rPr>
        <w:t>)</w:t>
      </w:r>
      <w:r w:rsidR="00EF6368" w:rsidRPr="00EF6368">
        <w:rPr>
          <w:rFonts w:cstheme="minorHAnsi"/>
        </w:rPr>
        <w:t xml:space="preserve"> (Type II twinning operation: rotate 180 degree along [-211]</w:t>
      </w:r>
      <w:r w:rsidR="00EF6368" w:rsidRPr="00EF6368">
        <w:rPr>
          <w:rFonts w:cstheme="minorHAnsi"/>
          <w:vertAlign w:val="subscript"/>
        </w:rPr>
        <w:t>α’’</w:t>
      </w:r>
      <w:r w:rsidR="00EF6368" w:rsidRPr="00EF6368">
        <w:rPr>
          <w:rFonts w:cstheme="minorHAnsi"/>
        </w:rPr>
        <w:t xml:space="preserve">, DP of V2 overlap with DPs of V1). </w:t>
      </w:r>
    </w:p>
    <w:p w14:paraId="422124F2" w14:textId="02BBBD88" w:rsidR="00F56D92" w:rsidRPr="00351A7D" w:rsidRDefault="00F56D92" w:rsidP="00F56D92">
      <w:pPr>
        <w:keepNext/>
        <w:spacing w:after="120" w:line="360" w:lineRule="auto"/>
        <w:jc w:val="center"/>
      </w:pPr>
      <w:r>
        <w:rPr>
          <w:noProof/>
        </w:rPr>
        <w:drawing>
          <wp:inline distT="0" distB="0" distL="0" distR="0" wp14:anchorId="5718EABB" wp14:editId="54E3917B">
            <wp:extent cx="4491932" cy="4481374"/>
            <wp:effectExtent l="0" t="0" r="4445" b="0"/>
            <wp:docPr id="242" name="图片 242" descr="图片包含 游戏机, 华美&#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包含 游戏机, 华美&#10;&#10;描述已自动生成"/>
                    <pic:cNvPicPr>
                      <a:picLocks noChangeAspect="1" noChangeArrowheads="1"/>
                    </pic:cNvPicPr>
                  </pic:nvPicPr>
                  <pic:blipFill>
                    <a:blip r:embed="rId75"/>
                    <a:stretch>
                      <a:fillRect/>
                    </a:stretch>
                  </pic:blipFill>
                  <pic:spPr bwMode="auto">
                    <a:xfrm>
                      <a:off x="0" y="0"/>
                      <a:ext cx="4497632" cy="4487060"/>
                    </a:xfrm>
                    <a:prstGeom prst="rect">
                      <a:avLst/>
                    </a:prstGeom>
                  </pic:spPr>
                </pic:pic>
              </a:graphicData>
            </a:graphic>
          </wp:inline>
        </w:drawing>
      </w:r>
    </w:p>
    <w:p w14:paraId="6355B36D" w14:textId="58A1185D" w:rsidR="00F56D92" w:rsidRPr="00F56D92" w:rsidRDefault="00F56D92" w:rsidP="00F56D92">
      <w:pPr>
        <w:spacing w:afterLines="60" w:after="144" w:line="360" w:lineRule="auto"/>
        <w:jc w:val="both"/>
        <w:rPr>
          <w:rFonts w:cstheme="minorHAnsi"/>
          <w:sz w:val="20"/>
          <w:szCs w:val="20"/>
        </w:rPr>
      </w:pPr>
      <w:bookmarkStart w:id="331" w:name="_Toc39312730"/>
      <w:r w:rsidRPr="00EF6368">
        <w:rPr>
          <w:rFonts w:cstheme="minorHAnsi"/>
          <w:b/>
          <w:sz w:val="20"/>
          <w:szCs w:val="20"/>
        </w:rPr>
        <w:t>Figure 7-</w:t>
      </w:r>
      <w:r w:rsidRPr="00EF6368">
        <w:rPr>
          <w:rFonts w:cstheme="minorHAnsi"/>
          <w:b/>
          <w:sz w:val="20"/>
          <w:szCs w:val="20"/>
        </w:rPr>
        <w:fldChar w:fldCharType="begin"/>
      </w:r>
      <w:r w:rsidRPr="00EF6368">
        <w:rPr>
          <w:rFonts w:cstheme="minorHAnsi"/>
          <w:b/>
          <w:sz w:val="20"/>
          <w:szCs w:val="20"/>
        </w:rPr>
        <w:instrText xml:space="preserve"> SEQ Figure \* ARABIC </w:instrText>
      </w:r>
      <w:r w:rsidRPr="00EF6368">
        <w:rPr>
          <w:rFonts w:cstheme="minorHAnsi"/>
          <w:b/>
          <w:sz w:val="20"/>
          <w:szCs w:val="20"/>
        </w:rPr>
        <w:fldChar w:fldCharType="separate"/>
      </w:r>
      <w:r w:rsidRPr="00EF6368">
        <w:rPr>
          <w:rFonts w:cstheme="minorHAnsi"/>
          <w:b/>
          <w:noProof/>
          <w:sz w:val="20"/>
          <w:szCs w:val="20"/>
        </w:rPr>
        <w:t>7</w:t>
      </w:r>
      <w:r w:rsidRPr="00EF6368">
        <w:rPr>
          <w:rFonts w:cstheme="minorHAnsi"/>
          <w:b/>
          <w:sz w:val="20"/>
          <w:szCs w:val="20"/>
        </w:rPr>
        <w:fldChar w:fldCharType="end"/>
      </w:r>
      <w:r w:rsidRPr="00EF6368">
        <w:rPr>
          <w:rFonts w:cstheme="minorHAnsi"/>
          <w:b/>
          <w:sz w:val="20"/>
          <w:szCs w:val="20"/>
        </w:rPr>
        <w:t xml:space="preserve"> TEM showing the microstructure evolution of SA type II {351}&lt;-211&gt;</w:t>
      </w:r>
      <w:r w:rsidRPr="00EF6368">
        <w:rPr>
          <w:rFonts w:cstheme="minorHAnsi"/>
          <w:b/>
          <w:sz w:val="20"/>
          <w:szCs w:val="20"/>
          <w:vertAlign w:val="subscript"/>
        </w:rPr>
        <w:t>α’’</w:t>
      </w:r>
      <w:r w:rsidRPr="00EF6368">
        <w:rPr>
          <w:rFonts w:cstheme="minorHAnsi"/>
          <w:b/>
          <w:sz w:val="20"/>
          <w:szCs w:val="20"/>
        </w:rPr>
        <w:t xml:space="preserve"> twins. </w:t>
      </w:r>
      <w:r w:rsidRPr="00EF6368">
        <w:rPr>
          <w:rFonts w:cstheme="minorHAnsi"/>
          <w:sz w:val="20"/>
          <w:szCs w:val="20"/>
        </w:rPr>
        <w:t>(</w:t>
      </w:r>
      <w:r w:rsidRPr="00EF6368">
        <w:rPr>
          <w:rFonts w:cstheme="minorHAnsi"/>
          <w:b/>
          <w:sz w:val="20"/>
          <w:szCs w:val="20"/>
        </w:rPr>
        <w:t>a</w:t>
      </w:r>
      <w:r w:rsidRPr="00EF6368">
        <w:rPr>
          <w:rFonts w:cstheme="minorHAnsi"/>
          <w:sz w:val="20"/>
          <w:szCs w:val="20"/>
        </w:rPr>
        <w:t>) BFI of the transformed SA {351}</w:t>
      </w:r>
      <w:r w:rsidRPr="00EF6368">
        <w:rPr>
          <w:rFonts w:cstheme="minorHAnsi"/>
          <w:sz w:val="20"/>
          <w:szCs w:val="20"/>
          <w:vertAlign w:val="subscript"/>
        </w:rPr>
        <w:t>α’’</w:t>
      </w:r>
      <w:r w:rsidRPr="00EF6368">
        <w:rPr>
          <w:rFonts w:cstheme="minorHAnsi"/>
          <w:sz w:val="20"/>
          <w:szCs w:val="20"/>
        </w:rPr>
        <w:t xml:space="preserve"> twins  after </w:t>
      </w:r>
      <w:r>
        <w:rPr>
          <w:rFonts w:cstheme="minorHAnsi"/>
          <w:sz w:val="20"/>
          <w:szCs w:val="20"/>
        </w:rPr>
        <w:t>9</w:t>
      </w:r>
      <w:r w:rsidRPr="00EF6368">
        <w:rPr>
          <w:rFonts w:cstheme="minorHAnsi"/>
          <w:sz w:val="20"/>
          <w:szCs w:val="20"/>
        </w:rPr>
        <w:t xml:space="preserve">% strain. </w:t>
      </w:r>
      <w:r w:rsidRPr="00EF6368">
        <w:rPr>
          <w:rFonts w:cstheme="minorHAnsi"/>
          <w:bCs/>
          <w:sz w:val="20"/>
          <w:szCs w:val="20"/>
        </w:rPr>
        <w:t>(</w:t>
      </w:r>
      <w:r w:rsidRPr="00EF6368">
        <w:rPr>
          <w:rFonts w:cstheme="minorHAnsi"/>
          <w:b/>
          <w:sz w:val="20"/>
          <w:szCs w:val="20"/>
        </w:rPr>
        <w:t>b-c</w:t>
      </w:r>
      <w:r w:rsidRPr="00EF6368">
        <w:rPr>
          <w:rFonts w:cstheme="minorHAnsi"/>
          <w:bCs/>
          <w:sz w:val="20"/>
          <w:szCs w:val="20"/>
        </w:rPr>
        <w:t>)</w:t>
      </w:r>
      <w:r w:rsidRPr="00EF6368">
        <w:rPr>
          <w:rFonts w:cstheme="minorHAnsi"/>
          <w:sz w:val="20"/>
          <w:szCs w:val="20"/>
        </w:rPr>
        <w:t xml:space="preserve"> SADP taken next to the twin boundary (red circle) along the [10-1]</w:t>
      </w:r>
      <w:r w:rsidRPr="00EF6368">
        <w:rPr>
          <w:rFonts w:cstheme="minorHAnsi"/>
          <w:sz w:val="20"/>
          <w:szCs w:val="20"/>
          <w:vertAlign w:val="subscript"/>
        </w:rPr>
        <w:t>α’’V1</w:t>
      </w:r>
      <w:r w:rsidRPr="00EF6368">
        <w:rPr>
          <w:rFonts w:eastAsia="等线" w:cstheme="minorHAnsi"/>
          <w:sz w:val="20"/>
          <w:szCs w:val="20"/>
        </w:rPr>
        <w:t>//</w:t>
      </w:r>
      <w:r w:rsidRPr="00EF6368">
        <w:rPr>
          <w:rFonts w:cstheme="minorHAnsi"/>
          <w:sz w:val="20"/>
          <w:szCs w:val="20"/>
        </w:rPr>
        <w:t>[-110]</w:t>
      </w:r>
      <w:r w:rsidRPr="00EF6368">
        <w:rPr>
          <w:rFonts w:cstheme="minorHAnsi"/>
          <w:sz w:val="20"/>
          <w:szCs w:val="20"/>
          <w:vertAlign w:val="subscript"/>
        </w:rPr>
        <w:t>α’’V2</w:t>
      </w:r>
      <w:r w:rsidRPr="00EF6368">
        <w:rPr>
          <w:rFonts w:cstheme="minorHAnsi"/>
          <w:sz w:val="20"/>
          <w:szCs w:val="20"/>
        </w:rPr>
        <w:t>//[-112]</w:t>
      </w:r>
      <w:r w:rsidRPr="00EF6368">
        <w:rPr>
          <w:rFonts w:cstheme="minorHAnsi"/>
          <w:sz w:val="20"/>
          <w:szCs w:val="20"/>
          <w:vertAlign w:val="subscript"/>
        </w:rPr>
        <w:t>α’’V3&amp;V4</w:t>
      </w:r>
      <w:r w:rsidRPr="00EF6368">
        <w:rPr>
          <w:rFonts w:eastAsia="等线" w:cstheme="minorHAnsi"/>
          <w:sz w:val="20"/>
          <w:szCs w:val="20"/>
        </w:rPr>
        <w:t xml:space="preserve"> and </w:t>
      </w:r>
      <w:r w:rsidRPr="00EF6368">
        <w:rPr>
          <w:rFonts w:cstheme="minorHAnsi"/>
          <w:sz w:val="20"/>
          <w:szCs w:val="20"/>
        </w:rPr>
        <w:t>[2-11]</w:t>
      </w:r>
      <w:r w:rsidRPr="00EF6368">
        <w:rPr>
          <w:rFonts w:cstheme="minorHAnsi"/>
          <w:sz w:val="20"/>
          <w:szCs w:val="20"/>
          <w:vertAlign w:val="subscript"/>
        </w:rPr>
        <w:t>α’’V1-3</w:t>
      </w:r>
      <w:r w:rsidRPr="00EF6368">
        <w:rPr>
          <w:rFonts w:cstheme="minorHAnsi"/>
          <w:sz w:val="20"/>
          <w:szCs w:val="20"/>
        </w:rPr>
        <w:t>//[001]</w:t>
      </w:r>
      <w:r w:rsidRPr="00EF6368">
        <w:rPr>
          <w:rFonts w:cstheme="minorHAnsi"/>
          <w:sz w:val="20"/>
          <w:szCs w:val="20"/>
          <w:vertAlign w:val="subscript"/>
        </w:rPr>
        <w:t>α’’V4</w:t>
      </w:r>
      <w:r w:rsidRPr="00EF6368">
        <w:rPr>
          <w:rFonts w:eastAsia="等线" w:cstheme="minorHAnsi"/>
          <w:sz w:val="20"/>
          <w:szCs w:val="20"/>
        </w:rPr>
        <w:t xml:space="preserve"> </w:t>
      </w:r>
      <w:r w:rsidRPr="00EF6368">
        <w:rPr>
          <w:rFonts w:cstheme="minorHAnsi"/>
          <w:sz w:val="20"/>
          <w:szCs w:val="20"/>
        </w:rPr>
        <w:t xml:space="preserve">zone axis </w:t>
      </w:r>
      <w:r w:rsidRPr="00EF6368">
        <w:rPr>
          <w:rFonts w:eastAsia="等线" w:cstheme="minorHAnsi"/>
          <w:sz w:val="20"/>
          <w:szCs w:val="20"/>
        </w:rPr>
        <w:t>respectively</w:t>
      </w:r>
      <w:r w:rsidRPr="00EF6368">
        <w:rPr>
          <w:rFonts w:cstheme="minorHAnsi"/>
          <w:sz w:val="20"/>
          <w:szCs w:val="20"/>
        </w:rPr>
        <w:t>. (</w:t>
      </w:r>
      <w:r w:rsidRPr="00EF6368">
        <w:rPr>
          <w:rFonts w:cstheme="minorHAnsi"/>
          <w:b/>
          <w:sz w:val="20"/>
          <w:szCs w:val="20"/>
        </w:rPr>
        <w:t>d-f</w:t>
      </w:r>
      <w:r w:rsidRPr="00EF6368">
        <w:rPr>
          <w:rFonts w:cstheme="minorHAnsi"/>
          <w:sz w:val="20"/>
          <w:szCs w:val="20"/>
        </w:rPr>
        <w:t>) DFI of four α’’ variants imaged in Fig. 3b. (</w:t>
      </w:r>
      <w:r w:rsidRPr="00EF6368">
        <w:rPr>
          <w:rFonts w:cstheme="minorHAnsi"/>
          <w:b/>
          <w:sz w:val="20"/>
          <w:szCs w:val="20"/>
        </w:rPr>
        <w:t>g-i</w:t>
      </w:r>
      <w:r w:rsidRPr="00EF6368">
        <w:rPr>
          <w:rFonts w:cstheme="minorHAnsi"/>
          <w:bCs/>
          <w:sz w:val="20"/>
          <w:szCs w:val="20"/>
        </w:rPr>
        <w:t>)</w:t>
      </w:r>
      <w:r w:rsidRPr="00EF6368">
        <w:rPr>
          <w:rFonts w:cstheme="minorHAnsi"/>
          <w:sz w:val="20"/>
          <w:szCs w:val="20"/>
        </w:rPr>
        <w:t xml:space="preserve"> DFI of three α’’ variants imaged in Fig. 3c. All scale bars are 50nm.</w:t>
      </w:r>
      <w:bookmarkEnd w:id="331"/>
      <w:r w:rsidRPr="00EF6368">
        <w:rPr>
          <w:rFonts w:cstheme="minorHAnsi"/>
          <w:sz w:val="20"/>
          <w:szCs w:val="20"/>
        </w:rPr>
        <w:t xml:space="preserve"> </w:t>
      </w:r>
    </w:p>
    <w:p w14:paraId="680C9599" w14:textId="2F657C13" w:rsidR="00B145BE" w:rsidRPr="00EF6368" w:rsidRDefault="00EF6368" w:rsidP="00EF6368">
      <w:pPr>
        <w:spacing w:after="120" w:line="360" w:lineRule="auto"/>
        <w:jc w:val="both"/>
        <w:rPr>
          <w:rFonts w:cstheme="minorHAnsi"/>
        </w:rPr>
      </w:pPr>
      <w:r w:rsidRPr="00EF6368">
        <w:rPr>
          <w:rFonts w:cstheme="minorHAnsi"/>
        </w:rPr>
        <w:lastRenderedPageBreak/>
        <w:t>Moreover, in same area of the specimen, this planar feature propagates through the adjacent α’’-β interface and extends into the remnant β grain (</w:t>
      </w:r>
      <w:r>
        <w:rPr>
          <w:rFonts w:cstheme="minorHAnsi"/>
        </w:rPr>
        <w:t xml:space="preserve">Fig.7-8 </w:t>
      </w:r>
      <w:r w:rsidRPr="00EF6368">
        <w:rPr>
          <w:rFonts w:cstheme="minorHAnsi"/>
        </w:rPr>
        <w:t>yellow circled area). Most interestingly, the SADP obtained from the elongated laths in the β grain indicates that the coherently inherited α’’ twin structure results in the formation of a {332}&lt;11-3&gt;</w:t>
      </w:r>
      <w:r w:rsidRPr="00EF6368">
        <w:rPr>
          <w:rFonts w:cstheme="minorHAnsi"/>
          <w:vertAlign w:val="subscript"/>
        </w:rPr>
        <w:t>β</w:t>
      </w:r>
      <w:r w:rsidRPr="00EF6368">
        <w:rPr>
          <w:rFonts w:cstheme="minorHAnsi"/>
        </w:rPr>
        <w:t xml:space="preserve"> mechanical twin-like structure (</w:t>
      </w:r>
      <w:r w:rsidRPr="00EF6368">
        <w:rPr>
          <w:rFonts w:cstheme="minorHAnsi"/>
          <w:bCs/>
        </w:rPr>
        <w:t>Fig. 7-8</w:t>
      </w:r>
      <w:r>
        <w:rPr>
          <w:rFonts w:cstheme="minorHAnsi"/>
          <w:bCs/>
        </w:rPr>
        <w:t>)</w:t>
      </w:r>
      <w:r w:rsidRPr="00EF6368">
        <w:rPr>
          <w:rFonts w:cstheme="minorHAnsi"/>
          <w:bCs/>
        </w:rPr>
        <w:t xml:space="preserve"> </w:t>
      </w:r>
      <w:r w:rsidRPr="00EF6368">
        <w:rPr>
          <w:rFonts w:cstheme="minorHAnsi"/>
        </w:rPr>
        <w:t>in the β phase where the (332)</w:t>
      </w:r>
      <w:r w:rsidRPr="00EF6368">
        <w:rPr>
          <w:rFonts w:cstheme="minorHAnsi"/>
          <w:vertAlign w:val="subscript"/>
        </w:rPr>
        <w:t>β</w:t>
      </w:r>
      <w:r w:rsidRPr="00EF6368">
        <w:rPr>
          <w:rFonts w:cstheme="minorHAnsi"/>
        </w:rPr>
        <w:t xml:space="preserve"> planes have a lattice correspondence with (351)</w:t>
      </w:r>
      <w:r w:rsidRPr="00EF6368">
        <w:rPr>
          <w:rFonts w:cstheme="minorHAnsi"/>
          <w:vertAlign w:val="subscript"/>
        </w:rPr>
        <w:t>α’’</w:t>
      </w:r>
      <w:r w:rsidRPr="00EF6368">
        <w:rPr>
          <w:rFonts w:cstheme="minorHAnsi"/>
        </w:rPr>
        <w:t xml:space="preserve">. </w:t>
      </w:r>
    </w:p>
    <w:p w14:paraId="1760CAF4" w14:textId="77777777" w:rsidR="00F56D92" w:rsidRPr="008877CE" w:rsidRDefault="00F56D92" w:rsidP="00F56D92">
      <w:pPr>
        <w:spacing w:after="200" w:line="480" w:lineRule="auto"/>
        <w:jc w:val="center"/>
        <w:rPr>
          <w:rFonts w:ascii="Arial" w:hAnsi="Arial" w:cs="Arial"/>
          <w:color w:val="000000" w:themeColor="text1"/>
          <w:sz w:val="20"/>
          <w:szCs w:val="20"/>
        </w:rPr>
      </w:pPr>
      <w:r>
        <w:rPr>
          <w:noProof/>
        </w:rPr>
        <w:drawing>
          <wp:inline distT="0" distB="0" distL="0" distR="0" wp14:anchorId="516C275D" wp14:editId="3D2F0004">
            <wp:extent cx="5943600" cy="4413885"/>
            <wp:effectExtent l="0" t="0" r="0" b="5715"/>
            <wp:docPr id="243" name="图片 228" descr="图片包含 游戏机&#10;&#10;描述已自动生成">
              <a:extLst xmlns:a="http://schemas.openxmlformats.org/drawingml/2006/main">
                <a:ext uri="{FF2B5EF4-FFF2-40B4-BE49-F238E27FC236}">
                  <a16:creationId xmlns:a16="http://schemas.microsoft.com/office/drawing/2014/main" id="{BDA720F9-F85A-4E49-916A-327C3B2CFC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8" descr="图片包含 游戏机&#10;&#10;描述已自动生成">
                      <a:extLst>
                        <a:ext uri="{FF2B5EF4-FFF2-40B4-BE49-F238E27FC236}">
                          <a16:creationId xmlns:a16="http://schemas.microsoft.com/office/drawing/2014/main" id="{BDA720F9-F85A-4E49-916A-327C3B2CFC39}"/>
                        </a:ext>
                      </a:extLst>
                    </pic:cNvPr>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5943600" cy="4413885"/>
                    </a:xfrm>
                    <a:prstGeom prst="rect">
                      <a:avLst/>
                    </a:prstGeom>
                  </pic:spPr>
                </pic:pic>
              </a:graphicData>
            </a:graphic>
          </wp:inline>
        </w:drawing>
      </w:r>
    </w:p>
    <w:p w14:paraId="4B62D60D" w14:textId="6F4C4BE7" w:rsidR="00F56D92" w:rsidRPr="00E55F2B" w:rsidRDefault="00F56D92" w:rsidP="00EF6368">
      <w:pPr>
        <w:spacing w:afterLines="60" w:after="144" w:line="360" w:lineRule="auto"/>
        <w:jc w:val="both"/>
        <w:rPr>
          <w:rFonts w:cstheme="minorHAnsi"/>
          <w:color w:val="000000" w:themeColor="text1"/>
          <w:sz w:val="20"/>
          <w:szCs w:val="20"/>
        </w:rPr>
      </w:pPr>
      <w:bookmarkStart w:id="332" w:name="_Toc39312731"/>
      <w:r w:rsidRPr="00F56D92">
        <w:rPr>
          <w:rFonts w:cstheme="minorHAnsi"/>
          <w:b/>
          <w:sz w:val="20"/>
          <w:szCs w:val="18"/>
        </w:rPr>
        <w:t>Figure 7-</w:t>
      </w:r>
      <w:r w:rsidRPr="00F56D92">
        <w:rPr>
          <w:rFonts w:cstheme="minorHAnsi"/>
          <w:b/>
          <w:sz w:val="20"/>
        </w:rPr>
        <w:fldChar w:fldCharType="begin"/>
      </w:r>
      <w:r w:rsidRPr="00F56D92">
        <w:rPr>
          <w:rFonts w:cstheme="minorHAnsi"/>
          <w:b/>
          <w:sz w:val="20"/>
        </w:rPr>
        <w:instrText xml:space="preserve"> SEQ Figure \* ARABIC </w:instrText>
      </w:r>
      <w:r w:rsidRPr="00F56D92">
        <w:rPr>
          <w:rFonts w:cstheme="minorHAnsi"/>
          <w:b/>
          <w:sz w:val="20"/>
        </w:rPr>
        <w:fldChar w:fldCharType="separate"/>
      </w:r>
      <w:r w:rsidRPr="00F56D92">
        <w:rPr>
          <w:rFonts w:cstheme="minorHAnsi"/>
          <w:b/>
          <w:noProof/>
          <w:sz w:val="20"/>
        </w:rPr>
        <w:t>8</w:t>
      </w:r>
      <w:r w:rsidRPr="00F56D92">
        <w:rPr>
          <w:rFonts w:cstheme="minorHAnsi"/>
          <w:b/>
          <w:sz w:val="20"/>
        </w:rPr>
        <w:fldChar w:fldCharType="end"/>
      </w:r>
      <w:r w:rsidRPr="00F56D92">
        <w:rPr>
          <w:rFonts w:cstheme="minorHAnsi"/>
          <w:b/>
          <w:sz w:val="20"/>
          <w:szCs w:val="20"/>
        </w:rPr>
        <w:t>: SADP comparison of {351}&lt;-211&gt;</w:t>
      </w:r>
      <w:r w:rsidRPr="00F56D92">
        <w:rPr>
          <w:rFonts w:cstheme="minorHAnsi"/>
          <w:b/>
          <w:sz w:val="20"/>
          <w:szCs w:val="20"/>
          <w:vertAlign w:val="subscript"/>
        </w:rPr>
        <w:t>α’’</w:t>
      </w:r>
      <w:r w:rsidRPr="00F56D92">
        <w:rPr>
          <w:rFonts w:cstheme="minorHAnsi"/>
          <w:b/>
          <w:sz w:val="20"/>
          <w:szCs w:val="20"/>
        </w:rPr>
        <w:t xml:space="preserve"> type II and {351}&lt;1-12&gt;</w:t>
      </w:r>
      <w:r w:rsidRPr="00F56D92">
        <w:rPr>
          <w:rFonts w:cstheme="minorHAnsi"/>
          <w:b/>
          <w:sz w:val="20"/>
          <w:szCs w:val="20"/>
          <w:vertAlign w:val="subscript"/>
        </w:rPr>
        <w:t>α’’</w:t>
      </w:r>
      <w:r w:rsidRPr="00F56D92">
        <w:rPr>
          <w:rFonts w:cstheme="minorHAnsi"/>
          <w:b/>
          <w:sz w:val="20"/>
          <w:szCs w:val="20"/>
        </w:rPr>
        <w:t xml:space="preserve"> compound twinning under different zone axis. </w:t>
      </w:r>
      <w:r w:rsidRPr="00F56D92">
        <w:rPr>
          <w:rFonts w:cstheme="minorHAnsi"/>
          <w:sz w:val="20"/>
          <w:szCs w:val="20"/>
        </w:rPr>
        <w:t>(</w:t>
      </w:r>
      <w:r w:rsidRPr="00F56D92">
        <w:rPr>
          <w:rFonts w:cstheme="minorHAnsi"/>
          <w:b/>
          <w:sz w:val="20"/>
          <w:szCs w:val="20"/>
        </w:rPr>
        <w:t>a</w:t>
      </w:r>
      <w:r w:rsidRPr="00F56D92">
        <w:rPr>
          <w:rFonts w:cstheme="minorHAnsi"/>
          <w:sz w:val="20"/>
          <w:szCs w:val="20"/>
        </w:rPr>
        <w:t>) Type II SA {351}</w:t>
      </w:r>
      <w:r w:rsidRPr="00F56D92">
        <w:rPr>
          <w:rFonts w:cstheme="minorHAnsi"/>
          <w:sz w:val="20"/>
          <w:szCs w:val="20"/>
          <w:vertAlign w:val="subscript"/>
        </w:rPr>
        <w:t>α’’</w:t>
      </w:r>
      <w:r w:rsidRPr="00F56D92">
        <w:rPr>
          <w:rFonts w:cstheme="minorHAnsi"/>
          <w:sz w:val="20"/>
          <w:szCs w:val="20"/>
        </w:rPr>
        <w:t xml:space="preserve"> twinning in a specimen deformed to </w:t>
      </w:r>
      <w:r>
        <w:rPr>
          <w:rFonts w:cstheme="minorHAnsi"/>
          <w:sz w:val="20"/>
          <w:szCs w:val="20"/>
        </w:rPr>
        <w:t>6</w:t>
      </w:r>
      <w:r w:rsidRPr="00F56D92">
        <w:rPr>
          <w:rFonts w:cstheme="minorHAnsi"/>
          <w:sz w:val="20"/>
          <w:szCs w:val="20"/>
        </w:rPr>
        <w:t xml:space="preserve">% strain. </w:t>
      </w:r>
      <w:r w:rsidRPr="00F56D92">
        <w:rPr>
          <w:rFonts w:cstheme="minorHAnsi"/>
          <w:b/>
          <w:bCs/>
          <w:sz w:val="20"/>
          <w:szCs w:val="20"/>
        </w:rPr>
        <w:t>i</w:t>
      </w:r>
      <w:r w:rsidRPr="00F56D92">
        <w:rPr>
          <w:rFonts w:cstheme="minorHAnsi"/>
          <w:sz w:val="20"/>
          <w:szCs w:val="20"/>
        </w:rPr>
        <w:t xml:space="preserve">. BF image. </w:t>
      </w:r>
      <w:r w:rsidRPr="00F56D92">
        <w:rPr>
          <w:rFonts w:cstheme="minorHAnsi"/>
          <w:b/>
          <w:sz w:val="20"/>
          <w:szCs w:val="20"/>
        </w:rPr>
        <w:t>ii-iv</w:t>
      </w:r>
      <w:r w:rsidRPr="00F56D92">
        <w:rPr>
          <w:rFonts w:cstheme="minorHAnsi"/>
          <w:sz w:val="20"/>
          <w:szCs w:val="20"/>
        </w:rPr>
        <w:t xml:space="preserve"> Corresponding SADPs taken next to the twinning boundary (red circle) along the [1-12]</w:t>
      </w:r>
      <w:r w:rsidRPr="00F56D92">
        <w:rPr>
          <w:rFonts w:cstheme="minorHAnsi"/>
          <w:sz w:val="20"/>
          <w:szCs w:val="20"/>
          <w:vertAlign w:val="subscript"/>
        </w:rPr>
        <w:t>α’’V1&amp;V2</w:t>
      </w:r>
      <w:r w:rsidRPr="00F56D92">
        <w:rPr>
          <w:rFonts w:cstheme="minorHAnsi"/>
          <w:sz w:val="20"/>
          <w:szCs w:val="20"/>
        </w:rPr>
        <w:t>//[1-31]</w:t>
      </w:r>
      <w:r w:rsidRPr="00F56D92">
        <w:rPr>
          <w:rFonts w:eastAsia="等线" w:cstheme="minorHAnsi"/>
          <w:sz w:val="20"/>
          <w:szCs w:val="20"/>
          <w:vertAlign w:val="subscript"/>
        </w:rPr>
        <w:t>β</w:t>
      </w:r>
      <w:r w:rsidRPr="00F56D92">
        <w:rPr>
          <w:rFonts w:eastAsia="等线" w:cstheme="minorHAnsi"/>
          <w:sz w:val="20"/>
          <w:szCs w:val="20"/>
        </w:rPr>
        <w:t xml:space="preserve"> and </w:t>
      </w:r>
      <w:r w:rsidRPr="00F56D92">
        <w:rPr>
          <w:rFonts w:cstheme="minorHAnsi"/>
          <w:sz w:val="20"/>
          <w:szCs w:val="20"/>
        </w:rPr>
        <w:t>[2-11]</w:t>
      </w:r>
      <w:r w:rsidRPr="00F56D92">
        <w:rPr>
          <w:rFonts w:cstheme="minorHAnsi"/>
          <w:sz w:val="20"/>
          <w:szCs w:val="20"/>
          <w:vertAlign w:val="subscript"/>
        </w:rPr>
        <w:t>α’’V1</w:t>
      </w:r>
      <w:r w:rsidRPr="00F56D92">
        <w:rPr>
          <w:rFonts w:cstheme="minorHAnsi"/>
          <w:sz w:val="20"/>
          <w:szCs w:val="20"/>
        </w:rPr>
        <w:t>//[001]</w:t>
      </w:r>
      <w:r w:rsidRPr="00F56D92">
        <w:rPr>
          <w:rFonts w:cstheme="minorHAnsi"/>
          <w:sz w:val="20"/>
          <w:szCs w:val="20"/>
          <w:vertAlign w:val="subscript"/>
        </w:rPr>
        <w:t>α’’V2</w:t>
      </w:r>
      <w:r w:rsidRPr="00F56D92">
        <w:rPr>
          <w:rFonts w:cstheme="minorHAnsi"/>
          <w:sz w:val="20"/>
          <w:szCs w:val="20"/>
        </w:rPr>
        <w:t>//[1-10]</w:t>
      </w:r>
      <w:r w:rsidRPr="00F56D92">
        <w:rPr>
          <w:rFonts w:eastAsia="等线" w:cstheme="minorHAnsi"/>
          <w:sz w:val="20"/>
          <w:szCs w:val="20"/>
          <w:vertAlign w:val="subscript"/>
        </w:rPr>
        <w:t>β</w:t>
      </w:r>
      <w:r w:rsidRPr="00F56D92">
        <w:rPr>
          <w:rFonts w:cstheme="minorHAnsi"/>
          <w:sz w:val="20"/>
          <w:szCs w:val="20"/>
        </w:rPr>
        <w:t xml:space="preserve"> zone axis </w:t>
      </w:r>
      <w:r w:rsidRPr="00F56D92">
        <w:rPr>
          <w:rFonts w:eastAsia="等线" w:cstheme="minorHAnsi"/>
          <w:sz w:val="20"/>
          <w:szCs w:val="20"/>
        </w:rPr>
        <w:t>respectively</w:t>
      </w:r>
      <w:r w:rsidRPr="00F56D92">
        <w:rPr>
          <w:rFonts w:cstheme="minorHAnsi"/>
          <w:sz w:val="20"/>
          <w:szCs w:val="20"/>
        </w:rPr>
        <w:t xml:space="preserve">. </w:t>
      </w:r>
      <w:r w:rsidRPr="00F56D92">
        <w:rPr>
          <w:rFonts w:cstheme="minorHAnsi"/>
          <w:bCs/>
          <w:sz w:val="20"/>
          <w:szCs w:val="20"/>
        </w:rPr>
        <w:t>(</w:t>
      </w:r>
      <w:r w:rsidRPr="00F56D92">
        <w:rPr>
          <w:rFonts w:cstheme="minorHAnsi"/>
          <w:b/>
          <w:sz w:val="20"/>
          <w:szCs w:val="20"/>
        </w:rPr>
        <w:t>b</w:t>
      </w:r>
      <w:r w:rsidRPr="00F56D92">
        <w:rPr>
          <w:rFonts w:cstheme="minorHAnsi"/>
          <w:bCs/>
          <w:sz w:val="20"/>
          <w:szCs w:val="20"/>
        </w:rPr>
        <w:t xml:space="preserve">) </w:t>
      </w:r>
      <w:r w:rsidRPr="00F56D92">
        <w:rPr>
          <w:rFonts w:cstheme="minorHAnsi"/>
          <w:sz w:val="20"/>
          <w:szCs w:val="20"/>
        </w:rPr>
        <w:t>Compound {351}&lt;1-12&gt;</w:t>
      </w:r>
      <w:r w:rsidRPr="00F56D92">
        <w:rPr>
          <w:rFonts w:cstheme="minorHAnsi"/>
          <w:sz w:val="20"/>
          <w:szCs w:val="20"/>
          <w:vertAlign w:val="subscript"/>
        </w:rPr>
        <w:t>α’’</w:t>
      </w:r>
      <w:r w:rsidRPr="00F56D92">
        <w:rPr>
          <w:rFonts w:cstheme="minorHAnsi"/>
          <w:sz w:val="20"/>
          <w:szCs w:val="20"/>
        </w:rPr>
        <w:t xml:space="preserve"> twin in a specimen deformed to </w:t>
      </w:r>
      <w:r>
        <w:rPr>
          <w:rFonts w:cstheme="minorHAnsi"/>
          <w:sz w:val="20"/>
          <w:szCs w:val="20"/>
        </w:rPr>
        <w:t>9</w:t>
      </w:r>
      <w:r w:rsidRPr="00F56D92">
        <w:rPr>
          <w:rFonts w:cstheme="minorHAnsi"/>
          <w:sz w:val="20"/>
          <w:szCs w:val="20"/>
        </w:rPr>
        <w:t xml:space="preserve">% strain. </w:t>
      </w:r>
      <w:r w:rsidRPr="00F56D92">
        <w:rPr>
          <w:rFonts w:cstheme="minorHAnsi"/>
          <w:b/>
          <w:bCs/>
          <w:sz w:val="20"/>
          <w:szCs w:val="20"/>
        </w:rPr>
        <w:t>i</w:t>
      </w:r>
      <w:r w:rsidRPr="00F56D92">
        <w:rPr>
          <w:rFonts w:cstheme="minorHAnsi"/>
          <w:sz w:val="20"/>
          <w:szCs w:val="20"/>
        </w:rPr>
        <w:t xml:space="preserve">. BF image. </w:t>
      </w:r>
      <w:r w:rsidRPr="00F56D92">
        <w:rPr>
          <w:rFonts w:cstheme="minorHAnsi"/>
          <w:b/>
          <w:sz w:val="20"/>
          <w:szCs w:val="20"/>
        </w:rPr>
        <w:t>ii-iv</w:t>
      </w:r>
      <w:r w:rsidRPr="00F56D92">
        <w:rPr>
          <w:rFonts w:cstheme="minorHAnsi"/>
          <w:sz w:val="20"/>
          <w:szCs w:val="20"/>
        </w:rPr>
        <w:t xml:space="preserve"> Corresponding SADPs taken next to the twin boundary (red circle) along the [-101]</w:t>
      </w:r>
      <w:r w:rsidRPr="00F56D92">
        <w:rPr>
          <w:rFonts w:cstheme="minorHAnsi"/>
          <w:sz w:val="20"/>
          <w:szCs w:val="20"/>
          <w:vertAlign w:val="subscript"/>
        </w:rPr>
        <w:t>α’’V1</w:t>
      </w:r>
      <w:r w:rsidRPr="00F56D92">
        <w:rPr>
          <w:rFonts w:cstheme="minorHAnsi"/>
          <w:sz w:val="20"/>
          <w:szCs w:val="20"/>
        </w:rPr>
        <w:t>//[-110]</w:t>
      </w:r>
      <w:r w:rsidRPr="00F56D92">
        <w:rPr>
          <w:rFonts w:cstheme="minorHAnsi"/>
          <w:sz w:val="20"/>
          <w:szCs w:val="20"/>
          <w:vertAlign w:val="subscript"/>
        </w:rPr>
        <w:t>α’’V2</w:t>
      </w:r>
      <w:r w:rsidRPr="00F56D92">
        <w:rPr>
          <w:rFonts w:cstheme="minorHAnsi"/>
          <w:sz w:val="20"/>
          <w:szCs w:val="20"/>
        </w:rPr>
        <w:t>//[-112]</w:t>
      </w:r>
      <w:r w:rsidRPr="00F56D92">
        <w:rPr>
          <w:rFonts w:cstheme="minorHAnsi"/>
          <w:sz w:val="20"/>
          <w:szCs w:val="20"/>
          <w:vertAlign w:val="subscript"/>
        </w:rPr>
        <w:t>α’’V4</w:t>
      </w:r>
      <w:r w:rsidRPr="00F56D92">
        <w:rPr>
          <w:rFonts w:eastAsia="等线" w:cstheme="minorHAnsi"/>
          <w:sz w:val="20"/>
          <w:szCs w:val="20"/>
        </w:rPr>
        <w:t xml:space="preserve">, </w:t>
      </w:r>
      <w:r w:rsidRPr="00F56D92">
        <w:rPr>
          <w:rFonts w:cstheme="minorHAnsi"/>
          <w:sz w:val="20"/>
          <w:szCs w:val="20"/>
        </w:rPr>
        <w:t>[2-1-1]</w:t>
      </w:r>
      <w:r w:rsidRPr="00F56D92">
        <w:rPr>
          <w:rFonts w:cstheme="minorHAnsi"/>
          <w:sz w:val="20"/>
          <w:szCs w:val="20"/>
          <w:vertAlign w:val="subscript"/>
        </w:rPr>
        <w:t>α’’V1</w:t>
      </w:r>
      <w:r w:rsidRPr="00F56D92">
        <w:rPr>
          <w:rFonts w:cstheme="minorHAnsi"/>
          <w:sz w:val="20"/>
          <w:szCs w:val="20"/>
        </w:rPr>
        <w:t>//[2-1-1]</w:t>
      </w:r>
      <w:r w:rsidRPr="00F56D92">
        <w:rPr>
          <w:rFonts w:cstheme="minorHAnsi"/>
          <w:sz w:val="20"/>
          <w:szCs w:val="20"/>
          <w:vertAlign w:val="subscript"/>
        </w:rPr>
        <w:t>α’’V3</w:t>
      </w:r>
      <w:r w:rsidRPr="00F56D92">
        <w:rPr>
          <w:rFonts w:cstheme="minorHAnsi"/>
          <w:sz w:val="20"/>
          <w:szCs w:val="20"/>
        </w:rPr>
        <w:t>//[001]</w:t>
      </w:r>
      <w:r w:rsidRPr="00F56D92">
        <w:rPr>
          <w:rFonts w:cstheme="minorHAnsi"/>
          <w:sz w:val="20"/>
          <w:szCs w:val="20"/>
          <w:vertAlign w:val="subscript"/>
        </w:rPr>
        <w:t>α’’V4</w:t>
      </w:r>
      <w:r w:rsidRPr="00F56D92">
        <w:rPr>
          <w:rFonts w:cstheme="minorHAnsi"/>
          <w:sz w:val="20"/>
          <w:szCs w:val="20"/>
        </w:rPr>
        <w:t>; yellow area in (c) along [10-1]</w:t>
      </w:r>
      <w:r w:rsidRPr="00F56D92">
        <w:rPr>
          <w:rFonts w:eastAsia="等线" w:cstheme="minorHAnsi"/>
          <w:sz w:val="20"/>
          <w:szCs w:val="20"/>
          <w:vertAlign w:val="subscript"/>
        </w:rPr>
        <w:t>βM</w:t>
      </w:r>
      <w:r w:rsidRPr="00F56D92">
        <w:rPr>
          <w:rFonts w:cstheme="minorHAnsi"/>
          <w:sz w:val="20"/>
          <w:szCs w:val="20"/>
        </w:rPr>
        <w:t>//[10-1]</w:t>
      </w:r>
      <w:r w:rsidRPr="00F56D92">
        <w:rPr>
          <w:rFonts w:eastAsia="等线" w:cstheme="minorHAnsi"/>
          <w:sz w:val="20"/>
          <w:szCs w:val="20"/>
          <w:vertAlign w:val="subscript"/>
        </w:rPr>
        <w:t>βT</w:t>
      </w:r>
      <w:r w:rsidRPr="00F56D92">
        <w:rPr>
          <w:rFonts w:cstheme="minorHAnsi"/>
          <w:sz w:val="20"/>
          <w:szCs w:val="20"/>
        </w:rPr>
        <w:t xml:space="preserve"> zone axis </w:t>
      </w:r>
      <w:r w:rsidRPr="00F56D92">
        <w:rPr>
          <w:rFonts w:eastAsia="等线" w:cstheme="minorHAnsi"/>
          <w:sz w:val="20"/>
          <w:szCs w:val="20"/>
        </w:rPr>
        <w:t>respectively</w:t>
      </w:r>
      <w:r w:rsidRPr="00F56D92">
        <w:rPr>
          <w:rFonts w:cstheme="minorHAnsi"/>
          <w:sz w:val="20"/>
          <w:szCs w:val="20"/>
        </w:rPr>
        <w:t>.</w:t>
      </w:r>
      <w:r w:rsidRPr="00F56D92">
        <w:rPr>
          <w:rFonts w:cstheme="minorHAnsi"/>
          <w:b/>
          <w:sz w:val="20"/>
          <w:szCs w:val="20"/>
        </w:rPr>
        <w:t xml:space="preserve"> </w:t>
      </w:r>
      <w:r w:rsidRPr="00F56D92">
        <w:rPr>
          <w:rFonts w:cstheme="minorHAnsi"/>
          <w:sz w:val="20"/>
          <w:szCs w:val="20"/>
        </w:rPr>
        <w:t>(</w:t>
      </w:r>
      <w:r w:rsidRPr="00F56D92">
        <w:rPr>
          <w:rFonts w:cstheme="minorHAnsi"/>
          <w:b/>
          <w:sz w:val="20"/>
          <w:szCs w:val="20"/>
        </w:rPr>
        <w:t>c</w:t>
      </w:r>
      <w:r w:rsidRPr="00F56D92">
        <w:rPr>
          <w:rFonts w:cstheme="minorHAnsi"/>
          <w:sz w:val="20"/>
          <w:szCs w:val="20"/>
        </w:rPr>
        <w:t xml:space="preserve">) Low magnified BF image of the twinning feature observed in (b). Red circled area is the feature in (b). </w:t>
      </w:r>
      <w:r w:rsidRPr="00F56D92">
        <w:rPr>
          <w:rFonts w:cstheme="minorHAnsi"/>
          <w:bCs/>
          <w:sz w:val="20"/>
          <w:szCs w:val="20"/>
        </w:rPr>
        <w:t>(</w:t>
      </w:r>
      <w:r w:rsidRPr="00F56D92">
        <w:rPr>
          <w:rFonts w:cstheme="minorHAnsi"/>
          <w:b/>
          <w:sz w:val="20"/>
          <w:szCs w:val="20"/>
        </w:rPr>
        <w:t>ii-iii</w:t>
      </w:r>
      <w:r w:rsidRPr="00F56D92">
        <w:rPr>
          <w:rFonts w:cstheme="minorHAnsi"/>
          <w:bCs/>
          <w:sz w:val="20"/>
          <w:szCs w:val="20"/>
        </w:rPr>
        <w:t xml:space="preserve">) </w:t>
      </w:r>
      <w:r w:rsidRPr="00F56D92">
        <w:rPr>
          <w:rFonts w:cstheme="minorHAnsi"/>
          <w:sz w:val="20"/>
          <w:szCs w:val="20"/>
        </w:rPr>
        <w:t>DFIs of the matrix and twinning, taken from reflection observed in b(iv)</w:t>
      </w:r>
      <w:r w:rsidRPr="00F56D92">
        <w:rPr>
          <w:rFonts w:eastAsia="等线" w:cstheme="minorHAnsi"/>
          <w:sz w:val="20"/>
          <w:szCs w:val="20"/>
        </w:rPr>
        <w:t xml:space="preserve">. </w:t>
      </w:r>
      <w:r w:rsidRPr="00F56D92">
        <w:rPr>
          <w:rFonts w:cstheme="minorHAnsi"/>
          <w:color w:val="000000" w:themeColor="text1"/>
          <w:sz w:val="20"/>
          <w:szCs w:val="20"/>
        </w:rPr>
        <w:t>Scale bar in a, 200nm. Scale bar in b, 50nm. Scale bars in c (i-iii), 500nm.</w:t>
      </w:r>
      <w:bookmarkEnd w:id="332"/>
    </w:p>
    <w:p w14:paraId="751CC217" w14:textId="770D7631" w:rsidR="00B145BE" w:rsidRDefault="00B145BE" w:rsidP="00B145BE">
      <w:pPr>
        <w:spacing w:after="120" w:line="360" w:lineRule="auto"/>
        <w:jc w:val="both"/>
        <w:rPr>
          <w:noProof/>
        </w:rPr>
      </w:pPr>
      <w:r>
        <w:lastRenderedPageBreak/>
        <w:t>T</w:t>
      </w:r>
      <w:r>
        <w:rPr>
          <w:rFonts w:hint="eastAsia"/>
        </w:rPr>
        <w:t>h</w:t>
      </w:r>
      <w:r>
        <w:t xml:space="preserve">e microstructure evolution </w:t>
      </w:r>
      <w:r w:rsidRPr="0080511A">
        <w:rPr>
          <w:noProof/>
        </w:rPr>
        <w:t>become</w:t>
      </w:r>
      <w:r>
        <w:rPr>
          <w:noProof/>
        </w:rPr>
        <w:t>s</w:t>
      </w:r>
      <w:r>
        <w:t xml:space="preserve"> even </w:t>
      </w:r>
      <w:r w:rsidRPr="00280CF9">
        <w:rPr>
          <w:noProof/>
        </w:rPr>
        <w:t>more compl</w:t>
      </w:r>
      <w:r>
        <w:rPr>
          <w:noProof/>
        </w:rPr>
        <w:t>icated</w:t>
      </w:r>
      <w:r>
        <w:t xml:space="preserve"> when the strain is further increased to stage I</w:t>
      </w:r>
      <w:r w:rsidR="00F56D92">
        <w:t>V</w:t>
      </w:r>
      <w:r>
        <w:t xml:space="preserve">. As shown in the </w:t>
      </w:r>
      <w:r w:rsidR="00656DE6">
        <w:t xml:space="preserve">previous </w:t>
      </w:r>
      <w:r>
        <w:t xml:space="preserve">EBSD of the </w:t>
      </w:r>
      <w:r w:rsidR="007812E4">
        <w:t>Ta13</w:t>
      </w:r>
      <w:r w:rsidR="00656DE6">
        <w:t xml:space="preserve"> </w:t>
      </w:r>
      <w:r>
        <w:t xml:space="preserve">sample deformed to </w:t>
      </w:r>
      <w:r w:rsidR="007812E4">
        <w:t>20</w:t>
      </w:r>
      <w:r>
        <w:t>% strain in</w:t>
      </w:r>
      <w:r w:rsidRPr="006B3536">
        <w:t xml:space="preserve"> Fig. 7-</w:t>
      </w:r>
      <w:r w:rsidR="007812E4">
        <w:t>4</w:t>
      </w:r>
      <w:r w:rsidRPr="006B3536">
        <w:t>, t</w:t>
      </w:r>
      <w:r w:rsidRPr="006B3536">
        <w:rPr>
          <w:rFonts w:hint="eastAsia"/>
        </w:rPr>
        <w:t>h</w:t>
      </w:r>
      <w:r w:rsidRPr="006B3536">
        <w:t>e highly</w:t>
      </w:r>
      <w:r>
        <w:t xml:space="preserve">-tangled </w:t>
      </w:r>
      <w:r w:rsidRPr="00426ED1">
        <w:t>type I {111}</w:t>
      </w:r>
      <w:r w:rsidRPr="00426ED1">
        <w:rPr>
          <w:vertAlign w:val="subscript"/>
        </w:rPr>
        <w:t>α’’</w:t>
      </w:r>
      <w:r w:rsidRPr="00426ED1">
        <w:t xml:space="preserve"> and {011}</w:t>
      </w:r>
      <w:r w:rsidRPr="00426ED1">
        <w:rPr>
          <w:vertAlign w:val="subscript"/>
        </w:rPr>
        <w:t>α’’</w:t>
      </w:r>
      <w:r w:rsidRPr="00426ED1">
        <w:t xml:space="preserve"> compound </w:t>
      </w:r>
      <w:r>
        <w:t>twinning feature started to form. In difference with type I {111}</w:t>
      </w:r>
      <w:r w:rsidRPr="00426ED1">
        <w:rPr>
          <w:vertAlign w:val="subscript"/>
        </w:rPr>
        <w:t>α’’</w:t>
      </w:r>
      <w:r>
        <w:t xml:space="preserve"> and type II &lt;-211&gt;</w:t>
      </w:r>
      <w:r w:rsidRPr="00426ED1">
        <w:rPr>
          <w:vertAlign w:val="subscript"/>
        </w:rPr>
        <w:t>α’’</w:t>
      </w:r>
      <w:r>
        <w:t xml:space="preserve"> SA twinning, the critical activating condition for SA {011}</w:t>
      </w:r>
      <w:r w:rsidRPr="00426ED1">
        <w:rPr>
          <w:vertAlign w:val="subscript"/>
        </w:rPr>
        <w:t>α’’</w:t>
      </w:r>
      <w:r>
        <w:t xml:space="preserve"> </w:t>
      </w:r>
      <w:r w:rsidRPr="00426ED1">
        <w:t>compound twin</w:t>
      </w:r>
      <w:r w:rsidR="00656DE6">
        <w:t>ning</w:t>
      </w:r>
      <w:r>
        <w:t xml:space="preserve"> requires negative strain to exert along the [001]</w:t>
      </w:r>
      <w:r w:rsidRPr="00426ED1">
        <w:rPr>
          <w:vertAlign w:val="subscript"/>
        </w:rPr>
        <w:t>α’’</w:t>
      </w:r>
      <w:r>
        <w:rPr>
          <w:vertAlign w:val="subscript"/>
        </w:rPr>
        <w:fldChar w:fldCharType="begin" w:fldLock="1"/>
      </w:r>
      <w:r>
        <w:rPr>
          <w:rFonts w:hint="eastAsia"/>
          <w:vertAlign w:val="subscript"/>
        </w:rPr>
        <w:instrText xml:space="preserve">ADDIN CSL_CITATION {"citationItems":[{"id":"ITEM-1","itemData":{"DOI":"10.1016/j.jallcom.2012.02.023","ISBN":"0925-8388","ISSN":"09258388","abstract":"Deformation behavior and shape memory properties of Ti-(20, 23) at.% Nb alloys in a single </w:instrText>
      </w:r>
      <w:r>
        <w:rPr>
          <w:rFonts w:hint="eastAsia"/>
          <w:vertAlign w:val="subscript"/>
        </w:rPr>
        <w:instrText>α″</w:instrText>
      </w:r>
      <w:r>
        <w:rPr>
          <w:rFonts w:hint="eastAsia"/>
          <w:vertAlign w:val="subscript"/>
        </w:rPr>
        <w:instrText xml:space="preserve"> martensite</w:instrText>
      </w:r>
      <w:r>
        <w:rPr>
          <w:vertAlign w:val="subscript"/>
        </w:rPr>
        <w:instrText xml:space="preserve"> state were investigated. The Ti-20Nb alloy exhibited a higher stress for the reorientation of martensite variants when compared with the Ti-23Nb alloy. The recovery strain due to the shape memory effect in the Ti-20Nb alloy was smaller than that in the T</w:instrText>
      </w:r>
      <w:r>
        <w:rPr>
          <w:rFonts w:hint="eastAsia"/>
          <w:vertAlign w:val="subscript"/>
        </w:rPr>
        <w:instrText xml:space="preserve">i-23Nb alloy. Transmission electron microscope (TEM) observation revealed that the reorientation of martensite variants occurred by the deformation of {1 1 1} type I and </w:instrText>
      </w:r>
      <w:r>
        <w:rPr>
          <w:rFonts w:hint="eastAsia"/>
          <w:vertAlign w:val="subscript"/>
        </w:rPr>
        <w:instrText>〈</w:instrText>
      </w:r>
      <w:r>
        <w:rPr>
          <w:rFonts w:hint="eastAsia"/>
          <w:vertAlign w:val="subscript"/>
        </w:rPr>
        <w:instrText>2 1 1</w:instrText>
      </w:r>
      <w:r>
        <w:rPr>
          <w:rFonts w:hint="eastAsia"/>
          <w:vertAlign w:val="subscript"/>
        </w:rPr>
        <w:instrText>〉</w:instrText>
      </w:r>
      <w:r>
        <w:rPr>
          <w:rFonts w:hint="eastAsia"/>
          <w:vertAlign w:val="subscript"/>
        </w:rPr>
        <w:instrText xml:space="preserve"> type II twins. The Nb content dependence of the deformation behavior and shap</w:instrText>
      </w:r>
      <w:r>
        <w:rPr>
          <w:vertAlign w:val="subscript"/>
        </w:rPr>
        <w:instrText>e memory properties was discussed considering the magnitude of twinning shear of the twins. © 2012 Elsevier B.V.","author":[{"dropping-particle":"","family":"Tobe","given":"H.","non-dropping-particle":"","parse-names":false,"suffix":""},{"dropping-particle":"","family":"Kim","given":"H. Y.","non-dropping-particle":"","parse-names":false,"suffix":""},{"dropping-particle":"","family":"Inamura","given":"T.","non-dropping-particle":"","parse-names":false,"suffix":""},{"dropping-particle":"","family":"Hosoda","given":"H.","non-dropping-particle":"","parse-names":false,"suffix":""},{"dropping-particle":"","family":"Nam","given":"T. H.","non-dropping-particle":"","parse-names":false,"suffix":""},{"dropping-particle":"","family":"Miyazaki","given":"S.","non-dropping-particle":"","parse-names":false,"suffix":""}],"container-title":"Journal of Alloys and Compounds","id":"ITEM-1","issued":{"date-parts":[["2013"]]},"title":"Effect of Nb content on deformation behavior and shape memory properties of Ti-Nb alloys","type":"article-journal"},"uris":["http://www.mendeley.com/documents/?uuid=723653c8-ba50-4ee1-b1d5-e5ceb4f5b036"]}],"mendeley":{"formattedCitation":"[22]","plainTextFormattedCitation":"[22]","previouslyFormattedCitation":"[36]"},"properties":{"noteIndex":0},"schema":"https://github.com/citation-style-language/schema/raw/master/csl-citation.json"}</w:instrText>
      </w:r>
      <w:r>
        <w:rPr>
          <w:vertAlign w:val="subscript"/>
        </w:rPr>
        <w:fldChar w:fldCharType="separate"/>
      </w:r>
      <w:r w:rsidRPr="00681C64">
        <w:rPr>
          <w:noProof/>
        </w:rPr>
        <w:t>[22]</w:t>
      </w:r>
      <w:r>
        <w:rPr>
          <w:vertAlign w:val="subscript"/>
        </w:rPr>
        <w:fldChar w:fldCharType="end"/>
      </w:r>
      <w:r>
        <w:t xml:space="preserve"> direction, which complicates the origin of the observed {011}</w:t>
      </w:r>
      <w:r w:rsidRPr="00426ED1">
        <w:rPr>
          <w:vertAlign w:val="subscript"/>
        </w:rPr>
        <w:t>α’’</w:t>
      </w:r>
      <w:r>
        <w:t xml:space="preserve"> </w:t>
      </w:r>
      <w:r w:rsidRPr="00426ED1">
        <w:t>compound twin</w:t>
      </w:r>
      <w:r>
        <w:t xml:space="preserve">ning during this deformation stage. Nevertheless, by conducting TEM on a sample deformed to </w:t>
      </w:r>
      <w:r w:rsidR="007812E4">
        <w:t>20</w:t>
      </w:r>
      <w:r>
        <w:t>% strain, it was found that the network structure with twisted type I {111}</w:t>
      </w:r>
      <w:r w:rsidRPr="00104571">
        <w:rPr>
          <w:rFonts w:ascii="Times New Roman" w:hAnsi="Times New Roman" w:cs="Times New Roman"/>
          <w:vertAlign w:val="subscript"/>
        </w:rPr>
        <w:t>α</w:t>
      </w:r>
      <w:r w:rsidRPr="00104571">
        <w:rPr>
          <w:vertAlign w:val="subscript"/>
        </w:rPr>
        <w:t>’’</w:t>
      </w:r>
      <w:r>
        <w:t xml:space="preserve"> and {011}</w:t>
      </w:r>
      <w:r w:rsidRPr="00AF7BFA">
        <w:rPr>
          <w:rFonts w:ascii="Times New Roman" w:hAnsi="Times New Roman" w:cs="Times New Roman"/>
          <w:vertAlign w:val="subscript"/>
        </w:rPr>
        <w:t>α</w:t>
      </w:r>
      <w:r w:rsidRPr="00AF7BFA">
        <w:rPr>
          <w:vertAlign w:val="subscript"/>
        </w:rPr>
        <w:t>’’</w:t>
      </w:r>
      <w:r w:rsidRPr="00AF7BFA">
        <w:t xml:space="preserve"> </w:t>
      </w:r>
      <w:r w:rsidRPr="00AF7BFA">
        <w:rPr>
          <w:noProof/>
        </w:rPr>
        <w:t xml:space="preserve">compound twins </w:t>
      </w:r>
      <w:r>
        <w:rPr>
          <w:noProof/>
        </w:rPr>
        <w:t>occurred</w:t>
      </w:r>
      <w:r w:rsidRPr="00AF7BFA">
        <w:rPr>
          <w:noProof/>
        </w:rPr>
        <w:t xml:space="preserve"> and may </w:t>
      </w:r>
      <w:r w:rsidR="00656DE6">
        <w:rPr>
          <w:noProof/>
        </w:rPr>
        <w:t xml:space="preserve">be </w:t>
      </w:r>
      <w:r w:rsidRPr="00AF7BFA">
        <w:rPr>
          <w:noProof/>
        </w:rPr>
        <w:t>play a crucial role in maintaining the hardening capacity</w:t>
      </w:r>
      <w:r>
        <w:rPr>
          <w:noProof/>
        </w:rPr>
        <w:t xml:space="preserve"> </w:t>
      </w:r>
      <w:r w:rsidR="007812E4">
        <w:rPr>
          <w:noProof/>
        </w:rPr>
        <w:t>in</w:t>
      </w:r>
      <w:r>
        <w:rPr>
          <w:noProof/>
        </w:rPr>
        <w:t xml:space="preserve"> deformation stages IV</w:t>
      </w:r>
      <w:r w:rsidRPr="00AF7BFA">
        <w:rPr>
          <w:noProof/>
        </w:rPr>
        <w:t>.</w:t>
      </w:r>
      <w:r>
        <w:rPr>
          <w:noProof/>
        </w:rPr>
        <w:t xml:space="preserve"> </w:t>
      </w:r>
      <w:r>
        <w:t>The bright field image in F</w:t>
      </w:r>
      <w:r w:rsidRPr="009E2670">
        <w:t>ig. 7-</w:t>
      </w:r>
      <w:r w:rsidR="00EF5D31">
        <w:t>9</w:t>
      </w:r>
      <w:r>
        <w:t>(</w:t>
      </w:r>
      <w:r w:rsidRPr="009E2670">
        <w:t>a</w:t>
      </w:r>
      <w:r>
        <w:t>)</w:t>
      </w:r>
      <w:r w:rsidRPr="009E2670">
        <w:t xml:space="preserve"> shows</w:t>
      </w:r>
      <w:r>
        <w:t xml:space="preserve"> </w:t>
      </w:r>
      <w:r w:rsidR="005650EE">
        <w:t xml:space="preserve">the </w:t>
      </w:r>
      <w:r w:rsidRPr="0080511A">
        <w:rPr>
          <w:noProof/>
        </w:rPr>
        <w:t>highly</w:t>
      </w:r>
      <w:r>
        <w:t xml:space="preserve"> entangled network structure. From this feature, the SADP taken along [011]</w:t>
      </w:r>
      <w:r w:rsidRPr="00104571">
        <w:rPr>
          <w:rFonts w:ascii="Times New Roman" w:hAnsi="Times New Roman" w:cs="Times New Roman"/>
          <w:vertAlign w:val="subscript"/>
        </w:rPr>
        <w:t>α</w:t>
      </w:r>
      <w:r w:rsidRPr="00104571">
        <w:rPr>
          <w:vertAlign w:val="subscript"/>
        </w:rPr>
        <w:t>’’</w:t>
      </w:r>
      <w:r>
        <w:rPr>
          <w:vertAlign w:val="subscript"/>
        </w:rPr>
        <w:t>M</w:t>
      </w:r>
      <w:r>
        <w:t>//[100]</w:t>
      </w:r>
      <w:r w:rsidRPr="00104571">
        <w:rPr>
          <w:rFonts w:ascii="Times New Roman" w:hAnsi="Times New Roman" w:cs="Times New Roman"/>
          <w:vertAlign w:val="subscript"/>
        </w:rPr>
        <w:t>α</w:t>
      </w:r>
      <w:r w:rsidRPr="00104571">
        <w:rPr>
          <w:vertAlign w:val="subscript"/>
        </w:rPr>
        <w:t>’’</w:t>
      </w:r>
      <w:r>
        <w:rPr>
          <w:vertAlign w:val="subscript"/>
        </w:rPr>
        <w:t>V</w:t>
      </w:r>
      <w:r>
        <w:t xml:space="preserve"> indicat</w:t>
      </w:r>
      <w:r w:rsidR="007812E4">
        <w:t>es</w:t>
      </w:r>
      <w:r>
        <w:t xml:space="preserve"> both the previously observed SA {111}</w:t>
      </w:r>
      <w:r w:rsidRPr="00104571">
        <w:rPr>
          <w:rFonts w:ascii="Times New Roman" w:hAnsi="Times New Roman" w:cs="Times New Roman"/>
          <w:vertAlign w:val="subscript"/>
        </w:rPr>
        <w:t>α</w:t>
      </w:r>
      <w:r w:rsidRPr="00104571">
        <w:rPr>
          <w:vertAlign w:val="subscript"/>
        </w:rPr>
        <w:t>’’</w:t>
      </w:r>
      <w:r>
        <w:t xml:space="preserve"> twinning and SA {011}</w:t>
      </w:r>
      <w:r w:rsidRPr="00104571">
        <w:rPr>
          <w:rFonts w:ascii="Times New Roman" w:hAnsi="Times New Roman" w:cs="Times New Roman"/>
          <w:vertAlign w:val="subscript"/>
        </w:rPr>
        <w:t>α</w:t>
      </w:r>
      <w:r w:rsidRPr="00104571">
        <w:rPr>
          <w:vertAlign w:val="subscript"/>
        </w:rPr>
        <w:t>’’</w:t>
      </w:r>
      <w:r>
        <w:t xml:space="preserve"> compound twinning</w:t>
      </w:r>
      <w:r w:rsidR="00EF5D31">
        <w:t xml:space="preserve"> were</w:t>
      </w:r>
      <w:r>
        <w:t xml:space="preserve"> involved. To identify the OR between</w:t>
      </w:r>
      <w:r>
        <w:rPr>
          <w:noProof/>
        </w:rPr>
        <w:t xml:space="preserve"> both</w:t>
      </w:r>
      <w:r w:rsidRPr="0080511A">
        <w:rPr>
          <w:noProof/>
        </w:rPr>
        <w:t xml:space="preserve"> twinning system</w:t>
      </w:r>
      <w:r>
        <w:rPr>
          <w:noProof/>
        </w:rPr>
        <w:t>s</w:t>
      </w:r>
      <w:r>
        <w:t xml:space="preserve"> (for conciseness, the two martensite variants which form {111}</w:t>
      </w:r>
      <w:r w:rsidRPr="00104571">
        <w:rPr>
          <w:rFonts w:ascii="Times New Roman" w:hAnsi="Times New Roman" w:cs="Times New Roman"/>
          <w:vertAlign w:val="subscript"/>
        </w:rPr>
        <w:t>α</w:t>
      </w:r>
      <w:r w:rsidRPr="00104571">
        <w:rPr>
          <w:vertAlign w:val="subscript"/>
        </w:rPr>
        <w:t>’’</w:t>
      </w:r>
      <w:r>
        <w:t xml:space="preserve"> twins </w:t>
      </w:r>
      <w:r>
        <w:rPr>
          <w:noProof/>
        </w:rPr>
        <w:t>are</w:t>
      </w:r>
      <w:r w:rsidRPr="00280CF9">
        <w:rPr>
          <w:noProof/>
        </w:rPr>
        <w:t xml:space="preserve"> labelled</w:t>
      </w:r>
      <w:r>
        <w:rPr>
          <w:noProof/>
        </w:rPr>
        <w:t xml:space="preserve"> </w:t>
      </w:r>
      <w:r w:rsidRPr="00280CF9">
        <w:rPr>
          <w:noProof/>
        </w:rPr>
        <w:t>as ‘M</w:t>
      </w:r>
      <w:r>
        <w:t>’ group, while variants forming {011}</w:t>
      </w:r>
      <w:r w:rsidRPr="00104571">
        <w:rPr>
          <w:rFonts w:ascii="Times New Roman" w:hAnsi="Times New Roman" w:cs="Times New Roman"/>
          <w:vertAlign w:val="subscript"/>
        </w:rPr>
        <w:t>α</w:t>
      </w:r>
      <w:r w:rsidRPr="00104571">
        <w:rPr>
          <w:vertAlign w:val="subscript"/>
        </w:rPr>
        <w:t>’’</w:t>
      </w:r>
      <w:r>
        <w:t xml:space="preserve"> twins </w:t>
      </w:r>
      <w:r>
        <w:rPr>
          <w:noProof/>
        </w:rPr>
        <w:t>are</w:t>
      </w:r>
      <w:r w:rsidRPr="00280CF9">
        <w:rPr>
          <w:noProof/>
        </w:rPr>
        <w:t xml:space="preserve"> denoted</w:t>
      </w:r>
      <w:r>
        <w:rPr>
          <w:noProof/>
        </w:rPr>
        <w:t xml:space="preserve"> by </w:t>
      </w:r>
      <w:r>
        <w:t>‘V’), the four martensite variants are named as M1</w:t>
      </w:r>
      <w:r w:rsidRPr="00C503FC">
        <w:rPr>
          <w:noProof/>
        </w:rPr>
        <w:t>,</w:t>
      </w:r>
      <w:r>
        <w:rPr>
          <w:noProof/>
        </w:rPr>
        <w:t xml:space="preserve"> </w:t>
      </w:r>
      <w:r w:rsidRPr="00C503FC">
        <w:rPr>
          <w:noProof/>
        </w:rPr>
        <w:t>M2</w:t>
      </w:r>
      <w:r>
        <w:t xml:space="preserve"> and V1</w:t>
      </w:r>
      <w:r w:rsidRPr="00C503FC">
        <w:rPr>
          <w:noProof/>
        </w:rPr>
        <w:t>,</w:t>
      </w:r>
      <w:r>
        <w:rPr>
          <w:noProof/>
        </w:rPr>
        <w:t xml:space="preserve"> </w:t>
      </w:r>
      <w:r w:rsidRPr="00C503FC">
        <w:rPr>
          <w:noProof/>
        </w:rPr>
        <w:t>V2</w:t>
      </w:r>
      <w:r>
        <w:t xml:space="preserve"> as shown </w:t>
      </w:r>
      <w:r w:rsidRPr="009E2670">
        <w:t xml:space="preserve">in </w:t>
      </w:r>
      <w:r>
        <w:t>F</w:t>
      </w:r>
      <w:r w:rsidRPr="009E2670">
        <w:t>ig. 7-</w:t>
      </w:r>
      <w:r w:rsidR="00EF5D31">
        <w:t>9</w:t>
      </w:r>
      <w:r w:rsidRPr="009E2670">
        <w:t xml:space="preserve">(c-f). The </w:t>
      </w:r>
      <w:r>
        <w:t xml:space="preserve">linked boundary between M1 and V1 indicated </w:t>
      </w:r>
      <w:r w:rsidRPr="0080511A">
        <w:rPr>
          <w:noProof/>
        </w:rPr>
        <w:t>a</w:t>
      </w:r>
      <w:r>
        <w:rPr>
          <w:noProof/>
        </w:rPr>
        <w:t xml:space="preserve"> potential</w:t>
      </w:r>
      <w:r w:rsidRPr="0080511A">
        <w:rPr>
          <w:noProof/>
        </w:rPr>
        <w:t xml:space="preserve"> OR</w:t>
      </w:r>
      <w:r>
        <w:t xml:space="preserve"> may exist between M and V group martensite variants. By applying the derived lattice correspondence, [011]</w:t>
      </w:r>
      <w:r w:rsidRPr="00104571">
        <w:rPr>
          <w:rFonts w:ascii="Times New Roman" w:hAnsi="Times New Roman" w:cs="Times New Roman"/>
          <w:vertAlign w:val="subscript"/>
        </w:rPr>
        <w:t>α</w:t>
      </w:r>
      <w:r w:rsidRPr="00104571">
        <w:rPr>
          <w:vertAlign w:val="subscript"/>
        </w:rPr>
        <w:t>’’</w:t>
      </w:r>
      <w:r>
        <w:rPr>
          <w:vertAlign w:val="subscript"/>
        </w:rPr>
        <w:t>M</w:t>
      </w:r>
      <w:r>
        <w:t>//[100]</w:t>
      </w:r>
      <w:r w:rsidRPr="00104571">
        <w:rPr>
          <w:rFonts w:ascii="Times New Roman" w:hAnsi="Times New Roman" w:cs="Times New Roman"/>
          <w:vertAlign w:val="subscript"/>
        </w:rPr>
        <w:t>α</w:t>
      </w:r>
      <w:r w:rsidRPr="00104571">
        <w:rPr>
          <w:vertAlign w:val="subscript"/>
        </w:rPr>
        <w:t>’’</w:t>
      </w:r>
      <w:r>
        <w:rPr>
          <w:vertAlign w:val="subscript"/>
        </w:rPr>
        <w:t>V</w:t>
      </w:r>
      <w:r>
        <w:t xml:space="preserve"> and (1-11)</w:t>
      </w:r>
      <w:r w:rsidRPr="00104571">
        <w:rPr>
          <w:rFonts w:ascii="Times New Roman" w:hAnsi="Times New Roman" w:cs="Times New Roman"/>
          <w:vertAlign w:val="subscript"/>
        </w:rPr>
        <w:t>α</w:t>
      </w:r>
      <w:r w:rsidRPr="00104571">
        <w:rPr>
          <w:vertAlign w:val="subscript"/>
        </w:rPr>
        <w:t>’’</w:t>
      </w:r>
      <w:r>
        <w:rPr>
          <w:vertAlign w:val="subscript"/>
        </w:rPr>
        <w:t>M</w:t>
      </w:r>
      <w:r>
        <w:t>//(00-1)</w:t>
      </w:r>
      <w:r w:rsidRPr="00104571">
        <w:rPr>
          <w:rFonts w:ascii="Times New Roman" w:hAnsi="Times New Roman" w:cs="Times New Roman"/>
          <w:vertAlign w:val="subscript"/>
        </w:rPr>
        <w:t>α</w:t>
      </w:r>
      <w:r w:rsidRPr="00104571">
        <w:rPr>
          <w:vertAlign w:val="subscript"/>
        </w:rPr>
        <w:t>’’</w:t>
      </w:r>
      <w:r>
        <w:rPr>
          <w:vertAlign w:val="subscript"/>
        </w:rPr>
        <w:t>V</w:t>
      </w:r>
      <w:r>
        <w:t xml:space="preserve">, the </w:t>
      </w:r>
      <w:r w:rsidRPr="0080511A">
        <w:rPr>
          <w:noProof/>
        </w:rPr>
        <w:t>stereo</w:t>
      </w:r>
      <w:r>
        <w:rPr>
          <w:noProof/>
        </w:rPr>
        <w:t xml:space="preserve">graphic </w:t>
      </w:r>
      <w:r w:rsidRPr="0080511A">
        <w:rPr>
          <w:noProof/>
        </w:rPr>
        <w:t>projection</w:t>
      </w:r>
      <w:r>
        <w:rPr>
          <w:noProof/>
        </w:rPr>
        <w:t xml:space="preserve"> figure of M and V group variants</w:t>
      </w:r>
      <w:r>
        <w:t xml:space="preserve"> was constructed </w:t>
      </w:r>
      <w:r w:rsidRPr="009E2670">
        <w:t xml:space="preserve">in </w:t>
      </w:r>
      <w:r>
        <w:t>F</w:t>
      </w:r>
      <w:r w:rsidRPr="009E2670">
        <w:t>ig. 7-</w:t>
      </w:r>
      <w:r w:rsidR="00EF5D31">
        <w:t>9</w:t>
      </w:r>
      <w:r w:rsidRPr="009E2670">
        <w:t>(g-h)</w:t>
      </w:r>
      <w:r>
        <w:t xml:space="preserve"> in order to determine this OR. The analysis shows that M1 and V1 </w:t>
      </w:r>
      <w:r>
        <w:rPr>
          <w:noProof/>
        </w:rPr>
        <w:t xml:space="preserve">exhibit </w:t>
      </w:r>
      <w:r>
        <w:t>the {351}</w:t>
      </w:r>
      <w:r w:rsidRPr="00104571">
        <w:rPr>
          <w:rFonts w:ascii="Times New Roman" w:hAnsi="Times New Roman" w:cs="Times New Roman"/>
          <w:vertAlign w:val="subscript"/>
        </w:rPr>
        <w:t>α</w:t>
      </w:r>
      <w:r w:rsidRPr="00104571">
        <w:rPr>
          <w:vertAlign w:val="subscript"/>
        </w:rPr>
        <w:t>’’</w:t>
      </w:r>
      <w:r>
        <w:t xml:space="preserve"> twinning </w:t>
      </w:r>
      <w:r w:rsidRPr="00280CF9">
        <w:rPr>
          <w:noProof/>
        </w:rPr>
        <w:t>relationship</w:t>
      </w:r>
      <w:r>
        <w:rPr>
          <w:noProof/>
        </w:rPr>
        <w:t>,</w:t>
      </w:r>
      <w:r>
        <w:t xml:space="preserve"> since the {351}</w:t>
      </w:r>
      <w:r w:rsidRPr="00104571">
        <w:rPr>
          <w:rFonts w:ascii="Times New Roman" w:hAnsi="Times New Roman" w:cs="Times New Roman"/>
          <w:vertAlign w:val="subscript"/>
        </w:rPr>
        <w:t>α</w:t>
      </w:r>
      <w:r w:rsidRPr="00104571">
        <w:rPr>
          <w:vertAlign w:val="subscript"/>
        </w:rPr>
        <w:t>’’</w:t>
      </w:r>
      <w:r>
        <w:rPr>
          <w:vertAlign w:val="subscript"/>
        </w:rPr>
        <w:t>M1</w:t>
      </w:r>
      <w:r>
        <w:t xml:space="preserve"> reflection overlapped with {351}</w:t>
      </w:r>
      <w:r w:rsidRPr="00104571">
        <w:rPr>
          <w:rFonts w:ascii="Times New Roman" w:hAnsi="Times New Roman" w:cs="Times New Roman"/>
          <w:vertAlign w:val="subscript"/>
        </w:rPr>
        <w:t>α</w:t>
      </w:r>
      <w:r w:rsidRPr="00104571">
        <w:rPr>
          <w:vertAlign w:val="subscript"/>
        </w:rPr>
        <w:t>’’</w:t>
      </w:r>
      <w:r>
        <w:rPr>
          <w:vertAlign w:val="subscript"/>
        </w:rPr>
        <w:t>V1</w:t>
      </w:r>
      <w:r>
        <w:t>. It should be noted that the zone axis correspondence in Fig. 7-</w:t>
      </w:r>
      <w:r w:rsidR="00EF5D31">
        <w:t>9</w:t>
      </w:r>
      <w:r>
        <w:t>(b) between M group and V group was identical to the one captured in</w:t>
      </w:r>
      <w:r w:rsidR="00753668">
        <w:t xml:space="preserve"> SADP shown in</w:t>
      </w:r>
      <w:r>
        <w:t xml:space="preserve"> Fig. 7-</w:t>
      </w:r>
      <w:r w:rsidR="00EF5D31">
        <w:t>5</w:t>
      </w:r>
      <w:r>
        <w:t xml:space="preserve">(c). Although both </w:t>
      </w:r>
      <w:r w:rsidRPr="00280CF9">
        <w:rPr>
          <w:noProof/>
        </w:rPr>
        <w:t>feature</w:t>
      </w:r>
      <w:r>
        <w:rPr>
          <w:noProof/>
        </w:rPr>
        <w:t>s</w:t>
      </w:r>
      <w:r>
        <w:t xml:space="preserve"> </w:t>
      </w:r>
      <w:r>
        <w:rPr>
          <w:noProof/>
        </w:rPr>
        <w:t>are</w:t>
      </w:r>
      <w:r w:rsidRPr="00280CF9">
        <w:rPr>
          <w:noProof/>
        </w:rPr>
        <w:t xml:space="preserve"> identified</w:t>
      </w:r>
      <w:r>
        <w:t xml:space="preserve"> as {351}&lt;2-1-1&gt;</w:t>
      </w:r>
      <w:r w:rsidRPr="00104571">
        <w:rPr>
          <w:rFonts w:ascii="Times New Roman" w:hAnsi="Times New Roman" w:cs="Times New Roman"/>
          <w:vertAlign w:val="subscript"/>
        </w:rPr>
        <w:t>α</w:t>
      </w:r>
      <w:r w:rsidRPr="00104571">
        <w:rPr>
          <w:vertAlign w:val="subscript"/>
        </w:rPr>
        <w:t>’’</w:t>
      </w:r>
      <w:r>
        <w:t xml:space="preserve"> type II twin</w:t>
      </w:r>
      <w:r w:rsidR="00753668">
        <w:t>s</w:t>
      </w:r>
      <w:r>
        <w:t>, with increased strain the zone axis correspondence acquired in Fig. 7-</w:t>
      </w:r>
      <w:r w:rsidR="00EF5D31">
        <w:t>9</w:t>
      </w:r>
      <w:r>
        <w:t>(b) (&lt;100&gt;</w:t>
      </w:r>
      <w:r w:rsidRPr="00104571">
        <w:rPr>
          <w:rFonts w:ascii="Times New Roman" w:hAnsi="Times New Roman" w:cs="Times New Roman"/>
          <w:vertAlign w:val="subscript"/>
        </w:rPr>
        <w:t>α</w:t>
      </w:r>
      <w:r w:rsidRPr="00104571">
        <w:rPr>
          <w:vertAlign w:val="subscript"/>
        </w:rPr>
        <w:t>’’</w:t>
      </w:r>
      <w:r>
        <w:t>//&lt;011&gt;</w:t>
      </w:r>
      <w:r w:rsidRPr="00104571">
        <w:rPr>
          <w:rFonts w:ascii="Times New Roman" w:hAnsi="Times New Roman" w:cs="Times New Roman"/>
          <w:vertAlign w:val="subscript"/>
        </w:rPr>
        <w:t>α</w:t>
      </w:r>
      <w:r w:rsidRPr="00104571">
        <w:rPr>
          <w:vertAlign w:val="subscript"/>
        </w:rPr>
        <w:t>’’</w:t>
      </w:r>
      <w:r>
        <w:t xml:space="preserve">) did not show perfect </w:t>
      </w:r>
      <w:r w:rsidRPr="00011639">
        <w:t>compatibility</w:t>
      </w:r>
      <w:r>
        <w:t xml:space="preserve"> as shown in Fig. 7-</w:t>
      </w:r>
      <w:r w:rsidR="00EF5D31">
        <w:t>5</w:t>
      </w:r>
      <w:r>
        <w:t>(c). This may be attributed to the lattice distortion or increased stress activation on the primary {351}&lt;2-1-1&gt;</w:t>
      </w:r>
      <w:r w:rsidRPr="00104571">
        <w:rPr>
          <w:rFonts w:ascii="Times New Roman" w:hAnsi="Times New Roman" w:cs="Times New Roman"/>
          <w:vertAlign w:val="subscript"/>
        </w:rPr>
        <w:t>α</w:t>
      </w:r>
      <w:r w:rsidRPr="00104571">
        <w:rPr>
          <w:vertAlign w:val="subscript"/>
        </w:rPr>
        <w:t>’’</w:t>
      </w:r>
      <w:r>
        <w:t xml:space="preserve"> type II twinning. Therefore, this analysis has indicated that the network structures of twisted SA {111}</w:t>
      </w:r>
      <w:r w:rsidRPr="00104571">
        <w:rPr>
          <w:rFonts w:ascii="Times New Roman" w:hAnsi="Times New Roman" w:cs="Times New Roman"/>
          <w:vertAlign w:val="subscript"/>
        </w:rPr>
        <w:t>α</w:t>
      </w:r>
      <w:r w:rsidRPr="00104571">
        <w:rPr>
          <w:vertAlign w:val="subscript"/>
        </w:rPr>
        <w:t>’’</w:t>
      </w:r>
      <w:r>
        <w:t xml:space="preserve"> and SA {011}</w:t>
      </w:r>
      <w:r w:rsidRPr="00104571">
        <w:rPr>
          <w:rFonts w:ascii="Times New Roman" w:hAnsi="Times New Roman" w:cs="Times New Roman"/>
          <w:vertAlign w:val="subscript"/>
        </w:rPr>
        <w:t>α</w:t>
      </w:r>
      <w:r w:rsidRPr="00104571">
        <w:rPr>
          <w:vertAlign w:val="subscript"/>
        </w:rPr>
        <w:t>’’</w:t>
      </w:r>
      <w:r>
        <w:t xml:space="preserve"> </w:t>
      </w:r>
      <w:r w:rsidRPr="0080511A">
        <w:rPr>
          <w:noProof/>
        </w:rPr>
        <w:t>twin</w:t>
      </w:r>
      <w:r>
        <w:rPr>
          <w:noProof/>
        </w:rPr>
        <w:t>nings may activate as</w:t>
      </w:r>
      <w:r w:rsidRPr="00C503FC">
        <w:rPr>
          <w:noProof/>
        </w:rPr>
        <w:t xml:space="preserve"> second</w:t>
      </w:r>
      <w:r>
        <w:rPr>
          <w:noProof/>
        </w:rPr>
        <w:t>ary deformation</w:t>
      </w:r>
      <w:r>
        <w:t xml:space="preserve"> products to compensate the strain accumulation in primary SA {351}</w:t>
      </w:r>
      <w:r w:rsidRPr="00104571">
        <w:rPr>
          <w:rFonts w:ascii="Times New Roman" w:hAnsi="Times New Roman" w:cs="Times New Roman"/>
          <w:vertAlign w:val="subscript"/>
        </w:rPr>
        <w:t>α</w:t>
      </w:r>
      <w:r w:rsidRPr="00104571">
        <w:rPr>
          <w:vertAlign w:val="subscript"/>
        </w:rPr>
        <w:t>’’</w:t>
      </w:r>
      <w:r>
        <w:t xml:space="preserve"> twinning. This occurrence results in</w:t>
      </w:r>
      <w:r w:rsidRPr="00F07158">
        <w:rPr>
          <w:rFonts w:hint="eastAsia"/>
        </w:rPr>
        <w:t xml:space="preserve"> a </w:t>
      </w:r>
      <w:r w:rsidR="000A5412">
        <w:t>highly twisted</w:t>
      </w:r>
      <w:r w:rsidRPr="00F07158">
        <w:rPr>
          <w:rFonts w:hint="eastAsia"/>
        </w:rPr>
        <w:t xml:space="preserve"> nano</w:t>
      </w:r>
      <w:r>
        <w:t>-</w:t>
      </w:r>
      <w:r w:rsidRPr="00F07158">
        <w:rPr>
          <w:rFonts w:hint="eastAsia"/>
        </w:rPr>
        <w:t xml:space="preserve">laminate microstructure, which </w:t>
      </w:r>
      <w:r>
        <w:t xml:space="preserve">presents a </w:t>
      </w:r>
      <w:r w:rsidRPr="009C185C">
        <w:rPr>
          <w:noProof/>
        </w:rPr>
        <w:t>maze-like</w:t>
      </w:r>
      <w:r>
        <w:t xml:space="preserve"> route for the dislocations to glide</w:t>
      </w:r>
      <w:r w:rsidRPr="00F07158">
        <w:t>.</w:t>
      </w:r>
      <w:r>
        <w:t xml:space="preserve"> </w:t>
      </w:r>
    </w:p>
    <w:p w14:paraId="6B4EEBFE" w14:textId="77777777" w:rsidR="00B145BE" w:rsidRDefault="00B145BE" w:rsidP="00B145BE">
      <w:pPr>
        <w:keepNext/>
        <w:spacing w:after="120" w:line="360" w:lineRule="auto"/>
        <w:jc w:val="both"/>
      </w:pPr>
      <w:r w:rsidRPr="00476AA0">
        <w:rPr>
          <w:b/>
          <w:noProof/>
          <w:lang w:val="en-US" w:eastAsia="en-US"/>
        </w:rPr>
        <w:lastRenderedPageBreak/>
        <w:drawing>
          <wp:inline distT="0" distB="0" distL="0" distR="0" wp14:anchorId="71F3EFEA" wp14:editId="3647C710">
            <wp:extent cx="5957888" cy="2980854"/>
            <wp:effectExtent l="0" t="0" r="5080" b="0"/>
            <wp:docPr id="237" name="图片 6">
              <a:extLst xmlns:a="http://schemas.openxmlformats.org/drawingml/2006/main">
                <a:ext uri="{FF2B5EF4-FFF2-40B4-BE49-F238E27FC236}">
                  <a16:creationId xmlns:a16="http://schemas.microsoft.com/office/drawing/2014/main" id="{DBB072D4-5FFC-44BC-9A64-376B85DE35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DBB072D4-5FFC-44BC-9A64-376B85DE354E}"/>
                        </a:ext>
                      </a:extLst>
                    </pic:cNvPr>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5970067" cy="2986947"/>
                    </a:xfrm>
                    <a:prstGeom prst="rect">
                      <a:avLst/>
                    </a:prstGeom>
                  </pic:spPr>
                </pic:pic>
              </a:graphicData>
            </a:graphic>
          </wp:inline>
        </w:drawing>
      </w:r>
    </w:p>
    <w:p w14:paraId="2FDEB699" w14:textId="5E174F30" w:rsidR="00B145BE" w:rsidRPr="00C556D1" w:rsidRDefault="00B145BE" w:rsidP="00C556D1">
      <w:pPr>
        <w:spacing w:after="0" w:line="360" w:lineRule="auto"/>
        <w:jc w:val="both"/>
        <w:rPr>
          <w:sz w:val="20"/>
          <w:szCs w:val="18"/>
        </w:rPr>
      </w:pPr>
      <w:bookmarkStart w:id="333" w:name="_Toc39312732"/>
      <w:r w:rsidRPr="00142BDE">
        <w:rPr>
          <w:b/>
          <w:sz w:val="20"/>
          <w:szCs w:val="18"/>
        </w:rPr>
        <w:t>Figure 7-</w:t>
      </w:r>
      <w:r w:rsidR="00EF5D31" w:rsidRPr="00F87370">
        <w:rPr>
          <w:b/>
          <w:sz w:val="20"/>
        </w:rPr>
        <w:fldChar w:fldCharType="begin"/>
      </w:r>
      <w:r w:rsidR="00EF5D31" w:rsidRPr="00F87370">
        <w:rPr>
          <w:b/>
          <w:sz w:val="20"/>
        </w:rPr>
        <w:instrText xml:space="preserve"> SEQ Figure \* ARABIC </w:instrText>
      </w:r>
      <w:r w:rsidR="00EF5D31" w:rsidRPr="00F87370">
        <w:rPr>
          <w:b/>
          <w:sz w:val="20"/>
        </w:rPr>
        <w:fldChar w:fldCharType="separate"/>
      </w:r>
      <w:r w:rsidR="00EF5D31">
        <w:rPr>
          <w:b/>
          <w:noProof/>
          <w:sz w:val="20"/>
        </w:rPr>
        <w:t>9</w:t>
      </w:r>
      <w:r w:rsidR="00EF5D31" w:rsidRPr="00F87370">
        <w:rPr>
          <w:b/>
          <w:sz w:val="20"/>
        </w:rPr>
        <w:fldChar w:fldCharType="end"/>
      </w:r>
      <w:r w:rsidRPr="00142BDE">
        <w:rPr>
          <w:b/>
          <w:sz w:val="20"/>
          <w:szCs w:val="18"/>
        </w:rPr>
        <w:t xml:space="preserve"> TEM images of the {111}</w:t>
      </w:r>
      <w:r w:rsidRPr="00142BDE">
        <w:rPr>
          <w:rFonts w:ascii="Times New Roman" w:hAnsi="Times New Roman" w:cs="Times New Roman"/>
          <w:b/>
          <w:sz w:val="20"/>
          <w:szCs w:val="18"/>
          <w:vertAlign w:val="subscript"/>
        </w:rPr>
        <w:t>α</w:t>
      </w:r>
      <w:r w:rsidRPr="00142BDE">
        <w:rPr>
          <w:b/>
          <w:sz w:val="20"/>
          <w:szCs w:val="18"/>
          <w:vertAlign w:val="subscript"/>
        </w:rPr>
        <w:t>’’</w:t>
      </w:r>
      <w:r w:rsidRPr="00142BDE">
        <w:rPr>
          <w:b/>
          <w:sz w:val="20"/>
          <w:szCs w:val="18"/>
        </w:rPr>
        <w:t xml:space="preserve"> and {011}</w:t>
      </w:r>
      <w:r w:rsidRPr="00142BDE">
        <w:rPr>
          <w:rFonts w:ascii="Times New Roman" w:hAnsi="Times New Roman" w:cs="Times New Roman"/>
          <w:b/>
          <w:sz w:val="20"/>
          <w:szCs w:val="18"/>
          <w:vertAlign w:val="subscript"/>
        </w:rPr>
        <w:t>α</w:t>
      </w:r>
      <w:r w:rsidRPr="00142BDE">
        <w:rPr>
          <w:b/>
          <w:sz w:val="20"/>
          <w:szCs w:val="18"/>
          <w:vertAlign w:val="subscript"/>
        </w:rPr>
        <w:t xml:space="preserve">’’ </w:t>
      </w:r>
      <w:r w:rsidRPr="00142BDE">
        <w:rPr>
          <w:b/>
          <w:sz w:val="20"/>
          <w:szCs w:val="18"/>
        </w:rPr>
        <w:t xml:space="preserve">twin microstructure after </w:t>
      </w:r>
      <w:r>
        <w:rPr>
          <w:b/>
          <w:sz w:val="20"/>
          <w:szCs w:val="18"/>
        </w:rPr>
        <w:t>deformation to 8</w:t>
      </w:r>
      <w:r w:rsidRPr="00142BDE">
        <w:rPr>
          <w:b/>
          <w:sz w:val="20"/>
          <w:szCs w:val="18"/>
        </w:rPr>
        <w:t>% strain</w:t>
      </w:r>
      <w:r w:rsidRPr="00142BDE">
        <w:rPr>
          <w:b/>
          <w:noProof/>
          <w:sz w:val="20"/>
          <w:szCs w:val="18"/>
        </w:rPr>
        <w:t xml:space="preserve">. </w:t>
      </w:r>
      <w:r w:rsidRPr="003C56F1">
        <w:rPr>
          <w:noProof/>
          <w:sz w:val="20"/>
          <w:szCs w:val="18"/>
        </w:rPr>
        <w:t>(</w:t>
      </w:r>
      <w:r w:rsidRPr="003C56F1">
        <w:rPr>
          <w:b/>
          <w:sz w:val="20"/>
          <w:szCs w:val="18"/>
        </w:rPr>
        <w:t>a</w:t>
      </w:r>
      <w:r w:rsidRPr="003C56F1">
        <w:rPr>
          <w:sz w:val="20"/>
          <w:szCs w:val="18"/>
        </w:rPr>
        <w:t xml:space="preserve">) </w:t>
      </w:r>
      <w:r>
        <w:rPr>
          <w:sz w:val="20"/>
          <w:szCs w:val="18"/>
        </w:rPr>
        <w:t>a b</w:t>
      </w:r>
      <w:r w:rsidRPr="003C56F1">
        <w:rPr>
          <w:sz w:val="20"/>
          <w:szCs w:val="18"/>
        </w:rPr>
        <w:t xml:space="preserve">right field image of the </w:t>
      </w:r>
      <w:r w:rsidRPr="003C56F1">
        <w:rPr>
          <w:noProof/>
          <w:sz w:val="20"/>
          <w:szCs w:val="18"/>
        </w:rPr>
        <w:t>target</w:t>
      </w:r>
      <w:r w:rsidRPr="003C56F1">
        <w:rPr>
          <w:sz w:val="20"/>
          <w:szCs w:val="18"/>
        </w:rPr>
        <w:t xml:space="preserve"> area</w:t>
      </w:r>
      <w:r>
        <w:rPr>
          <w:sz w:val="20"/>
          <w:szCs w:val="18"/>
        </w:rPr>
        <w:t>;</w:t>
      </w:r>
      <w:r w:rsidRPr="003C56F1">
        <w:rPr>
          <w:sz w:val="20"/>
          <w:szCs w:val="18"/>
        </w:rPr>
        <w:t xml:space="preserve"> (</w:t>
      </w:r>
      <w:r w:rsidRPr="003C56F1">
        <w:rPr>
          <w:b/>
          <w:sz w:val="20"/>
          <w:szCs w:val="18"/>
        </w:rPr>
        <w:t>b</w:t>
      </w:r>
      <w:r w:rsidRPr="003C56F1">
        <w:rPr>
          <w:sz w:val="20"/>
          <w:szCs w:val="18"/>
        </w:rPr>
        <w:t xml:space="preserve">) </w:t>
      </w:r>
      <w:r>
        <w:rPr>
          <w:sz w:val="20"/>
          <w:szCs w:val="18"/>
        </w:rPr>
        <w:t xml:space="preserve">a </w:t>
      </w:r>
      <w:r w:rsidRPr="003C56F1">
        <w:rPr>
          <w:sz w:val="20"/>
          <w:szCs w:val="18"/>
        </w:rPr>
        <w:t xml:space="preserve">SADP </w:t>
      </w:r>
      <w:r>
        <w:rPr>
          <w:sz w:val="20"/>
          <w:szCs w:val="18"/>
        </w:rPr>
        <w:t>acquired</w:t>
      </w:r>
      <w:r w:rsidRPr="003C56F1">
        <w:rPr>
          <w:sz w:val="20"/>
          <w:szCs w:val="18"/>
        </w:rPr>
        <w:t xml:space="preserve"> along</w:t>
      </w:r>
      <w:r w:rsidR="00753668">
        <w:rPr>
          <w:sz w:val="20"/>
          <w:szCs w:val="18"/>
        </w:rPr>
        <w:t xml:space="preserve"> the</w:t>
      </w:r>
      <w:r w:rsidRPr="003C56F1">
        <w:rPr>
          <w:sz w:val="20"/>
          <w:szCs w:val="18"/>
        </w:rPr>
        <w:t xml:space="preserve"> [100]</w:t>
      </w:r>
      <w:r w:rsidRPr="003C56F1">
        <w:rPr>
          <w:rFonts w:ascii="Times New Roman" w:hAnsi="Times New Roman" w:cs="Times New Roman"/>
          <w:sz w:val="20"/>
          <w:szCs w:val="18"/>
          <w:vertAlign w:val="subscript"/>
        </w:rPr>
        <w:t>α</w:t>
      </w:r>
      <w:r w:rsidRPr="003C56F1">
        <w:rPr>
          <w:sz w:val="20"/>
          <w:szCs w:val="18"/>
          <w:vertAlign w:val="subscript"/>
        </w:rPr>
        <w:t>’’</w:t>
      </w:r>
      <w:r w:rsidRPr="003C56F1">
        <w:rPr>
          <w:sz w:val="20"/>
          <w:szCs w:val="18"/>
        </w:rPr>
        <w:t>//[011]</w:t>
      </w:r>
      <w:r w:rsidRPr="003C56F1">
        <w:rPr>
          <w:rFonts w:ascii="Times New Roman" w:hAnsi="Times New Roman" w:cs="Times New Roman"/>
          <w:sz w:val="20"/>
          <w:szCs w:val="18"/>
          <w:vertAlign w:val="subscript"/>
        </w:rPr>
        <w:t>α</w:t>
      </w:r>
      <w:r w:rsidRPr="003C56F1">
        <w:rPr>
          <w:sz w:val="20"/>
          <w:szCs w:val="18"/>
          <w:vertAlign w:val="subscript"/>
        </w:rPr>
        <w:t>’’</w:t>
      </w:r>
      <w:r w:rsidRPr="003C56F1">
        <w:rPr>
          <w:sz w:val="20"/>
          <w:szCs w:val="18"/>
        </w:rPr>
        <w:t xml:space="preserve"> zone axis of the </w:t>
      </w:r>
      <w:r w:rsidRPr="003C56F1">
        <w:rPr>
          <w:noProof/>
          <w:sz w:val="20"/>
          <w:szCs w:val="18"/>
        </w:rPr>
        <w:t>twin</w:t>
      </w:r>
      <w:r w:rsidRPr="003C56F1">
        <w:rPr>
          <w:sz w:val="20"/>
          <w:szCs w:val="18"/>
        </w:rPr>
        <w:t xml:space="preserve"> boundary, four martensite variants are marked with </w:t>
      </w:r>
      <w:r w:rsidRPr="003C56F1">
        <w:rPr>
          <w:noProof/>
          <w:sz w:val="20"/>
          <w:szCs w:val="18"/>
        </w:rPr>
        <w:t>red</w:t>
      </w:r>
      <w:r w:rsidRPr="003C56F1">
        <w:rPr>
          <w:sz w:val="20"/>
          <w:szCs w:val="18"/>
        </w:rPr>
        <w:t>, blue, green and yellow circles and divided into M and V groups for the {111}</w:t>
      </w:r>
      <w:r w:rsidRPr="003C56F1">
        <w:rPr>
          <w:rFonts w:ascii="Times New Roman" w:hAnsi="Times New Roman" w:cs="Times New Roman"/>
          <w:sz w:val="20"/>
          <w:szCs w:val="18"/>
          <w:vertAlign w:val="subscript"/>
        </w:rPr>
        <w:t>α</w:t>
      </w:r>
      <w:r w:rsidRPr="003C56F1">
        <w:rPr>
          <w:sz w:val="20"/>
          <w:szCs w:val="18"/>
          <w:vertAlign w:val="subscript"/>
        </w:rPr>
        <w:t>’’</w:t>
      </w:r>
      <w:r w:rsidRPr="003C56F1">
        <w:rPr>
          <w:sz w:val="20"/>
          <w:szCs w:val="18"/>
        </w:rPr>
        <w:t xml:space="preserve"> and {011}</w:t>
      </w:r>
      <w:r w:rsidRPr="003C56F1">
        <w:rPr>
          <w:rFonts w:ascii="Times New Roman" w:hAnsi="Times New Roman" w:cs="Times New Roman"/>
          <w:sz w:val="20"/>
          <w:szCs w:val="18"/>
          <w:vertAlign w:val="subscript"/>
        </w:rPr>
        <w:t>α</w:t>
      </w:r>
      <w:r w:rsidRPr="003C56F1">
        <w:rPr>
          <w:sz w:val="20"/>
          <w:szCs w:val="18"/>
          <w:vertAlign w:val="subscript"/>
        </w:rPr>
        <w:t xml:space="preserve">’’ </w:t>
      </w:r>
      <w:r w:rsidRPr="003C56F1">
        <w:rPr>
          <w:sz w:val="20"/>
          <w:szCs w:val="18"/>
        </w:rPr>
        <w:t>twinning systems</w:t>
      </w:r>
      <w:r>
        <w:rPr>
          <w:sz w:val="20"/>
          <w:szCs w:val="18"/>
        </w:rPr>
        <w:t>;</w:t>
      </w:r>
      <w:r w:rsidRPr="003C56F1">
        <w:rPr>
          <w:sz w:val="20"/>
          <w:szCs w:val="18"/>
        </w:rPr>
        <w:t xml:space="preserve"> (</w:t>
      </w:r>
      <w:r w:rsidRPr="003C56F1">
        <w:rPr>
          <w:b/>
          <w:sz w:val="20"/>
          <w:szCs w:val="18"/>
        </w:rPr>
        <w:t>c-f</w:t>
      </w:r>
      <w:r w:rsidRPr="003C56F1">
        <w:rPr>
          <w:sz w:val="20"/>
          <w:szCs w:val="18"/>
        </w:rPr>
        <w:t xml:space="preserve">) </w:t>
      </w:r>
      <w:r>
        <w:rPr>
          <w:noProof/>
          <w:sz w:val="20"/>
          <w:szCs w:val="18"/>
        </w:rPr>
        <w:t>d</w:t>
      </w:r>
      <w:r w:rsidRPr="003C56F1">
        <w:rPr>
          <w:noProof/>
          <w:sz w:val="20"/>
          <w:szCs w:val="18"/>
        </w:rPr>
        <w:t>ark</w:t>
      </w:r>
      <w:r w:rsidRPr="003C56F1">
        <w:rPr>
          <w:sz w:val="20"/>
          <w:szCs w:val="18"/>
        </w:rPr>
        <w:t xml:space="preserve"> field image</w:t>
      </w:r>
      <w:r>
        <w:rPr>
          <w:sz w:val="20"/>
          <w:szCs w:val="18"/>
        </w:rPr>
        <w:t>s</w:t>
      </w:r>
      <w:r w:rsidRPr="003C56F1">
        <w:rPr>
          <w:sz w:val="20"/>
          <w:szCs w:val="18"/>
        </w:rPr>
        <w:t xml:space="preserve"> of four twin variants. Insets in (c) and (e) are twin boundary SADPs for M and V groups</w:t>
      </w:r>
      <w:r>
        <w:rPr>
          <w:sz w:val="20"/>
          <w:szCs w:val="18"/>
        </w:rPr>
        <w:t>,</w:t>
      </w:r>
      <w:r w:rsidRPr="003C56F1">
        <w:rPr>
          <w:sz w:val="20"/>
          <w:szCs w:val="18"/>
        </w:rPr>
        <w:t xml:space="preserve"> respectively</w:t>
      </w:r>
      <w:r>
        <w:rPr>
          <w:sz w:val="20"/>
          <w:szCs w:val="18"/>
        </w:rPr>
        <w:t>; and</w:t>
      </w:r>
      <w:r w:rsidRPr="003C56F1">
        <w:rPr>
          <w:sz w:val="20"/>
          <w:szCs w:val="18"/>
        </w:rPr>
        <w:t xml:space="preserve"> (</w:t>
      </w:r>
      <w:r w:rsidRPr="003C56F1">
        <w:rPr>
          <w:b/>
          <w:sz w:val="20"/>
          <w:szCs w:val="18"/>
        </w:rPr>
        <w:t>g-h</w:t>
      </w:r>
      <w:r w:rsidRPr="003C56F1">
        <w:rPr>
          <w:sz w:val="20"/>
          <w:szCs w:val="18"/>
        </w:rPr>
        <w:t xml:space="preserve">) </w:t>
      </w:r>
      <w:r>
        <w:rPr>
          <w:noProof/>
          <w:sz w:val="20"/>
          <w:szCs w:val="18"/>
        </w:rPr>
        <w:t>s</w:t>
      </w:r>
      <w:r w:rsidRPr="003C56F1">
        <w:rPr>
          <w:noProof/>
          <w:sz w:val="20"/>
          <w:szCs w:val="18"/>
        </w:rPr>
        <w:t>ereographic</w:t>
      </w:r>
      <w:r w:rsidRPr="003C56F1">
        <w:rPr>
          <w:sz w:val="20"/>
          <w:szCs w:val="18"/>
        </w:rPr>
        <w:t xml:space="preserve"> projections were constructed along [011]</w:t>
      </w:r>
      <w:r w:rsidRPr="003C56F1">
        <w:rPr>
          <w:rFonts w:ascii="Times New Roman" w:hAnsi="Times New Roman" w:cs="Times New Roman"/>
          <w:sz w:val="20"/>
          <w:szCs w:val="18"/>
          <w:vertAlign w:val="subscript"/>
        </w:rPr>
        <w:t>α</w:t>
      </w:r>
      <w:r w:rsidRPr="003C56F1">
        <w:rPr>
          <w:sz w:val="20"/>
          <w:szCs w:val="18"/>
          <w:vertAlign w:val="subscript"/>
        </w:rPr>
        <w:t>’’</w:t>
      </w:r>
      <w:r w:rsidRPr="003C56F1">
        <w:rPr>
          <w:sz w:val="20"/>
          <w:szCs w:val="18"/>
        </w:rPr>
        <w:t xml:space="preserve"> for M variants and [100]</w:t>
      </w:r>
      <w:r w:rsidRPr="003C56F1">
        <w:rPr>
          <w:rFonts w:ascii="Times New Roman" w:hAnsi="Times New Roman" w:cs="Times New Roman"/>
          <w:sz w:val="20"/>
          <w:szCs w:val="18"/>
          <w:vertAlign w:val="subscript"/>
        </w:rPr>
        <w:t>α</w:t>
      </w:r>
      <w:r w:rsidRPr="003C56F1">
        <w:rPr>
          <w:sz w:val="20"/>
          <w:szCs w:val="18"/>
          <w:vertAlign w:val="subscript"/>
        </w:rPr>
        <w:t>’’</w:t>
      </w:r>
      <w:r w:rsidRPr="003C56F1">
        <w:rPr>
          <w:sz w:val="20"/>
          <w:szCs w:val="18"/>
        </w:rPr>
        <w:t xml:space="preserve"> for V variants. The OR was </w:t>
      </w:r>
      <w:r>
        <w:rPr>
          <w:sz w:val="20"/>
          <w:szCs w:val="18"/>
        </w:rPr>
        <w:t>determined</w:t>
      </w:r>
      <w:r w:rsidRPr="003C56F1">
        <w:rPr>
          <w:sz w:val="20"/>
          <w:szCs w:val="18"/>
        </w:rPr>
        <w:t xml:space="preserve"> </w:t>
      </w:r>
      <w:r w:rsidRPr="003C56F1">
        <w:rPr>
          <w:noProof/>
          <w:sz w:val="20"/>
          <w:szCs w:val="18"/>
        </w:rPr>
        <w:t>to be</w:t>
      </w:r>
      <w:r w:rsidRPr="003C56F1">
        <w:rPr>
          <w:sz w:val="20"/>
          <w:szCs w:val="18"/>
        </w:rPr>
        <w:t xml:space="preserve"> M{351}</w:t>
      </w:r>
      <w:r w:rsidRPr="003C56F1">
        <w:rPr>
          <w:rFonts w:ascii="Times New Roman" w:hAnsi="Times New Roman" w:cs="Times New Roman"/>
          <w:sz w:val="20"/>
          <w:szCs w:val="18"/>
          <w:vertAlign w:val="subscript"/>
        </w:rPr>
        <w:t>α</w:t>
      </w:r>
      <w:r w:rsidRPr="003C56F1">
        <w:rPr>
          <w:sz w:val="20"/>
          <w:szCs w:val="18"/>
          <w:vertAlign w:val="subscript"/>
        </w:rPr>
        <w:t>’’</w:t>
      </w:r>
      <w:r w:rsidRPr="003C56F1">
        <w:rPr>
          <w:sz w:val="20"/>
          <w:szCs w:val="18"/>
        </w:rPr>
        <w:t>//V{351}</w:t>
      </w:r>
      <w:r w:rsidRPr="003C56F1">
        <w:rPr>
          <w:rFonts w:ascii="Times New Roman" w:hAnsi="Times New Roman" w:cs="Times New Roman"/>
          <w:sz w:val="20"/>
          <w:szCs w:val="18"/>
          <w:vertAlign w:val="subscript"/>
        </w:rPr>
        <w:t>α</w:t>
      </w:r>
      <w:r w:rsidRPr="003C56F1">
        <w:rPr>
          <w:sz w:val="20"/>
          <w:szCs w:val="18"/>
          <w:vertAlign w:val="subscript"/>
        </w:rPr>
        <w:t>’’</w:t>
      </w:r>
      <w:r w:rsidRPr="003C56F1">
        <w:rPr>
          <w:sz w:val="20"/>
          <w:szCs w:val="18"/>
        </w:rPr>
        <w:t xml:space="preserve">, </w:t>
      </w:r>
      <w:r>
        <w:rPr>
          <w:sz w:val="20"/>
          <w:szCs w:val="18"/>
        </w:rPr>
        <w:t xml:space="preserve">which </w:t>
      </w:r>
      <w:r w:rsidRPr="003C56F1">
        <w:rPr>
          <w:sz w:val="20"/>
          <w:szCs w:val="18"/>
        </w:rPr>
        <w:t>indicat</w:t>
      </w:r>
      <w:r>
        <w:rPr>
          <w:sz w:val="20"/>
          <w:szCs w:val="18"/>
        </w:rPr>
        <w:t>ed</w:t>
      </w:r>
      <w:r w:rsidRPr="003C56F1">
        <w:rPr>
          <w:sz w:val="20"/>
          <w:szCs w:val="18"/>
        </w:rPr>
        <w:t xml:space="preserve"> the OR of M and V may</w:t>
      </w:r>
      <w:r w:rsidRPr="00142BDE">
        <w:rPr>
          <w:sz w:val="20"/>
          <w:szCs w:val="18"/>
        </w:rPr>
        <w:t xml:space="preserve"> be related to {351}</w:t>
      </w:r>
      <w:r w:rsidRPr="00142BDE">
        <w:rPr>
          <w:rFonts w:ascii="Times New Roman" w:hAnsi="Times New Roman" w:cs="Times New Roman"/>
          <w:sz w:val="20"/>
          <w:szCs w:val="18"/>
          <w:vertAlign w:val="subscript"/>
        </w:rPr>
        <w:t>α</w:t>
      </w:r>
      <w:r w:rsidRPr="00142BDE">
        <w:rPr>
          <w:sz w:val="20"/>
          <w:szCs w:val="18"/>
          <w:vertAlign w:val="subscript"/>
        </w:rPr>
        <w:t>’’</w:t>
      </w:r>
      <w:r w:rsidRPr="00142BDE">
        <w:rPr>
          <w:sz w:val="20"/>
          <w:szCs w:val="18"/>
        </w:rPr>
        <w:t xml:space="preserve"> twinning.</w:t>
      </w:r>
      <w:bookmarkEnd w:id="333"/>
    </w:p>
    <w:p w14:paraId="271EC0C5" w14:textId="3892A9C4" w:rsidR="00B145BE" w:rsidRPr="00D06A34" w:rsidRDefault="00B145BE" w:rsidP="00EF5D31">
      <w:pPr>
        <w:spacing w:after="0" w:line="360" w:lineRule="auto"/>
        <w:jc w:val="both"/>
        <w:rPr>
          <w:b/>
          <w:bCs/>
          <w:color w:val="000000" w:themeColor="text1"/>
          <w:sz w:val="32"/>
          <w:szCs w:val="32"/>
        </w:rPr>
      </w:pPr>
      <w:bookmarkStart w:id="334" w:name="_Toc22052557"/>
      <w:r w:rsidRPr="00F87370">
        <w:rPr>
          <w:b/>
          <w:sz w:val="32"/>
          <w:lang w:bidi="hi-IN"/>
        </w:rPr>
        <w:t>7.</w:t>
      </w:r>
      <w:r>
        <w:rPr>
          <w:b/>
          <w:sz w:val="32"/>
          <w:lang w:bidi="hi-IN"/>
        </w:rPr>
        <w:t>3.3</w:t>
      </w:r>
      <w:r w:rsidRPr="00F87370">
        <w:rPr>
          <w:b/>
          <w:sz w:val="32"/>
          <w:lang w:bidi="hi-IN"/>
        </w:rPr>
        <w:t xml:space="preserve"> </w:t>
      </w:r>
      <w:r w:rsidRPr="00D06A34">
        <w:rPr>
          <w:b/>
          <w:bCs/>
          <w:color w:val="000000" w:themeColor="text1"/>
          <w:sz w:val="32"/>
          <w:szCs w:val="32"/>
        </w:rPr>
        <w:t>Atomic configuration of transformed {351}&lt;-211&gt;</w:t>
      </w:r>
      <w:r w:rsidRPr="00D06A34">
        <w:rPr>
          <w:b/>
          <w:bCs/>
          <w:color w:val="000000" w:themeColor="text1"/>
          <w:sz w:val="32"/>
          <w:szCs w:val="32"/>
          <w:vertAlign w:val="subscript"/>
        </w:rPr>
        <w:t xml:space="preserve"> α’’</w:t>
      </w:r>
      <w:r w:rsidRPr="00D06A34">
        <w:rPr>
          <w:b/>
          <w:bCs/>
          <w:color w:val="000000" w:themeColor="text1"/>
          <w:sz w:val="32"/>
          <w:szCs w:val="32"/>
        </w:rPr>
        <w:t xml:space="preserve"> type II twin</w:t>
      </w:r>
      <w:bookmarkEnd w:id="334"/>
      <w:r w:rsidRPr="00D06A34">
        <w:rPr>
          <w:b/>
          <w:bCs/>
          <w:color w:val="000000" w:themeColor="text1"/>
          <w:sz w:val="32"/>
          <w:szCs w:val="32"/>
        </w:rPr>
        <w:t xml:space="preserve"> </w:t>
      </w:r>
    </w:p>
    <w:p w14:paraId="6A5CDC38" w14:textId="6FFE6D95" w:rsidR="00370B61" w:rsidRPr="00FA4814" w:rsidRDefault="00B145BE" w:rsidP="00FA4814">
      <w:pPr>
        <w:spacing w:after="120" w:line="360" w:lineRule="auto"/>
        <w:jc w:val="both"/>
        <w:rPr>
          <w:rFonts w:cstheme="minorHAnsi"/>
        </w:rPr>
      </w:pPr>
      <w:r>
        <w:rPr>
          <w:rFonts w:hint="eastAsia"/>
        </w:rPr>
        <w:t>F</w:t>
      </w:r>
      <w:r>
        <w:t xml:space="preserve">rom the </w:t>
      </w:r>
      <w:r w:rsidRPr="00280CF9">
        <w:rPr>
          <w:noProof/>
        </w:rPr>
        <w:t>above</w:t>
      </w:r>
      <w:r>
        <w:t xml:space="preserve"> analysis, a double twinning like </w:t>
      </w:r>
      <w:r>
        <w:rPr>
          <w:noProof/>
        </w:rPr>
        <w:t>crystallography</w:t>
      </w:r>
      <w:r>
        <w:t xml:space="preserve"> operation </w:t>
      </w:r>
      <w:r>
        <w:rPr>
          <w:noProof/>
        </w:rPr>
        <w:t>was</w:t>
      </w:r>
      <w:r w:rsidRPr="00280CF9">
        <w:rPr>
          <w:noProof/>
        </w:rPr>
        <w:t xml:space="preserve"> deduced</w:t>
      </w:r>
      <w:r>
        <w:t xml:space="preserve"> from the deformation product </w:t>
      </w:r>
      <w:r w:rsidRPr="006B3536">
        <w:t>observed in Fig. 7-</w:t>
      </w:r>
      <w:r w:rsidR="006D44E2">
        <w:t>7</w:t>
      </w:r>
      <w:r w:rsidRPr="006B3536">
        <w:t xml:space="preserve">. </w:t>
      </w:r>
      <w:r>
        <w:t>This was attributed</w:t>
      </w:r>
      <w:r w:rsidRPr="006B3536">
        <w:t xml:space="preserve"> to the </w:t>
      </w:r>
      <w:r w:rsidRPr="006B3536">
        <w:rPr>
          <w:noProof/>
        </w:rPr>
        <w:t>special</w:t>
      </w:r>
      <w:r w:rsidRPr="006B3536">
        <w:t xml:space="preserve"> lattice correspondence in the {351}</w:t>
      </w:r>
      <w:bookmarkStart w:id="335" w:name="OLE_LINK89"/>
      <w:bookmarkStart w:id="336" w:name="OLE_LINK90"/>
      <w:r w:rsidRPr="006B3536">
        <w:t>&lt;-211&gt;</w:t>
      </w:r>
      <w:bookmarkStart w:id="337" w:name="OLE_LINK85"/>
      <w:bookmarkStart w:id="338" w:name="OLE_LINK86"/>
      <w:r w:rsidRPr="006B3536">
        <w:rPr>
          <w:rFonts w:ascii="Times New Roman" w:hAnsi="Times New Roman" w:cs="Times New Roman"/>
          <w:vertAlign w:val="subscript"/>
        </w:rPr>
        <w:t>α</w:t>
      </w:r>
      <w:r w:rsidRPr="006B3536">
        <w:rPr>
          <w:vertAlign w:val="subscript"/>
        </w:rPr>
        <w:t>’’</w:t>
      </w:r>
      <w:bookmarkEnd w:id="337"/>
      <w:bookmarkEnd w:id="338"/>
      <w:r w:rsidRPr="006B3536">
        <w:t xml:space="preserve"> type II</w:t>
      </w:r>
      <w:r w:rsidR="00FA4814">
        <w:t xml:space="preserve"> and </w:t>
      </w:r>
      <w:r w:rsidR="00FA4814" w:rsidRPr="00370B61">
        <w:rPr>
          <w:rFonts w:cstheme="minorHAnsi"/>
        </w:rPr>
        <w:t>{351}&lt;1-12&gt;</w:t>
      </w:r>
      <w:r w:rsidR="00FA4814" w:rsidRPr="00370B61">
        <w:rPr>
          <w:rFonts w:cstheme="minorHAnsi"/>
          <w:vertAlign w:val="subscript"/>
        </w:rPr>
        <w:t>α’’</w:t>
      </w:r>
      <w:r w:rsidR="00FA4814" w:rsidRPr="00370B61">
        <w:rPr>
          <w:rFonts w:cstheme="minorHAnsi"/>
        </w:rPr>
        <w:t xml:space="preserve"> type I twinning</w:t>
      </w:r>
      <w:bookmarkEnd w:id="335"/>
      <w:bookmarkEnd w:id="336"/>
      <w:r>
        <w:t>,</w:t>
      </w:r>
      <w:r w:rsidRPr="006B3536">
        <w:t xml:space="preserve"> where the {351}</w:t>
      </w:r>
      <w:bookmarkStart w:id="339" w:name="OLE_LINK87"/>
      <w:bookmarkStart w:id="340" w:name="OLE_LINK88"/>
      <w:r w:rsidRPr="006B3536">
        <w:rPr>
          <w:rFonts w:ascii="Times New Roman" w:hAnsi="Times New Roman" w:cs="Times New Roman"/>
          <w:vertAlign w:val="subscript"/>
        </w:rPr>
        <w:t>α</w:t>
      </w:r>
      <w:r w:rsidRPr="006B3536">
        <w:rPr>
          <w:vertAlign w:val="subscript"/>
        </w:rPr>
        <w:t>’’</w:t>
      </w:r>
      <w:bookmarkEnd w:id="339"/>
      <w:bookmarkEnd w:id="340"/>
      <w:r w:rsidRPr="006B3536">
        <w:t xml:space="preserve"> plane of the </w:t>
      </w:r>
      <w:r w:rsidRPr="006B3536">
        <w:rPr>
          <w:rFonts w:cstheme="minorHAnsi"/>
        </w:rPr>
        <w:t>α</w:t>
      </w:r>
      <w:r w:rsidRPr="006B3536">
        <w:t xml:space="preserve">’’ </w:t>
      </w:r>
      <w:r w:rsidRPr="006B3536">
        <w:rPr>
          <w:noProof/>
        </w:rPr>
        <w:t>matrix</w:t>
      </w:r>
      <w:r w:rsidRPr="006B3536">
        <w:t xml:space="preserve"> </w:t>
      </w:r>
      <w:r w:rsidR="00FA4814">
        <w:t>can also serves as lattice invariant plane for</w:t>
      </w:r>
      <w:r w:rsidRPr="006B3536">
        <w:t xml:space="preserve"> the </w:t>
      </w:r>
      <w:r w:rsidRPr="006B3536">
        <w:rPr>
          <w:noProof/>
        </w:rPr>
        <w:t>twin</w:t>
      </w:r>
      <w:r>
        <w:rPr>
          <w:noProof/>
        </w:rPr>
        <w:t>n</w:t>
      </w:r>
      <w:r w:rsidRPr="006B3536">
        <w:rPr>
          <w:noProof/>
        </w:rPr>
        <w:t>ed</w:t>
      </w:r>
      <w:r w:rsidRPr="006B3536">
        <w:t xml:space="preserve"> variant. </w:t>
      </w:r>
      <w:r w:rsidR="00370B61" w:rsidRPr="00370B61">
        <w:rPr>
          <w:rFonts w:cstheme="minorHAnsi"/>
        </w:rPr>
        <w:t>Different with the TRIP induced SA {111}</w:t>
      </w:r>
      <w:r w:rsidR="00370B61" w:rsidRPr="00370B61">
        <w:rPr>
          <w:rFonts w:cstheme="minorHAnsi"/>
          <w:vertAlign w:val="subscript"/>
        </w:rPr>
        <w:t>α’’</w:t>
      </w:r>
      <w:r w:rsidR="00370B61" w:rsidRPr="00370B61">
        <w:rPr>
          <w:rFonts w:cstheme="minorHAnsi"/>
        </w:rPr>
        <w:t xml:space="preserve"> type I and &lt;-211&gt;</w:t>
      </w:r>
      <w:r w:rsidR="00370B61" w:rsidRPr="00370B61">
        <w:rPr>
          <w:rFonts w:cstheme="minorHAnsi"/>
          <w:vertAlign w:val="subscript"/>
        </w:rPr>
        <w:t>α’’</w:t>
      </w:r>
      <w:r w:rsidR="00370B61" w:rsidRPr="00370B61">
        <w:rPr>
          <w:rFonts w:cstheme="minorHAnsi"/>
        </w:rPr>
        <w:t xml:space="preserve"> type II twinning observed in early deformation stage which transformed primary martensite into twinned variants to accommodate the overall volume change, from </w:t>
      </w:r>
      <w:r w:rsidR="00FA5311">
        <w:rPr>
          <w:rFonts w:cstheme="minorHAnsi"/>
        </w:rPr>
        <w:t xml:space="preserve">the </w:t>
      </w:r>
      <w:r w:rsidR="00370B61" w:rsidRPr="00370B61">
        <w:rPr>
          <w:rFonts w:cstheme="minorHAnsi"/>
        </w:rPr>
        <w:t xml:space="preserve">OR analysis of Fig. </w:t>
      </w:r>
      <w:r w:rsidR="00FA4814">
        <w:rPr>
          <w:rFonts w:cstheme="minorHAnsi"/>
        </w:rPr>
        <w:t>7-7</w:t>
      </w:r>
      <w:r w:rsidR="00370B61" w:rsidRPr="00370B61">
        <w:rPr>
          <w:rFonts w:cstheme="minorHAnsi"/>
        </w:rPr>
        <w:t>, the {351}&lt;-1-12&gt;</w:t>
      </w:r>
      <w:r w:rsidR="00370B61" w:rsidRPr="00370B61">
        <w:rPr>
          <w:rFonts w:cstheme="minorHAnsi"/>
          <w:vertAlign w:val="subscript"/>
        </w:rPr>
        <w:t>α’’</w:t>
      </w:r>
      <w:r w:rsidR="00370B61" w:rsidRPr="00370B61">
        <w:rPr>
          <w:rFonts w:cstheme="minorHAnsi"/>
        </w:rPr>
        <w:t xml:space="preserve"> twin mode was observed as part of the conversion mechanism for the first time, which transformed the primary {351}&lt;-211&gt;</w:t>
      </w:r>
      <w:r w:rsidR="00370B61" w:rsidRPr="00370B61">
        <w:rPr>
          <w:rFonts w:cstheme="minorHAnsi"/>
          <w:vertAlign w:val="subscript"/>
        </w:rPr>
        <w:t>α’’</w:t>
      </w:r>
      <w:r w:rsidR="00370B61" w:rsidRPr="00370B61">
        <w:rPr>
          <w:rFonts w:cstheme="minorHAnsi"/>
        </w:rPr>
        <w:t xml:space="preserve"> type II twinned α’’ variant into {351}&lt;1-12&gt;</w:t>
      </w:r>
      <w:r w:rsidR="00370B61" w:rsidRPr="00370B61">
        <w:rPr>
          <w:rFonts w:cstheme="minorHAnsi"/>
          <w:vertAlign w:val="subscript"/>
        </w:rPr>
        <w:t>α’’</w:t>
      </w:r>
      <w:r w:rsidR="00370B61" w:rsidRPr="00370B61">
        <w:rPr>
          <w:rFonts w:cstheme="minorHAnsi"/>
        </w:rPr>
        <w:t xml:space="preserve"> type I twinned variant along same (351)</w:t>
      </w:r>
      <w:r w:rsidR="00370B61" w:rsidRPr="00370B61">
        <w:rPr>
          <w:rFonts w:cstheme="minorHAnsi"/>
          <w:vertAlign w:val="subscript"/>
        </w:rPr>
        <w:t>α’’</w:t>
      </w:r>
      <w:r w:rsidR="00370B61" w:rsidRPr="00370B61">
        <w:rPr>
          <w:rFonts w:cstheme="minorHAnsi"/>
        </w:rPr>
        <w:t xml:space="preserve"> plane. To help understand this conversion mechanism, the feature in </w:t>
      </w:r>
      <w:r w:rsidR="00370B61" w:rsidRPr="00370B61">
        <w:rPr>
          <w:rFonts w:cstheme="minorHAnsi"/>
          <w:bCs/>
        </w:rPr>
        <w:t xml:space="preserve">Fig. </w:t>
      </w:r>
      <w:r w:rsidR="00FA4814">
        <w:rPr>
          <w:rFonts w:cstheme="minorHAnsi"/>
          <w:bCs/>
        </w:rPr>
        <w:t>7-7</w:t>
      </w:r>
      <w:r w:rsidR="00370B61" w:rsidRPr="00370B61">
        <w:rPr>
          <w:rFonts w:cstheme="minorHAnsi"/>
        </w:rPr>
        <w:t xml:space="preserve"> was further analysed using HRTEM to characterise the underlying twinning transformation mechanism. Imaged along [-112]</w:t>
      </w:r>
      <w:r w:rsidR="00370B61" w:rsidRPr="00370B61">
        <w:rPr>
          <w:rFonts w:cstheme="minorHAnsi"/>
          <w:vertAlign w:val="subscript"/>
        </w:rPr>
        <w:t>α’’</w:t>
      </w:r>
      <w:r w:rsidR="00370B61" w:rsidRPr="00370B61">
        <w:rPr>
          <w:rFonts w:cstheme="minorHAnsi"/>
        </w:rPr>
        <w:t xml:space="preserve"> zone axis</w:t>
      </w:r>
      <w:r w:rsidR="00370B61" w:rsidRPr="00370B61">
        <w:rPr>
          <w:rFonts w:cstheme="minorHAnsi"/>
          <w:szCs w:val="18"/>
        </w:rPr>
        <w:t>,</w:t>
      </w:r>
      <w:r w:rsidR="00370B61" w:rsidRPr="00370B61">
        <w:rPr>
          <w:rFonts w:cstheme="minorHAnsi"/>
        </w:rPr>
        <w:t xml:space="preserve"> three sets of martensite variant diffraction reflections were captured from </w:t>
      </w:r>
      <w:r w:rsidR="00370B61" w:rsidRPr="00370B61">
        <w:rPr>
          <w:rFonts w:cstheme="minorHAnsi"/>
          <w:szCs w:val="18"/>
        </w:rPr>
        <w:t>Fast Fourier transform (FFT) analysis</w:t>
      </w:r>
      <w:r w:rsidR="00370B61" w:rsidRPr="00370B61">
        <w:rPr>
          <w:rFonts w:cstheme="minorHAnsi"/>
        </w:rPr>
        <w:t xml:space="preserve"> of Fig. </w:t>
      </w:r>
      <w:r w:rsidR="00FA4814">
        <w:rPr>
          <w:rFonts w:cstheme="minorHAnsi"/>
        </w:rPr>
        <w:t>7-10(</w:t>
      </w:r>
      <w:r w:rsidR="00370B61" w:rsidRPr="00370B61">
        <w:rPr>
          <w:rFonts w:cstheme="minorHAnsi"/>
        </w:rPr>
        <w:t>a</w:t>
      </w:r>
      <w:r w:rsidR="00FA4814">
        <w:rPr>
          <w:rFonts w:cstheme="minorHAnsi"/>
        </w:rPr>
        <w:t>)</w:t>
      </w:r>
      <w:r w:rsidR="00370B61" w:rsidRPr="00370B61">
        <w:rPr>
          <w:rFonts w:cstheme="minorHAnsi"/>
        </w:rPr>
        <w:t>. The lattice correspondence [-101]</w:t>
      </w:r>
      <w:r w:rsidR="00370B61" w:rsidRPr="00370B61">
        <w:rPr>
          <w:rFonts w:cstheme="minorHAnsi"/>
          <w:vertAlign w:val="subscript"/>
        </w:rPr>
        <w:t>V1</w:t>
      </w:r>
      <w:r w:rsidR="00370B61" w:rsidRPr="00370B61">
        <w:rPr>
          <w:rFonts w:cstheme="minorHAnsi"/>
        </w:rPr>
        <w:t>//[-110]</w:t>
      </w:r>
      <w:r w:rsidR="00370B61" w:rsidRPr="00370B61">
        <w:rPr>
          <w:rFonts w:cstheme="minorHAnsi"/>
          <w:vertAlign w:val="subscript"/>
        </w:rPr>
        <w:t>V2</w:t>
      </w:r>
      <w:r w:rsidR="00370B61" w:rsidRPr="00370B61">
        <w:rPr>
          <w:rFonts w:cstheme="minorHAnsi"/>
        </w:rPr>
        <w:t>//[-</w:t>
      </w:r>
      <w:r w:rsidR="00370B61" w:rsidRPr="00370B61">
        <w:rPr>
          <w:rFonts w:cstheme="minorHAnsi"/>
        </w:rPr>
        <w:lastRenderedPageBreak/>
        <w:t>112]</w:t>
      </w:r>
      <w:r w:rsidR="00370B61" w:rsidRPr="00370B61">
        <w:rPr>
          <w:rFonts w:cstheme="minorHAnsi"/>
          <w:vertAlign w:val="subscript"/>
        </w:rPr>
        <w:t xml:space="preserve">V3 </w:t>
      </w:r>
      <w:r w:rsidR="00370B61" w:rsidRPr="00370B61">
        <w:rPr>
          <w:rFonts w:cstheme="minorHAnsi"/>
        </w:rPr>
        <w:t xml:space="preserve">(identified in Fig. </w:t>
      </w:r>
      <w:r w:rsidR="00FA4814">
        <w:rPr>
          <w:rFonts w:cstheme="minorHAnsi"/>
        </w:rPr>
        <w:t>7-10(</w:t>
      </w:r>
      <w:r w:rsidR="00370B61" w:rsidRPr="00370B61">
        <w:rPr>
          <w:rFonts w:cstheme="minorHAnsi"/>
        </w:rPr>
        <w:t>b</w:t>
      </w:r>
      <w:r w:rsidR="00FA4814">
        <w:rPr>
          <w:rFonts w:cstheme="minorHAnsi"/>
        </w:rPr>
        <w:t>)</w:t>
      </w:r>
      <w:r w:rsidR="00370B61" w:rsidRPr="00370B61">
        <w:rPr>
          <w:rFonts w:cstheme="minorHAnsi"/>
        </w:rPr>
        <w:t>) was used to simulate the stereographic projection figure within the three variants (</w:t>
      </w:r>
      <w:r w:rsidR="00FA4814" w:rsidRPr="00FA4814">
        <w:rPr>
          <w:rFonts w:cstheme="minorHAnsi"/>
        </w:rPr>
        <w:t>Fig.</w:t>
      </w:r>
      <w:r w:rsidR="00FA4814">
        <w:rPr>
          <w:rFonts w:cstheme="minorHAnsi"/>
        </w:rPr>
        <w:t xml:space="preserve"> </w:t>
      </w:r>
      <w:r w:rsidR="00FA4814" w:rsidRPr="00FA4814">
        <w:rPr>
          <w:rFonts w:cstheme="minorHAnsi"/>
        </w:rPr>
        <w:t>7-11</w:t>
      </w:r>
      <w:r w:rsidR="00370B61" w:rsidRPr="00370B61">
        <w:rPr>
          <w:rFonts w:cstheme="minorHAnsi"/>
        </w:rPr>
        <w:t>). The thin laths of V2 can be clearly observed in Fig.</w:t>
      </w:r>
      <w:r w:rsidR="00FA4814">
        <w:rPr>
          <w:rFonts w:cstheme="minorHAnsi"/>
        </w:rPr>
        <w:t xml:space="preserve"> 7-10(</w:t>
      </w:r>
      <w:r w:rsidR="00370B61" w:rsidRPr="00370B61">
        <w:rPr>
          <w:rFonts w:cstheme="minorHAnsi"/>
        </w:rPr>
        <w:t>b</w:t>
      </w:r>
      <w:r w:rsidR="00FA4814">
        <w:rPr>
          <w:rFonts w:cstheme="minorHAnsi"/>
        </w:rPr>
        <w:t>)</w:t>
      </w:r>
      <w:r w:rsidR="00370B61" w:rsidRPr="00370B61">
        <w:rPr>
          <w:rFonts w:cstheme="minorHAnsi"/>
        </w:rPr>
        <w:t xml:space="preserve"> located within the </w:t>
      </w:r>
      <w:r w:rsidR="00370B61" w:rsidRPr="00370B61">
        <w:rPr>
          <w:rFonts w:cstheme="minorHAnsi"/>
          <w:szCs w:val="18"/>
        </w:rPr>
        <w:t xml:space="preserve">narrow interfacial area </w:t>
      </w:r>
      <w:r w:rsidR="00370B61" w:rsidRPr="00370B61">
        <w:rPr>
          <w:rFonts w:cstheme="minorHAnsi"/>
        </w:rPr>
        <w:t>between V1 and V3. With the spots of (351)[1-12][2-1-1]</w:t>
      </w:r>
      <w:r w:rsidR="00370B61" w:rsidRPr="00370B61">
        <w:rPr>
          <w:rFonts w:cstheme="minorHAnsi"/>
          <w:vertAlign w:val="subscript"/>
        </w:rPr>
        <w:t>α’’V1</w:t>
      </w:r>
      <w:r w:rsidR="00370B61" w:rsidRPr="00370B61">
        <w:rPr>
          <w:rFonts w:cstheme="minorHAnsi"/>
        </w:rPr>
        <w:t xml:space="preserve"> superimposed on the (351)[1-12][2-1-1]</w:t>
      </w:r>
      <w:r w:rsidR="00370B61" w:rsidRPr="00370B61">
        <w:rPr>
          <w:rFonts w:cstheme="minorHAnsi"/>
          <w:vertAlign w:val="subscript"/>
        </w:rPr>
        <w:t>α’’V2</w:t>
      </w:r>
      <w:r w:rsidR="00370B61" w:rsidRPr="00370B61">
        <w:rPr>
          <w:rFonts w:cstheme="minorHAnsi"/>
        </w:rPr>
        <w:t xml:space="preserve"> and (351)[1-12][2-1-1]</w:t>
      </w:r>
      <w:r w:rsidR="00370B61" w:rsidRPr="00370B61">
        <w:rPr>
          <w:rFonts w:cstheme="minorHAnsi"/>
          <w:vertAlign w:val="subscript"/>
        </w:rPr>
        <w:t xml:space="preserve">α’’V3 </w:t>
      </w:r>
      <w:r w:rsidR="00370B61" w:rsidRPr="00370B61">
        <w:rPr>
          <w:rFonts w:cstheme="minorHAnsi"/>
        </w:rPr>
        <w:t>(</w:t>
      </w:r>
      <w:r w:rsidR="00FA4814" w:rsidRPr="00FA4814">
        <w:rPr>
          <w:rFonts w:cstheme="minorHAnsi"/>
        </w:rPr>
        <w:t>Fig.</w:t>
      </w:r>
      <w:r w:rsidR="00FA4814">
        <w:rPr>
          <w:rFonts w:cstheme="minorHAnsi"/>
        </w:rPr>
        <w:t xml:space="preserve"> </w:t>
      </w:r>
      <w:r w:rsidR="00FA4814" w:rsidRPr="00FA4814">
        <w:rPr>
          <w:rFonts w:cstheme="minorHAnsi"/>
        </w:rPr>
        <w:t>7-11</w:t>
      </w:r>
      <w:r w:rsidR="00370B61" w:rsidRPr="00370B61">
        <w:rPr>
          <w:rFonts w:cstheme="minorHAnsi"/>
        </w:rPr>
        <w:t>), the (351)</w:t>
      </w:r>
      <w:r w:rsidR="00370B61" w:rsidRPr="00370B61">
        <w:rPr>
          <w:rFonts w:cstheme="minorHAnsi"/>
          <w:vertAlign w:val="subscript"/>
        </w:rPr>
        <w:t>α’’</w:t>
      </w:r>
      <w:r w:rsidR="00370B61" w:rsidRPr="00370B61">
        <w:rPr>
          <w:rFonts w:cstheme="minorHAnsi"/>
        </w:rPr>
        <w:t xml:space="preserve"> plane was identified as a lattice invariant plane between V1, V2 and V3. While the OR between V1 and V2, V1 and V3 were confirmed as (351)[2-1-1]</w:t>
      </w:r>
      <w:r w:rsidR="00370B61" w:rsidRPr="00370B61">
        <w:rPr>
          <w:rFonts w:cstheme="minorHAnsi"/>
          <w:vertAlign w:val="subscript"/>
        </w:rPr>
        <w:t>α’’</w:t>
      </w:r>
      <w:r w:rsidR="00370B61" w:rsidRPr="00370B61">
        <w:rPr>
          <w:rFonts w:cstheme="minorHAnsi"/>
        </w:rPr>
        <w:t xml:space="preserve"> type II twin and (351)[1-12]</w:t>
      </w:r>
      <w:r w:rsidR="00370B61" w:rsidRPr="00370B61">
        <w:rPr>
          <w:rFonts w:cstheme="minorHAnsi"/>
          <w:vertAlign w:val="subscript"/>
        </w:rPr>
        <w:t>α’’</w:t>
      </w:r>
      <w:r w:rsidR="00370B61" w:rsidRPr="00370B61">
        <w:rPr>
          <w:rFonts w:cstheme="minorHAnsi"/>
        </w:rPr>
        <w:t xml:space="preserve"> type I twin, the OR between V2 and V3 can be deduced. Illustrated by Fig. </w:t>
      </w:r>
      <w:r w:rsidR="00FA4814">
        <w:rPr>
          <w:rFonts w:cstheme="minorHAnsi"/>
        </w:rPr>
        <w:t>7-10(</w:t>
      </w:r>
      <w:r w:rsidR="00370B61" w:rsidRPr="00370B61">
        <w:rPr>
          <w:rFonts w:cstheme="minorHAnsi"/>
        </w:rPr>
        <w:t>e</w:t>
      </w:r>
      <w:r w:rsidR="00FA4814">
        <w:rPr>
          <w:rFonts w:cstheme="minorHAnsi"/>
        </w:rPr>
        <w:t>)</w:t>
      </w:r>
      <w:r w:rsidR="00370B61" w:rsidRPr="00370B61">
        <w:rPr>
          <w:rFonts w:cstheme="minorHAnsi"/>
        </w:rPr>
        <w:t>, considering a crystallographic operation rotate V1 along [2-1-1]</w:t>
      </w:r>
      <w:r w:rsidR="00370B61" w:rsidRPr="00370B61">
        <w:rPr>
          <w:rFonts w:cstheme="minorHAnsi"/>
          <w:vertAlign w:val="subscript"/>
        </w:rPr>
        <w:t>α’’</w:t>
      </w:r>
      <w:r w:rsidR="00370B61" w:rsidRPr="00370B61">
        <w:rPr>
          <w:rFonts w:cstheme="minorHAnsi"/>
        </w:rPr>
        <w:t xml:space="preserve"> direction 180 degree against the (351)</w:t>
      </w:r>
      <w:r w:rsidR="00370B61" w:rsidRPr="00370B61">
        <w:rPr>
          <w:rFonts w:cstheme="minorHAnsi"/>
          <w:vertAlign w:val="subscript"/>
        </w:rPr>
        <w:t>α’’</w:t>
      </w:r>
      <w:r w:rsidR="00370B61" w:rsidRPr="00370B61">
        <w:rPr>
          <w:rFonts w:cstheme="minorHAnsi"/>
        </w:rPr>
        <w:t xml:space="preserve"> plane result in a type II (351)[2-1-1]</w:t>
      </w:r>
      <w:r w:rsidR="00370B61" w:rsidRPr="00370B61">
        <w:rPr>
          <w:rFonts w:cstheme="minorHAnsi"/>
          <w:vertAlign w:val="subscript"/>
        </w:rPr>
        <w:t>α’’</w:t>
      </w:r>
      <w:r w:rsidR="00370B61" w:rsidRPr="00370B61">
        <w:rPr>
          <w:rFonts w:cstheme="minorHAnsi"/>
        </w:rPr>
        <w:t xml:space="preserve"> twinned variant V</w:t>
      </w:r>
      <w:r w:rsidR="00370B61" w:rsidRPr="00FA4814">
        <w:rPr>
          <w:rFonts w:cstheme="minorHAnsi"/>
        </w:rPr>
        <w:t>2(Fig.</w:t>
      </w:r>
      <w:r w:rsidR="00FA4814" w:rsidRPr="00FA4814">
        <w:rPr>
          <w:rFonts w:cstheme="minorHAnsi"/>
        </w:rPr>
        <w:t xml:space="preserve"> 7-10e</w:t>
      </w:r>
      <w:r w:rsidR="00370B61" w:rsidRPr="00FA4814">
        <w:rPr>
          <w:rFonts w:cstheme="minorHAnsi"/>
        </w:rPr>
        <w:t>(i))</w:t>
      </w:r>
      <w:r w:rsidR="00370B61" w:rsidRPr="00370B61">
        <w:rPr>
          <w:rFonts w:cstheme="minorHAnsi"/>
        </w:rPr>
        <w:t xml:space="preserve"> while another crystallog</w:t>
      </w:r>
      <w:r w:rsidR="00370B61" w:rsidRPr="00FA4814">
        <w:rPr>
          <w:rFonts w:cstheme="minorHAnsi"/>
        </w:rPr>
        <w:t>raphic operation produce mirror symmetry (351)[1-12]</w:t>
      </w:r>
      <w:r w:rsidR="00370B61" w:rsidRPr="00FA4814">
        <w:rPr>
          <w:rFonts w:cstheme="minorHAnsi"/>
          <w:vertAlign w:val="subscript"/>
        </w:rPr>
        <w:t>α’’</w:t>
      </w:r>
      <w:r w:rsidR="00370B61" w:rsidRPr="00FA4814">
        <w:rPr>
          <w:rFonts w:cstheme="minorHAnsi"/>
        </w:rPr>
        <w:t>type I twinned variant V3 of V1 against (351)</w:t>
      </w:r>
      <w:r w:rsidR="00370B61" w:rsidRPr="00FA4814">
        <w:rPr>
          <w:rFonts w:cstheme="minorHAnsi"/>
          <w:vertAlign w:val="subscript"/>
        </w:rPr>
        <w:t>α’’</w:t>
      </w:r>
      <w:r w:rsidR="00370B61" w:rsidRPr="00FA4814">
        <w:rPr>
          <w:rFonts w:cstheme="minorHAnsi"/>
        </w:rPr>
        <w:t xml:space="preserve"> plane (Fig. </w:t>
      </w:r>
      <w:r w:rsidR="00FA4814" w:rsidRPr="00FA4814">
        <w:rPr>
          <w:rFonts w:cstheme="minorHAnsi"/>
        </w:rPr>
        <w:t>7-10</w:t>
      </w:r>
      <w:r w:rsidR="00370B61" w:rsidRPr="00FA4814">
        <w:rPr>
          <w:rFonts w:cstheme="minorHAnsi"/>
        </w:rPr>
        <w:t>e(ii)). The lattice</w:t>
      </w:r>
      <w:r w:rsidR="00DC4311">
        <w:rPr>
          <w:rFonts w:cstheme="minorHAnsi"/>
        </w:rPr>
        <w:t>s</w:t>
      </w:r>
      <w:r w:rsidR="00370B61" w:rsidRPr="00FA4814">
        <w:rPr>
          <w:rFonts w:cstheme="minorHAnsi"/>
        </w:rPr>
        <w:t xml:space="preserve"> of V2 and V1 only exhibit mirror symmetry when viewed along </w:t>
      </w:r>
      <w:r w:rsidR="00DC4311">
        <w:rPr>
          <w:rFonts w:cstheme="minorHAnsi"/>
        </w:rPr>
        <w:t xml:space="preserve">the </w:t>
      </w:r>
      <w:r w:rsidR="00370B61" w:rsidRPr="00FA4814">
        <w:rPr>
          <w:rFonts w:cstheme="minorHAnsi"/>
        </w:rPr>
        <w:t>[1-12]</w:t>
      </w:r>
      <w:r w:rsidR="00370B61" w:rsidRPr="00FA4814">
        <w:rPr>
          <w:rFonts w:cstheme="minorHAnsi"/>
          <w:vertAlign w:val="subscript"/>
        </w:rPr>
        <w:t>α’’</w:t>
      </w:r>
      <w:r w:rsidR="00370B61" w:rsidRPr="00FA4814">
        <w:rPr>
          <w:rFonts w:cstheme="minorHAnsi"/>
        </w:rPr>
        <w:t xml:space="preserve"> zone axis (nearly perpendicular to [-211]</w:t>
      </w:r>
      <w:r w:rsidR="00370B61" w:rsidRPr="00FA4814">
        <w:rPr>
          <w:rFonts w:cstheme="minorHAnsi"/>
          <w:vertAlign w:val="subscript"/>
        </w:rPr>
        <w:t>α’’</w:t>
      </w:r>
      <w:r w:rsidR="00370B61" w:rsidRPr="00FA4814">
        <w:rPr>
          <w:rFonts w:cstheme="minorHAnsi"/>
        </w:rPr>
        <w:t xml:space="preserve">), which indicates that only twinning shear is required to transform V2 to V3 (Fig. </w:t>
      </w:r>
      <w:r w:rsidR="00FA4814" w:rsidRPr="00FA4814">
        <w:rPr>
          <w:rFonts w:cstheme="minorHAnsi"/>
        </w:rPr>
        <w:t>7-10</w:t>
      </w:r>
      <w:r w:rsidR="00370B61" w:rsidRPr="00FA4814">
        <w:rPr>
          <w:rFonts w:cstheme="minorHAnsi"/>
        </w:rPr>
        <w:t xml:space="preserve">e(iii-iv)). Supported by Fig. </w:t>
      </w:r>
      <w:r w:rsidR="00FA4814">
        <w:rPr>
          <w:rFonts w:cstheme="minorHAnsi"/>
        </w:rPr>
        <w:t>7-10(d)</w:t>
      </w:r>
      <w:r w:rsidR="00370B61" w:rsidRPr="00FA4814">
        <w:rPr>
          <w:rFonts w:cstheme="minorHAnsi"/>
        </w:rPr>
        <w:t xml:space="preserve">, in </w:t>
      </w:r>
      <w:r w:rsidR="00DC4311">
        <w:rPr>
          <w:rFonts w:cstheme="minorHAnsi"/>
        </w:rPr>
        <w:t xml:space="preserve">the </w:t>
      </w:r>
      <w:r w:rsidR="00370B61" w:rsidRPr="00FA4814">
        <w:rPr>
          <w:rFonts w:cstheme="minorHAnsi"/>
        </w:rPr>
        <w:t>same feature, when tilted to [-211]</w:t>
      </w:r>
      <w:r w:rsidR="00370B61" w:rsidRPr="00FA4814">
        <w:rPr>
          <w:rFonts w:cstheme="minorHAnsi"/>
          <w:vertAlign w:val="subscript"/>
        </w:rPr>
        <w:t>α’’V1</w:t>
      </w:r>
      <w:r w:rsidR="00370B61" w:rsidRPr="00FA4814">
        <w:rPr>
          <w:rFonts w:cstheme="minorHAnsi"/>
        </w:rPr>
        <w:t>//[-211]</w:t>
      </w:r>
      <w:r w:rsidR="00370B61" w:rsidRPr="00FA4814">
        <w:rPr>
          <w:rFonts w:cstheme="minorHAnsi"/>
          <w:vertAlign w:val="subscript"/>
        </w:rPr>
        <w:t>α’’V2</w:t>
      </w:r>
      <w:r w:rsidR="00370B61" w:rsidRPr="00FA4814">
        <w:rPr>
          <w:rFonts w:cstheme="minorHAnsi"/>
        </w:rPr>
        <w:t>//[-211]</w:t>
      </w:r>
      <w:r w:rsidR="00370B61" w:rsidRPr="00FA4814">
        <w:rPr>
          <w:rFonts w:cstheme="minorHAnsi"/>
          <w:vertAlign w:val="subscript"/>
        </w:rPr>
        <w:t>α’’V3</w:t>
      </w:r>
      <w:r w:rsidR="00370B61" w:rsidRPr="00FA4814">
        <w:rPr>
          <w:rFonts w:cstheme="minorHAnsi"/>
        </w:rPr>
        <w:t>, the boundary bet</w:t>
      </w:r>
      <w:r w:rsidR="00370B61" w:rsidRPr="00370B61">
        <w:rPr>
          <w:rFonts w:cstheme="minorHAnsi"/>
        </w:rPr>
        <w:t>ween V1 and V2 vanished, whilst V1 and V3 exhibiting mirror symmetry against (351)</w:t>
      </w:r>
      <w:r w:rsidR="00370B61" w:rsidRPr="00370B61">
        <w:rPr>
          <w:rFonts w:cstheme="minorHAnsi"/>
          <w:vertAlign w:val="subscript"/>
        </w:rPr>
        <w:t>α’’</w:t>
      </w:r>
      <w:r w:rsidR="00370B61" w:rsidRPr="00370B61">
        <w:rPr>
          <w:rFonts w:cstheme="minorHAnsi"/>
        </w:rPr>
        <w:t xml:space="preserve"> plane. </w:t>
      </w:r>
      <w:r w:rsidR="00370B61" w:rsidRPr="00370B61">
        <w:rPr>
          <w:rFonts w:cstheme="minorHAnsi"/>
          <w:szCs w:val="18"/>
        </w:rPr>
        <w:t>Consequently, driven by the increasing stress, the {351}&lt;2-1-1&gt;</w:t>
      </w:r>
      <w:r w:rsidR="00370B61" w:rsidRPr="00370B61">
        <w:rPr>
          <w:rFonts w:cstheme="minorHAnsi"/>
          <w:szCs w:val="18"/>
          <w:vertAlign w:val="subscript"/>
        </w:rPr>
        <w:t>α’’</w:t>
      </w:r>
      <w:r w:rsidR="00370B61" w:rsidRPr="00370B61">
        <w:rPr>
          <w:rFonts w:cstheme="minorHAnsi"/>
          <w:szCs w:val="18"/>
        </w:rPr>
        <w:t xml:space="preserve"> twinned V2 was progressively sheared into {351}&lt;1-12&gt;</w:t>
      </w:r>
      <w:r w:rsidR="00370B61" w:rsidRPr="00370B61">
        <w:rPr>
          <w:rFonts w:cstheme="minorHAnsi"/>
          <w:szCs w:val="18"/>
          <w:vertAlign w:val="subscript"/>
        </w:rPr>
        <w:t>α’’</w:t>
      </w:r>
      <w:r w:rsidR="00370B61" w:rsidRPr="00370B61">
        <w:rPr>
          <w:rFonts w:cstheme="minorHAnsi"/>
          <w:szCs w:val="18"/>
        </w:rPr>
        <w:t xml:space="preserve"> twinned V3, where only a small number of type II twinned α’’ laths is left as planar complexion structures between V3 and V1.  The transformation of</w:t>
      </w:r>
      <w:r w:rsidR="00DC4311">
        <w:rPr>
          <w:rFonts w:cstheme="minorHAnsi"/>
          <w:szCs w:val="18"/>
        </w:rPr>
        <w:t xml:space="preserve"> the</w:t>
      </w:r>
      <w:r w:rsidR="00370B61" w:rsidRPr="00370B61">
        <w:rPr>
          <w:rFonts w:cstheme="minorHAnsi"/>
          <w:szCs w:val="18"/>
        </w:rPr>
        <w:t xml:space="preserve"> primary type II twinned {351}&lt;2-1-1&gt;</w:t>
      </w:r>
      <w:r w:rsidR="00370B61" w:rsidRPr="00370B61">
        <w:rPr>
          <w:rFonts w:cstheme="minorHAnsi"/>
          <w:szCs w:val="18"/>
          <w:vertAlign w:val="subscript"/>
        </w:rPr>
        <w:t>α’’</w:t>
      </w:r>
      <w:r w:rsidR="00370B61" w:rsidRPr="00370B61">
        <w:rPr>
          <w:rFonts w:cstheme="minorHAnsi"/>
          <w:szCs w:val="18"/>
        </w:rPr>
        <w:t xml:space="preserve"> variant to type I twinned {351}&lt;1-12&gt;</w:t>
      </w:r>
      <w:r w:rsidR="00370B61" w:rsidRPr="00370B61">
        <w:rPr>
          <w:rFonts w:cstheme="minorHAnsi"/>
          <w:szCs w:val="18"/>
          <w:vertAlign w:val="subscript"/>
        </w:rPr>
        <w:t>α’’</w:t>
      </w:r>
      <w:r w:rsidR="00370B61" w:rsidRPr="00370B61">
        <w:rPr>
          <w:rFonts w:cstheme="minorHAnsi"/>
          <w:szCs w:val="18"/>
        </w:rPr>
        <w:t xml:space="preserve"> variants suggests that a coherent twinning inheritance mechanism exists to enable the continuous  deformation accommodation, and may have acted as an additional work hardening source. </w:t>
      </w:r>
    </w:p>
    <w:p w14:paraId="64F08537" w14:textId="6D5950D4" w:rsidR="00370B61" w:rsidRPr="00370B61" w:rsidRDefault="00370B61" w:rsidP="00B145BE">
      <w:pPr>
        <w:spacing w:after="120" w:line="360" w:lineRule="auto"/>
        <w:jc w:val="both"/>
      </w:pPr>
    </w:p>
    <w:p w14:paraId="2F88C6F0" w14:textId="6C5CD3CA" w:rsidR="00B145BE" w:rsidRDefault="00370B61" w:rsidP="00B145BE">
      <w:pPr>
        <w:keepNext/>
        <w:spacing w:after="120" w:line="360" w:lineRule="auto"/>
        <w:jc w:val="center"/>
      </w:pPr>
      <w:r>
        <w:rPr>
          <w:noProof/>
        </w:rPr>
        <w:lastRenderedPageBreak/>
        <w:drawing>
          <wp:inline distT="0" distB="0" distL="0" distR="0" wp14:anchorId="4035DBA7" wp14:editId="57D27A1F">
            <wp:extent cx="5943600" cy="4005580"/>
            <wp:effectExtent l="0" t="0" r="0" b="0"/>
            <wp:docPr id="245" name="图片 17" descr="图片包含 不同, 灯光, 汽车, 照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7" descr="图片包含 不同, 灯光, 汽车, 照片&#10;&#10;描述已自动生成"/>
                    <pic:cNvPicPr>
                      <a:picLocks noChangeAspect="1" noChangeArrowheads="1"/>
                    </pic:cNvPicPr>
                  </pic:nvPicPr>
                  <pic:blipFill>
                    <a:blip r:embed="rId78"/>
                    <a:stretch>
                      <a:fillRect/>
                    </a:stretch>
                  </pic:blipFill>
                  <pic:spPr bwMode="auto">
                    <a:xfrm>
                      <a:off x="0" y="0"/>
                      <a:ext cx="5943600" cy="4005580"/>
                    </a:xfrm>
                    <a:prstGeom prst="rect">
                      <a:avLst/>
                    </a:prstGeom>
                  </pic:spPr>
                </pic:pic>
              </a:graphicData>
            </a:graphic>
          </wp:inline>
        </w:drawing>
      </w:r>
    </w:p>
    <w:p w14:paraId="68E2AE76" w14:textId="5A7C1E2D" w:rsidR="00B145BE" w:rsidRDefault="00B145BE" w:rsidP="00FA4814">
      <w:pPr>
        <w:spacing w:afterLines="60" w:after="144" w:line="360" w:lineRule="auto"/>
        <w:jc w:val="both"/>
        <w:rPr>
          <w:rFonts w:cstheme="minorHAnsi"/>
          <w:sz w:val="20"/>
          <w:szCs w:val="20"/>
        </w:rPr>
      </w:pPr>
      <w:bookmarkStart w:id="341" w:name="_Toc7364621"/>
      <w:bookmarkStart w:id="342" w:name="_Toc39312733"/>
      <w:r w:rsidRPr="00A80FA2">
        <w:rPr>
          <w:rFonts w:cstheme="minorHAnsi"/>
          <w:b/>
          <w:sz w:val="20"/>
          <w:szCs w:val="20"/>
        </w:rPr>
        <w:t>Figure 7-</w:t>
      </w:r>
      <w:r w:rsidRPr="00A80FA2">
        <w:rPr>
          <w:rFonts w:cstheme="minorHAnsi"/>
          <w:b/>
          <w:sz w:val="20"/>
          <w:szCs w:val="20"/>
        </w:rPr>
        <w:fldChar w:fldCharType="begin"/>
      </w:r>
      <w:r w:rsidRPr="00A80FA2">
        <w:rPr>
          <w:rFonts w:cstheme="minorHAnsi"/>
          <w:b/>
          <w:sz w:val="20"/>
          <w:szCs w:val="20"/>
        </w:rPr>
        <w:instrText xml:space="preserve"> SEQ Figure \* ARABIC </w:instrText>
      </w:r>
      <w:r w:rsidRPr="00A80FA2">
        <w:rPr>
          <w:rFonts w:cstheme="minorHAnsi"/>
          <w:b/>
          <w:sz w:val="20"/>
          <w:szCs w:val="20"/>
        </w:rPr>
        <w:fldChar w:fldCharType="separate"/>
      </w:r>
      <w:r w:rsidRPr="00A80FA2">
        <w:rPr>
          <w:rFonts w:cstheme="minorHAnsi"/>
          <w:b/>
          <w:noProof/>
          <w:sz w:val="20"/>
          <w:szCs w:val="20"/>
        </w:rPr>
        <w:t>10</w:t>
      </w:r>
      <w:r w:rsidRPr="00A80FA2">
        <w:rPr>
          <w:rFonts w:cstheme="minorHAnsi"/>
          <w:b/>
          <w:sz w:val="20"/>
          <w:szCs w:val="20"/>
        </w:rPr>
        <w:fldChar w:fldCharType="end"/>
      </w:r>
      <w:r w:rsidRPr="00A80FA2">
        <w:rPr>
          <w:rFonts w:cstheme="minorHAnsi"/>
          <w:b/>
          <w:sz w:val="20"/>
          <w:szCs w:val="20"/>
        </w:rPr>
        <w:t xml:space="preserve"> </w:t>
      </w:r>
      <w:bookmarkEnd w:id="341"/>
      <w:r w:rsidR="00370B61" w:rsidRPr="00370B61">
        <w:rPr>
          <w:rFonts w:cstheme="minorHAnsi"/>
          <w:b/>
          <w:sz w:val="20"/>
          <w:szCs w:val="20"/>
        </w:rPr>
        <w:t>HRTEM images of transformed {351}&lt;-211&gt;</w:t>
      </w:r>
      <w:r w:rsidR="00370B61" w:rsidRPr="00370B61">
        <w:rPr>
          <w:rFonts w:cstheme="minorHAnsi"/>
          <w:b/>
          <w:sz w:val="20"/>
          <w:szCs w:val="20"/>
          <w:vertAlign w:val="subscript"/>
        </w:rPr>
        <w:t>α’’</w:t>
      </w:r>
      <w:r w:rsidR="00370B61" w:rsidRPr="00370B61">
        <w:rPr>
          <w:rFonts w:cstheme="minorHAnsi"/>
          <w:b/>
          <w:sz w:val="20"/>
          <w:szCs w:val="20"/>
        </w:rPr>
        <w:t xml:space="preserve"> twin boundary </w:t>
      </w:r>
      <w:r w:rsidR="00370B61" w:rsidRPr="00370B61">
        <w:rPr>
          <w:rFonts w:cstheme="minorHAnsi"/>
          <w:sz w:val="20"/>
          <w:szCs w:val="20"/>
        </w:rPr>
        <w:t>(</w:t>
      </w:r>
      <w:r w:rsidR="00370B61" w:rsidRPr="00370B61">
        <w:rPr>
          <w:rFonts w:cstheme="minorHAnsi"/>
          <w:b/>
          <w:sz w:val="20"/>
          <w:szCs w:val="20"/>
        </w:rPr>
        <w:t>a</w:t>
      </w:r>
      <w:r w:rsidR="00370B61" w:rsidRPr="00370B61">
        <w:rPr>
          <w:rFonts w:cstheme="minorHAnsi"/>
          <w:sz w:val="20"/>
          <w:szCs w:val="20"/>
        </w:rPr>
        <w:t>) Low mag HRTEM image of transformed {351}&lt;-211&gt;</w:t>
      </w:r>
      <w:r w:rsidR="00370B61" w:rsidRPr="00370B61">
        <w:rPr>
          <w:rFonts w:cstheme="minorHAnsi"/>
          <w:sz w:val="20"/>
          <w:szCs w:val="20"/>
          <w:vertAlign w:val="subscript"/>
        </w:rPr>
        <w:t>α’’</w:t>
      </w:r>
      <w:r w:rsidR="00370B61" w:rsidRPr="00370B61">
        <w:rPr>
          <w:rFonts w:cstheme="minorHAnsi"/>
          <w:sz w:val="20"/>
          <w:szCs w:val="20"/>
        </w:rPr>
        <w:t xml:space="preserve"> type II twinning in a specimen strained to </w:t>
      </w:r>
      <w:r w:rsidR="00370B61">
        <w:rPr>
          <w:rFonts w:cstheme="minorHAnsi"/>
          <w:sz w:val="20"/>
          <w:szCs w:val="20"/>
        </w:rPr>
        <w:t>9</w:t>
      </w:r>
      <w:r w:rsidR="00370B61" w:rsidRPr="00370B61">
        <w:rPr>
          <w:rFonts w:cstheme="minorHAnsi"/>
          <w:sz w:val="20"/>
          <w:szCs w:val="20"/>
        </w:rPr>
        <w:t>%. Insets are FFTs of highlighted areas. (</w:t>
      </w:r>
      <w:r w:rsidR="00370B61" w:rsidRPr="00370B61">
        <w:rPr>
          <w:rFonts w:cstheme="minorHAnsi"/>
          <w:b/>
          <w:sz w:val="20"/>
          <w:szCs w:val="20"/>
        </w:rPr>
        <w:t>b</w:t>
      </w:r>
      <w:r w:rsidR="00370B61" w:rsidRPr="00370B61">
        <w:rPr>
          <w:rFonts w:cstheme="minorHAnsi"/>
          <w:sz w:val="20"/>
          <w:szCs w:val="20"/>
        </w:rPr>
        <w:t xml:space="preserve">) Magnified image of </w:t>
      </w:r>
      <w:r w:rsidR="00FA4814">
        <w:rPr>
          <w:rFonts w:cstheme="minorHAnsi"/>
          <w:sz w:val="20"/>
          <w:szCs w:val="20"/>
        </w:rPr>
        <w:t xml:space="preserve">the </w:t>
      </w:r>
      <w:r w:rsidR="00370B61" w:rsidRPr="00370B61">
        <w:rPr>
          <w:rFonts w:cstheme="minorHAnsi"/>
          <w:sz w:val="20"/>
          <w:szCs w:val="20"/>
        </w:rPr>
        <w:t>highlighted area in (a) shows partially transformed {351}&lt;-211&gt;</w:t>
      </w:r>
      <w:r w:rsidR="00370B61" w:rsidRPr="00370B61">
        <w:rPr>
          <w:rFonts w:cstheme="minorHAnsi"/>
          <w:sz w:val="20"/>
          <w:szCs w:val="20"/>
          <w:vertAlign w:val="subscript"/>
        </w:rPr>
        <w:t>α’’</w:t>
      </w:r>
      <w:r w:rsidR="00370B61" w:rsidRPr="00370B61">
        <w:rPr>
          <w:rFonts w:cstheme="minorHAnsi"/>
          <w:sz w:val="20"/>
          <w:szCs w:val="20"/>
        </w:rPr>
        <w:t xml:space="preserve"> type II twin structure. FFTs of three martensite variants are shown in insets which exhibit reflections of [-101]</w:t>
      </w:r>
      <w:r w:rsidR="00370B61" w:rsidRPr="00370B61">
        <w:rPr>
          <w:rFonts w:cstheme="minorHAnsi"/>
          <w:sz w:val="20"/>
          <w:szCs w:val="20"/>
          <w:vertAlign w:val="subscript"/>
        </w:rPr>
        <w:t>α’’V1</w:t>
      </w:r>
      <w:r w:rsidR="00370B61" w:rsidRPr="00370B61">
        <w:rPr>
          <w:rFonts w:cstheme="minorHAnsi"/>
          <w:sz w:val="20"/>
          <w:szCs w:val="20"/>
        </w:rPr>
        <w:t>, [-110]</w:t>
      </w:r>
      <w:r w:rsidR="00370B61" w:rsidRPr="00370B61">
        <w:rPr>
          <w:rFonts w:cstheme="minorHAnsi"/>
          <w:sz w:val="20"/>
          <w:szCs w:val="20"/>
          <w:vertAlign w:val="subscript"/>
        </w:rPr>
        <w:t>α’’V2</w:t>
      </w:r>
      <w:r w:rsidR="00370B61" w:rsidRPr="00370B61">
        <w:rPr>
          <w:rFonts w:cstheme="minorHAnsi"/>
          <w:sz w:val="20"/>
          <w:szCs w:val="20"/>
        </w:rPr>
        <w:t xml:space="preserve"> and [-112]</w:t>
      </w:r>
      <w:r w:rsidR="00370B61" w:rsidRPr="00370B61">
        <w:rPr>
          <w:rFonts w:cstheme="minorHAnsi"/>
          <w:sz w:val="20"/>
          <w:szCs w:val="20"/>
          <w:vertAlign w:val="subscript"/>
        </w:rPr>
        <w:t>α’’V3</w:t>
      </w:r>
      <w:r w:rsidR="00370B61" w:rsidRPr="00370B61">
        <w:rPr>
          <w:rFonts w:cstheme="minorHAnsi"/>
          <w:sz w:val="20"/>
          <w:szCs w:val="20"/>
        </w:rPr>
        <w:t>. (</w:t>
      </w:r>
      <w:r w:rsidR="00370B61" w:rsidRPr="00370B61">
        <w:rPr>
          <w:rFonts w:cstheme="minorHAnsi"/>
          <w:b/>
          <w:sz w:val="20"/>
          <w:szCs w:val="20"/>
        </w:rPr>
        <w:t>c</w:t>
      </w:r>
      <w:r w:rsidR="00370B61" w:rsidRPr="00370B61">
        <w:rPr>
          <w:rFonts w:cstheme="minorHAnsi"/>
          <w:sz w:val="20"/>
          <w:szCs w:val="20"/>
        </w:rPr>
        <w:t>) Fully transformed {351}&lt;-211&gt;</w:t>
      </w:r>
      <w:r w:rsidR="00370B61" w:rsidRPr="00370B61">
        <w:rPr>
          <w:rFonts w:cstheme="minorHAnsi"/>
          <w:sz w:val="20"/>
          <w:szCs w:val="20"/>
          <w:vertAlign w:val="subscript"/>
        </w:rPr>
        <w:t>α’’</w:t>
      </w:r>
      <w:r w:rsidR="00370B61" w:rsidRPr="00370B61">
        <w:rPr>
          <w:rFonts w:cstheme="minorHAnsi"/>
          <w:sz w:val="20"/>
          <w:szCs w:val="20"/>
        </w:rPr>
        <w:t xml:space="preserve"> type II twin ({351}&lt;1-12&gt;</w:t>
      </w:r>
      <w:r w:rsidR="00370B61" w:rsidRPr="00370B61">
        <w:rPr>
          <w:rFonts w:cstheme="minorHAnsi"/>
          <w:sz w:val="20"/>
          <w:szCs w:val="20"/>
          <w:vertAlign w:val="subscript"/>
        </w:rPr>
        <w:t>α’’</w:t>
      </w:r>
      <w:r w:rsidR="00370B61" w:rsidRPr="00370B61">
        <w:rPr>
          <w:rFonts w:cstheme="minorHAnsi"/>
          <w:sz w:val="20"/>
          <w:szCs w:val="20"/>
        </w:rPr>
        <w:t xml:space="preserve"> type I twin structure). FFTs of two martensite variants are shown in </w:t>
      </w:r>
      <w:r w:rsidR="00370B61">
        <w:rPr>
          <w:rFonts w:cstheme="minorHAnsi"/>
          <w:sz w:val="20"/>
          <w:szCs w:val="20"/>
        </w:rPr>
        <w:t xml:space="preserve">the </w:t>
      </w:r>
      <w:r w:rsidR="00370B61" w:rsidRPr="00370B61">
        <w:rPr>
          <w:rFonts w:cstheme="minorHAnsi"/>
          <w:sz w:val="20"/>
          <w:szCs w:val="20"/>
        </w:rPr>
        <w:t>insets which exhibit reflections of [-101]</w:t>
      </w:r>
      <w:r w:rsidR="00370B61" w:rsidRPr="00370B61">
        <w:rPr>
          <w:rFonts w:cstheme="minorHAnsi"/>
          <w:sz w:val="20"/>
          <w:szCs w:val="20"/>
          <w:vertAlign w:val="subscript"/>
        </w:rPr>
        <w:t>α’’V1</w:t>
      </w:r>
      <w:r w:rsidR="00370B61" w:rsidRPr="00370B61">
        <w:rPr>
          <w:rFonts w:cstheme="minorHAnsi"/>
          <w:sz w:val="20"/>
          <w:szCs w:val="20"/>
        </w:rPr>
        <w:t xml:space="preserve"> and [-112]</w:t>
      </w:r>
      <w:r w:rsidR="00370B61" w:rsidRPr="00370B61">
        <w:rPr>
          <w:rFonts w:cstheme="minorHAnsi"/>
          <w:sz w:val="20"/>
          <w:szCs w:val="20"/>
          <w:vertAlign w:val="subscript"/>
        </w:rPr>
        <w:t>α’’V3</w:t>
      </w:r>
      <w:r w:rsidR="00370B61" w:rsidRPr="00370B61">
        <w:rPr>
          <w:rFonts w:cstheme="minorHAnsi"/>
          <w:sz w:val="20"/>
          <w:szCs w:val="20"/>
        </w:rPr>
        <w:t xml:space="preserve"> </w:t>
      </w:r>
      <w:r w:rsidR="00370B61">
        <w:rPr>
          <w:rFonts w:cstheme="minorHAnsi"/>
          <w:sz w:val="20"/>
          <w:szCs w:val="20"/>
        </w:rPr>
        <w:t xml:space="preserve">zone axes. </w:t>
      </w:r>
      <w:r w:rsidR="00370B61" w:rsidRPr="00370B61">
        <w:rPr>
          <w:rFonts w:cstheme="minorHAnsi"/>
          <w:sz w:val="20"/>
          <w:szCs w:val="20"/>
        </w:rPr>
        <w:t>(</w:t>
      </w:r>
      <w:r w:rsidR="00370B61" w:rsidRPr="00370B61">
        <w:rPr>
          <w:rFonts w:cstheme="minorHAnsi"/>
          <w:b/>
          <w:sz w:val="20"/>
          <w:szCs w:val="20"/>
        </w:rPr>
        <w:t>d</w:t>
      </w:r>
      <w:r w:rsidR="00370B61" w:rsidRPr="00370B61">
        <w:rPr>
          <w:rFonts w:cstheme="minorHAnsi"/>
          <w:sz w:val="20"/>
          <w:szCs w:val="20"/>
        </w:rPr>
        <w:t>). HRTEM image of same area in (c), acquired from [-211]</w:t>
      </w:r>
      <w:r w:rsidR="00370B61" w:rsidRPr="00370B61">
        <w:rPr>
          <w:rFonts w:cstheme="minorHAnsi"/>
          <w:sz w:val="20"/>
          <w:szCs w:val="20"/>
          <w:vertAlign w:val="subscript"/>
        </w:rPr>
        <w:t>α’’</w:t>
      </w:r>
      <w:r w:rsidR="00370B61" w:rsidRPr="00370B61">
        <w:rPr>
          <w:rFonts w:cstheme="minorHAnsi"/>
          <w:sz w:val="20"/>
          <w:szCs w:val="20"/>
        </w:rPr>
        <w:t xml:space="preserve"> zone axis. FFT of two martensite variants are shown in insets which exhibit reflections of [2-1-1]</w:t>
      </w:r>
      <w:r w:rsidR="00370B61" w:rsidRPr="00370B61">
        <w:rPr>
          <w:rFonts w:cstheme="minorHAnsi"/>
          <w:sz w:val="20"/>
          <w:szCs w:val="20"/>
          <w:vertAlign w:val="subscript"/>
        </w:rPr>
        <w:t>α’’V1</w:t>
      </w:r>
      <w:r w:rsidR="00370B61" w:rsidRPr="00370B61">
        <w:rPr>
          <w:rFonts w:cstheme="minorHAnsi"/>
          <w:sz w:val="20"/>
          <w:szCs w:val="20"/>
        </w:rPr>
        <w:t xml:space="preserve"> and [2-1-1]</w:t>
      </w:r>
      <w:r w:rsidR="00370B61" w:rsidRPr="00370B61">
        <w:rPr>
          <w:rFonts w:cstheme="minorHAnsi"/>
          <w:sz w:val="20"/>
          <w:szCs w:val="20"/>
          <w:vertAlign w:val="subscript"/>
        </w:rPr>
        <w:t>α’’V3</w:t>
      </w:r>
      <w:r w:rsidR="00370B61" w:rsidRPr="00370B61">
        <w:rPr>
          <w:rFonts w:cstheme="minorHAnsi"/>
          <w:sz w:val="20"/>
          <w:szCs w:val="20"/>
        </w:rPr>
        <w:t>. (</w:t>
      </w:r>
      <w:r w:rsidR="00370B61" w:rsidRPr="00370B61">
        <w:rPr>
          <w:rFonts w:cstheme="minorHAnsi"/>
          <w:b/>
          <w:sz w:val="20"/>
          <w:szCs w:val="20"/>
        </w:rPr>
        <w:t>e</w:t>
      </w:r>
      <w:r w:rsidR="00370B61" w:rsidRPr="00370B61">
        <w:rPr>
          <w:rFonts w:cstheme="minorHAnsi"/>
          <w:sz w:val="20"/>
          <w:szCs w:val="20"/>
        </w:rPr>
        <w:t>)Schematic of {351}&lt;2-1-1&gt;</w:t>
      </w:r>
      <w:r w:rsidR="00370B61" w:rsidRPr="00370B61">
        <w:rPr>
          <w:rFonts w:cstheme="minorHAnsi"/>
          <w:sz w:val="20"/>
          <w:szCs w:val="20"/>
          <w:vertAlign w:val="subscript"/>
        </w:rPr>
        <w:t>α’’</w:t>
      </w:r>
      <w:r w:rsidR="00370B61" w:rsidRPr="00370B61">
        <w:rPr>
          <w:rFonts w:cstheme="minorHAnsi"/>
          <w:sz w:val="20"/>
          <w:szCs w:val="20"/>
        </w:rPr>
        <w:t xml:space="preserve"> type II twin to {351}&lt;1-12&gt;</w:t>
      </w:r>
      <w:r w:rsidR="00370B61" w:rsidRPr="00370B61">
        <w:rPr>
          <w:rFonts w:cstheme="minorHAnsi"/>
          <w:sz w:val="20"/>
          <w:szCs w:val="20"/>
          <w:vertAlign w:val="subscript"/>
        </w:rPr>
        <w:t>α’’</w:t>
      </w:r>
      <w:r w:rsidR="00370B61" w:rsidRPr="00370B61">
        <w:rPr>
          <w:rFonts w:cstheme="minorHAnsi"/>
          <w:sz w:val="20"/>
          <w:szCs w:val="20"/>
        </w:rPr>
        <w:t xml:space="preserve"> type I twin transformation. i-ii. projection of the type II (351)[2-1-1]</w:t>
      </w:r>
      <w:r w:rsidR="00370B61" w:rsidRPr="00370B61">
        <w:rPr>
          <w:rFonts w:cstheme="minorHAnsi"/>
          <w:sz w:val="20"/>
          <w:szCs w:val="20"/>
          <w:vertAlign w:val="subscript"/>
        </w:rPr>
        <w:t>α’’</w:t>
      </w:r>
      <w:r w:rsidR="00370B61" w:rsidRPr="00370B61">
        <w:rPr>
          <w:rFonts w:cstheme="minorHAnsi"/>
          <w:sz w:val="20"/>
          <w:szCs w:val="20"/>
        </w:rPr>
        <w:t xml:space="preserve"> and type I (351)[1-12]</w:t>
      </w:r>
      <w:r w:rsidR="00370B61" w:rsidRPr="00370B61">
        <w:rPr>
          <w:rFonts w:cstheme="minorHAnsi"/>
          <w:sz w:val="20"/>
          <w:szCs w:val="20"/>
          <w:vertAlign w:val="subscript"/>
        </w:rPr>
        <w:t>α’’</w:t>
      </w:r>
      <w:r w:rsidR="00370B61" w:rsidRPr="00370B61">
        <w:rPr>
          <w:rFonts w:cstheme="minorHAnsi"/>
          <w:sz w:val="20"/>
          <w:szCs w:val="20"/>
        </w:rPr>
        <w:t xml:space="preserve"> twin structure viewed along [2-1-1]</w:t>
      </w:r>
      <w:r w:rsidR="00370B61" w:rsidRPr="00370B61">
        <w:rPr>
          <w:rFonts w:cstheme="minorHAnsi"/>
          <w:sz w:val="20"/>
          <w:szCs w:val="20"/>
          <w:vertAlign w:val="subscript"/>
        </w:rPr>
        <w:t>α’’</w:t>
      </w:r>
      <w:r w:rsidR="00370B61" w:rsidRPr="00370B61">
        <w:rPr>
          <w:rFonts w:cstheme="minorHAnsi"/>
          <w:sz w:val="20"/>
          <w:szCs w:val="20"/>
        </w:rPr>
        <w:t xml:space="preserve"> and [1-12]</w:t>
      </w:r>
      <w:r w:rsidR="00370B61" w:rsidRPr="00370B61">
        <w:rPr>
          <w:rFonts w:cstheme="minorHAnsi"/>
          <w:sz w:val="20"/>
          <w:szCs w:val="20"/>
          <w:vertAlign w:val="subscript"/>
        </w:rPr>
        <w:t>α’’</w:t>
      </w:r>
      <w:r w:rsidR="00370B61" w:rsidRPr="00370B61">
        <w:rPr>
          <w:rFonts w:cstheme="minorHAnsi"/>
          <w:sz w:val="20"/>
          <w:szCs w:val="20"/>
        </w:rPr>
        <w:t xml:space="preserve"> direction</w:t>
      </w:r>
      <w:r w:rsidR="00370B61">
        <w:rPr>
          <w:rFonts w:cstheme="minorHAnsi"/>
          <w:sz w:val="20"/>
          <w:szCs w:val="20"/>
        </w:rPr>
        <w:t>s</w:t>
      </w:r>
      <w:r w:rsidR="00370B61" w:rsidRPr="00370B61">
        <w:rPr>
          <w:rFonts w:cstheme="minorHAnsi"/>
          <w:sz w:val="20"/>
          <w:szCs w:val="20"/>
        </w:rPr>
        <w:t xml:space="preserve"> respectively. iii. Lattice arrangement of the (351)[2-1-1]</w:t>
      </w:r>
      <w:r w:rsidR="00370B61" w:rsidRPr="00370B61">
        <w:rPr>
          <w:rFonts w:cstheme="minorHAnsi"/>
          <w:sz w:val="20"/>
          <w:szCs w:val="20"/>
          <w:vertAlign w:val="subscript"/>
        </w:rPr>
        <w:t>α’’</w:t>
      </w:r>
      <w:r w:rsidR="00370B61" w:rsidRPr="00370B61">
        <w:rPr>
          <w:rFonts w:cstheme="minorHAnsi"/>
          <w:sz w:val="20"/>
          <w:szCs w:val="20"/>
        </w:rPr>
        <w:t xml:space="preserve"> type II twin. iv. Lattice arrangement of the (351)[2-1-1]</w:t>
      </w:r>
      <w:r w:rsidR="00370B61" w:rsidRPr="00370B61">
        <w:rPr>
          <w:rFonts w:cstheme="minorHAnsi"/>
          <w:sz w:val="20"/>
          <w:szCs w:val="20"/>
          <w:vertAlign w:val="subscript"/>
        </w:rPr>
        <w:t>α’’</w:t>
      </w:r>
      <w:r w:rsidR="00370B61" w:rsidRPr="00370B61">
        <w:rPr>
          <w:rFonts w:cstheme="minorHAnsi"/>
          <w:sz w:val="20"/>
          <w:szCs w:val="20"/>
        </w:rPr>
        <w:t xml:space="preserve"> twin after shear along the [1-12]</w:t>
      </w:r>
      <w:r w:rsidR="00370B61" w:rsidRPr="00370B61">
        <w:rPr>
          <w:rFonts w:cstheme="minorHAnsi"/>
          <w:sz w:val="20"/>
          <w:szCs w:val="20"/>
          <w:vertAlign w:val="subscript"/>
        </w:rPr>
        <w:t>α’’</w:t>
      </w:r>
      <w:r w:rsidR="00370B61" w:rsidRPr="00370B61">
        <w:rPr>
          <w:rFonts w:cstheme="minorHAnsi"/>
          <w:sz w:val="20"/>
          <w:szCs w:val="20"/>
        </w:rPr>
        <w:t xml:space="preserve"> direction. Scar bar in (a), 20nm. Scar bars in (b-d), 2nm.</w:t>
      </w:r>
      <w:bookmarkEnd w:id="342"/>
      <w:r w:rsidR="00370B61" w:rsidRPr="00370B61">
        <w:rPr>
          <w:rFonts w:cstheme="minorHAnsi"/>
          <w:sz w:val="20"/>
          <w:szCs w:val="20"/>
        </w:rPr>
        <w:t xml:space="preserve"> </w:t>
      </w:r>
    </w:p>
    <w:p w14:paraId="39C75C1B" w14:textId="1AE9E884" w:rsidR="00DC4311" w:rsidRDefault="00DC4311" w:rsidP="00FA4814">
      <w:pPr>
        <w:spacing w:afterLines="60" w:after="144" w:line="360" w:lineRule="auto"/>
        <w:jc w:val="both"/>
        <w:rPr>
          <w:rFonts w:cstheme="minorHAnsi"/>
          <w:sz w:val="20"/>
          <w:szCs w:val="20"/>
        </w:rPr>
      </w:pPr>
    </w:p>
    <w:p w14:paraId="1A89CA7A" w14:textId="6573DC8C" w:rsidR="00DC4311" w:rsidRDefault="00DC4311" w:rsidP="00FA4814">
      <w:pPr>
        <w:spacing w:afterLines="60" w:after="144" w:line="360" w:lineRule="auto"/>
        <w:jc w:val="both"/>
        <w:rPr>
          <w:rFonts w:cstheme="minorHAnsi"/>
          <w:sz w:val="20"/>
          <w:szCs w:val="20"/>
        </w:rPr>
      </w:pPr>
    </w:p>
    <w:p w14:paraId="28E0D83A" w14:textId="41BC86CA" w:rsidR="00DC4311" w:rsidRDefault="00DC4311" w:rsidP="00FA4814">
      <w:pPr>
        <w:spacing w:afterLines="60" w:after="144" w:line="360" w:lineRule="auto"/>
        <w:jc w:val="both"/>
        <w:rPr>
          <w:rFonts w:cstheme="minorHAnsi"/>
          <w:sz w:val="20"/>
          <w:szCs w:val="20"/>
        </w:rPr>
      </w:pPr>
    </w:p>
    <w:p w14:paraId="788BC161" w14:textId="11465FC1" w:rsidR="00DC4311" w:rsidRDefault="00DC4311" w:rsidP="00FA4814">
      <w:pPr>
        <w:spacing w:afterLines="60" w:after="144" w:line="360" w:lineRule="auto"/>
        <w:jc w:val="both"/>
        <w:rPr>
          <w:rFonts w:cstheme="minorHAnsi"/>
          <w:sz w:val="20"/>
          <w:szCs w:val="20"/>
        </w:rPr>
      </w:pPr>
    </w:p>
    <w:p w14:paraId="6D3E712D" w14:textId="77777777" w:rsidR="00DC4311" w:rsidRPr="008877CE" w:rsidRDefault="00DC4311" w:rsidP="00DC4311">
      <w:pPr>
        <w:spacing w:after="200" w:line="480" w:lineRule="auto"/>
        <w:jc w:val="both"/>
        <w:rPr>
          <w:rFonts w:ascii="Arial" w:hAnsi="Arial" w:cs="Arial"/>
          <w:b/>
          <w:sz w:val="20"/>
          <w:szCs w:val="20"/>
        </w:rPr>
      </w:pPr>
      <w:r w:rsidRPr="008877CE">
        <w:rPr>
          <w:rFonts w:ascii="Arial" w:hAnsi="Arial" w:cs="Arial"/>
          <w:noProof/>
          <w:sz w:val="20"/>
          <w:szCs w:val="20"/>
        </w:rPr>
        <w:lastRenderedPageBreak/>
        <w:drawing>
          <wp:inline distT="0" distB="0" distL="0" distR="0" wp14:anchorId="0CFE7D18" wp14:editId="1A11C4DB">
            <wp:extent cx="5943600" cy="3137535"/>
            <wp:effectExtent l="0" t="0" r="0" b="0"/>
            <wp:docPr id="246" name="Image2"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 descr="图片包含 游戏机&#10;&#10;描述已自动生成"/>
                    <pic:cNvPicPr>
                      <a:picLocks noChangeAspect="1" noChangeArrowheads="1"/>
                    </pic:cNvPicPr>
                  </pic:nvPicPr>
                  <pic:blipFill>
                    <a:blip r:embed="rId79"/>
                    <a:stretch>
                      <a:fillRect/>
                    </a:stretch>
                  </pic:blipFill>
                  <pic:spPr bwMode="auto">
                    <a:xfrm>
                      <a:off x="0" y="0"/>
                      <a:ext cx="5943600" cy="3137535"/>
                    </a:xfrm>
                    <a:prstGeom prst="rect">
                      <a:avLst/>
                    </a:prstGeom>
                  </pic:spPr>
                </pic:pic>
              </a:graphicData>
            </a:graphic>
          </wp:inline>
        </w:drawing>
      </w:r>
    </w:p>
    <w:p w14:paraId="5B4BE717" w14:textId="669E7F3C" w:rsidR="00B145BE" w:rsidRPr="00DC4311" w:rsidRDefault="00DC4311" w:rsidP="00DC4311">
      <w:pPr>
        <w:spacing w:afterLines="60" w:after="144" w:line="360" w:lineRule="auto"/>
        <w:jc w:val="both"/>
        <w:rPr>
          <w:rFonts w:ascii="Arial" w:hAnsi="Arial" w:cs="Arial"/>
          <w:color w:val="000000" w:themeColor="text1"/>
          <w:sz w:val="20"/>
          <w:szCs w:val="20"/>
        </w:rPr>
      </w:pPr>
      <w:bookmarkStart w:id="343" w:name="_Toc39312734"/>
      <w:r w:rsidRPr="000D2B67">
        <w:rPr>
          <w:rFonts w:ascii="Calibri" w:eastAsia="等线" w:hAnsi="Calibri" w:cs="Times New Roman"/>
          <w:b/>
          <w:bCs/>
          <w:color w:val="000000" w:themeColor="text1"/>
          <w:kern w:val="24"/>
          <w:sz w:val="20"/>
          <w:szCs w:val="20"/>
        </w:rPr>
        <w:t>Fig</w:t>
      </w:r>
      <w:r w:rsidRPr="00DC4311">
        <w:rPr>
          <w:rFonts w:eastAsia="等线" w:cstheme="minorHAnsi"/>
          <w:b/>
          <w:bCs/>
          <w:color w:val="000000" w:themeColor="text1"/>
          <w:kern w:val="24"/>
          <w:sz w:val="20"/>
          <w:szCs w:val="20"/>
        </w:rPr>
        <w:t xml:space="preserve">ure. </w:t>
      </w:r>
      <w:r w:rsidRPr="00DC4311">
        <w:rPr>
          <w:rFonts w:cstheme="minorHAnsi"/>
          <w:b/>
          <w:sz w:val="20"/>
          <w:szCs w:val="18"/>
        </w:rPr>
        <w:t>7-</w:t>
      </w:r>
      <w:r w:rsidRPr="00DC4311">
        <w:rPr>
          <w:rFonts w:cstheme="minorHAnsi"/>
          <w:b/>
          <w:sz w:val="20"/>
        </w:rPr>
        <w:fldChar w:fldCharType="begin"/>
      </w:r>
      <w:r w:rsidRPr="00DC4311">
        <w:rPr>
          <w:rFonts w:cstheme="minorHAnsi"/>
          <w:b/>
          <w:sz w:val="20"/>
        </w:rPr>
        <w:instrText xml:space="preserve"> SEQ Figure \* ARABIC </w:instrText>
      </w:r>
      <w:r w:rsidRPr="00DC4311">
        <w:rPr>
          <w:rFonts w:cstheme="minorHAnsi"/>
          <w:b/>
          <w:sz w:val="20"/>
        </w:rPr>
        <w:fldChar w:fldCharType="separate"/>
      </w:r>
      <w:r w:rsidRPr="00DC4311">
        <w:rPr>
          <w:rFonts w:cstheme="minorHAnsi"/>
          <w:b/>
          <w:noProof/>
          <w:sz w:val="20"/>
        </w:rPr>
        <w:t>11</w:t>
      </w:r>
      <w:r w:rsidRPr="00DC4311">
        <w:rPr>
          <w:rFonts w:cstheme="minorHAnsi"/>
          <w:b/>
          <w:sz w:val="20"/>
        </w:rPr>
        <w:fldChar w:fldCharType="end"/>
      </w:r>
      <w:r w:rsidRPr="00DC4311">
        <w:rPr>
          <w:rFonts w:eastAsia="等线" w:cstheme="minorHAnsi"/>
          <w:b/>
          <w:bCs/>
          <w:color w:val="000000" w:themeColor="text1"/>
          <w:kern w:val="24"/>
          <w:sz w:val="20"/>
          <w:szCs w:val="20"/>
        </w:rPr>
        <w:t>.</w:t>
      </w:r>
      <w:r w:rsidRPr="00DC4311">
        <w:rPr>
          <w:rFonts w:cstheme="minorHAnsi"/>
          <w:color w:val="000000" w:themeColor="text1"/>
          <w:sz w:val="20"/>
          <w:szCs w:val="20"/>
        </w:rPr>
        <w:t xml:space="preserve"> </w:t>
      </w:r>
      <w:r w:rsidRPr="00DC4311">
        <w:rPr>
          <w:rFonts w:cstheme="minorHAnsi"/>
          <w:b/>
          <w:bCs/>
          <w:color w:val="000000" w:themeColor="text1"/>
          <w:sz w:val="20"/>
          <w:szCs w:val="20"/>
        </w:rPr>
        <w:t xml:space="preserve">OR analysis </w:t>
      </w:r>
      <w:r w:rsidRPr="00DC4311">
        <w:rPr>
          <w:rFonts w:cstheme="minorHAnsi"/>
          <w:b/>
          <w:bCs/>
          <w:sz w:val="20"/>
          <w:szCs w:val="20"/>
        </w:rPr>
        <w:t>o</w:t>
      </w:r>
      <w:r w:rsidRPr="00DC4311">
        <w:rPr>
          <w:rFonts w:cstheme="minorHAnsi"/>
          <w:b/>
          <w:sz w:val="20"/>
          <w:szCs w:val="20"/>
        </w:rPr>
        <w:t>f {351}&lt;1-12&gt;</w:t>
      </w:r>
      <w:r w:rsidRPr="00DC4311">
        <w:rPr>
          <w:rFonts w:cstheme="minorHAnsi"/>
          <w:b/>
          <w:sz w:val="20"/>
          <w:szCs w:val="20"/>
          <w:vertAlign w:val="subscript"/>
        </w:rPr>
        <w:t>α’’</w:t>
      </w:r>
      <w:r w:rsidRPr="00DC4311">
        <w:rPr>
          <w:rFonts w:cstheme="minorHAnsi"/>
          <w:b/>
          <w:sz w:val="20"/>
          <w:szCs w:val="20"/>
        </w:rPr>
        <w:t xml:space="preserve"> compound twin</w:t>
      </w:r>
      <w:r w:rsidRPr="00DC4311">
        <w:rPr>
          <w:rFonts w:cstheme="minorHAnsi"/>
          <w:color w:val="000000" w:themeColor="text1"/>
          <w:sz w:val="20"/>
          <w:szCs w:val="20"/>
        </w:rPr>
        <w:t xml:space="preserve"> (</w:t>
      </w:r>
      <w:r w:rsidRPr="00DC4311">
        <w:rPr>
          <w:rFonts w:cstheme="minorHAnsi"/>
          <w:b/>
          <w:bCs/>
          <w:color w:val="000000" w:themeColor="text1"/>
          <w:sz w:val="20"/>
          <w:szCs w:val="20"/>
        </w:rPr>
        <w:t>a</w:t>
      </w:r>
      <w:r w:rsidRPr="00DC4311">
        <w:rPr>
          <w:rFonts w:cstheme="minorHAnsi"/>
          <w:color w:val="000000" w:themeColor="text1"/>
          <w:sz w:val="20"/>
          <w:szCs w:val="20"/>
        </w:rPr>
        <w:t>) SADP of {351}&lt;1-12&gt;</w:t>
      </w:r>
      <w:r w:rsidRPr="00DC4311">
        <w:rPr>
          <w:rFonts w:cstheme="minorHAnsi"/>
          <w:color w:val="000000" w:themeColor="text1"/>
          <w:sz w:val="20"/>
          <w:szCs w:val="20"/>
          <w:vertAlign w:val="subscript"/>
        </w:rPr>
        <w:t>α’’</w:t>
      </w:r>
      <w:r w:rsidRPr="00DC4311">
        <w:rPr>
          <w:rFonts w:cstheme="minorHAnsi"/>
          <w:color w:val="000000" w:themeColor="text1"/>
          <w:sz w:val="20"/>
          <w:szCs w:val="20"/>
        </w:rPr>
        <w:t xml:space="preserve"> compound twin (same as Figure.3(b))</w:t>
      </w:r>
      <w:r w:rsidRPr="00DC4311">
        <w:rPr>
          <w:rFonts w:cstheme="minorHAnsi"/>
          <w:sz w:val="20"/>
          <w:szCs w:val="20"/>
        </w:rPr>
        <w:t xml:space="preserve"> taken along the [-101]</w:t>
      </w:r>
      <w:r w:rsidRPr="00DC4311">
        <w:rPr>
          <w:rFonts w:cstheme="minorHAnsi"/>
          <w:sz w:val="20"/>
          <w:szCs w:val="20"/>
          <w:vertAlign w:val="subscript"/>
        </w:rPr>
        <w:t>α’’V1</w:t>
      </w:r>
      <w:r w:rsidRPr="00DC4311">
        <w:rPr>
          <w:rFonts w:cstheme="minorHAnsi"/>
          <w:sz w:val="20"/>
          <w:szCs w:val="20"/>
        </w:rPr>
        <w:t>//[-110]</w:t>
      </w:r>
      <w:r w:rsidRPr="00DC4311">
        <w:rPr>
          <w:rFonts w:cstheme="minorHAnsi"/>
          <w:sz w:val="20"/>
          <w:szCs w:val="20"/>
          <w:vertAlign w:val="subscript"/>
        </w:rPr>
        <w:t>α’’V2</w:t>
      </w:r>
      <w:r w:rsidRPr="00DC4311">
        <w:rPr>
          <w:rFonts w:cstheme="minorHAnsi"/>
          <w:sz w:val="20"/>
          <w:szCs w:val="20"/>
        </w:rPr>
        <w:t>//[-112]</w:t>
      </w:r>
      <w:r w:rsidRPr="00DC4311">
        <w:rPr>
          <w:rFonts w:cstheme="minorHAnsi"/>
          <w:sz w:val="20"/>
          <w:szCs w:val="20"/>
          <w:vertAlign w:val="subscript"/>
        </w:rPr>
        <w:t>α’’V3&amp;V4</w:t>
      </w:r>
      <w:r w:rsidRPr="00DC4311">
        <w:rPr>
          <w:rFonts w:eastAsia="等线" w:cstheme="minorHAnsi"/>
          <w:sz w:val="20"/>
          <w:szCs w:val="20"/>
        </w:rPr>
        <w:t xml:space="preserve"> </w:t>
      </w:r>
      <w:r w:rsidRPr="00DC4311">
        <w:rPr>
          <w:rFonts w:cstheme="minorHAnsi"/>
          <w:sz w:val="20"/>
          <w:szCs w:val="20"/>
        </w:rPr>
        <w:t>zone axis</w:t>
      </w:r>
      <w:r w:rsidRPr="00DC4311">
        <w:rPr>
          <w:rFonts w:cstheme="minorHAnsi"/>
          <w:color w:val="000000" w:themeColor="text1"/>
          <w:sz w:val="20"/>
          <w:szCs w:val="20"/>
        </w:rPr>
        <w:t>. (</w:t>
      </w:r>
      <w:r w:rsidRPr="00DC4311">
        <w:rPr>
          <w:rFonts w:cstheme="minorHAnsi"/>
          <w:b/>
          <w:bCs/>
          <w:color w:val="000000" w:themeColor="text1"/>
          <w:sz w:val="20"/>
          <w:szCs w:val="20"/>
        </w:rPr>
        <w:t>b-d</w:t>
      </w:r>
      <w:r w:rsidRPr="00DC4311">
        <w:rPr>
          <w:rFonts w:cstheme="minorHAnsi"/>
          <w:color w:val="000000" w:themeColor="text1"/>
          <w:sz w:val="20"/>
          <w:szCs w:val="20"/>
        </w:rPr>
        <w:t xml:space="preserve">) Simulated diffraction pattern of </w:t>
      </w:r>
      <w:r w:rsidRPr="00DC4311">
        <w:rPr>
          <w:rFonts w:cstheme="minorHAnsi"/>
          <w:sz w:val="20"/>
          <w:szCs w:val="20"/>
        </w:rPr>
        <w:t>[-101]</w:t>
      </w:r>
      <w:r w:rsidRPr="00DC4311">
        <w:rPr>
          <w:rFonts w:cstheme="minorHAnsi"/>
          <w:sz w:val="20"/>
          <w:szCs w:val="20"/>
          <w:vertAlign w:val="subscript"/>
        </w:rPr>
        <w:t>α’’V1</w:t>
      </w:r>
      <w:r w:rsidRPr="00DC4311">
        <w:rPr>
          <w:rFonts w:cstheme="minorHAnsi"/>
          <w:sz w:val="20"/>
          <w:szCs w:val="20"/>
        </w:rPr>
        <w:t>, [-110]</w:t>
      </w:r>
      <w:r w:rsidRPr="00DC4311">
        <w:rPr>
          <w:rFonts w:cstheme="minorHAnsi"/>
          <w:sz w:val="20"/>
          <w:szCs w:val="20"/>
          <w:vertAlign w:val="subscript"/>
        </w:rPr>
        <w:t>α’’V2</w:t>
      </w:r>
      <w:r w:rsidRPr="00DC4311">
        <w:rPr>
          <w:rFonts w:cstheme="minorHAnsi"/>
          <w:sz w:val="20"/>
          <w:szCs w:val="20"/>
        </w:rPr>
        <w:t xml:space="preserve"> and [-112]</w:t>
      </w:r>
      <w:r w:rsidRPr="00DC4311">
        <w:rPr>
          <w:rFonts w:cstheme="minorHAnsi"/>
          <w:sz w:val="20"/>
          <w:szCs w:val="20"/>
          <w:vertAlign w:val="subscript"/>
        </w:rPr>
        <w:t>α’’V3&amp;V4</w:t>
      </w:r>
      <w:r w:rsidRPr="00DC4311">
        <w:rPr>
          <w:rFonts w:cstheme="minorHAnsi"/>
          <w:color w:val="000000" w:themeColor="text1"/>
          <w:sz w:val="20"/>
          <w:szCs w:val="20"/>
        </w:rPr>
        <w:t>. (</w:t>
      </w:r>
      <w:r w:rsidRPr="00DC4311">
        <w:rPr>
          <w:rFonts w:cstheme="minorHAnsi"/>
          <w:b/>
          <w:bCs/>
          <w:color w:val="000000" w:themeColor="text1"/>
          <w:sz w:val="20"/>
          <w:szCs w:val="20"/>
        </w:rPr>
        <w:t>e</w:t>
      </w:r>
      <w:r w:rsidRPr="00DC4311">
        <w:rPr>
          <w:rFonts w:cstheme="minorHAnsi"/>
          <w:color w:val="000000" w:themeColor="text1"/>
          <w:sz w:val="20"/>
          <w:szCs w:val="20"/>
        </w:rPr>
        <w:t xml:space="preserve">) Simulated SADP whose DPs arrangement is following </w:t>
      </w:r>
      <w:r>
        <w:rPr>
          <w:rFonts w:cstheme="minorHAnsi"/>
          <w:color w:val="000000" w:themeColor="text1"/>
          <w:sz w:val="20"/>
          <w:szCs w:val="20"/>
        </w:rPr>
        <w:t xml:space="preserve">the </w:t>
      </w:r>
      <w:r w:rsidRPr="00DC4311">
        <w:rPr>
          <w:rFonts w:cstheme="minorHAnsi"/>
          <w:color w:val="000000" w:themeColor="text1"/>
          <w:sz w:val="20"/>
          <w:szCs w:val="20"/>
        </w:rPr>
        <w:t>FFT of Fig.</w:t>
      </w:r>
      <w:r>
        <w:rPr>
          <w:rFonts w:cstheme="minorHAnsi"/>
          <w:color w:val="000000" w:themeColor="text1"/>
          <w:sz w:val="20"/>
          <w:szCs w:val="20"/>
        </w:rPr>
        <w:t xml:space="preserve"> 7-10</w:t>
      </w:r>
      <w:r w:rsidRPr="00DC4311">
        <w:rPr>
          <w:rFonts w:cstheme="minorHAnsi"/>
          <w:color w:val="000000" w:themeColor="text1"/>
          <w:sz w:val="20"/>
          <w:szCs w:val="20"/>
        </w:rPr>
        <w:t xml:space="preserve">. Showing </w:t>
      </w:r>
      <w:r w:rsidRPr="00DC4311">
        <w:rPr>
          <w:rFonts w:cstheme="minorHAnsi"/>
          <w:sz w:val="20"/>
          <w:szCs w:val="20"/>
        </w:rPr>
        <w:t>(111)</w:t>
      </w:r>
      <w:r w:rsidRPr="00DC4311">
        <w:rPr>
          <w:rFonts w:cstheme="minorHAnsi"/>
          <w:sz w:val="20"/>
          <w:szCs w:val="20"/>
          <w:vertAlign w:val="subscript"/>
        </w:rPr>
        <w:t>α’’V1</w:t>
      </w:r>
      <w:r w:rsidRPr="00DC4311">
        <w:rPr>
          <w:rFonts w:cstheme="minorHAnsi"/>
          <w:sz w:val="20"/>
          <w:szCs w:val="20"/>
        </w:rPr>
        <w:t>//</w:t>
      </w:r>
      <w:r w:rsidRPr="00DC4311">
        <w:rPr>
          <w:rFonts w:cstheme="minorHAnsi"/>
          <w:color w:val="000000" w:themeColor="text1"/>
          <w:sz w:val="20"/>
          <w:szCs w:val="20"/>
        </w:rPr>
        <w:t>(111)</w:t>
      </w:r>
      <w:r w:rsidRPr="00DC4311">
        <w:rPr>
          <w:rFonts w:cstheme="minorHAnsi"/>
          <w:sz w:val="20"/>
          <w:szCs w:val="20"/>
          <w:vertAlign w:val="subscript"/>
        </w:rPr>
        <w:t>α’’V2</w:t>
      </w:r>
      <w:r>
        <w:rPr>
          <w:rFonts w:cstheme="minorHAnsi"/>
          <w:sz w:val="20"/>
          <w:szCs w:val="20"/>
        </w:rPr>
        <w:t xml:space="preserve"> and</w:t>
      </w:r>
      <w:r w:rsidRPr="00DC4311">
        <w:rPr>
          <w:rFonts w:cstheme="minorHAnsi"/>
          <w:sz w:val="20"/>
          <w:szCs w:val="20"/>
        </w:rPr>
        <w:t xml:space="preserve"> (110)</w:t>
      </w:r>
      <w:r w:rsidRPr="00DC4311">
        <w:rPr>
          <w:rFonts w:cstheme="minorHAnsi"/>
          <w:sz w:val="20"/>
          <w:szCs w:val="20"/>
          <w:vertAlign w:val="subscript"/>
        </w:rPr>
        <w:t>α’’V2</w:t>
      </w:r>
      <w:r w:rsidRPr="00DC4311">
        <w:rPr>
          <w:rFonts w:cstheme="minorHAnsi"/>
          <w:sz w:val="20"/>
          <w:szCs w:val="20"/>
        </w:rPr>
        <w:t>//(110)</w:t>
      </w:r>
      <w:r w:rsidRPr="00DC4311">
        <w:rPr>
          <w:rFonts w:cstheme="minorHAnsi"/>
          <w:sz w:val="20"/>
          <w:szCs w:val="20"/>
          <w:vertAlign w:val="subscript"/>
        </w:rPr>
        <w:t>α’’V3</w:t>
      </w:r>
      <w:r w:rsidRPr="00DC4311">
        <w:rPr>
          <w:rFonts w:cstheme="minorHAnsi"/>
          <w:sz w:val="20"/>
          <w:szCs w:val="20"/>
        </w:rPr>
        <w:t>. (</w:t>
      </w:r>
      <w:r w:rsidRPr="00DC4311">
        <w:rPr>
          <w:rFonts w:cstheme="minorHAnsi"/>
          <w:b/>
          <w:bCs/>
          <w:sz w:val="20"/>
          <w:szCs w:val="20"/>
        </w:rPr>
        <w:t>f-h</w:t>
      </w:r>
      <w:r w:rsidRPr="00DC4311">
        <w:rPr>
          <w:rFonts w:cstheme="minorHAnsi"/>
          <w:sz w:val="20"/>
          <w:szCs w:val="20"/>
        </w:rPr>
        <w:t xml:space="preserve">) Stereographic projections of V1-V3, generated from the orientation data in (e). </w:t>
      </w:r>
      <w:r w:rsidRPr="00DC4311">
        <w:rPr>
          <w:rFonts w:cstheme="minorHAnsi"/>
          <w:color w:val="000000" w:themeColor="text1"/>
          <w:sz w:val="20"/>
          <w:szCs w:val="20"/>
        </w:rPr>
        <w:t>The special lattice correspondence: (351)[1-12][2-1-1]</w:t>
      </w:r>
      <w:r w:rsidRPr="00DC4311">
        <w:rPr>
          <w:rFonts w:cstheme="minorHAnsi"/>
          <w:color w:val="000000" w:themeColor="text1"/>
          <w:sz w:val="20"/>
          <w:szCs w:val="20"/>
          <w:vertAlign w:val="subscript"/>
        </w:rPr>
        <w:t>α’’V1</w:t>
      </w:r>
      <w:r w:rsidRPr="00DC4311">
        <w:rPr>
          <w:rFonts w:cstheme="minorHAnsi"/>
          <w:color w:val="000000" w:themeColor="text1"/>
          <w:sz w:val="20"/>
          <w:szCs w:val="20"/>
        </w:rPr>
        <w:t>//(351)[1-12][2-1-1]</w:t>
      </w:r>
      <w:r w:rsidRPr="00DC4311">
        <w:rPr>
          <w:rFonts w:cstheme="minorHAnsi"/>
          <w:color w:val="000000" w:themeColor="text1"/>
          <w:sz w:val="20"/>
          <w:szCs w:val="20"/>
          <w:vertAlign w:val="subscript"/>
        </w:rPr>
        <w:t>α’’V2&amp;v3</w:t>
      </w:r>
      <w:r w:rsidRPr="00DC4311">
        <w:rPr>
          <w:rFonts w:cstheme="minorHAnsi"/>
          <w:color w:val="000000" w:themeColor="text1"/>
          <w:sz w:val="20"/>
          <w:szCs w:val="20"/>
        </w:rPr>
        <w:t xml:space="preserve"> are highlighted.</w:t>
      </w:r>
      <w:bookmarkEnd w:id="343"/>
    </w:p>
    <w:p w14:paraId="09ED51B9" w14:textId="77777777" w:rsidR="00B145BE" w:rsidRPr="00F87370" w:rsidRDefault="00B145BE" w:rsidP="00B145BE">
      <w:pPr>
        <w:pStyle w:val="2"/>
        <w:spacing w:before="0" w:after="120" w:line="360" w:lineRule="auto"/>
        <w:rPr>
          <w:rFonts w:asciiTheme="minorHAnsi" w:hAnsiTheme="minorHAnsi"/>
          <w:b/>
          <w:color w:val="auto"/>
          <w:sz w:val="32"/>
          <w:lang w:bidi="hi-IN"/>
        </w:rPr>
      </w:pPr>
      <w:bookmarkStart w:id="344" w:name="_Toc22052558"/>
      <w:r w:rsidRPr="00F87370">
        <w:rPr>
          <w:rFonts w:asciiTheme="minorHAnsi" w:hAnsiTheme="minorHAnsi"/>
          <w:b/>
          <w:color w:val="auto"/>
          <w:sz w:val="32"/>
          <w:lang w:bidi="hi-IN"/>
        </w:rPr>
        <w:t>7.4 Discussion</w:t>
      </w:r>
      <w:bookmarkEnd w:id="344"/>
    </w:p>
    <w:p w14:paraId="7064DD0D" w14:textId="77777777" w:rsidR="00B145BE" w:rsidRDefault="00B145BE" w:rsidP="00B145BE">
      <w:pPr>
        <w:pStyle w:val="3"/>
        <w:rPr>
          <w:rFonts w:asciiTheme="minorHAnsi" w:hAnsiTheme="minorHAnsi" w:cstheme="minorHAnsi"/>
          <w:b/>
          <w:color w:val="auto"/>
          <w:sz w:val="32"/>
          <w:lang w:bidi="hi-IN"/>
        </w:rPr>
      </w:pPr>
      <w:bookmarkStart w:id="345" w:name="_Toc22052559"/>
      <w:r w:rsidRPr="00F87370">
        <w:rPr>
          <w:rFonts w:asciiTheme="minorHAnsi" w:hAnsiTheme="minorHAnsi"/>
          <w:b/>
          <w:color w:val="auto"/>
          <w:sz w:val="32"/>
          <w:lang w:bidi="hi-IN"/>
        </w:rPr>
        <w:t>7.4</w:t>
      </w:r>
      <w:r>
        <w:rPr>
          <w:rFonts w:asciiTheme="minorHAnsi" w:hAnsiTheme="minorHAnsi"/>
          <w:b/>
          <w:color w:val="auto"/>
          <w:sz w:val="32"/>
          <w:lang w:bidi="hi-IN"/>
        </w:rPr>
        <w:t>.</w:t>
      </w:r>
      <w:r w:rsidRPr="00BB2FD7">
        <w:rPr>
          <w:rFonts w:asciiTheme="minorHAnsi" w:hAnsiTheme="minorHAnsi" w:cstheme="minorHAnsi"/>
          <w:b/>
          <w:color w:val="auto"/>
          <w:sz w:val="32"/>
          <w:lang w:bidi="hi-IN"/>
        </w:rPr>
        <w:t xml:space="preserve">1 </w:t>
      </w:r>
      <w:r>
        <w:rPr>
          <w:rFonts w:asciiTheme="minorHAnsi" w:hAnsiTheme="minorHAnsi" w:cstheme="minorHAnsi"/>
          <w:b/>
          <w:color w:val="auto"/>
          <w:sz w:val="32"/>
          <w:lang w:bidi="hi-IN"/>
        </w:rPr>
        <w:t xml:space="preserve">Effect of TWIP/TRIP-enabled gradient structure on deformation </w:t>
      </w:r>
      <w:r w:rsidRPr="00BB2FD7">
        <w:rPr>
          <w:rFonts w:asciiTheme="minorHAnsi" w:hAnsiTheme="minorHAnsi" w:cstheme="minorHAnsi"/>
          <w:b/>
          <w:color w:val="auto"/>
          <w:sz w:val="32"/>
          <w:lang w:bidi="hi-IN"/>
        </w:rPr>
        <w:t>heterogeneity</w:t>
      </w:r>
      <w:bookmarkEnd w:id="345"/>
      <w:r>
        <w:rPr>
          <w:rFonts w:asciiTheme="minorHAnsi" w:hAnsiTheme="minorHAnsi" w:cstheme="minorHAnsi"/>
          <w:b/>
          <w:color w:val="auto"/>
          <w:sz w:val="32"/>
          <w:lang w:bidi="hi-IN"/>
        </w:rPr>
        <w:t xml:space="preserve"> </w:t>
      </w:r>
    </w:p>
    <w:p w14:paraId="68813A6D" w14:textId="77777777" w:rsidR="00B145BE" w:rsidRPr="007E043F" w:rsidRDefault="00B145BE" w:rsidP="00B145BE">
      <w:pPr>
        <w:rPr>
          <w:lang w:val="en-US" w:bidi="hi-IN"/>
        </w:rPr>
      </w:pPr>
    </w:p>
    <w:p w14:paraId="40AB476E" w14:textId="5A33F14B" w:rsidR="00B145BE" w:rsidRDefault="00B145BE" w:rsidP="00B145BE">
      <w:pPr>
        <w:spacing w:after="120" w:line="360" w:lineRule="auto"/>
        <w:jc w:val="both"/>
      </w:pPr>
      <w:r w:rsidRPr="00280CF9">
        <w:rPr>
          <w:noProof/>
        </w:rPr>
        <w:t xml:space="preserve">In </w:t>
      </w:r>
      <w:r>
        <w:rPr>
          <w:noProof/>
        </w:rPr>
        <w:t xml:space="preserve">the </w:t>
      </w:r>
      <w:r w:rsidRPr="00280CF9">
        <w:rPr>
          <w:noProof/>
        </w:rPr>
        <w:t xml:space="preserve">current alloy system, </w:t>
      </w:r>
      <w:r>
        <w:rPr>
          <w:noProof/>
        </w:rPr>
        <w:t xml:space="preserve">the </w:t>
      </w:r>
      <w:r w:rsidRPr="00280CF9">
        <w:rPr>
          <w:noProof/>
        </w:rPr>
        <w:t xml:space="preserve">aim </w:t>
      </w:r>
      <w:r>
        <w:rPr>
          <w:noProof/>
        </w:rPr>
        <w:t>was to</w:t>
      </w:r>
      <w:r w:rsidRPr="00280CF9">
        <w:rPr>
          <w:noProof/>
        </w:rPr>
        <w:t xml:space="preserve"> enable TTIP type SA twinning to mechanical twinning transformation</w:t>
      </w:r>
      <w:r>
        <w:rPr>
          <w:noProof/>
        </w:rPr>
        <w:t>. It has been shown that</w:t>
      </w:r>
      <w:r w:rsidRPr="00280CF9">
        <w:rPr>
          <w:noProof/>
        </w:rPr>
        <w:t xml:space="preserve"> the critical condition</w:t>
      </w:r>
      <w:r>
        <w:rPr>
          <w:noProof/>
        </w:rPr>
        <w:t xml:space="preserve"> for the occurrence of TTIP</w:t>
      </w:r>
      <w:r w:rsidRPr="00280CF9">
        <w:rPr>
          <w:noProof/>
        </w:rPr>
        <w:t xml:space="preserve"> is satisfied by</w:t>
      </w:r>
      <w:r>
        <w:rPr>
          <w:noProof/>
        </w:rPr>
        <w:t xml:space="preserve"> the</w:t>
      </w:r>
      <w:r w:rsidRPr="00280CF9">
        <w:rPr>
          <w:noProof/>
        </w:rPr>
        <w:t xml:space="preserve"> activat</w:t>
      </w:r>
      <w:r>
        <w:rPr>
          <w:noProof/>
        </w:rPr>
        <w:t>ion of</w:t>
      </w:r>
      <w:r w:rsidRPr="00280CF9">
        <w:rPr>
          <w:noProof/>
        </w:rPr>
        <w:t xml:space="preserve"> {351}&lt;-211&gt;</w:t>
      </w:r>
      <w:r w:rsidRPr="00280CF9">
        <w:rPr>
          <w:rFonts w:cstheme="minorHAnsi"/>
          <w:noProof/>
          <w:vertAlign w:val="subscript"/>
        </w:rPr>
        <w:t xml:space="preserve"> α’’</w:t>
      </w:r>
      <w:r w:rsidRPr="00280CF9">
        <w:rPr>
          <w:noProof/>
        </w:rPr>
        <w:t xml:space="preserve"> type II SA twinning</w:t>
      </w:r>
      <w:r>
        <w:rPr>
          <w:noProof/>
        </w:rPr>
        <w:t xml:space="preserve">, which is enabled by lowering the </w:t>
      </w:r>
      <w:r>
        <w:rPr>
          <w:rFonts w:cstheme="minorHAnsi"/>
          <w:noProof/>
        </w:rPr>
        <w:t>β phase stability by tailoring Ta content</w:t>
      </w:r>
      <w:r w:rsidRPr="00280CF9">
        <w:rPr>
          <w:noProof/>
        </w:rPr>
        <w:t>.</w:t>
      </w:r>
      <w:r>
        <w:t xml:space="preserve"> In agreement with the designing </w:t>
      </w:r>
      <w:r w:rsidRPr="002E4388">
        <w:t>purpose</w:t>
      </w:r>
      <w:r>
        <w:t>, reducing the Ta content further from (</w:t>
      </w:r>
      <w:r w:rsidRPr="00B30F33">
        <w:t>Ti</w:t>
      </w:r>
      <w:r>
        <w:t>ZrHf)</w:t>
      </w:r>
      <w:r>
        <w:rPr>
          <w:vertAlign w:val="subscript"/>
        </w:rPr>
        <w:t>85</w:t>
      </w:r>
      <w:r w:rsidRPr="00B30F33">
        <w:t>Ta</w:t>
      </w:r>
      <w:r w:rsidRPr="00B30F33">
        <w:rPr>
          <w:vertAlign w:val="subscript"/>
        </w:rPr>
        <w:t>1</w:t>
      </w:r>
      <w:r>
        <w:rPr>
          <w:vertAlign w:val="subscript"/>
        </w:rPr>
        <w:t xml:space="preserve">5 </w:t>
      </w:r>
      <w:r>
        <w:t>to (</w:t>
      </w:r>
      <w:r w:rsidRPr="00B30F33">
        <w:t>Ti</w:t>
      </w:r>
      <w:r>
        <w:t>ZrHf)</w:t>
      </w:r>
      <w:r>
        <w:rPr>
          <w:vertAlign w:val="subscript"/>
        </w:rPr>
        <w:t>87</w:t>
      </w:r>
      <w:r w:rsidRPr="00B30F33">
        <w:t>Ta</w:t>
      </w:r>
      <w:r w:rsidRPr="00B30F33">
        <w:rPr>
          <w:vertAlign w:val="subscript"/>
        </w:rPr>
        <w:t>1</w:t>
      </w:r>
      <w:r>
        <w:rPr>
          <w:vertAlign w:val="subscript"/>
        </w:rPr>
        <w:t>3</w:t>
      </w:r>
      <w:r>
        <w:t xml:space="preserve">, resulted in the lower Ta composition possessing </w:t>
      </w:r>
      <w:r>
        <w:rPr>
          <w:rFonts w:hint="eastAsia"/>
        </w:rPr>
        <w:t>optimised</w:t>
      </w:r>
      <w:r>
        <w:t xml:space="preserve"> </w:t>
      </w:r>
      <w:r w:rsidR="002F3A48">
        <w:t>work</w:t>
      </w:r>
      <w:r>
        <w:t>-hardening performance during tensile testing, which was attributed to the close cooperation between TRIP, TTIP and TWIP.</w:t>
      </w:r>
    </w:p>
    <w:p w14:paraId="05E02D04" w14:textId="6984074C" w:rsidR="00B145BE" w:rsidRDefault="008F6B4C" w:rsidP="00B145BE">
      <w:pPr>
        <w:spacing w:before="120" w:after="120" w:line="360" w:lineRule="auto"/>
        <w:jc w:val="both"/>
        <w:rPr>
          <w:rFonts w:cstheme="minorHAnsi"/>
        </w:rPr>
      </w:pPr>
      <w:r>
        <w:lastRenderedPageBreak/>
        <w:t>T</w:t>
      </w:r>
      <w:r w:rsidR="00B145BE">
        <w:t xml:space="preserve">he moderate volume difference between </w:t>
      </w:r>
      <w:r>
        <w:t xml:space="preserve">the </w:t>
      </w:r>
      <w:r w:rsidR="00B145BE">
        <w:rPr>
          <w:rFonts w:cs="Times New Roman"/>
        </w:rPr>
        <w:t>BCC</w:t>
      </w:r>
      <w:r w:rsidR="00B145BE">
        <w:t xml:space="preserve"> and orthorhombic structures </w:t>
      </w:r>
      <w:r>
        <w:t xml:space="preserve">drives the </w:t>
      </w:r>
      <w:r w:rsidR="00B145BE">
        <w:t xml:space="preserve">α’’ phase to arrange into various twinning related variants. This acts to minimise the overall shape change caused by the phase transformation. When progressively reduced </w:t>
      </w:r>
      <w:r w:rsidR="00B145BE">
        <w:rPr>
          <w:rFonts w:cstheme="minorHAnsi"/>
        </w:rPr>
        <w:t>β</w:t>
      </w:r>
      <w:r w:rsidR="00B145BE">
        <w:t xml:space="preserve"> phase stability, from </w:t>
      </w:r>
      <w:r w:rsidR="00B145BE" w:rsidRPr="000D2B67">
        <w:rPr>
          <w:rFonts w:ascii="Calibri" w:eastAsia="等线" w:hAnsi="Calibri" w:cs="Times New Roman"/>
          <w:color w:val="000000" w:themeColor="text1"/>
          <w:kern w:val="24"/>
          <w:sz w:val="20"/>
          <w:szCs w:val="20"/>
        </w:rPr>
        <w:t>(TiZrHf)</w:t>
      </w:r>
      <w:r w:rsidR="00B145BE" w:rsidRPr="000D2B67">
        <w:rPr>
          <w:rFonts w:ascii="Calibri" w:eastAsia="等线" w:hAnsi="Calibri" w:cs="Times New Roman"/>
          <w:color w:val="000000" w:themeColor="text1"/>
          <w:kern w:val="24"/>
          <w:position w:val="-6"/>
          <w:sz w:val="20"/>
          <w:szCs w:val="20"/>
          <w:vertAlign w:val="subscript"/>
        </w:rPr>
        <w:t>85</w:t>
      </w:r>
      <w:r w:rsidR="00B145BE" w:rsidRPr="000D2B67">
        <w:rPr>
          <w:rFonts w:ascii="Calibri" w:eastAsia="等线" w:hAnsi="Calibri" w:cs="Times New Roman"/>
          <w:color w:val="000000" w:themeColor="text1"/>
          <w:kern w:val="24"/>
          <w:sz w:val="20"/>
          <w:szCs w:val="20"/>
        </w:rPr>
        <w:t>Ta</w:t>
      </w:r>
      <w:r w:rsidR="00B145BE" w:rsidRPr="000D2B67">
        <w:rPr>
          <w:rFonts w:ascii="Calibri" w:eastAsia="等线" w:hAnsi="Calibri" w:cs="Times New Roman"/>
          <w:color w:val="000000" w:themeColor="text1"/>
          <w:kern w:val="24"/>
          <w:position w:val="-6"/>
          <w:sz w:val="20"/>
          <w:szCs w:val="20"/>
          <w:vertAlign w:val="subscript"/>
        </w:rPr>
        <w:t>15</w:t>
      </w:r>
      <w:r w:rsidR="00B145BE" w:rsidRPr="000D2B67">
        <w:rPr>
          <w:rFonts w:ascii="Calibri" w:eastAsia="等线" w:hAnsi="Calibri" w:cs="Times New Roman"/>
          <w:color w:val="000000" w:themeColor="text1"/>
          <w:kern w:val="24"/>
          <w:sz w:val="20"/>
          <w:szCs w:val="20"/>
        </w:rPr>
        <w:t xml:space="preserve"> </w:t>
      </w:r>
      <w:r w:rsidR="00B145BE">
        <w:rPr>
          <w:rFonts w:ascii="Calibri" w:eastAsia="等线" w:hAnsi="Calibri" w:cs="Times New Roman"/>
          <w:color w:val="000000" w:themeColor="text1"/>
          <w:kern w:val="24"/>
          <w:sz w:val="20"/>
          <w:szCs w:val="20"/>
        </w:rPr>
        <w:t>to</w:t>
      </w:r>
      <w:r w:rsidR="00B145BE">
        <w:t xml:space="preserve"> (</w:t>
      </w:r>
      <w:r w:rsidR="00B145BE" w:rsidRPr="00B30F33">
        <w:t>Ti</w:t>
      </w:r>
      <w:r w:rsidR="00B145BE">
        <w:t>ZrHf)</w:t>
      </w:r>
      <w:r w:rsidR="00B145BE" w:rsidRPr="00931776">
        <w:rPr>
          <w:vertAlign w:val="subscript"/>
        </w:rPr>
        <w:t>87</w:t>
      </w:r>
      <w:r w:rsidR="00B145BE" w:rsidRPr="00492316">
        <w:t>Ta</w:t>
      </w:r>
      <w:r w:rsidR="00B145BE" w:rsidRPr="00931776">
        <w:rPr>
          <w:vertAlign w:val="subscript"/>
        </w:rPr>
        <w:t>13</w:t>
      </w:r>
      <w:r w:rsidR="00B145BE">
        <w:t xml:space="preserve">, </w:t>
      </w:r>
      <w:r w:rsidR="00B145BE" w:rsidRPr="007E0455">
        <w:t xml:space="preserve">such behaviour </w:t>
      </w:r>
      <w:r w:rsidR="00B145BE">
        <w:t>causes</w:t>
      </w:r>
      <w:r w:rsidR="00B145BE" w:rsidRPr="007E0455">
        <w:t xml:space="preserve"> dynamic refining </w:t>
      </w:r>
      <w:r w:rsidR="00B145BE">
        <w:t xml:space="preserve">of </w:t>
      </w:r>
      <w:r w:rsidR="00B145BE" w:rsidRPr="007E0455">
        <w:t xml:space="preserve">the primary coarse grain into </w:t>
      </w:r>
      <w:r w:rsidR="00B145BE">
        <w:t xml:space="preserve">a </w:t>
      </w:r>
      <w:r w:rsidR="00B145BE" w:rsidRPr="007E0455">
        <w:t xml:space="preserve">heterogeneous hierarchical structure composed </w:t>
      </w:r>
      <w:r w:rsidR="00B145BE">
        <w:t>of</w:t>
      </w:r>
      <w:r w:rsidR="00B145BE" w:rsidRPr="007E0455">
        <w:t xml:space="preserve"> different types of α’’ SA twinning.</w:t>
      </w:r>
      <w:r w:rsidR="00B145BE">
        <w:t xml:space="preserve"> This effectively strengthens the material through TTIP enabled</w:t>
      </w:r>
      <w:r w:rsidR="00B145BE">
        <w:rPr>
          <w:rFonts w:cstheme="minorHAnsi"/>
        </w:rPr>
        <w:t xml:space="preserve"> features which span from the </w:t>
      </w:r>
      <w:r w:rsidR="00B145BE" w:rsidRPr="00EF7B02">
        <w:rPr>
          <w:rFonts w:cs="Times New Roman"/>
        </w:rPr>
        <w:t>μ</w:t>
      </w:r>
      <w:r w:rsidR="00B145BE" w:rsidRPr="00EF7B02">
        <w:rPr>
          <w:rFonts w:cstheme="minorHAnsi"/>
        </w:rPr>
        <w:t>m</w:t>
      </w:r>
      <w:r w:rsidR="00B145BE">
        <w:rPr>
          <w:rFonts w:cstheme="minorHAnsi"/>
        </w:rPr>
        <w:t xml:space="preserve"> scale primary </w:t>
      </w:r>
      <w:r w:rsidR="00B145BE" w:rsidRPr="008328A5">
        <w:rPr>
          <w:rFonts w:cstheme="minorHAnsi"/>
        </w:rPr>
        <w:t>α’’</w:t>
      </w:r>
      <w:r w:rsidR="00B145BE">
        <w:rPr>
          <w:rFonts w:cstheme="minorHAnsi"/>
        </w:rPr>
        <w:t xml:space="preserve"> variant to the nm scale with SA and mechanical </w:t>
      </w:r>
      <w:r w:rsidR="00B145BE" w:rsidRPr="008328A5">
        <w:rPr>
          <w:rFonts w:cstheme="minorHAnsi"/>
        </w:rPr>
        <w:t>α’’</w:t>
      </w:r>
      <w:r w:rsidR="00B145BE">
        <w:rPr>
          <w:rFonts w:cstheme="minorHAnsi"/>
        </w:rPr>
        <w:t xml:space="preserve"> twinned variants. Consequently, </w:t>
      </w:r>
      <w:r w:rsidR="0010724C">
        <w:rPr>
          <w:rFonts w:cstheme="minorHAnsi"/>
        </w:rPr>
        <w:t xml:space="preserve">this </w:t>
      </w:r>
      <w:r w:rsidR="00B145BE">
        <w:rPr>
          <w:rFonts w:cstheme="minorHAnsi"/>
        </w:rPr>
        <w:t>result</w:t>
      </w:r>
      <w:r w:rsidR="0010724C">
        <w:rPr>
          <w:rFonts w:cstheme="minorHAnsi"/>
        </w:rPr>
        <w:t>s</w:t>
      </w:r>
      <w:r w:rsidR="00B145BE">
        <w:rPr>
          <w:rFonts w:cstheme="minorHAnsi"/>
        </w:rPr>
        <w:t xml:space="preserve"> in </w:t>
      </w:r>
      <w:r w:rsidR="0010724C">
        <w:rPr>
          <w:rFonts w:cstheme="minorHAnsi"/>
        </w:rPr>
        <w:t xml:space="preserve">the </w:t>
      </w:r>
      <w:r w:rsidR="00B145BE">
        <w:rPr>
          <w:rFonts w:cstheme="minorHAnsi"/>
        </w:rPr>
        <w:t xml:space="preserve">formation of abundant coherent nanoscale interfaces, which can effectively strengthen the materials. </w:t>
      </w:r>
      <w:r w:rsidR="00B145BE" w:rsidRPr="00BB2FD7">
        <w:rPr>
          <w:rFonts w:cstheme="minorHAnsi"/>
        </w:rPr>
        <w:t xml:space="preserve">The heterogeneous deformation between larger and smaller grains is </w:t>
      </w:r>
      <w:r w:rsidR="00B145BE">
        <w:rPr>
          <w:rFonts w:cstheme="minorHAnsi"/>
        </w:rPr>
        <w:t xml:space="preserve">also </w:t>
      </w:r>
      <w:r w:rsidR="00B145BE" w:rsidRPr="00BB2FD7">
        <w:rPr>
          <w:rFonts w:cstheme="minorHAnsi"/>
        </w:rPr>
        <w:t xml:space="preserve">beneficial to the high </w:t>
      </w:r>
      <w:r w:rsidR="002F3A48">
        <w:rPr>
          <w:rFonts w:cstheme="minorHAnsi"/>
        </w:rPr>
        <w:t>work</w:t>
      </w:r>
      <w:r w:rsidR="00B145BE" w:rsidRPr="00BB2FD7">
        <w:rPr>
          <w:rFonts w:cstheme="minorHAnsi"/>
        </w:rPr>
        <w:t xml:space="preserve"> hardening rate.</w:t>
      </w:r>
      <w:r w:rsidR="00B145BE">
        <w:rPr>
          <w:rFonts w:cstheme="minorHAnsi"/>
        </w:rPr>
        <w:t xml:space="preserve"> The TTIP resultant strain gradient and fluctuation of stress states which in turn activate geometrically necessary dislocations (GND) and encourage the pile up of dislocations </w:t>
      </w:r>
      <w:r w:rsidR="00B145BE">
        <w:rPr>
          <w:rFonts w:cstheme="minorHAnsi"/>
        </w:rPr>
        <w:fldChar w:fldCharType="begin" w:fldLock="1"/>
      </w:r>
      <w:r w:rsidR="00B145BE">
        <w:rPr>
          <w:rFonts w:cstheme="minorHAnsi"/>
        </w:rPr>
        <w:instrText>ADDIN CSL_CITATION {"citationItems":[{"id":"ITEM-1","itemData":{"DOI":"10.1073/pnas.1517193112","ISSN":"0027-8424","abstract":"Grain refinement can make conventional metals several times stronger, but this comes at dramatic loss of ductility. Here we report a heterogeneous lamella structure in Ti produced by asymmetric rolling and partial recrystallization that can produce an unprecedented property combination: as strong as ultrafine-grained metal and at the same time as ductile as conventional coarse-grained metal. It also has higher strain hardening than coarse-grained Ti, which was hitherto believed impossible. The heterogeneous lamella structure is characterized with soft micrograined lamellae embedded in hard ultrafine-grained lamella matrix. The unusual high strength is obtained with the assistance of high back stress developed from heterogeneous yielding, whereas the high ductility is attributed to back-stress hardening and dislocation hardening. The process discovered here is amenable to large-scale industrial production at low cost, and might be applicable to other metal systems.","author":[{"dropping-particle":"","family":"Wu","given":"Xiaolei","non-dropping-particle":"","parse-names":false,"suffix":""},{"dropping-particle":"","family":"Yang","given":"Muxin","non-dropping-particle":"","parse-names":false,"suffix":""},{"dropping-particle":"","family":"Yuan","given":"Fuping","non-dropping-particle":"","parse-names":false,"suffix":""},{"dropping-particle":"","family":"Wu","given":"Guilin","non-dropping-particle":"","parse-names":false,"suffix":""},{"dropping-particle":"","family":"Wei","given":"Yujie","non-dropping-particle":"","parse-names":false,"suffix":""},{"dropping-particle":"","family":"Huang","given":"Xiaoxu","non-dropping-particle":"","parse-names":false,"suffix":""},{"dropping-particle":"","family":"Zhu","given":"Yuntian","non-dropping-particle":"","parse-names":false,"suffix":""}],"container-title":"Proceedings of the National Academy of Sciences","id":"ITEM-1","issued":{"date-parts":[["2015"]]},"title":"Heterogeneous lamella structure unites ultrafine-grain strength with coarse-grain ductility","type":"article-journal"},"uris":["http://www.mendeley.com/documents/?uuid=3461c21e-1ea7-4e35-90e4-84d589f26ea0"]},{"id":"ITEM-2","itemData":{"DOI":"10.1080/14786437008238426","ISSN":"00318086","abstract":"The model provides an explanation for the way in which the stress-strain curve is influenced by a dispersion of particles, and by grain size","author":[{"dropping-particle":"","family":"Ashby","given":"M. F.","non-dropping-particle":"","parse-names":false,"suffix":""}],"container-title":"Philosophical Magazine","id":"ITEM-2","issued":{"date-parts":[["1970"]]},"title":"The deformation of plastically non-homogeneous materials","type":"article-journal"},"uris":["http://www.mendeley.com/documents/?uuid=da5d47f3-3b99-475c-b970-bb141d390248"]},{"id":"ITEM-3","itemData":{"DOI":"10.1016/S1359-6462(02)00329-9","ISSN":"13596462","abstract":"There has recently been a strong interest in modeling size-dependent plasticity in metals based on the concept of geometrically necessary dislocations. This article presents a brief summary of our viewpoints on geometrically necessary dislocations and their role in the development of continuum plasticity theories with an intrinsic material length scale.","author":[{"dropping-particle":"","family":"Gao","given":"Huajian","non-dropping-particle":"","parse-names":false,"suffix":""},{"dropping-particle":"","family":"Huang","given":"Yonggang","non-dropping-particle":"","parse-names":false,"suffix":""}],"container-title":"Scripta Materialia","id":"ITEM-3","issued":{"date-parts":[["2003"]]},"title":"Geometrically necessary dislocation and size-dependent plasticity","type":"article-journal"},"uris":["http://www.mendeley.com/documents/?uuid=7bc32281-37a5-4ae3-8d25-a25370741034"]},{"id":"ITEM-4","itemData":{"DOI":"10.1016/S0022-5096(98)00103-3","ISSN":"00225096","abstract":"A mechanism-based theory of strain gradient plasticity (MSG) is proposed based on a multiscale framework linking the microscale notion of statistically stored and geometrically necessary dislocations to the mesoscale notion of plastic strain and strain gradient. This theory is motivated by the analysis of indentation experiments which strongly suggest a linear dependence of the square of plastic flow stress on strain gradient. It is believed that a mesoscale theory of plasticity should not only be based on stress-strain behavior obtained from macroscopic mechanical tests, but should also draw information from micromechanical, gradient-dominant tests.","author":[{"dropping-particle":"","family":"Gao","given":"H.","non-dropping-particle":"","parse-names":false,"suffix":""},{"dropping-particle":"","family":"Huang","given":"Y.","non-dropping-particle":"","parse-names":false,"suffix":""},{"dropping-particle":"","family":"Nix","given":"W. D.","non-dropping-particle":"","parse-names":false,"suffix":""},{"dropping-particle":"","family":"Hutchinson","given":"J. W.","non-dropping-particle":"","parse-names":false,"suffix":""}],"container-title":"Journal of the Mechanics and Physics of Solids","id":"ITEM-4","issued":{"date-parts":[["1999"]]},"title":"Mechanism-based strain gradient plasticity - I. Theory","type":"article-journal"},"uris":["http://www.mendeley.com/documents/?uuid=c4f0b5f3-9af8-4703-b32c-764118e4ca72"]}],"mendeley":{"formattedCitation":"[23–26]","plainTextFormattedCitation":"[23–26]","previouslyFormattedCitation":"[38–41]"},"properties":{"noteIndex":0},"schema":"https://github.com/citation-style-language/schema/raw/master/csl-citation.json"}</w:instrText>
      </w:r>
      <w:r w:rsidR="00B145BE">
        <w:rPr>
          <w:rFonts w:cstheme="minorHAnsi"/>
        </w:rPr>
        <w:fldChar w:fldCharType="separate"/>
      </w:r>
      <w:r w:rsidR="00B145BE" w:rsidRPr="00681C64">
        <w:rPr>
          <w:rFonts w:cstheme="minorHAnsi"/>
          <w:noProof/>
        </w:rPr>
        <w:t>[23–26]</w:t>
      </w:r>
      <w:r w:rsidR="00B145BE">
        <w:rPr>
          <w:rFonts w:cstheme="minorHAnsi"/>
        </w:rPr>
        <w:fldChar w:fldCharType="end"/>
      </w:r>
      <w:r w:rsidR="00B145BE">
        <w:rPr>
          <w:rFonts w:cstheme="minorHAnsi"/>
        </w:rPr>
        <w:t xml:space="preserve">. This is evidenced in the increased GND density </w:t>
      </w:r>
      <w:r w:rsidR="00B145BE" w:rsidRPr="00E628D3">
        <w:rPr>
          <w:rFonts w:cstheme="minorHAnsi"/>
        </w:rPr>
        <w:t>(</w:t>
      </w:r>
      <w:r w:rsidR="00B145BE">
        <w:rPr>
          <w:rFonts w:cstheme="minorHAnsi"/>
        </w:rPr>
        <w:t>Fig. 7-1</w:t>
      </w:r>
      <w:r w:rsidR="003D6AE9">
        <w:rPr>
          <w:rFonts w:cstheme="minorHAnsi"/>
        </w:rPr>
        <w:t>2</w:t>
      </w:r>
      <w:r w:rsidR="00B145BE" w:rsidRPr="00E628D3">
        <w:rPr>
          <w:rFonts w:cstheme="minorHAnsi"/>
        </w:rPr>
        <w:t>)</w:t>
      </w:r>
      <w:r w:rsidR="00B145BE">
        <w:rPr>
          <w:rFonts w:cstheme="minorHAnsi"/>
        </w:rPr>
        <w:t xml:space="preserve"> as a function of increasing tensile strain </w:t>
      </w:r>
      <w:r w:rsidR="00B145BE">
        <w:rPr>
          <w:rFonts w:cstheme="minorHAnsi"/>
        </w:rPr>
        <w:fldChar w:fldCharType="begin" w:fldLock="1"/>
      </w:r>
      <w:r w:rsidR="00B145BE">
        <w:rPr>
          <w:rFonts w:cstheme="minorHAnsi"/>
        </w:rPr>
        <w:instrText>ADDIN CSL_CITATION {"citationItems":[{"id":"ITEM-1","itemData":{"DOI":"10.1080/21663831.2016.1153004","ISSN":"21663831","abstract":"We report significant back stress strengthening and strain hardening in gradient structured (GS) interstitial-free (IF) steel. Back stress is long-range stress caused by the pileup of geometrically necessary dislocations (GNDs). A simple equation and a procedure are developed to calculate back stress basing on its formation physics from the tensile unloading–reloading hysteresis loop. The gradient structure has mechanical incompatibility due to its grain size gradient. This induces strain gradient, which needs to be accommodated by GNDs. Back stress not only raises the yield strength but also significantly enhances strain hardening to increase the ductility.Impact Statement: Gradient structure leads to high back stress hardening to increase strength and ductility. A physically sound equation is derived to calculate the back stress from an unloading/reloading hysteresis loop.","author":[{"dropping-particle":"","family":"Yang","given":"Muxin","non-dropping-particle":"","parse-names":false,"suffix":""},{"dropping-particle":"","family":"Pan","given":"Yue","non-dropping-particle":"","parse-names":false,"suffix":""},{"dropping-particle":"","family":"Yuan","given":"Fuping","non-dropping-particle":"","parse-names":false,"suffix":""},{"dropping-particle":"","family":"Zhu","given":"Yuntian","non-dropping-particle":"","parse-names":false,"suffix":""},{"dropping-particle":"","family":"Wu","given":"Xiaolei","non-dropping-particle":"","parse-names":false,"suffix":""}],"container-title":"Materials Research Letters","id":"ITEM-1","issued":{"date-parts":[["2016"]]},"title":"Back stress strengthening and strain hardening in gradient structure","type":"article-journal"},"uris":["http://www.mendeley.com/documents/?uuid=adae853c-456b-43c8-9ef3-e63d2ece851e"]},{"id":"ITEM-2","itemData":{"DOI":"10.1073/pnas.1517193112","ISSN":"0027-8424","abstract":"Grain refinement can make conventional metals several times stronger, but this comes at dramatic loss of ductility. Here we report a heterogeneous lamella structure in Ti produced by asymmetric rolling and partial recrystallization that can produce an unprecedented property combination: as strong as ultrafine-grained metal and at the same time as ductile as conventional coarse-grained metal. It also has higher strain hardening than coarse-grained Ti, which was hitherto believed impossible. The heterogeneous lamella structure is characterized with soft micrograined lamellae embedded in hard ultrafine-grained lamella matrix. The unusual high strength is obtained with the assistance of high back stress developed from heterogeneous yielding, whereas the high ductility is attributed to back-stress hardening and dislocation hardening. The process discovered here is amenable to large-scale industrial production at low cost, and might be applicable to other metal systems.","author":[{"dropping-particle":"","family":"Wu","given":"Xiaolei","non-dropping-particle":"","parse-names":false,"suffix":""},{"dropping-particle":"","family":"Yang","given":"Muxin","non-dropping-particle":"","parse-names":false,"suffix":""},{"dropping-particle":"","family":"Yuan","given":"Fuping","non-dropping-particle":"","parse-names":false,"suffix":""},{"dropping-particle":"","family":"Wu","given":"Guilin","non-dropping-particle":"","parse-names":false,"suffix":""},{"dropping-particle":"","family":"Wei","given":"Yujie","non-dropping-particle":"","parse-names":false,"suffix":""},{"dropping-particle":"","family":"Huang","given":"Xiaoxu","non-dropping-particle":"","parse-names":false,"suffix":""},{"dropping-particle":"","family":"Zhu","given":"Yuntian","non-dropping-particle":"","parse-names":false,"suffix":""}],"container-title":"Proceedings of the National Academy of Sciences","id":"ITEM-2","issued":{"date-parts":[["2015"]]},"title":"Heterogeneous lamella structure unites ultrafine-grain strength with coarse-grain ductility","type":"article-journal"},"uris":["http://www.mendeley.com/documents/?uuid=3461c21e-1ea7-4e35-90e4-84d589f26ea0"]},{"id":"ITEM-3","itemData":{"DOI":"10.1080/21663831.2017.1343208","ISSN":"21663831","abstract":"ABSTRACTHere we present a perspective on heterogeneous materials, a new class of materials possessing superior combinations of strength and ductility that are not accessible to their homogeneous counterparts. Heterogeneous materials consist of domains with dramatic strength differences. The domain sizes may vary in the range of micrometers to millimeters. Large strain gradients near domain interfaces are produced during deformation, which produces a significant back-stress to strengthen the material and to produce high back-stress work hardening for good ductility. High interface density is required to maximize the back-stress, which is a new strengthening mechanism for improving mechanical properties.","author":[{"dropping-particle":"","family":"Wu","given":"Xiaolei","non-dropping-particle":"","parse-names":false,"suffix":""},{"dropping-particle":"","family":"Zhu","given":"Yuntian","non-dropping-particle":"","parse-names":false,"suffix":""}],"container-title":"Materials Research Letters","id":"ITEM-3","issued":{"date-parts":[["2017"]]},"title":"Heterogeneous materials: a new class of materials with unprecedented mechanical properties","type":"article-journal"},"uris":["http://www.mendeley.com/documents/?uuid=5b75252e-7a3a-4221-a104-af7ff5f42849"]}],"mendeley":{"formattedCitation":"[23,27,28]","plainTextFormattedCitation":"[23,27,28]","previouslyFormattedCitation":"[38,42,43]"},"properties":{"noteIndex":0},"schema":"https://github.com/citation-style-language/schema/raw/master/csl-citation.json"}</w:instrText>
      </w:r>
      <w:r w:rsidR="00B145BE">
        <w:rPr>
          <w:rFonts w:cstheme="minorHAnsi"/>
        </w:rPr>
        <w:fldChar w:fldCharType="separate"/>
      </w:r>
      <w:r w:rsidR="00B145BE" w:rsidRPr="00681C64">
        <w:rPr>
          <w:rFonts w:cstheme="minorHAnsi"/>
          <w:noProof/>
        </w:rPr>
        <w:t>[23,27,28]</w:t>
      </w:r>
      <w:r w:rsidR="00B145BE">
        <w:rPr>
          <w:rFonts w:cstheme="minorHAnsi"/>
        </w:rPr>
        <w:fldChar w:fldCharType="end"/>
      </w:r>
      <w:r w:rsidR="00B145BE">
        <w:rPr>
          <w:rFonts w:cstheme="minorHAnsi"/>
        </w:rPr>
        <w:t xml:space="preserve">. Known as long range stress which results from GND pile up, back stress was accepted as crucial to strengthening the gradient structure. Through comparing the GND density of different strain level, the magnitude of the back </w:t>
      </w:r>
      <w:r w:rsidR="00B145BE" w:rsidRPr="00000D74">
        <w:rPr>
          <w:rFonts w:cstheme="minorHAnsi"/>
        </w:rPr>
        <w:t>strengthening</w:t>
      </w:r>
      <w:r w:rsidR="00B145BE">
        <w:rPr>
          <w:rFonts w:cstheme="minorHAnsi"/>
        </w:rPr>
        <w:t xml:space="preserve"> can be evaluated</w:t>
      </w:r>
      <w:r w:rsidR="00B145BE" w:rsidRPr="00000D74">
        <w:rPr>
          <w:rFonts w:cstheme="minorHAnsi"/>
        </w:rPr>
        <w:t xml:space="preserve">. With a </w:t>
      </w:r>
      <w:r w:rsidR="00B145BE">
        <w:rPr>
          <w:rFonts w:cstheme="minorHAnsi"/>
        </w:rPr>
        <w:t>rapid</w:t>
      </w:r>
      <w:r w:rsidR="00B145BE" w:rsidRPr="00000D74">
        <w:rPr>
          <w:rFonts w:cstheme="minorHAnsi"/>
        </w:rPr>
        <w:t xml:space="preserve"> increase from 0.97(</w:t>
      </w:r>
      <w:r w:rsidR="00B145BE" w:rsidRPr="00000D74">
        <w:rPr>
          <w:rFonts w:ascii="Calibri" w:eastAsia="+mn-ea" w:hAnsi="Calibri" w:cs="+mn-cs"/>
          <w:color w:val="000000"/>
          <w:kern w:val="24"/>
        </w:rPr>
        <w:t>10</w:t>
      </w:r>
      <w:r w:rsidR="00B145BE" w:rsidRPr="00000D74">
        <w:rPr>
          <w:rFonts w:ascii="Calibri" w:eastAsia="+mn-ea" w:hAnsi="Calibri" w:cs="+mn-cs"/>
          <w:color w:val="000000"/>
          <w:kern w:val="24"/>
          <w:position w:val="5"/>
          <w:vertAlign w:val="superscript"/>
        </w:rPr>
        <w:t>14</w:t>
      </w:r>
      <w:r w:rsidR="00B145BE" w:rsidRPr="00000D74">
        <w:rPr>
          <w:rFonts w:ascii="Calibri" w:eastAsia="+mn-ea" w:hAnsi="Calibri" w:cs="+mn-cs"/>
          <w:color w:val="000000"/>
          <w:kern w:val="24"/>
        </w:rPr>
        <w:t>/m</w:t>
      </w:r>
      <w:r w:rsidR="00B145BE" w:rsidRPr="00000D74">
        <w:rPr>
          <w:rFonts w:ascii="Calibri" w:eastAsia="+mn-ea" w:hAnsi="Calibri" w:cs="+mn-cs"/>
          <w:color w:val="000000"/>
          <w:kern w:val="24"/>
          <w:position w:val="5"/>
          <w:vertAlign w:val="superscript"/>
        </w:rPr>
        <w:t>2</w:t>
      </w:r>
      <w:r w:rsidR="00B145BE" w:rsidRPr="00000D74">
        <w:rPr>
          <w:rFonts w:cstheme="minorHAnsi"/>
        </w:rPr>
        <w:t xml:space="preserve">) at </w:t>
      </w:r>
      <w:r w:rsidR="003D6AE9">
        <w:rPr>
          <w:rFonts w:cstheme="minorHAnsi"/>
        </w:rPr>
        <w:t>3</w:t>
      </w:r>
      <w:r w:rsidR="00B145BE" w:rsidRPr="00000D74">
        <w:rPr>
          <w:rFonts w:cstheme="minorHAnsi"/>
        </w:rPr>
        <w:t xml:space="preserve">% strain </w:t>
      </w:r>
      <w:r w:rsidR="00B145BE" w:rsidRPr="00000D74">
        <w:rPr>
          <w:rFonts w:cstheme="minorHAnsi" w:hint="eastAsia"/>
        </w:rPr>
        <w:t>to</w:t>
      </w:r>
      <w:r w:rsidR="00B145BE" w:rsidRPr="00000D74">
        <w:rPr>
          <w:rFonts w:cstheme="minorHAnsi"/>
        </w:rPr>
        <w:t xml:space="preserve"> 1</w:t>
      </w:r>
      <w:r w:rsidR="0001676C">
        <w:rPr>
          <w:rFonts w:cstheme="minorHAnsi"/>
        </w:rPr>
        <w:t>3</w:t>
      </w:r>
      <w:r w:rsidR="00B145BE" w:rsidRPr="00000D74">
        <w:rPr>
          <w:rFonts w:cstheme="minorHAnsi"/>
        </w:rPr>
        <w:t>(</w:t>
      </w:r>
      <w:r w:rsidR="00B145BE" w:rsidRPr="00000D74">
        <w:rPr>
          <w:rFonts w:ascii="Calibri" w:eastAsia="+mn-ea" w:hAnsi="Calibri" w:cs="+mn-cs"/>
          <w:color w:val="000000"/>
          <w:kern w:val="24"/>
        </w:rPr>
        <w:t>10</w:t>
      </w:r>
      <w:r w:rsidR="00B145BE" w:rsidRPr="00000D74">
        <w:rPr>
          <w:rFonts w:ascii="Calibri" w:eastAsia="+mn-ea" w:hAnsi="Calibri" w:cs="+mn-cs"/>
          <w:color w:val="000000"/>
          <w:kern w:val="24"/>
          <w:position w:val="5"/>
          <w:vertAlign w:val="superscript"/>
        </w:rPr>
        <w:t>14</w:t>
      </w:r>
      <w:r w:rsidR="00B145BE" w:rsidRPr="00000D74">
        <w:rPr>
          <w:rFonts w:ascii="Calibri" w:eastAsia="+mn-ea" w:hAnsi="Calibri" w:cs="+mn-cs"/>
          <w:color w:val="000000"/>
          <w:kern w:val="24"/>
        </w:rPr>
        <w:t>/m</w:t>
      </w:r>
      <w:r w:rsidR="00B145BE" w:rsidRPr="00000D74">
        <w:rPr>
          <w:rFonts w:ascii="Calibri" w:eastAsia="+mn-ea" w:hAnsi="Calibri" w:cs="+mn-cs"/>
          <w:color w:val="000000"/>
          <w:kern w:val="24"/>
          <w:position w:val="5"/>
          <w:vertAlign w:val="superscript"/>
        </w:rPr>
        <w:t>2</w:t>
      </w:r>
      <w:r w:rsidR="00B145BE" w:rsidRPr="00000D74">
        <w:rPr>
          <w:rFonts w:cstheme="minorHAnsi"/>
        </w:rPr>
        <w:t xml:space="preserve">) at </w:t>
      </w:r>
      <w:r w:rsidR="003D6AE9">
        <w:rPr>
          <w:rFonts w:cstheme="minorHAnsi"/>
        </w:rPr>
        <w:t>9</w:t>
      </w:r>
      <w:r w:rsidR="00B145BE">
        <w:rPr>
          <w:rFonts w:cstheme="minorHAnsi"/>
        </w:rPr>
        <w:t>% strain</w:t>
      </w:r>
      <w:r w:rsidR="00B145BE" w:rsidRPr="00000D74">
        <w:rPr>
          <w:rFonts w:cstheme="minorHAnsi"/>
        </w:rPr>
        <w:t xml:space="preserve">, the </w:t>
      </w:r>
      <w:r w:rsidR="00B145BE">
        <w:rPr>
          <w:rFonts w:cstheme="minorHAnsi"/>
        </w:rPr>
        <w:t xml:space="preserve">GND density </w:t>
      </w:r>
      <w:r w:rsidR="00B145BE" w:rsidRPr="006B3536">
        <w:rPr>
          <w:rFonts w:cstheme="minorHAnsi"/>
        </w:rPr>
        <w:t xml:space="preserve">variation </w:t>
      </w:r>
      <w:r w:rsidR="00B145BE">
        <w:rPr>
          <w:rFonts w:cstheme="minorHAnsi"/>
        </w:rPr>
        <w:t>shares the similar increasing</w:t>
      </w:r>
      <w:r w:rsidR="00B145BE" w:rsidRPr="006B3536">
        <w:rPr>
          <w:rFonts w:cstheme="minorHAnsi"/>
        </w:rPr>
        <w:t xml:space="preserve"> trend as</w:t>
      </w:r>
      <w:r w:rsidR="00B145BE">
        <w:rPr>
          <w:rFonts w:cstheme="minorHAnsi"/>
        </w:rPr>
        <w:t xml:space="preserve"> the</w:t>
      </w:r>
      <w:r w:rsidR="00B145BE" w:rsidRPr="006B3536">
        <w:rPr>
          <w:rFonts w:cstheme="minorHAnsi"/>
        </w:rPr>
        <w:t xml:space="preserve"> twinning density and martensite phase fraction</w:t>
      </w:r>
      <w:r w:rsidR="00B145BE">
        <w:rPr>
          <w:rFonts w:cstheme="minorHAnsi"/>
        </w:rPr>
        <w:t>, as shown in</w:t>
      </w:r>
      <w:r w:rsidR="00B145BE" w:rsidRPr="006B3536">
        <w:rPr>
          <w:rFonts w:cstheme="minorHAnsi"/>
        </w:rPr>
        <w:t xml:space="preserve"> Fig. 7-1</w:t>
      </w:r>
      <w:r w:rsidR="003D6AE9">
        <w:rPr>
          <w:rFonts w:cstheme="minorHAnsi"/>
        </w:rPr>
        <w:t>2</w:t>
      </w:r>
      <w:r w:rsidR="00B145BE" w:rsidRPr="006B3536">
        <w:rPr>
          <w:rFonts w:cstheme="minorHAnsi"/>
        </w:rPr>
        <w:t>g</w:t>
      </w:r>
      <w:r w:rsidR="00B145BE">
        <w:rPr>
          <w:rFonts w:cstheme="minorHAnsi"/>
        </w:rPr>
        <w:t>. Therefore, it is concluded that</w:t>
      </w:r>
      <w:r w:rsidR="00B145BE" w:rsidRPr="006B3536">
        <w:rPr>
          <w:rFonts w:cstheme="minorHAnsi"/>
        </w:rPr>
        <w:t xml:space="preserve"> the back</w:t>
      </w:r>
      <w:r w:rsidR="00B145BE">
        <w:rPr>
          <w:rFonts w:cstheme="minorHAnsi"/>
        </w:rPr>
        <w:t>-</w:t>
      </w:r>
      <w:r w:rsidR="00B145BE" w:rsidRPr="006B3536">
        <w:rPr>
          <w:rFonts w:cstheme="minorHAnsi"/>
        </w:rPr>
        <w:t xml:space="preserve">stress hardening </w:t>
      </w:r>
      <w:r w:rsidR="00B145BE">
        <w:rPr>
          <w:rFonts w:cstheme="minorHAnsi"/>
        </w:rPr>
        <w:t>is</w:t>
      </w:r>
      <w:r w:rsidR="00B145BE" w:rsidRPr="006B3536">
        <w:rPr>
          <w:rFonts w:cstheme="minorHAnsi"/>
        </w:rPr>
        <w:t xml:space="preserve"> another </w:t>
      </w:r>
      <w:r w:rsidR="00B145BE">
        <w:rPr>
          <w:rFonts w:cstheme="minorHAnsi"/>
        </w:rPr>
        <w:t>contributor</w:t>
      </w:r>
      <w:r w:rsidR="00B145BE" w:rsidRPr="006B3536">
        <w:rPr>
          <w:rFonts w:cstheme="minorHAnsi"/>
        </w:rPr>
        <w:t xml:space="preserve"> to the ultra-high </w:t>
      </w:r>
      <w:r w:rsidR="002F3A48">
        <w:rPr>
          <w:rFonts w:cstheme="minorHAnsi"/>
        </w:rPr>
        <w:t>work</w:t>
      </w:r>
      <w:r w:rsidR="00B145BE" w:rsidRPr="006B3536">
        <w:rPr>
          <w:rFonts w:cstheme="minorHAnsi"/>
        </w:rPr>
        <w:t xml:space="preserve"> hardening capacity observed in (TiZrHf)</w:t>
      </w:r>
      <w:r w:rsidR="00B145BE" w:rsidRPr="006B3536">
        <w:rPr>
          <w:rFonts w:cstheme="minorHAnsi"/>
          <w:vertAlign w:val="subscript"/>
        </w:rPr>
        <w:t>87</w:t>
      </w:r>
      <w:r w:rsidR="00B145BE" w:rsidRPr="006B3536">
        <w:rPr>
          <w:rFonts w:cstheme="minorHAnsi"/>
        </w:rPr>
        <w:t>Ta</w:t>
      </w:r>
      <w:r w:rsidR="00B145BE" w:rsidRPr="006B3536">
        <w:rPr>
          <w:rFonts w:cstheme="minorHAnsi"/>
          <w:vertAlign w:val="subscript"/>
        </w:rPr>
        <w:t>13</w:t>
      </w:r>
      <w:r w:rsidR="00B145BE" w:rsidRPr="006B3536">
        <w:rPr>
          <w:rFonts w:cstheme="minorHAnsi"/>
        </w:rPr>
        <w:t xml:space="preserve">. </w:t>
      </w:r>
    </w:p>
    <w:p w14:paraId="042BB511" w14:textId="3EB0BC05" w:rsidR="00B145BE" w:rsidRDefault="00604B71" w:rsidP="00B145BE">
      <w:pPr>
        <w:spacing w:after="120" w:line="360" w:lineRule="auto"/>
        <w:jc w:val="center"/>
      </w:pPr>
      <w:r w:rsidRPr="00604B71">
        <w:rPr>
          <w:noProof/>
        </w:rPr>
        <w:lastRenderedPageBreak/>
        <w:drawing>
          <wp:inline distT="0" distB="0" distL="0" distR="0" wp14:anchorId="1D29DA45" wp14:editId="1BEDCCB9">
            <wp:extent cx="3702050" cy="3796369"/>
            <wp:effectExtent l="0" t="0" r="0" b="0"/>
            <wp:docPr id="11" name="图片 5" descr="电脑萤幕画面&#10;&#10;描述已自动生成">
              <a:extLst xmlns:a="http://schemas.openxmlformats.org/drawingml/2006/main">
                <a:ext uri="{FF2B5EF4-FFF2-40B4-BE49-F238E27FC236}">
                  <a16:creationId xmlns:a16="http://schemas.microsoft.com/office/drawing/2014/main" id="{CF061A3F-2389-48F2-97C6-120AE2B4D5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电脑萤幕画面&#10;&#10;描述已自动生成">
                      <a:extLst>
                        <a:ext uri="{FF2B5EF4-FFF2-40B4-BE49-F238E27FC236}">
                          <a16:creationId xmlns:a16="http://schemas.microsoft.com/office/drawing/2014/main" id="{CF061A3F-2389-48F2-97C6-120AE2B4D5DB}"/>
                        </a:ext>
                      </a:extLst>
                    </pic:cNvPr>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3713308" cy="3807914"/>
                    </a:xfrm>
                    <a:prstGeom prst="rect">
                      <a:avLst/>
                    </a:prstGeom>
                  </pic:spPr>
                </pic:pic>
              </a:graphicData>
            </a:graphic>
          </wp:inline>
        </w:drawing>
      </w:r>
    </w:p>
    <w:p w14:paraId="1BCE1303" w14:textId="3AF45893" w:rsidR="00B145BE" w:rsidRPr="00316C57" w:rsidRDefault="00B145BE" w:rsidP="00B145BE">
      <w:pPr>
        <w:spacing w:after="0" w:line="360" w:lineRule="auto"/>
        <w:jc w:val="both"/>
        <w:rPr>
          <w:rFonts w:ascii="Times New Roman" w:eastAsia="Times New Roman" w:hAnsi="Times New Roman" w:cs="Times New Roman"/>
          <w:sz w:val="20"/>
          <w:szCs w:val="20"/>
          <w:lang w:val="en-US"/>
        </w:rPr>
      </w:pPr>
      <w:bookmarkStart w:id="346" w:name="_Toc39312735"/>
      <w:r w:rsidRPr="000D2B67">
        <w:rPr>
          <w:rFonts w:ascii="Calibri" w:eastAsia="等线" w:hAnsi="Calibri" w:cs="Times New Roman"/>
          <w:b/>
          <w:bCs/>
          <w:color w:val="000000" w:themeColor="text1"/>
          <w:kern w:val="24"/>
          <w:sz w:val="20"/>
          <w:szCs w:val="20"/>
        </w:rPr>
        <w:t xml:space="preserve">Figure. </w:t>
      </w:r>
      <w:r w:rsidRPr="0031353F">
        <w:rPr>
          <w:b/>
          <w:sz w:val="20"/>
          <w:szCs w:val="18"/>
        </w:rPr>
        <w:t>7-</w:t>
      </w:r>
      <w:r w:rsidRPr="00351A7D">
        <w:rPr>
          <w:b/>
          <w:sz w:val="20"/>
        </w:rPr>
        <w:fldChar w:fldCharType="begin"/>
      </w:r>
      <w:r w:rsidRPr="00351A7D">
        <w:rPr>
          <w:b/>
          <w:sz w:val="20"/>
        </w:rPr>
        <w:instrText xml:space="preserve"> SEQ Figure \* ARABIC </w:instrText>
      </w:r>
      <w:r w:rsidRPr="00351A7D">
        <w:rPr>
          <w:b/>
          <w:sz w:val="20"/>
        </w:rPr>
        <w:fldChar w:fldCharType="separate"/>
      </w:r>
      <w:r>
        <w:rPr>
          <w:b/>
          <w:noProof/>
          <w:sz w:val="20"/>
        </w:rPr>
        <w:t>1</w:t>
      </w:r>
      <w:r w:rsidR="00581CD3">
        <w:rPr>
          <w:b/>
          <w:noProof/>
          <w:sz w:val="20"/>
        </w:rPr>
        <w:t>2</w:t>
      </w:r>
      <w:r w:rsidRPr="00351A7D">
        <w:rPr>
          <w:b/>
          <w:sz w:val="20"/>
        </w:rPr>
        <w:fldChar w:fldCharType="end"/>
      </w:r>
      <w:r w:rsidRPr="000D2B67">
        <w:rPr>
          <w:rFonts w:ascii="Calibri" w:eastAsia="等线" w:hAnsi="Calibri" w:cs="Times New Roman"/>
          <w:b/>
          <w:bCs/>
          <w:color w:val="000000" w:themeColor="text1"/>
          <w:kern w:val="24"/>
          <w:sz w:val="20"/>
          <w:szCs w:val="20"/>
        </w:rPr>
        <w:t>. Twin and martensite distribution analysis. Scale bar 20</w:t>
      </w:r>
      <w:r w:rsidRPr="000D2B67">
        <w:rPr>
          <w:rFonts w:ascii="Times New Roman" w:eastAsia="等线" w:hAnsi="Times New Roman"/>
          <w:b/>
          <w:bCs/>
          <w:color w:val="000000" w:themeColor="text1"/>
          <w:kern w:val="24"/>
          <w:sz w:val="20"/>
          <w:szCs w:val="20"/>
        </w:rPr>
        <w:t>μ</w:t>
      </w:r>
      <w:r w:rsidRPr="000D2B67">
        <w:rPr>
          <w:rFonts w:ascii="Calibri" w:eastAsia="等线" w:hAnsi="Calibri" w:cs="Times New Roman"/>
          <w:b/>
          <w:bCs/>
          <w:color w:val="000000" w:themeColor="text1"/>
          <w:kern w:val="24"/>
          <w:sz w:val="20"/>
          <w:szCs w:val="20"/>
        </w:rPr>
        <w:t>m.</w:t>
      </w:r>
      <w:r w:rsidRPr="000D2B67">
        <w:rPr>
          <w:rFonts w:ascii="Calibri" w:eastAsia="等线" w:hAnsi="Calibri" w:cs="Times New Roman"/>
          <w:color w:val="000000" w:themeColor="text1"/>
          <w:kern w:val="24"/>
          <w:sz w:val="20"/>
          <w:szCs w:val="20"/>
        </w:rPr>
        <w:t xml:space="preserve"> </w:t>
      </w:r>
      <w:r w:rsidRPr="002F3A48">
        <w:rPr>
          <w:rFonts w:ascii="Calibri" w:eastAsia="等线" w:hAnsi="Calibri" w:cs="Times New Roman"/>
          <w:color w:val="000000" w:themeColor="text1"/>
          <w:kern w:val="24"/>
          <w:sz w:val="20"/>
          <w:szCs w:val="20"/>
        </w:rPr>
        <w:t>(</w:t>
      </w:r>
      <w:r w:rsidRPr="002F3A48">
        <w:rPr>
          <w:rFonts w:ascii="Calibri" w:eastAsia="等线" w:hAnsi="Calibri" w:cs="Times New Roman"/>
          <w:b/>
          <w:bCs/>
          <w:color w:val="000000" w:themeColor="text1"/>
          <w:kern w:val="24"/>
          <w:sz w:val="20"/>
          <w:szCs w:val="20"/>
        </w:rPr>
        <w:t>a-c</w:t>
      </w:r>
      <w:r w:rsidRPr="002F3A48">
        <w:rPr>
          <w:rFonts w:ascii="Calibri" w:eastAsia="等线" w:hAnsi="Calibri" w:cs="Times New Roman"/>
          <w:color w:val="000000" w:themeColor="text1"/>
          <w:kern w:val="24"/>
          <w:sz w:val="20"/>
          <w:szCs w:val="20"/>
        </w:rPr>
        <w:t>)</w:t>
      </w:r>
      <w:r w:rsidRPr="000D2B67">
        <w:rPr>
          <w:rFonts w:ascii="Calibri" w:eastAsia="等线" w:hAnsi="Calibri" w:cs="Times New Roman"/>
          <w:b/>
          <w:bCs/>
          <w:color w:val="000000" w:themeColor="text1"/>
          <w:kern w:val="24"/>
          <w:sz w:val="20"/>
          <w:szCs w:val="20"/>
        </w:rPr>
        <w:t xml:space="preserve"> </w:t>
      </w:r>
      <w:r w:rsidRPr="000D2B67">
        <w:rPr>
          <w:rFonts w:ascii="Calibri" w:eastAsia="等线" w:hAnsi="Calibri" w:cs="Times New Roman"/>
          <w:color w:val="000000" w:themeColor="text1"/>
          <w:kern w:val="24"/>
          <w:sz w:val="20"/>
          <w:szCs w:val="20"/>
        </w:rPr>
        <w:t>KAM map of (TiZrHf)</w:t>
      </w:r>
      <w:r w:rsidRPr="000D2B67">
        <w:rPr>
          <w:rFonts w:ascii="Calibri" w:eastAsia="等线" w:hAnsi="Calibri" w:cs="Times New Roman"/>
          <w:color w:val="000000" w:themeColor="text1"/>
          <w:kern w:val="24"/>
          <w:position w:val="-6"/>
          <w:sz w:val="20"/>
          <w:szCs w:val="20"/>
          <w:vertAlign w:val="subscript"/>
        </w:rPr>
        <w:t>87</w:t>
      </w:r>
      <w:r w:rsidRPr="000D2B67">
        <w:rPr>
          <w:rFonts w:ascii="Calibri" w:eastAsia="等线" w:hAnsi="Calibri" w:cs="Times New Roman"/>
          <w:color w:val="000000" w:themeColor="text1"/>
          <w:kern w:val="24"/>
          <w:sz w:val="20"/>
          <w:szCs w:val="20"/>
        </w:rPr>
        <w:t>Ta</w:t>
      </w:r>
      <w:r w:rsidRPr="000D2B67">
        <w:rPr>
          <w:rFonts w:ascii="Calibri" w:eastAsia="等线" w:hAnsi="Calibri" w:cs="Times New Roman"/>
          <w:color w:val="000000" w:themeColor="text1"/>
          <w:kern w:val="24"/>
          <w:position w:val="-6"/>
          <w:sz w:val="20"/>
          <w:szCs w:val="20"/>
          <w:vertAlign w:val="subscript"/>
        </w:rPr>
        <w:t>13</w:t>
      </w:r>
      <w:r w:rsidRPr="000D2B67">
        <w:rPr>
          <w:rFonts w:ascii="Calibri" w:eastAsia="等线" w:hAnsi="Calibri" w:cs="Times New Roman"/>
          <w:color w:val="000000" w:themeColor="text1"/>
          <w:kern w:val="24"/>
          <w:sz w:val="20"/>
          <w:szCs w:val="20"/>
        </w:rPr>
        <w:t xml:space="preserve"> </w:t>
      </w:r>
      <w:r>
        <w:rPr>
          <w:rFonts w:ascii="Calibri" w:eastAsia="等线" w:hAnsi="Calibri" w:cs="Times New Roman"/>
          <w:color w:val="000000" w:themeColor="text1"/>
          <w:kern w:val="24"/>
          <w:sz w:val="20"/>
          <w:szCs w:val="20"/>
        </w:rPr>
        <w:t>for samples deformed during tensile testing to</w:t>
      </w:r>
      <w:r w:rsidRPr="000D2B67">
        <w:rPr>
          <w:rFonts w:ascii="Calibri" w:eastAsia="等线" w:hAnsi="Calibri" w:cs="Times New Roman"/>
          <w:color w:val="000000" w:themeColor="text1"/>
          <w:kern w:val="24"/>
          <w:sz w:val="20"/>
          <w:szCs w:val="20"/>
        </w:rPr>
        <w:t xml:space="preserve"> </w:t>
      </w:r>
      <w:r w:rsidR="003D6AE9">
        <w:rPr>
          <w:rFonts w:ascii="Calibri" w:eastAsia="等线" w:hAnsi="Calibri" w:cs="Times New Roman"/>
          <w:color w:val="000000" w:themeColor="text1"/>
          <w:kern w:val="24"/>
          <w:sz w:val="20"/>
          <w:szCs w:val="20"/>
        </w:rPr>
        <w:t>3</w:t>
      </w:r>
      <w:r w:rsidRPr="000D2B67">
        <w:rPr>
          <w:rFonts w:ascii="Calibri" w:eastAsia="等线" w:hAnsi="Calibri" w:cs="Times New Roman"/>
          <w:color w:val="000000" w:themeColor="text1"/>
          <w:kern w:val="24"/>
          <w:sz w:val="20"/>
          <w:szCs w:val="20"/>
        </w:rPr>
        <w:t xml:space="preserve">%, </w:t>
      </w:r>
      <w:r w:rsidR="003D6AE9">
        <w:rPr>
          <w:rFonts w:ascii="Calibri" w:eastAsia="等线" w:hAnsi="Calibri" w:cs="Times New Roman"/>
          <w:color w:val="000000" w:themeColor="text1"/>
          <w:kern w:val="24"/>
          <w:sz w:val="20"/>
          <w:szCs w:val="20"/>
        </w:rPr>
        <w:t>6</w:t>
      </w:r>
      <w:r w:rsidRPr="000D2B67">
        <w:rPr>
          <w:rFonts w:ascii="Calibri" w:eastAsia="等线" w:hAnsi="Calibri" w:cs="Times New Roman"/>
          <w:color w:val="000000" w:themeColor="text1"/>
          <w:kern w:val="24"/>
          <w:sz w:val="20"/>
          <w:szCs w:val="20"/>
        </w:rPr>
        <w:t xml:space="preserve">% and </w:t>
      </w:r>
      <w:r w:rsidR="003D6AE9">
        <w:rPr>
          <w:rFonts w:ascii="Calibri" w:eastAsia="等线" w:hAnsi="Calibri" w:cs="Times New Roman"/>
          <w:color w:val="000000" w:themeColor="text1"/>
          <w:kern w:val="24"/>
          <w:sz w:val="20"/>
          <w:szCs w:val="20"/>
        </w:rPr>
        <w:t>9</w:t>
      </w:r>
      <w:r w:rsidRPr="000D2B67">
        <w:rPr>
          <w:rFonts w:ascii="Calibri" w:eastAsia="等线" w:hAnsi="Calibri" w:cs="Times New Roman"/>
          <w:color w:val="000000" w:themeColor="text1"/>
          <w:kern w:val="24"/>
          <w:sz w:val="20"/>
          <w:szCs w:val="20"/>
        </w:rPr>
        <w:t xml:space="preserve">% </w:t>
      </w:r>
      <w:r>
        <w:rPr>
          <w:rFonts w:ascii="Calibri" w:eastAsia="等线" w:hAnsi="Calibri" w:cs="Times New Roman"/>
          <w:color w:val="000000" w:themeColor="text1"/>
          <w:kern w:val="24"/>
          <w:sz w:val="20"/>
          <w:szCs w:val="20"/>
        </w:rPr>
        <w:t>strain;</w:t>
      </w:r>
      <w:r w:rsidRPr="000D2B67">
        <w:rPr>
          <w:rFonts w:ascii="Calibri" w:eastAsia="等线" w:hAnsi="Calibri" w:cs="Times New Roman"/>
          <w:color w:val="000000" w:themeColor="text1"/>
          <w:kern w:val="24"/>
          <w:sz w:val="20"/>
          <w:szCs w:val="20"/>
        </w:rPr>
        <w:t xml:space="preserve"> </w:t>
      </w:r>
      <w:r w:rsidR="00F458DA" w:rsidRPr="002F3A48">
        <w:rPr>
          <w:rFonts w:ascii="Calibri" w:eastAsia="等线" w:hAnsi="Calibri" w:cs="Times New Roman"/>
          <w:color w:val="000000" w:themeColor="text1"/>
          <w:kern w:val="24"/>
          <w:sz w:val="20"/>
          <w:szCs w:val="20"/>
        </w:rPr>
        <w:t>(</w:t>
      </w:r>
      <w:r w:rsidR="00F458DA">
        <w:rPr>
          <w:rFonts w:ascii="Calibri" w:eastAsia="等线" w:hAnsi="Calibri" w:cs="Times New Roman"/>
          <w:b/>
          <w:bCs/>
          <w:color w:val="000000" w:themeColor="text1"/>
          <w:kern w:val="24"/>
          <w:sz w:val="20"/>
          <w:szCs w:val="20"/>
        </w:rPr>
        <w:t>d</w:t>
      </w:r>
      <w:r w:rsidR="00F458DA" w:rsidRPr="002F3A48">
        <w:rPr>
          <w:rFonts w:ascii="Calibri" w:eastAsia="等线" w:hAnsi="Calibri" w:cs="Times New Roman"/>
          <w:b/>
          <w:bCs/>
          <w:color w:val="000000" w:themeColor="text1"/>
          <w:kern w:val="24"/>
          <w:sz w:val="20"/>
          <w:szCs w:val="20"/>
        </w:rPr>
        <w:t>-</w:t>
      </w:r>
      <w:r w:rsidR="00F458DA">
        <w:rPr>
          <w:rFonts w:ascii="Calibri" w:eastAsia="等线" w:hAnsi="Calibri" w:cs="Times New Roman"/>
          <w:b/>
          <w:bCs/>
          <w:color w:val="000000" w:themeColor="text1"/>
          <w:kern w:val="24"/>
          <w:sz w:val="20"/>
          <w:szCs w:val="20"/>
        </w:rPr>
        <w:t>f</w:t>
      </w:r>
      <w:r w:rsidR="00F458DA" w:rsidRPr="002F3A48">
        <w:rPr>
          <w:rFonts w:ascii="Calibri" w:eastAsia="等线" w:hAnsi="Calibri" w:cs="Times New Roman"/>
          <w:color w:val="000000" w:themeColor="text1"/>
          <w:kern w:val="24"/>
          <w:sz w:val="20"/>
          <w:szCs w:val="20"/>
        </w:rPr>
        <w:t>)</w:t>
      </w:r>
      <w:r w:rsidR="00F458DA" w:rsidRPr="000D2B67">
        <w:rPr>
          <w:rFonts w:ascii="Calibri" w:eastAsia="等线" w:hAnsi="Calibri" w:cs="Times New Roman"/>
          <w:b/>
          <w:bCs/>
          <w:color w:val="000000" w:themeColor="text1"/>
          <w:kern w:val="24"/>
          <w:sz w:val="20"/>
          <w:szCs w:val="20"/>
        </w:rPr>
        <w:t xml:space="preserve"> </w:t>
      </w:r>
      <w:r w:rsidR="00F458DA" w:rsidRPr="000D2B67">
        <w:rPr>
          <w:rFonts w:ascii="Calibri" w:eastAsia="等线" w:hAnsi="Calibri" w:cs="Times New Roman"/>
          <w:color w:val="000000" w:themeColor="text1"/>
          <w:kern w:val="24"/>
          <w:sz w:val="20"/>
          <w:szCs w:val="20"/>
        </w:rPr>
        <w:t>KAM map of (TiZrHf)</w:t>
      </w:r>
      <w:r w:rsidR="00F458DA" w:rsidRPr="000D2B67">
        <w:rPr>
          <w:rFonts w:ascii="Calibri" w:eastAsia="等线" w:hAnsi="Calibri" w:cs="Times New Roman"/>
          <w:color w:val="000000" w:themeColor="text1"/>
          <w:kern w:val="24"/>
          <w:position w:val="-6"/>
          <w:sz w:val="20"/>
          <w:szCs w:val="20"/>
          <w:vertAlign w:val="subscript"/>
        </w:rPr>
        <w:t>8</w:t>
      </w:r>
      <w:r w:rsidR="00F458DA">
        <w:rPr>
          <w:rFonts w:ascii="Calibri" w:eastAsia="等线" w:hAnsi="Calibri" w:cs="Times New Roman"/>
          <w:color w:val="000000" w:themeColor="text1"/>
          <w:kern w:val="24"/>
          <w:position w:val="-6"/>
          <w:sz w:val="20"/>
          <w:szCs w:val="20"/>
          <w:vertAlign w:val="subscript"/>
        </w:rPr>
        <w:t>5</w:t>
      </w:r>
      <w:r w:rsidR="00F458DA" w:rsidRPr="000D2B67">
        <w:rPr>
          <w:rFonts w:ascii="Calibri" w:eastAsia="等线" w:hAnsi="Calibri" w:cs="Times New Roman"/>
          <w:color w:val="000000" w:themeColor="text1"/>
          <w:kern w:val="24"/>
          <w:sz w:val="20"/>
          <w:szCs w:val="20"/>
        </w:rPr>
        <w:t>Ta</w:t>
      </w:r>
      <w:r w:rsidR="00F458DA" w:rsidRPr="000D2B67">
        <w:rPr>
          <w:rFonts w:ascii="Calibri" w:eastAsia="等线" w:hAnsi="Calibri" w:cs="Times New Roman"/>
          <w:color w:val="000000" w:themeColor="text1"/>
          <w:kern w:val="24"/>
          <w:position w:val="-6"/>
          <w:sz w:val="20"/>
          <w:szCs w:val="20"/>
          <w:vertAlign w:val="subscript"/>
        </w:rPr>
        <w:t>1</w:t>
      </w:r>
      <w:r w:rsidR="00F458DA">
        <w:rPr>
          <w:rFonts w:ascii="Calibri" w:eastAsia="等线" w:hAnsi="Calibri" w:cs="Times New Roman"/>
          <w:color w:val="000000" w:themeColor="text1"/>
          <w:kern w:val="24"/>
          <w:position w:val="-6"/>
          <w:sz w:val="20"/>
          <w:szCs w:val="20"/>
          <w:vertAlign w:val="subscript"/>
        </w:rPr>
        <w:t>5</w:t>
      </w:r>
      <w:r w:rsidR="00F458DA" w:rsidRPr="000D2B67">
        <w:rPr>
          <w:rFonts w:ascii="Calibri" w:eastAsia="等线" w:hAnsi="Calibri" w:cs="Times New Roman"/>
          <w:color w:val="000000" w:themeColor="text1"/>
          <w:kern w:val="24"/>
          <w:sz w:val="20"/>
          <w:szCs w:val="20"/>
        </w:rPr>
        <w:t xml:space="preserve"> </w:t>
      </w:r>
      <w:r w:rsidR="00F458DA">
        <w:rPr>
          <w:rFonts w:ascii="Calibri" w:eastAsia="等线" w:hAnsi="Calibri" w:cs="Times New Roman"/>
          <w:color w:val="000000" w:themeColor="text1"/>
          <w:kern w:val="24"/>
          <w:sz w:val="20"/>
          <w:szCs w:val="20"/>
        </w:rPr>
        <w:t>for samples deformed during tensile testing to</w:t>
      </w:r>
      <w:r w:rsidR="00F458DA" w:rsidRPr="000D2B67">
        <w:rPr>
          <w:rFonts w:ascii="Calibri" w:eastAsia="等线" w:hAnsi="Calibri" w:cs="Times New Roman"/>
          <w:color w:val="000000" w:themeColor="text1"/>
          <w:kern w:val="24"/>
          <w:sz w:val="20"/>
          <w:szCs w:val="20"/>
        </w:rPr>
        <w:t xml:space="preserve"> </w:t>
      </w:r>
      <w:r w:rsidR="00F458DA">
        <w:rPr>
          <w:rFonts w:ascii="Calibri" w:eastAsia="等线" w:hAnsi="Calibri" w:cs="Times New Roman"/>
          <w:color w:val="000000" w:themeColor="text1"/>
          <w:kern w:val="24"/>
          <w:sz w:val="20"/>
          <w:szCs w:val="20"/>
        </w:rPr>
        <w:t>3</w:t>
      </w:r>
      <w:r w:rsidR="00F458DA" w:rsidRPr="000D2B67">
        <w:rPr>
          <w:rFonts w:ascii="Calibri" w:eastAsia="等线" w:hAnsi="Calibri" w:cs="Times New Roman"/>
          <w:color w:val="000000" w:themeColor="text1"/>
          <w:kern w:val="24"/>
          <w:sz w:val="20"/>
          <w:szCs w:val="20"/>
        </w:rPr>
        <w:t xml:space="preserve">%, </w:t>
      </w:r>
      <w:r w:rsidR="00F458DA">
        <w:rPr>
          <w:rFonts w:ascii="Calibri" w:eastAsia="等线" w:hAnsi="Calibri" w:cs="Times New Roman"/>
          <w:color w:val="000000" w:themeColor="text1"/>
          <w:kern w:val="24"/>
          <w:sz w:val="20"/>
          <w:szCs w:val="20"/>
        </w:rPr>
        <w:t>6</w:t>
      </w:r>
      <w:r w:rsidR="00F458DA" w:rsidRPr="000D2B67">
        <w:rPr>
          <w:rFonts w:ascii="Calibri" w:eastAsia="等线" w:hAnsi="Calibri" w:cs="Times New Roman"/>
          <w:color w:val="000000" w:themeColor="text1"/>
          <w:kern w:val="24"/>
          <w:sz w:val="20"/>
          <w:szCs w:val="20"/>
        </w:rPr>
        <w:t xml:space="preserve">% and </w:t>
      </w:r>
      <w:r w:rsidR="00F458DA">
        <w:rPr>
          <w:rFonts w:ascii="Calibri" w:eastAsia="等线" w:hAnsi="Calibri" w:cs="Times New Roman"/>
          <w:color w:val="000000" w:themeColor="text1"/>
          <w:kern w:val="24"/>
          <w:sz w:val="20"/>
          <w:szCs w:val="20"/>
        </w:rPr>
        <w:t>9</w:t>
      </w:r>
      <w:r w:rsidR="00F458DA" w:rsidRPr="000D2B67">
        <w:rPr>
          <w:rFonts w:ascii="Calibri" w:eastAsia="等线" w:hAnsi="Calibri" w:cs="Times New Roman"/>
          <w:color w:val="000000" w:themeColor="text1"/>
          <w:kern w:val="24"/>
          <w:sz w:val="20"/>
          <w:szCs w:val="20"/>
        </w:rPr>
        <w:t xml:space="preserve">% </w:t>
      </w:r>
      <w:r w:rsidR="00F458DA">
        <w:rPr>
          <w:rFonts w:ascii="Calibri" w:eastAsia="等线" w:hAnsi="Calibri" w:cs="Times New Roman"/>
          <w:color w:val="000000" w:themeColor="text1"/>
          <w:kern w:val="24"/>
          <w:sz w:val="20"/>
          <w:szCs w:val="20"/>
        </w:rPr>
        <w:t>strain;</w:t>
      </w:r>
      <w:r w:rsidR="00F458DA" w:rsidRPr="000D2B67">
        <w:rPr>
          <w:rFonts w:ascii="Calibri" w:eastAsia="等线" w:hAnsi="Calibri" w:cs="Times New Roman"/>
          <w:color w:val="000000" w:themeColor="text1"/>
          <w:kern w:val="24"/>
          <w:sz w:val="20"/>
          <w:szCs w:val="20"/>
        </w:rPr>
        <w:t xml:space="preserve"> </w:t>
      </w:r>
      <w:r w:rsidRPr="002F3A48">
        <w:rPr>
          <w:rFonts w:ascii="Calibri" w:eastAsia="等线" w:hAnsi="Calibri" w:cs="Times New Roman"/>
          <w:color w:val="000000" w:themeColor="text1"/>
          <w:kern w:val="24"/>
          <w:sz w:val="20"/>
          <w:szCs w:val="20"/>
        </w:rPr>
        <w:t>(</w:t>
      </w:r>
      <w:r w:rsidR="00F458DA">
        <w:rPr>
          <w:rFonts w:ascii="Calibri" w:eastAsia="等线" w:hAnsi="Calibri" w:cs="Times New Roman"/>
          <w:b/>
          <w:bCs/>
          <w:color w:val="000000" w:themeColor="text1"/>
          <w:kern w:val="24"/>
          <w:sz w:val="20"/>
          <w:szCs w:val="20"/>
        </w:rPr>
        <w:t>g</w:t>
      </w:r>
      <w:r w:rsidRPr="002F3A48">
        <w:rPr>
          <w:rFonts w:ascii="Calibri" w:eastAsia="等线" w:hAnsi="Calibri" w:cs="Times New Roman"/>
          <w:color w:val="000000" w:themeColor="text1"/>
          <w:kern w:val="24"/>
          <w:sz w:val="20"/>
          <w:szCs w:val="20"/>
        </w:rPr>
        <w:t>)</w:t>
      </w:r>
      <w:r w:rsidRPr="000D2B67">
        <w:rPr>
          <w:rFonts w:ascii="Calibri" w:eastAsia="等线" w:hAnsi="Calibri" w:cs="Times New Roman"/>
          <w:color w:val="000000" w:themeColor="text1"/>
          <w:kern w:val="24"/>
          <w:sz w:val="20"/>
          <w:szCs w:val="20"/>
        </w:rPr>
        <w:t xml:space="preserve"> variation of </w:t>
      </w:r>
      <w:r w:rsidR="00F458DA">
        <w:rPr>
          <w:rFonts w:ascii="Calibri" w:eastAsia="等线" w:hAnsi="Calibri" w:cs="Times New Roman"/>
          <w:color w:val="000000" w:themeColor="text1"/>
          <w:kern w:val="24"/>
          <w:sz w:val="20"/>
          <w:szCs w:val="20"/>
        </w:rPr>
        <w:t xml:space="preserve">martensite volume fraction and GND density of </w:t>
      </w:r>
      <w:r w:rsidRPr="000D2B67">
        <w:rPr>
          <w:rFonts w:ascii="Calibri" w:eastAsia="等线" w:hAnsi="Calibri" w:cs="Times New Roman"/>
          <w:color w:val="000000" w:themeColor="text1"/>
          <w:kern w:val="24"/>
          <w:sz w:val="20"/>
          <w:szCs w:val="20"/>
        </w:rPr>
        <w:t>(TiZrHf)</w:t>
      </w:r>
      <w:r w:rsidRPr="000D2B67">
        <w:rPr>
          <w:rFonts w:ascii="Calibri" w:eastAsia="等线" w:hAnsi="Calibri" w:cs="Times New Roman"/>
          <w:color w:val="000000" w:themeColor="text1"/>
          <w:kern w:val="24"/>
          <w:position w:val="-6"/>
          <w:sz w:val="20"/>
          <w:szCs w:val="20"/>
          <w:vertAlign w:val="subscript"/>
        </w:rPr>
        <w:t>87</w:t>
      </w:r>
      <w:r w:rsidRPr="000D2B67">
        <w:rPr>
          <w:rFonts w:ascii="Calibri" w:eastAsia="等线" w:hAnsi="Calibri" w:cs="Times New Roman"/>
          <w:color w:val="000000" w:themeColor="text1"/>
          <w:kern w:val="24"/>
          <w:sz w:val="20"/>
          <w:szCs w:val="20"/>
        </w:rPr>
        <w:t>Ta</w:t>
      </w:r>
      <w:r w:rsidRPr="000D2B67">
        <w:rPr>
          <w:rFonts w:ascii="Calibri" w:eastAsia="等线" w:hAnsi="Calibri" w:cs="Times New Roman"/>
          <w:color w:val="000000" w:themeColor="text1"/>
          <w:kern w:val="24"/>
          <w:position w:val="-6"/>
          <w:sz w:val="20"/>
          <w:szCs w:val="20"/>
          <w:vertAlign w:val="subscript"/>
        </w:rPr>
        <w:t>13</w:t>
      </w:r>
      <w:r w:rsidRPr="000D2B67">
        <w:rPr>
          <w:rFonts w:ascii="Calibri" w:eastAsia="等线" w:hAnsi="Calibri" w:cs="Times New Roman"/>
          <w:color w:val="000000" w:themeColor="text1"/>
          <w:kern w:val="24"/>
          <w:sz w:val="20"/>
          <w:szCs w:val="20"/>
        </w:rPr>
        <w:t xml:space="preserve"> </w:t>
      </w:r>
      <w:r w:rsidR="00F458DA">
        <w:rPr>
          <w:rFonts w:ascii="Calibri" w:eastAsia="等线" w:hAnsi="Calibri" w:cs="Times New Roman"/>
          <w:color w:val="000000" w:themeColor="text1"/>
          <w:kern w:val="24"/>
          <w:sz w:val="20"/>
          <w:szCs w:val="20"/>
        </w:rPr>
        <w:t xml:space="preserve">(solid) </w:t>
      </w:r>
      <w:r w:rsidRPr="000D2B67">
        <w:rPr>
          <w:rFonts w:ascii="Calibri" w:eastAsia="等线" w:hAnsi="Calibri" w:cs="Times New Roman"/>
          <w:color w:val="000000" w:themeColor="text1"/>
          <w:kern w:val="24"/>
          <w:sz w:val="20"/>
          <w:szCs w:val="20"/>
        </w:rPr>
        <w:t>and (TiZrHf)</w:t>
      </w:r>
      <w:r w:rsidRPr="000D2B67">
        <w:rPr>
          <w:rFonts w:ascii="Calibri" w:eastAsia="等线" w:hAnsi="Calibri" w:cs="Times New Roman"/>
          <w:color w:val="000000" w:themeColor="text1"/>
          <w:kern w:val="24"/>
          <w:position w:val="-6"/>
          <w:sz w:val="20"/>
          <w:szCs w:val="20"/>
          <w:vertAlign w:val="subscript"/>
        </w:rPr>
        <w:t>85</w:t>
      </w:r>
      <w:r w:rsidRPr="000D2B67">
        <w:rPr>
          <w:rFonts w:ascii="Calibri" w:eastAsia="等线" w:hAnsi="Calibri" w:cs="Times New Roman"/>
          <w:color w:val="000000" w:themeColor="text1"/>
          <w:kern w:val="24"/>
          <w:sz w:val="20"/>
          <w:szCs w:val="20"/>
        </w:rPr>
        <w:t>Ta</w:t>
      </w:r>
      <w:r w:rsidRPr="000D2B67">
        <w:rPr>
          <w:rFonts w:ascii="Calibri" w:eastAsia="等线" w:hAnsi="Calibri" w:cs="Times New Roman"/>
          <w:color w:val="000000" w:themeColor="text1"/>
          <w:kern w:val="24"/>
          <w:position w:val="-6"/>
          <w:sz w:val="20"/>
          <w:szCs w:val="20"/>
          <w:vertAlign w:val="subscript"/>
        </w:rPr>
        <w:t>15</w:t>
      </w:r>
      <w:r w:rsidRPr="000D2B67">
        <w:rPr>
          <w:rFonts w:ascii="Calibri" w:eastAsia="等线" w:hAnsi="Calibri" w:cs="Times New Roman"/>
          <w:color w:val="000000" w:themeColor="text1"/>
          <w:kern w:val="24"/>
          <w:sz w:val="20"/>
          <w:szCs w:val="20"/>
        </w:rPr>
        <w:t xml:space="preserve"> </w:t>
      </w:r>
      <w:r w:rsidR="00F458DA">
        <w:rPr>
          <w:rFonts w:ascii="Calibri" w:eastAsia="等线" w:hAnsi="Calibri" w:cs="Times New Roman"/>
          <w:color w:val="000000" w:themeColor="text1"/>
          <w:kern w:val="24"/>
          <w:sz w:val="20"/>
          <w:szCs w:val="20"/>
        </w:rPr>
        <w:t xml:space="preserve">(hollow) </w:t>
      </w:r>
      <w:r w:rsidRPr="000D2B67">
        <w:rPr>
          <w:rFonts w:ascii="Calibri" w:eastAsia="等线" w:hAnsi="Calibri" w:cs="Times New Roman"/>
          <w:color w:val="000000" w:themeColor="text1"/>
          <w:kern w:val="24"/>
          <w:sz w:val="20"/>
          <w:szCs w:val="20"/>
        </w:rPr>
        <w:t xml:space="preserve">from </w:t>
      </w:r>
      <w:r w:rsidR="003D6AE9">
        <w:rPr>
          <w:rFonts w:ascii="Calibri" w:eastAsia="等线" w:hAnsi="Calibri" w:cs="Times New Roman"/>
          <w:color w:val="000000" w:themeColor="text1"/>
          <w:kern w:val="24"/>
          <w:sz w:val="20"/>
          <w:szCs w:val="20"/>
        </w:rPr>
        <w:t>3</w:t>
      </w:r>
      <w:r w:rsidRPr="000D2B67">
        <w:rPr>
          <w:rFonts w:ascii="Calibri" w:eastAsia="等线" w:hAnsi="Calibri" w:cs="Times New Roman"/>
          <w:color w:val="000000" w:themeColor="text1"/>
          <w:kern w:val="24"/>
          <w:sz w:val="20"/>
          <w:szCs w:val="20"/>
        </w:rPr>
        <w:t>%</w:t>
      </w:r>
      <w:r>
        <w:rPr>
          <w:rFonts w:ascii="Calibri" w:eastAsia="等线" w:hAnsi="Calibri" w:cs="Times New Roman"/>
          <w:color w:val="000000" w:themeColor="text1"/>
          <w:kern w:val="24"/>
          <w:sz w:val="20"/>
          <w:szCs w:val="20"/>
        </w:rPr>
        <w:t xml:space="preserve"> </w:t>
      </w:r>
      <w:r w:rsidRPr="000D2B67">
        <w:rPr>
          <w:rFonts w:ascii="Calibri" w:eastAsia="等线" w:hAnsi="Calibri" w:cs="Times New Roman"/>
          <w:color w:val="000000" w:themeColor="text1"/>
          <w:kern w:val="24"/>
          <w:sz w:val="20"/>
          <w:szCs w:val="20"/>
        </w:rPr>
        <w:t>&gt;</w:t>
      </w:r>
      <w:r>
        <w:rPr>
          <w:rFonts w:ascii="Calibri" w:eastAsia="等线" w:hAnsi="Calibri" w:cs="Times New Roman"/>
          <w:color w:val="000000" w:themeColor="text1"/>
          <w:kern w:val="24"/>
          <w:sz w:val="20"/>
          <w:szCs w:val="20"/>
        </w:rPr>
        <w:t xml:space="preserve"> </w:t>
      </w:r>
      <w:r w:rsidR="003D6AE9">
        <w:rPr>
          <w:rFonts w:ascii="Calibri" w:eastAsia="等线" w:hAnsi="Calibri" w:cs="Times New Roman"/>
          <w:color w:val="000000" w:themeColor="text1"/>
          <w:kern w:val="24"/>
          <w:sz w:val="20"/>
          <w:szCs w:val="20"/>
        </w:rPr>
        <w:t>6</w:t>
      </w:r>
      <w:r w:rsidRPr="000D2B67">
        <w:rPr>
          <w:rFonts w:ascii="Calibri" w:eastAsia="等线" w:hAnsi="Calibri" w:cs="Times New Roman"/>
          <w:color w:val="000000" w:themeColor="text1"/>
          <w:kern w:val="24"/>
          <w:sz w:val="20"/>
          <w:szCs w:val="20"/>
        </w:rPr>
        <w:t>%</w:t>
      </w:r>
      <w:r>
        <w:rPr>
          <w:rFonts w:ascii="Calibri" w:eastAsia="等线" w:hAnsi="Calibri" w:cs="Times New Roman"/>
          <w:color w:val="000000" w:themeColor="text1"/>
          <w:kern w:val="24"/>
          <w:sz w:val="20"/>
          <w:szCs w:val="20"/>
        </w:rPr>
        <w:t xml:space="preserve"> </w:t>
      </w:r>
      <w:r w:rsidRPr="000D2B67">
        <w:rPr>
          <w:rFonts w:ascii="Calibri" w:eastAsia="等线" w:hAnsi="Calibri" w:cs="Times New Roman"/>
          <w:color w:val="000000" w:themeColor="text1"/>
          <w:kern w:val="24"/>
          <w:sz w:val="20"/>
          <w:szCs w:val="20"/>
        </w:rPr>
        <w:t>&gt;</w:t>
      </w:r>
      <w:r>
        <w:rPr>
          <w:rFonts w:ascii="Calibri" w:eastAsia="等线" w:hAnsi="Calibri" w:cs="Times New Roman"/>
          <w:color w:val="000000" w:themeColor="text1"/>
          <w:kern w:val="24"/>
          <w:sz w:val="20"/>
          <w:szCs w:val="20"/>
        </w:rPr>
        <w:t xml:space="preserve"> </w:t>
      </w:r>
      <w:r w:rsidR="003D6AE9">
        <w:rPr>
          <w:rFonts w:ascii="Calibri" w:eastAsia="等线" w:hAnsi="Calibri" w:cs="Times New Roman"/>
          <w:color w:val="000000" w:themeColor="text1"/>
          <w:kern w:val="24"/>
          <w:sz w:val="20"/>
          <w:szCs w:val="20"/>
        </w:rPr>
        <w:t>9</w:t>
      </w:r>
      <w:r w:rsidRPr="000D2B67">
        <w:rPr>
          <w:rFonts w:ascii="Calibri" w:eastAsia="等线" w:hAnsi="Calibri" w:cs="Times New Roman"/>
          <w:color w:val="000000" w:themeColor="text1"/>
          <w:kern w:val="24"/>
          <w:sz w:val="20"/>
          <w:szCs w:val="20"/>
        </w:rPr>
        <w:t>% strain</w:t>
      </w:r>
      <w:r>
        <w:rPr>
          <w:rFonts w:ascii="Calibri" w:eastAsia="等线" w:hAnsi="Calibri" w:cs="Times New Roman"/>
          <w:color w:val="000000" w:themeColor="text1"/>
          <w:kern w:val="24"/>
          <w:sz w:val="20"/>
          <w:szCs w:val="20"/>
        </w:rPr>
        <w:t>;</w:t>
      </w:r>
      <w:r w:rsidRPr="000D2B67">
        <w:rPr>
          <w:rFonts w:ascii="Calibri" w:eastAsia="等线" w:hAnsi="Calibri" w:cs="Times New Roman"/>
          <w:color w:val="000000" w:themeColor="text1"/>
          <w:kern w:val="24"/>
          <w:sz w:val="20"/>
          <w:szCs w:val="20"/>
        </w:rPr>
        <w:t xml:space="preserve"> </w:t>
      </w:r>
      <w:r>
        <w:rPr>
          <w:rFonts w:ascii="Calibri" w:eastAsia="等线" w:hAnsi="Calibri" w:cs="Times New Roman"/>
          <w:color w:val="000000" w:themeColor="text1"/>
          <w:kern w:val="24"/>
          <w:sz w:val="20"/>
          <w:szCs w:val="20"/>
        </w:rPr>
        <w:t>and</w:t>
      </w:r>
      <w:r w:rsidRPr="000D2B67">
        <w:rPr>
          <w:rFonts w:ascii="Calibri" w:eastAsia="等线" w:hAnsi="Calibri" w:cs="Times New Roman"/>
          <w:color w:val="000000" w:themeColor="text1"/>
          <w:kern w:val="24"/>
          <w:sz w:val="20"/>
          <w:szCs w:val="20"/>
        </w:rPr>
        <w:t xml:space="preserve"> </w:t>
      </w:r>
      <w:r w:rsidRPr="002F3A48">
        <w:rPr>
          <w:rFonts w:ascii="Calibri" w:eastAsia="等线" w:hAnsi="Calibri" w:cs="Times New Roman"/>
          <w:color w:val="000000" w:themeColor="text1"/>
          <w:kern w:val="24"/>
          <w:sz w:val="20"/>
          <w:szCs w:val="20"/>
        </w:rPr>
        <w:t>(</w:t>
      </w:r>
      <w:r w:rsidRPr="002F3A48">
        <w:rPr>
          <w:rFonts w:ascii="Calibri" w:eastAsia="等线" w:hAnsi="Calibri" w:cs="Times New Roman"/>
          <w:b/>
          <w:bCs/>
          <w:color w:val="000000" w:themeColor="text1"/>
          <w:kern w:val="24"/>
          <w:sz w:val="20"/>
          <w:szCs w:val="20"/>
        </w:rPr>
        <w:t>h</w:t>
      </w:r>
      <w:r w:rsidRPr="002F3A48">
        <w:rPr>
          <w:rFonts w:ascii="Calibri" w:eastAsia="等线" w:hAnsi="Calibri" w:cs="Times New Roman"/>
          <w:color w:val="000000" w:themeColor="text1"/>
          <w:kern w:val="24"/>
          <w:sz w:val="20"/>
          <w:szCs w:val="20"/>
        </w:rPr>
        <w:t>)</w:t>
      </w:r>
      <w:r w:rsidRPr="000D2B67">
        <w:rPr>
          <w:rFonts w:ascii="Calibri" w:eastAsia="等线" w:hAnsi="Calibri" w:cs="Times New Roman"/>
          <w:color w:val="000000" w:themeColor="text1"/>
          <w:kern w:val="24"/>
          <w:sz w:val="20"/>
          <w:szCs w:val="20"/>
        </w:rPr>
        <w:t xml:space="preserve"> variation of (TiZrHf)</w:t>
      </w:r>
      <w:r w:rsidRPr="000D2B67">
        <w:rPr>
          <w:rFonts w:ascii="Calibri" w:eastAsia="等线" w:hAnsi="Calibri" w:cs="Times New Roman"/>
          <w:color w:val="000000" w:themeColor="text1"/>
          <w:kern w:val="24"/>
          <w:position w:val="-6"/>
          <w:sz w:val="20"/>
          <w:szCs w:val="20"/>
          <w:vertAlign w:val="subscript"/>
        </w:rPr>
        <w:t>87</w:t>
      </w:r>
      <w:r w:rsidRPr="000D2B67">
        <w:rPr>
          <w:rFonts w:ascii="Calibri" w:eastAsia="等线" w:hAnsi="Calibri" w:cs="Times New Roman"/>
          <w:color w:val="000000" w:themeColor="text1"/>
          <w:kern w:val="24"/>
          <w:sz w:val="20"/>
          <w:szCs w:val="20"/>
        </w:rPr>
        <w:t>Ta</w:t>
      </w:r>
      <w:r w:rsidRPr="000D2B67">
        <w:rPr>
          <w:rFonts w:ascii="Calibri" w:eastAsia="等线" w:hAnsi="Calibri" w:cs="Times New Roman"/>
          <w:color w:val="000000" w:themeColor="text1"/>
          <w:kern w:val="24"/>
          <w:position w:val="-6"/>
          <w:sz w:val="20"/>
          <w:szCs w:val="20"/>
          <w:vertAlign w:val="subscript"/>
        </w:rPr>
        <w:t>13</w:t>
      </w:r>
      <w:r w:rsidRPr="000D2B67">
        <w:rPr>
          <w:rFonts w:ascii="Calibri" w:eastAsia="等线" w:hAnsi="Calibri" w:cs="Times New Roman"/>
          <w:color w:val="000000" w:themeColor="text1"/>
          <w:kern w:val="24"/>
          <w:sz w:val="20"/>
          <w:szCs w:val="20"/>
        </w:rPr>
        <w:t xml:space="preserve"> and (TiZrHf)</w:t>
      </w:r>
      <w:r w:rsidRPr="000D2B67">
        <w:rPr>
          <w:rFonts w:ascii="Calibri" w:eastAsia="等线" w:hAnsi="Calibri" w:cs="Times New Roman"/>
          <w:color w:val="000000" w:themeColor="text1"/>
          <w:kern w:val="24"/>
          <w:position w:val="-6"/>
          <w:sz w:val="20"/>
          <w:szCs w:val="20"/>
          <w:vertAlign w:val="subscript"/>
        </w:rPr>
        <w:t>85</w:t>
      </w:r>
      <w:r w:rsidRPr="000D2B67">
        <w:rPr>
          <w:rFonts w:ascii="Calibri" w:eastAsia="等线" w:hAnsi="Calibri" w:cs="Times New Roman"/>
          <w:color w:val="000000" w:themeColor="text1"/>
          <w:kern w:val="24"/>
          <w:sz w:val="20"/>
          <w:szCs w:val="20"/>
        </w:rPr>
        <w:t>Ta</w:t>
      </w:r>
      <w:r w:rsidRPr="000D2B67">
        <w:rPr>
          <w:rFonts w:ascii="Calibri" w:eastAsia="等线" w:hAnsi="Calibri" w:cs="Times New Roman"/>
          <w:color w:val="000000" w:themeColor="text1"/>
          <w:kern w:val="24"/>
          <w:position w:val="-6"/>
          <w:sz w:val="20"/>
          <w:szCs w:val="20"/>
          <w:vertAlign w:val="subscript"/>
        </w:rPr>
        <w:t>15</w:t>
      </w:r>
      <w:r w:rsidRPr="000D2B67">
        <w:rPr>
          <w:rFonts w:ascii="Calibri" w:eastAsia="等线" w:hAnsi="Calibri" w:cs="Times New Roman"/>
          <w:color w:val="000000" w:themeColor="text1"/>
          <w:kern w:val="24"/>
          <w:sz w:val="20"/>
          <w:szCs w:val="20"/>
        </w:rPr>
        <w:t xml:space="preserve"> </w:t>
      </w:r>
      <w:r w:rsidR="00604B71">
        <w:rPr>
          <w:rFonts w:ascii="Calibri" w:eastAsia="等线" w:hAnsi="Calibri" w:cs="Times New Roman" w:hint="eastAsia"/>
          <w:color w:val="000000" w:themeColor="text1"/>
          <w:kern w:val="24"/>
          <w:sz w:val="20"/>
          <w:szCs w:val="20"/>
        </w:rPr>
        <w:t>martensitic</w:t>
      </w:r>
      <w:r w:rsidR="00604B71">
        <w:rPr>
          <w:rFonts w:ascii="Calibri" w:eastAsia="等线" w:hAnsi="Calibri" w:cs="Times New Roman"/>
          <w:color w:val="000000" w:themeColor="text1"/>
          <w:kern w:val="24"/>
          <w:sz w:val="20"/>
          <w:szCs w:val="20"/>
        </w:rPr>
        <w:t xml:space="preserve"> </w:t>
      </w:r>
      <w:r w:rsidR="00604B71">
        <w:rPr>
          <w:rFonts w:ascii="Calibri" w:eastAsia="等线" w:hAnsi="Calibri" w:cs="Times New Roman" w:hint="eastAsia"/>
          <w:color w:val="000000" w:themeColor="text1"/>
          <w:kern w:val="24"/>
          <w:sz w:val="20"/>
          <w:szCs w:val="20"/>
        </w:rPr>
        <w:t>variant</w:t>
      </w:r>
      <w:r w:rsidRPr="000D2B67">
        <w:rPr>
          <w:rFonts w:ascii="Calibri" w:eastAsia="等线" w:hAnsi="Calibri" w:cs="Times New Roman"/>
          <w:color w:val="000000" w:themeColor="text1"/>
          <w:kern w:val="24"/>
          <w:sz w:val="20"/>
          <w:szCs w:val="20"/>
        </w:rPr>
        <w:t xml:space="preserve"> </w:t>
      </w:r>
      <w:r w:rsidR="00F458DA">
        <w:rPr>
          <w:rFonts w:ascii="Calibri" w:eastAsia="等线" w:hAnsi="Calibri" w:cs="Times New Roman"/>
          <w:color w:val="000000" w:themeColor="text1"/>
          <w:kern w:val="24"/>
          <w:sz w:val="20"/>
          <w:szCs w:val="20"/>
        </w:rPr>
        <w:t>thickness</w:t>
      </w:r>
      <w:r w:rsidRPr="000D2B67">
        <w:rPr>
          <w:rFonts w:ascii="Calibri" w:eastAsia="等线" w:hAnsi="Calibri" w:cs="Times New Roman"/>
          <w:color w:val="000000" w:themeColor="text1"/>
          <w:kern w:val="24"/>
          <w:sz w:val="20"/>
          <w:szCs w:val="20"/>
        </w:rPr>
        <w:t xml:space="preserve"> from </w:t>
      </w:r>
      <w:r w:rsidR="003D6AE9">
        <w:rPr>
          <w:rFonts w:ascii="Calibri" w:eastAsia="等线" w:hAnsi="Calibri" w:cs="Times New Roman"/>
          <w:color w:val="000000" w:themeColor="text1"/>
          <w:kern w:val="24"/>
          <w:sz w:val="20"/>
          <w:szCs w:val="20"/>
        </w:rPr>
        <w:t>3</w:t>
      </w:r>
      <w:r w:rsidRPr="000D2B67">
        <w:rPr>
          <w:rFonts w:ascii="Calibri" w:eastAsia="等线" w:hAnsi="Calibri" w:cs="Times New Roman"/>
          <w:color w:val="000000" w:themeColor="text1"/>
          <w:kern w:val="24"/>
          <w:sz w:val="20"/>
          <w:szCs w:val="20"/>
        </w:rPr>
        <w:t>%</w:t>
      </w:r>
      <w:r>
        <w:rPr>
          <w:rFonts w:ascii="Calibri" w:eastAsia="等线" w:hAnsi="Calibri" w:cs="Times New Roman"/>
          <w:color w:val="000000" w:themeColor="text1"/>
          <w:kern w:val="24"/>
          <w:sz w:val="20"/>
          <w:szCs w:val="20"/>
        </w:rPr>
        <w:t xml:space="preserve"> </w:t>
      </w:r>
      <w:r w:rsidRPr="000D2B67">
        <w:rPr>
          <w:rFonts w:ascii="Calibri" w:eastAsia="等线" w:hAnsi="Calibri" w:cs="Times New Roman"/>
          <w:color w:val="000000" w:themeColor="text1"/>
          <w:kern w:val="24"/>
          <w:sz w:val="20"/>
          <w:szCs w:val="20"/>
        </w:rPr>
        <w:t>&gt;</w:t>
      </w:r>
      <w:r>
        <w:rPr>
          <w:rFonts w:ascii="Calibri" w:eastAsia="等线" w:hAnsi="Calibri" w:cs="Times New Roman"/>
          <w:color w:val="000000" w:themeColor="text1"/>
          <w:kern w:val="24"/>
          <w:sz w:val="20"/>
          <w:szCs w:val="20"/>
        </w:rPr>
        <w:t xml:space="preserve"> </w:t>
      </w:r>
      <w:r w:rsidR="003D6AE9">
        <w:rPr>
          <w:rFonts w:ascii="Calibri" w:eastAsia="等线" w:hAnsi="Calibri" w:cs="Times New Roman"/>
          <w:color w:val="000000" w:themeColor="text1"/>
          <w:kern w:val="24"/>
          <w:sz w:val="20"/>
          <w:szCs w:val="20"/>
        </w:rPr>
        <w:t>6</w:t>
      </w:r>
      <w:r w:rsidRPr="000D2B67">
        <w:rPr>
          <w:rFonts w:ascii="Calibri" w:eastAsia="等线" w:hAnsi="Calibri" w:cs="Times New Roman"/>
          <w:color w:val="000000" w:themeColor="text1"/>
          <w:kern w:val="24"/>
          <w:sz w:val="20"/>
          <w:szCs w:val="20"/>
        </w:rPr>
        <w:t>%</w:t>
      </w:r>
      <w:r>
        <w:rPr>
          <w:rFonts w:ascii="Calibri" w:eastAsia="等线" w:hAnsi="Calibri" w:cs="Times New Roman"/>
          <w:color w:val="000000" w:themeColor="text1"/>
          <w:kern w:val="24"/>
          <w:sz w:val="20"/>
          <w:szCs w:val="20"/>
        </w:rPr>
        <w:t xml:space="preserve"> </w:t>
      </w:r>
      <w:r w:rsidRPr="000D2B67">
        <w:rPr>
          <w:rFonts w:ascii="Calibri" w:eastAsia="等线" w:hAnsi="Calibri" w:cs="Times New Roman"/>
          <w:color w:val="000000" w:themeColor="text1"/>
          <w:kern w:val="24"/>
          <w:sz w:val="20"/>
          <w:szCs w:val="20"/>
        </w:rPr>
        <w:t>&gt;</w:t>
      </w:r>
      <w:r>
        <w:rPr>
          <w:rFonts w:ascii="Calibri" w:eastAsia="等线" w:hAnsi="Calibri" w:cs="Times New Roman"/>
          <w:color w:val="000000" w:themeColor="text1"/>
          <w:kern w:val="24"/>
          <w:sz w:val="20"/>
          <w:szCs w:val="20"/>
        </w:rPr>
        <w:t xml:space="preserve"> </w:t>
      </w:r>
      <w:r w:rsidR="003D6AE9">
        <w:rPr>
          <w:rFonts w:ascii="Calibri" w:eastAsia="等线" w:hAnsi="Calibri" w:cs="Times New Roman"/>
          <w:color w:val="000000" w:themeColor="text1"/>
          <w:kern w:val="24"/>
          <w:sz w:val="20"/>
          <w:szCs w:val="20"/>
        </w:rPr>
        <w:t>9</w:t>
      </w:r>
      <w:r w:rsidRPr="000D2B67">
        <w:rPr>
          <w:rFonts w:ascii="Calibri" w:eastAsia="等线" w:hAnsi="Calibri" w:cs="Times New Roman"/>
          <w:color w:val="000000" w:themeColor="text1"/>
          <w:kern w:val="24"/>
          <w:sz w:val="20"/>
          <w:szCs w:val="20"/>
        </w:rPr>
        <w:t>% strain.</w:t>
      </w:r>
      <w:bookmarkEnd w:id="346"/>
      <w:r w:rsidRPr="000D2B67">
        <w:rPr>
          <w:rFonts w:ascii="Calibri" w:eastAsia="等线" w:hAnsi="Calibri" w:cs="Times New Roman"/>
          <w:color w:val="000000" w:themeColor="text1"/>
          <w:kern w:val="24"/>
          <w:sz w:val="20"/>
          <w:szCs w:val="20"/>
        </w:rPr>
        <w:t xml:space="preserve"> </w:t>
      </w:r>
    </w:p>
    <w:p w14:paraId="4BBC18A8" w14:textId="04B857DE" w:rsidR="00B145BE" w:rsidRPr="007E0455" w:rsidRDefault="00B145BE" w:rsidP="00B145BE">
      <w:pPr>
        <w:spacing w:afterLines="60" w:after="144" w:line="360" w:lineRule="auto"/>
        <w:jc w:val="both"/>
        <w:rPr>
          <w:rFonts w:cstheme="minorHAnsi"/>
        </w:rPr>
      </w:pPr>
      <w:r w:rsidRPr="006B3536">
        <w:rPr>
          <w:rFonts w:cstheme="minorHAnsi"/>
        </w:rPr>
        <w:t>The microstructural origin of this large back stress hardening is the dynamical</w:t>
      </w:r>
      <w:r>
        <w:rPr>
          <w:rFonts w:cstheme="minorHAnsi"/>
        </w:rPr>
        <w:t>-</w:t>
      </w:r>
      <w:r w:rsidRPr="006B3536">
        <w:rPr>
          <w:rFonts w:cstheme="minorHAnsi"/>
        </w:rPr>
        <w:t>reinforced hierarchical twinning structure enabled by TTIP</w:t>
      </w:r>
      <w:r>
        <w:rPr>
          <w:rFonts w:cstheme="minorHAnsi"/>
        </w:rPr>
        <w:t>. This is evident through the comparison of</w:t>
      </w:r>
      <w:r w:rsidRPr="006B3536">
        <w:rPr>
          <w:rFonts w:cstheme="minorHAnsi"/>
        </w:rPr>
        <w:t xml:space="preserve"> twinning density and total </w:t>
      </w:r>
      <w:r w:rsidR="002F3A48">
        <w:rPr>
          <w:rFonts w:cstheme="minorHAnsi"/>
        </w:rPr>
        <w:t>work</w:t>
      </w:r>
      <w:r w:rsidRPr="006B3536">
        <w:rPr>
          <w:rFonts w:cstheme="minorHAnsi"/>
        </w:rPr>
        <w:t xml:space="preserve"> hardening rate at different strain level shown in Fig. 7-1(a) and Fig. 7-1</w:t>
      </w:r>
      <w:r w:rsidR="0001676C">
        <w:rPr>
          <w:rFonts w:cstheme="minorHAnsi"/>
        </w:rPr>
        <w:t>2</w:t>
      </w:r>
      <w:r w:rsidRPr="006B3536">
        <w:rPr>
          <w:rFonts w:cstheme="minorHAnsi"/>
        </w:rPr>
        <w:t xml:space="preserve">(a-f). Following the </w:t>
      </w:r>
      <w:r>
        <w:rPr>
          <w:rFonts w:cstheme="minorHAnsi"/>
        </w:rPr>
        <w:t xml:space="preserve">second </w:t>
      </w:r>
      <w:r w:rsidRPr="006B3536">
        <w:rPr>
          <w:rFonts w:cstheme="minorHAnsi"/>
        </w:rPr>
        <w:t xml:space="preserve">deformation stage </w:t>
      </w:r>
      <w:r>
        <w:rPr>
          <w:rFonts w:cstheme="minorHAnsi"/>
        </w:rPr>
        <w:t xml:space="preserve">which was </w:t>
      </w:r>
      <w:r w:rsidRPr="006B3536">
        <w:rPr>
          <w:rFonts w:cstheme="minorHAnsi"/>
        </w:rPr>
        <w:t xml:space="preserve">summarised previously, the first </w:t>
      </w:r>
      <w:r>
        <w:rPr>
          <w:rFonts w:cstheme="minorHAnsi"/>
        </w:rPr>
        <w:t>increase in</w:t>
      </w:r>
      <w:r w:rsidRPr="006B3536">
        <w:rPr>
          <w:rFonts w:cstheme="minorHAnsi"/>
        </w:rPr>
        <w:t xml:space="preserve"> work hardening exponent was </w:t>
      </w:r>
      <w:r>
        <w:rPr>
          <w:rFonts w:cstheme="minorHAnsi"/>
        </w:rPr>
        <w:t>observed</w:t>
      </w:r>
      <w:r w:rsidRPr="006B3536">
        <w:rPr>
          <w:rFonts w:cstheme="minorHAnsi"/>
        </w:rPr>
        <w:t xml:space="preserve"> in Fig. 7-1(a), </w:t>
      </w:r>
      <w:r>
        <w:rPr>
          <w:rFonts w:cstheme="minorHAnsi"/>
        </w:rPr>
        <w:t xml:space="preserve">where </w:t>
      </w:r>
      <w:r w:rsidRPr="006B3536">
        <w:rPr>
          <w:rFonts w:cstheme="minorHAnsi"/>
        </w:rPr>
        <w:t>the SA martenstic twinning density of (TiZrHf)</w:t>
      </w:r>
      <w:r w:rsidRPr="006B3536">
        <w:rPr>
          <w:rFonts w:cstheme="minorHAnsi"/>
          <w:vertAlign w:val="subscript"/>
        </w:rPr>
        <w:t>87</w:t>
      </w:r>
      <w:r w:rsidRPr="006B3536">
        <w:rPr>
          <w:rFonts w:cstheme="minorHAnsi"/>
        </w:rPr>
        <w:t>Ta</w:t>
      </w:r>
      <w:r w:rsidRPr="006B3536">
        <w:rPr>
          <w:rFonts w:cstheme="minorHAnsi"/>
          <w:vertAlign w:val="subscript"/>
        </w:rPr>
        <w:t>13</w:t>
      </w:r>
      <w:r>
        <w:rPr>
          <w:rFonts w:cstheme="minorHAnsi"/>
        </w:rPr>
        <w:t xml:space="preserve"> deformed to </w:t>
      </w:r>
      <w:r w:rsidR="0001676C">
        <w:rPr>
          <w:rFonts w:cstheme="minorHAnsi"/>
        </w:rPr>
        <w:t>6</w:t>
      </w:r>
      <w:r>
        <w:rPr>
          <w:rFonts w:cstheme="minorHAnsi"/>
        </w:rPr>
        <w:t>% strain is 35% higher than the (TiZrHf)</w:t>
      </w:r>
      <w:r>
        <w:rPr>
          <w:rFonts w:cstheme="minorHAnsi"/>
          <w:vertAlign w:val="subscript"/>
        </w:rPr>
        <w:t>85</w:t>
      </w:r>
      <w:r>
        <w:rPr>
          <w:rFonts w:cstheme="minorHAnsi"/>
        </w:rPr>
        <w:t>Ta</w:t>
      </w:r>
      <w:r>
        <w:rPr>
          <w:rFonts w:cstheme="minorHAnsi"/>
          <w:vertAlign w:val="subscript"/>
        </w:rPr>
        <w:t>15</w:t>
      </w:r>
      <w:r>
        <w:rPr>
          <w:rFonts w:cstheme="minorHAnsi"/>
        </w:rPr>
        <w:t xml:space="preserve"> deformed to the same strain. This clearly demonstrates that the TRIP and transformation twinning in (TiZrHf)</w:t>
      </w:r>
      <w:r>
        <w:rPr>
          <w:rFonts w:cstheme="minorHAnsi"/>
          <w:vertAlign w:val="subscript"/>
        </w:rPr>
        <w:t>87</w:t>
      </w:r>
      <w:r>
        <w:rPr>
          <w:rFonts w:cstheme="minorHAnsi"/>
        </w:rPr>
        <w:t>Ta</w:t>
      </w:r>
      <w:r>
        <w:rPr>
          <w:rFonts w:cstheme="minorHAnsi"/>
          <w:vertAlign w:val="subscript"/>
        </w:rPr>
        <w:t>13</w:t>
      </w:r>
      <w:r>
        <w:rPr>
          <w:rFonts w:cstheme="minorHAnsi"/>
        </w:rPr>
        <w:t xml:space="preserve"> are effective in strengthening the grain and account for the increase of GND density at </w:t>
      </w:r>
      <w:r w:rsidR="0001676C">
        <w:rPr>
          <w:rFonts w:cstheme="minorHAnsi"/>
        </w:rPr>
        <w:t>6</w:t>
      </w:r>
      <w:r>
        <w:rPr>
          <w:rFonts w:cstheme="minorHAnsi"/>
        </w:rPr>
        <w:t xml:space="preserve">% strain. In subsequent deformation stages, when the TRIP effect was exhausted, the extensive activated mechanical α’’ twinning together with primary um-scale and secondary nm-scale SA α’’ twinning, hence provided abundant dense coherent low-misfit interfaces minimising the TRIP-induced strain accumulation. This </w:t>
      </w:r>
      <w:r w:rsidRPr="008A5452">
        <w:rPr>
          <w:rFonts w:cstheme="minorHAnsi"/>
        </w:rPr>
        <w:t>hierarchical</w:t>
      </w:r>
      <w:r>
        <w:rPr>
          <w:rFonts w:cstheme="minorHAnsi"/>
        </w:rPr>
        <w:t xml:space="preserve"> planar facilitation ultimately lead</w:t>
      </w:r>
      <w:r w:rsidR="0001676C">
        <w:rPr>
          <w:rFonts w:cstheme="minorHAnsi"/>
        </w:rPr>
        <w:t>s</w:t>
      </w:r>
      <w:r>
        <w:rPr>
          <w:rFonts w:cstheme="minorHAnsi"/>
        </w:rPr>
        <w:t xml:space="preserve"> to </w:t>
      </w:r>
      <w:r>
        <w:rPr>
          <w:rFonts w:cstheme="minorHAnsi"/>
        </w:rPr>
        <w:lastRenderedPageBreak/>
        <w:t xml:space="preserve">an enlarged back stress hardening effect and accounted for the main total stress strengthening in deformation </w:t>
      </w:r>
      <w:r w:rsidRPr="00F55C71">
        <w:rPr>
          <w:rFonts w:cstheme="minorHAnsi"/>
        </w:rPr>
        <w:t>stages III-IV</w:t>
      </w:r>
      <w:r>
        <w:rPr>
          <w:rFonts w:cstheme="minorHAnsi"/>
        </w:rPr>
        <w:t>.</w:t>
      </w:r>
      <w:r>
        <w:t xml:space="preserve"> </w:t>
      </w:r>
    </w:p>
    <w:p w14:paraId="0A0AB236" w14:textId="77777777" w:rsidR="00B145BE" w:rsidRDefault="00B145BE" w:rsidP="00B145BE">
      <w:pPr>
        <w:pStyle w:val="3"/>
        <w:spacing w:before="0" w:afterLines="60" w:after="144"/>
      </w:pPr>
      <w:bookmarkStart w:id="347" w:name="_Toc22052560"/>
      <w:r w:rsidRPr="00F87370">
        <w:rPr>
          <w:rFonts w:asciiTheme="minorHAnsi" w:hAnsiTheme="minorHAnsi"/>
          <w:b/>
          <w:color w:val="auto"/>
          <w:sz w:val="32"/>
          <w:lang w:bidi="hi-IN"/>
        </w:rPr>
        <w:t>7.4</w:t>
      </w:r>
      <w:r>
        <w:rPr>
          <w:rFonts w:asciiTheme="minorHAnsi" w:hAnsiTheme="minorHAnsi"/>
          <w:b/>
          <w:color w:val="auto"/>
          <w:sz w:val="32"/>
          <w:lang w:bidi="hi-IN"/>
        </w:rPr>
        <w:t>.</w:t>
      </w:r>
      <w:r>
        <w:rPr>
          <w:rFonts w:asciiTheme="minorHAnsi" w:hAnsiTheme="minorHAnsi" w:cstheme="minorHAnsi"/>
          <w:b/>
          <w:color w:val="auto"/>
          <w:sz w:val="32"/>
          <w:lang w:bidi="hi-IN"/>
        </w:rPr>
        <w:t>2</w:t>
      </w:r>
      <w:r w:rsidRPr="00BB2FD7">
        <w:rPr>
          <w:rFonts w:asciiTheme="minorHAnsi" w:hAnsiTheme="minorHAnsi" w:cstheme="minorHAnsi"/>
          <w:b/>
          <w:color w:val="auto"/>
          <w:sz w:val="32"/>
          <w:lang w:bidi="hi-IN"/>
        </w:rPr>
        <w:t xml:space="preserve"> </w:t>
      </w:r>
      <w:r>
        <w:rPr>
          <w:rFonts w:asciiTheme="minorHAnsi" w:hAnsiTheme="minorHAnsi" w:cstheme="minorHAnsi"/>
          <w:b/>
          <w:color w:val="auto"/>
          <w:sz w:val="32"/>
          <w:lang w:bidi="hi-IN"/>
        </w:rPr>
        <w:t xml:space="preserve">Microstructural evolution of TTIP </w:t>
      </w:r>
      <w:r w:rsidRPr="00BB2FD7">
        <w:rPr>
          <w:rFonts w:asciiTheme="minorHAnsi" w:hAnsiTheme="minorHAnsi" w:cstheme="minorHAnsi"/>
          <w:b/>
          <w:color w:val="auto"/>
          <w:sz w:val="32"/>
          <w:lang w:bidi="hi-IN"/>
        </w:rPr>
        <w:t xml:space="preserve">{351}&lt;-211&gt; </w:t>
      </w:r>
      <w:r w:rsidRPr="00BB2FD7">
        <w:rPr>
          <w:rFonts w:asciiTheme="minorHAnsi" w:hAnsiTheme="minorHAnsi" w:cstheme="minorHAnsi"/>
          <w:b/>
          <w:color w:val="auto"/>
          <w:sz w:val="32"/>
          <w:vertAlign w:val="subscript"/>
          <w:lang w:bidi="hi-IN"/>
        </w:rPr>
        <w:t>α’’</w:t>
      </w:r>
      <w:r w:rsidRPr="00BB2FD7">
        <w:rPr>
          <w:rFonts w:asciiTheme="minorHAnsi" w:hAnsiTheme="minorHAnsi" w:cstheme="minorHAnsi"/>
          <w:b/>
          <w:color w:val="auto"/>
          <w:sz w:val="32"/>
          <w:lang w:bidi="hi-IN"/>
        </w:rPr>
        <w:t xml:space="preserve"> type II SA twinning</w:t>
      </w:r>
      <w:bookmarkEnd w:id="347"/>
      <w:r>
        <w:rPr>
          <w:rFonts w:asciiTheme="minorHAnsi" w:hAnsiTheme="minorHAnsi" w:cstheme="minorHAnsi"/>
          <w:b/>
          <w:color w:val="auto"/>
          <w:sz w:val="32"/>
          <w:lang w:bidi="hi-IN"/>
        </w:rPr>
        <w:t xml:space="preserve">  </w:t>
      </w:r>
    </w:p>
    <w:p w14:paraId="5763788A" w14:textId="43090A19" w:rsidR="00B145BE" w:rsidRDefault="00B145BE" w:rsidP="00B145BE">
      <w:pPr>
        <w:spacing w:afterLines="60" w:after="144" w:line="360" w:lineRule="auto"/>
        <w:jc w:val="both"/>
      </w:pPr>
      <w:r>
        <w:t xml:space="preserve">In Chapter 6 it was predicted that the </w:t>
      </w:r>
      <w:r w:rsidRPr="00280CF9">
        <w:rPr>
          <w:noProof/>
        </w:rPr>
        <w:t>{351}&lt;-211&gt;</w:t>
      </w:r>
      <w:r w:rsidRPr="00280CF9">
        <w:rPr>
          <w:rFonts w:cstheme="minorHAnsi"/>
          <w:noProof/>
          <w:vertAlign w:val="subscript"/>
        </w:rPr>
        <w:t xml:space="preserve"> α’’</w:t>
      </w:r>
      <w:r w:rsidRPr="00280CF9">
        <w:rPr>
          <w:noProof/>
        </w:rPr>
        <w:t xml:space="preserve"> type II SA twinning</w:t>
      </w:r>
      <w:r>
        <w:rPr>
          <w:noProof/>
        </w:rPr>
        <w:t xml:space="preserve"> plays a key role in the mechanism of TTIP. In</w:t>
      </w:r>
      <w:r w:rsidR="00D22046">
        <w:rPr>
          <w:noProof/>
        </w:rPr>
        <w:t xml:space="preserve"> the</w:t>
      </w:r>
      <w:r>
        <w:rPr>
          <w:noProof/>
        </w:rPr>
        <w:t xml:space="preserve"> current work, the </w:t>
      </w:r>
      <w:r w:rsidRPr="00280CF9">
        <w:rPr>
          <w:noProof/>
        </w:rPr>
        <w:t>{351}&lt;-211&gt;</w:t>
      </w:r>
      <w:r w:rsidRPr="00280CF9">
        <w:rPr>
          <w:rFonts w:cstheme="minorHAnsi"/>
          <w:noProof/>
          <w:vertAlign w:val="subscript"/>
        </w:rPr>
        <w:t xml:space="preserve"> α’’</w:t>
      </w:r>
      <w:r w:rsidRPr="00280CF9">
        <w:rPr>
          <w:noProof/>
        </w:rPr>
        <w:t xml:space="preserve"> type II</w:t>
      </w:r>
      <w:r>
        <w:rPr>
          <w:noProof/>
        </w:rPr>
        <w:t xml:space="preserve"> SA twinning was observed to serve as a key structure for the twinning evolution in </w:t>
      </w:r>
      <w:r>
        <w:t>(</w:t>
      </w:r>
      <w:r w:rsidRPr="00B30F33">
        <w:t>Ti</w:t>
      </w:r>
      <w:r>
        <w:t>ZrHf)</w:t>
      </w:r>
      <w:r w:rsidRPr="001D0229">
        <w:rPr>
          <w:vertAlign w:val="subscript"/>
        </w:rPr>
        <w:t>87</w:t>
      </w:r>
      <w:r w:rsidRPr="00492316">
        <w:t>Ta</w:t>
      </w:r>
      <w:r w:rsidRPr="001D0229">
        <w:rPr>
          <w:vertAlign w:val="subscript"/>
        </w:rPr>
        <w:t>13</w:t>
      </w:r>
      <w:r>
        <w:t>.</w:t>
      </w:r>
      <w:r>
        <w:rPr>
          <w:noProof/>
        </w:rPr>
        <w:t xml:space="preserve"> The main twinning transformation process is presented </w:t>
      </w:r>
      <w:bookmarkStart w:id="348" w:name="_Hlk19282944"/>
      <w:bookmarkStart w:id="349" w:name="_Hlk19283026"/>
      <w:r>
        <w:rPr>
          <w:noProof/>
        </w:rPr>
        <w:t>schematically</w:t>
      </w:r>
      <w:r w:rsidRPr="006B3536">
        <w:t xml:space="preserve"> in Fig. 7-1</w:t>
      </w:r>
      <w:r w:rsidR="00335886">
        <w:t>3</w:t>
      </w:r>
      <w:r>
        <w:t>,</w:t>
      </w:r>
      <w:r w:rsidRPr="006B3536">
        <w:t xml:space="preserve"> to </w:t>
      </w:r>
      <w:r>
        <w:t>aid in the</w:t>
      </w:r>
      <w:r w:rsidRPr="006B3536">
        <w:t xml:space="preserve"> understand</w:t>
      </w:r>
      <w:r>
        <w:t>ing of</w:t>
      </w:r>
      <w:r w:rsidRPr="006B3536">
        <w:t xml:space="preserve"> the twinning evolution process during different deformation stage</w:t>
      </w:r>
      <w:r>
        <w:t>s</w:t>
      </w:r>
      <w:r w:rsidRPr="006B3536">
        <w:t xml:space="preserve">. </w:t>
      </w:r>
      <w:bookmarkEnd w:id="348"/>
      <w:bookmarkEnd w:id="349"/>
      <w:r w:rsidRPr="006B3536">
        <w:t xml:space="preserve">After yield, </w:t>
      </w:r>
      <w:r w:rsidRPr="006B3536">
        <w:rPr>
          <w:rFonts w:hint="eastAsia"/>
        </w:rPr>
        <w:t>t</w:t>
      </w:r>
      <w:r w:rsidRPr="006B3536">
        <w:t xml:space="preserve">he </w:t>
      </w:r>
      <w:r w:rsidRPr="006B3536">
        <w:rPr>
          <w:rFonts w:ascii="Times New Roman" w:hAnsi="Times New Roman" w:cs="Times New Roman"/>
        </w:rPr>
        <w:t>β</w:t>
      </w:r>
      <m:oMath>
        <m:r>
          <m:rPr>
            <m:sty m:val="p"/>
          </m:rPr>
          <w:rPr>
            <w:rFonts w:ascii="Cambria Math" w:hAnsi="Cambria Math" w:cs="Times New Roman"/>
          </w:rPr>
          <m:t>→</m:t>
        </m:r>
      </m:oMath>
      <w:r w:rsidRPr="006B3536">
        <w:rPr>
          <w:rFonts w:cs="Times New Roman"/>
        </w:rPr>
        <w:t>α</w:t>
      </w:r>
      <w:r w:rsidRPr="006B3536">
        <w:t xml:space="preserve">’’ martensite phase transformation (TRIP) </w:t>
      </w:r>
      <w:r w:rsidRPr="006B3536">
        <w:rPr>
          <w:noProof/>
        </w:rPr>
        <w:t xml:space="preserve">is </w:t>
      </w:r>
      <w:r>
        <w:rPr>
          <w:noProof/>
        </w:rPr>
        <w:t>activated</w:t>
      </w:r>
      <w:r w:rsidRPr="006B3536">
        <w:t xml:space="preserve"> </w:t>
      </w:r>
      <w:r w:rsidRPr="006B3536">
        <w:rPr>
          <w:noProof/>
        </w:rPr>
        <w:t>as</w:t>
      </w:r>
      <w:r w:rsidRPr="006B3536">
        <w:t xml:space="preserve"> the </w:t>
      </w:r>
      <w:r w:rsidRPr="006B3536">
        <w:rPr>
          <w:noProof/>
        </w:rPr>
        <w:t>primary</w:t>
      </w:r>
      <w:r w:rsidRPr="006B3536">
        <w:t xml:space="preserve"> deformation mechanism (Step I)</w:t>
      </w:r>
      <w:r w:rsidRPr="006B3536">
        <w:rPr>
          <w:noProof/>
        </w:rPr>
        <w:t>.</w:t>
      </w:r>
      <w:r w:rsidRPr="006B3536">
        <w:rPr>
          <w:rFonts w:hint="eastAsia"/>
          <w:noProof/>
        </w:rPr>
        <w:t xml:space="preserve"> </w:t>
      </w:r>
      <w:r>
        <w:t>M</w:t>
      </w:r>
      <w:r w:rsidRPr="006B3536">
        <w:t xml:space="preserve">echanical twinning </w:t>
      </w:r>
      <w:r w:rsidRPr="006B3536">
        <w:rPr>
          <w:noProof/>
        </w:rPr>
        <w:t>requires</w:t>
      </w:r>
      <w:r w:rsidRPr="006B3536">
        <w:t xml:space="preserve"> large critical stress to </w:t>
      </w:r>
      <w:r w:rsidR="00D22046">
        <w:t xml:space="preserve">be </w:t>
      </w:r>
      <w:r w:rsidRPr="006B3536">
        <w:t>exert</w:t>
      </w:r>
      <w:r w:rsidR="00D22046">
        <w:t>ed</w:t>
      </w:r>
      <w:r w:rsidRPr="006B3536">
        <w:t xml:space="preserve"> along specific lattice direction</w:t>
      </w:r>
      <w:r>
        <w:t>s</w:t>
      </w:r>
      <w:r w:rsidRPr="006B3536">
        <w:t xml:space="preserve"> to activate</w:t>
      </w:r>
      <w:r>
        <w:t>.</w:t>
      </w:r>
      <w:r w:rsidRPr="006B3536">
        <w:t xml:space="preserve"> </w:t>
      </w:r>
      <w:r>
        <w:t>T</w:t>
      </w:r>
      <w:r w:rsidRPr="006B3536">
        <w:t xml:space="preserve">o get over the overall volume change and balance the </w:t>
      </w:r>
      <w:r w:rsidRPr="006B3536">
        <w:rPr>
          <w:noProof/>
        </w:rPr>
        <w:t>local</w:t>
      </w:r>
      <w:r w:rsidRPr="006B3536">
        <w:t xml:space="preserve"> stress</w:t>
      </w:r>
      <w:r>
        <w:t>, in contrast,</w:t>
      </w:r>
      <w:r w:rsidRPr="006B3536">
        <w:t xml:space="preserve"> SA type twinning can be easily </w:t>
      </w:r>
      <w:r>
        <w:t>activated</w:t>
      </w:r>
      <w:r w:rsidRPr="006B3536">
        <w:t xml:space="preserve"> by phase transformation</w:t>
      </w:r>
      <w:r>
        <w:t>-</w:t>
      </w:r>
      <w:r w:rsidRPr="006B3536">
        <w:t xml:space="preserve">induced stress </w:t>
      </w:r>
      <w:r>
        <w:t xml:space="preserve">and </w:t>
      </w:r>
      <w:r w:rsidRPr="006B3536">
        <w:t xml:space="preserve">is predominant during this deformation stage (step II). </w:t>
      </w:r>
      <w:r w:rsidRPr="006B3536">
        <w:rPr>
          <w:noProof/>
        </w:rPr>
        <w:t>Thus,</w:t>
      </w:r>
      <w:r w:rsidRPr="006B3536">
        <w:t xml:space="preserve"> the </w:t>
      </w:r>
      <w:r w:rsidRPr="006B3536">
        <w:rPr>
          <w:noProof/>
        </w:rPr>
        <w:t>high</w:t>
      </w:r>
      <w:r w:rsidRPr="006B3536">
        <w:t xml:space="preserve"> density of martensite variants formed </w:t>
      </w:r>
      <w:r w:rsidRPr="006B3536">
        <w:rPr>
          <w:noProof/>
        </w:rPr>
        <w:t>via type</w:t>
      </w:r>
      <w:r w:rsidRPr="006B3536">
        <w:t xml:space="preserve"> I {111}</w:t>
      </w:r>
      <w:r w:rsidRPr="006B3536">
        <w:rPr>
          <w:vertAlign w:val="subscript"/>
        </w:rPr>
        <w:t>α’’</w:t>
      </w:r>
      <w:r w:rsidRPr="006B3536">
        <w:t xml:space="preserve"> and II {-211}</w:t>
      </w:r>
      <w:r w:rsidRPr="006B3536">
        <w:rPr>
          <w:vertAlign w:val="subscript"/>
        </w:rPr>
        <w:t>α’’</w:t>
      </w:r>
      <w:r w:rsidRPr="006B3536">
        <w:t xml:space="preserve"> SA twinning </w:t>
      </w:r>
      <w:r w:rsidRPr="006B3536">
        <w:rPr>
          <w:noProof/>
        </w:rPr>
        <w:t>was concluded</w:t>
      </w:r>
      <w:r w:rsidRPr="006B3536">
        <w:t xml:space="preserve"> as</w:t>
      </w:r>
      <w:r w:rsidR="00D22046">
        <w:t xml:space="preserve"> being</w:t>
      </w:r>
      <w:r w:rsidRPr="006B3536">
        <w:t xml:space="preserve"> the </w:t>
      </w:r>
      <w:r w:rsidRPr="006B3536">
        <w:rPr>
          <w:noProof/>
        </w:rPr>
        <w:t>main</w:t>
      </w:r>
      <w:r w:rsidRPr="006B3536">
        <w:t xml:space="preserve"> </w:t>
      </w:r>
      <w:r w:rsidRPr="006B3536">
        <w:rPr>
          <w:noProof/>
        </w:rPr>
        <w:t>contribution</w:t>
      </w:r>
      <w:r w:rsidRPr="006B3536">
        <w:t xml:space="preserve"> to the first </w:t>
      </w:r>
      <w:r>
        <w:t>increase</w:t>
      </w:r>
      <w:r w:rsidRPr="006B3536">
        <w:t xml:space="preserve"> in </w:t>
      </w:r>
      <w:r w:rsidR="002F3A48">
        <w:t>work</w:t>
      </w:r>
      <w:r w:rsidRPr="006B3536">
        <w:t xml:space="preserve"> hardening rate during the second deformation stage </w:t>
      </w:r>
      <w:r>
        <w:t>shown in</w:t>
      </w:r>
      <w:r w:rsidRPr="006B3536">
        <w:t xml:space="preserve"> Fig. 7-1(a). </w:t>
      </w:r>
    </w:p>
    <w:p w14:paraId="1E142572" w14:textId="57078B79" w:rsidR="00B145BE" w:rsidRDefault="00B145BE" w:rsidP="00B145BE">
      <w:pPr>
        <w:spacing w:afterLines="60" w:after="144" w:line="360" w:lineRule="auto"/>
        <w:jc w:val="both"/>
        <w:rPr>
          <w:rFonts w:cstheme="minorHAnsi"/>
        </w:rPr>
      </w:pPr>
      <w:r w:rsidRPr="006B3536">
        <w:t>During Step II, a special TTIP SA {351}&lt;-211&gt;</w:t>
      </w:r>
      <w:r w:rsidRPr="006B3536">
        <w:rPr>
          <w:rFonts w:cstheme="minorHAnsi"/>
          <w:vertAlign w:val="subscript"/>
        </w:rPr>
        <w:t>α’’</w:t>
      </w:r>
      <w:r w:rsidRPr="006B3536">
        <w:rPr>
          <w:rFonts w:cstheme="minorHAnsi"/>
        </w:rPr>
        <w:t xml:space="preserve"> type II</w:t>
      </w:r>
      <w:r w:rsidRPr="006B3536">
        <w:t xml:space="preserve"> twin </w:t>
      </w:r>
      <w:r>
        <w:rPr>
          <w:noProof/>
        </w:rPr>
        <w:t>was</w:t>
      </w:r>
      <w:r w:rsidRPr="006B3536">
        <w:rPr>
          <w:noProof/>
        </w:rPr>
        <w:t xml:space="preserve"> activated</w:t>
      </w:r>
      <w:r w:rsidRPr="006B3536">
        <w:t xml:space="preserve"> as the main precursor for the start of Step III, whereby TTIP </w:t>
      </w:r>
      <w:r>
        <w:t>starts</w:t>
      </w:r>
      <w:r w:rsidRPr="006B3536">
        <w:t xml:space="preserve"> and </w:t>
      </w:r>
      <w:r>
        <w:t>facilitates the</w:t>
      </w:r>
      <w:r w:rsidRPr="006B3536">
        <w:t xml:space="preserve"> transition between TRIP and TWIP. After </w:t>
      </w:r>
      <w:r>
        <w:t xml:space="preserve">the </w:t>
      </w:r>
      <w:r w:rsidRPr="006B3536">
        <w:t>TRIP effect subside</w:t>
      </w:r>
      <w:r>
        <w:t>s as a result of</w:t>
      </w:r>
      <w:r w:rsidRPr="006B3536">
        <w:t xml:space="preserve"> further loading on SA {351}&lt;-211&gt;</w:t>
      </w:r>
      <w:r w:rsidRPr="006B3536">
        <w:rPr>
          <w:rFonts w:cstheme="minorHAnsi"/>
          <w:vertAlign w:val="subscript"/>
        </w:rPr>
        <w:t>α’’</w:t>
      </w:r>
      <w:r w:rsidRPr="006B3536">
        <w:t xml:space="preserve"> type II twin</w:t>
      </w:r>
      <w:r>
        <w:t>,</w:t>
      </w:r>
      <w:r w:rsidR="00D22046">
        <w:t xml:space="preserve"> the</w:t>
      </w:r>
      <w:r w:rsidRPr="006B3536">
        <w:t xml:space="preserve"> TWIP effect </w:t>
      </w:r>
      <w:r w:rsidRPr="006B3536">
        <w:rPr>
          <w:noProof/>
        </w:rPr>
        <w:t>is successfully activated</w:t>
      </w:r>
      <w:r w:rsidRPr="006B3536">
        <w:t xml:space="preserve"> by</w:t>
      </w:r>
      <w:r w:rsidR="00335886">
        <w:t xml:space="preserve"> {351}&lt;1-12&gt;</w:t>
      </w:r>
      <w:r w:rsidRPr="006B3536">
        <w:rPr>
          <w:rFonts w:cstheme="minorHAnsi"/>
          <w:vertAlign w:val="subscript"/>
        </w:rPr>
        <w:t>α’’</w:t>
      </w:r>
      <w:r w:rsidRPr="006B3536">
        <w:rPr>
          <w:rFonts w:cstheme="minorHAnsi"/>
        </w:rPr>
        <w:t xml:space="preserve"> </w:t>
      </w:r>
      <w:r w:rsidR="00335886">
        <w:rPr>
          <w:rFonts w:cstheme="minorHAnsi"/>
        </w:rPr>
        <w:t xml:space="preserve">type I </w:t>
      </w:r>
      <w:r w:rsidRPr="006B3536">
        <w:rPr>
          <w:rFonts w:cstheme="minorHAnsi"/>
        </w:rPr>
        <w:t xml:space="preserve">mechanical twinning in primary </w:t>
      </w:r>
      <w:r w:rsidRPr="006B3536">
        <w:t>(351)[-211]</w:t>
      </w:r>
      <w:r w:rsidRPr="006B3536">
        <w:rPr>
          <w:rFonts w:cstheme="minorHAnsi"/>
          <w:vertAlign w:val="subscript"/>
        </w:rPr>
        <w:t xml:space="preserve"> α’’</w:t>
      </w:r>
      <w:r w:rsidRPr="006B3536">
        <w:t xml:space="preserve"> type II twining</w:t>
      </w:r>
      <w:r w:rsidR="00335886">
        <w:t xml:space="preserve"> </w:t>
      </w:r>
      <w:r w:rsidRPr="006B3536">
        <w:t>(Fig. 7-</w:t>
      </w:r>
      <w:r w:rsidR="00335886">
        <w:t>8</w:t>
      </w:r>
      <w:r w:rsidRPr="006B3536">
        <w:t>). Due to the special lattice correspondence</w:t>
      </w:r>
      <w:r w:rsidR="00335886">
        <w:t xml:space="preserve"> of</w:t>
      </w:r>
      <w:r w:rsidRPr="006B3536">
        <w:t xml:space="preserve"> (35-1)</w:t>
      </w:r>
      <w:r w:rsidRPr="006B3536">
        <w:rPr>
          <w:rFonts w:cstheme="minorHAnsi"/>
        </w:rPr>
        <w:t xml:space="preserve"> </w:t>
      </w:r>
      <w:r w:rsidR="00335886">
        <w:rPr>
          <w:rFonts w:cstheme="minorHAnsi"/>
        </w:rPr>
        <w:t xml:space="preserve">plane between the matrix and twinned variants </w:t>
      </w:r>
      <w:r w:rsidRPr="006B3536">
        <w:rPr>
          <w:rFonts w:cstheme="minorHAnsi"/>
        </w:rPr>
        <w:t>as highlighted in Fig. 7-</w:t>
      </w:r>
      <w:r w:rsidR="00335886">
        <w:rPr>
          <w:rFonts w:cstheme="minorHAnsi"/>
        </w:rPr>
        <w:t>11</w:t>
      </w:r>
      <w:r w:rsidRPr="006B3536">
        <w:rPr>
          <w:rFonts w:cstheme="minorHAnsi"/>
        </w:rPr>
        <w:t xml:space="preserve"> (</w:t>
      </w:r>
      <w:r w:rsidR="00335886">
        <w:rPr>
          <w:rFonts w:cstheme="minorHAnsi"/>
        </w:rPr>
        <w:t>f-h</w:t>
      </w:r>
      <w:r w:rsidRPr="006B3536">
        <w:rPr>
          <w:rFonts w:cstheme="minorHAnsi"/>
        </w:rPr>
        <w:t xml:space="preserve">), the energetically favoured mechanical twin transformation </w:t>
      </w:r>
      <w:r w:rsidRPr="006B3536">
        <w:rPr>
          <w:rFonts w:cstheme="minorHAnsi"/>
          <w:noProof/>
        </w:rPr>
        <w:t>occurs in</w:t>
      </w:r>
      <w:r w:rsidRPr="006B3536">
        <w:rPr>
          <w:rFonts w:cstheme="minorHAnsi"/>
        </w:rPr>
        <w:t xml:space="preserve"> primary </w:t>
      </w:r>
      <w:r w:rsidRPr="006B3536">
        <w:t>(351)[-211]</w:t>
      </w:r>
      <w:r w:rsidRPr="006B3536">
        <w:rPr>
          <w:rFonts w:cstheme="minorHAnsi"/>
          <w:vertAlign w:val="subscript"/>
        </w:rPr>
        <w:t xml:space="preserve"> α’’</w:t>
      </w:r>
      <w:r w:rsidRPr="006B3536">
        <w:t xml:space="preserve"> type II twins </w:t>
      </w:r>
      <w:r w:rsidR="00335886">
        <w:t>is</w:t>
      </w:r>
      <w:r w:rsidRPr="006B3536">
        <w:rPr>
          <w:rFonts w:cstheme="minorHAnsi"/>
        </w:rPr>
        <w:t xml:space="preserve"> along </w:t>
      </w:r>
      <w:r w:rsidR="00335886">
        <w:rPr>
          <w:rFonts w:cstheme="minorHAnsi"/>
        </w:rPr>
        <w:t>(351)[1-12]</w:t>
      </w:r>
      <w:r w:rsidR="00335886" w:rsidRPr="00335886">
        <w:rPr>
          <w:rFonts w:cstheme="minorHAnsi"/>
          <w:vertAlign w:val="subscript"/>
        </w:rPr>
        <w:t xml:space="preserve"> </w:t>
      </w:r>
      <w:r w:rsidR="00335886" w:rsidRPr="006B3536">
        <w:rPr>
          <w:rFonts w:cstheme="minorHAnsi"/>
          <w:vertAlign w:val="subscript"/>
        </w:rPr>
        <w:t>α’’</w:t>
      </w:r>
      <w:r w:rsidRPr="006B3536">
        <w:rPr>
          <w:rFonts w:cstheme="minorHAnsi"/>
        </w:rPr>
        <w:t xml:space="preserve"> to accommodate further deformation. Although the shear vector required to complete </w:t>
      </w:r>
      <w:r w:rsidR="009D14BA">
        <w:rPr>
          <w:rFonts w:cstheme="minorHAnsi"/>
        </w:rPr>
        <w:t xml:space="preserve">the </w:t>
      </w:r>
      <w:r w:rsidR="009D14BA" w:rsidRPr="006B3536">
        <w:t>(351)[-211]</w:t>
      </w:r>
      <w:r w:rsidR="009D14BA" w:rsidRPr="006B3536">
        <w:rPr>
          <w:rFonts w:cstheme="minorHAnsi"/>
          <w:vertAlign w:val="subscript"/>
        </w:rPr>
        <w:t xml:space="preserve"> α’’</w:t>
      </w:r>
      <w:r w:rsidR="009D14BA" w:rsidRPr="006B3536">
        <w:t xml:space="preserve"> type II </w:t>
      </w:r>
      <w:r w:rsidR="009D14BA">
        <w:t>to</w:t>
      </w:r>
      <w:r w:rsidR="009D14BA" w:rsidRPr="006B3536">
        <w:rPr>
          <w:rFonts w:cstheme="minorHAnsi"/>
        </w:rPr>
        <w:t xml:space="preserve"> </w:t>
      </w:r>
      <w:r w:rsidR="009D14BA">
        <w:rPr>
          <w:rFonts w:cstheme="minorHAnsi"/>
        </w:rPr>
        <w:t>(351)[1-12]</w:t>
      </w:r>
      <w:r w:rsidR="009D14BA" w:rsidRPr="00335886">
        <w:rPr>
          <w:rFonts w:cstheme="minorHAnsi"/>
          <w:vertAlign w:val="subscript"/>
        </w:rPr>
        <w:t xml:space="preserve"> </w:t>
      </w:r>
      <w:r w:rsidR="009D14BA" w:rsidRPr="006B3536">
        <w:rPr>
          <w:rFonts w:cstheme="minorHAnsi"/>
          <w:vertAlign w:val="subscript"/>
        </w:rPr>
        <w:t>α’’</w:t>
      </w:r>
      <w:r w:rsidR="009D14BA" w:rsidRPr="006B3536">
        <w:rPr>
          <w:rFonts w:cstheme="minorHAnsi"/>
        </w:rPr>
        <w:t xml:space="preserve"> </w:t>
      </w:r>
      <w:r w:rsidR="009D14BA">
        <w:rPr>
          <w:rFonts w:cstheme="minorHAnsi"/>
        </w:rPr>
        <w:t>type I</w:t>
      </w:r>
      <w:r w:rsidRPr="006B3536">
        <w:rPr>
          <w:rFonts w:cstheme="minorHAnsi"/>
        </w:rPr>
        <w:t xml:space="preserve"> twinning transformation</w:t>
      </w:r>
      <w:r>
        <w:rPr>
          <w:rFonts w:cstheme="minorHAnsi"/>
        </w:rPr>
        <w:t>s</w:t>
      </w:r>
      <w:r w:rsidRPr="006B3536">
        <w:rPr>
          <w:rFonts w:cstheme="minorHAnsi"/>
        </w:rPr>
        <w:t xml:space="preserve"> is </w:t>
      </w:r>
      <w:r>
        <w:rPr>
          <w:rFonts w:cstheme="minorHAnsi"/>
        </w:rPr>
        <w:t xml:space="preserve">the </w:t>
      </w:r>
      <w:r w:rsidR="004A2B25" w:rsidRPr="006B3536">
        <w:rPr>
          <w:rFonts w:cstheme="minorHAnsi"/>
        </w:rPr>
        <w:t>same</w:t>
      </w:r>
      <w:r w:rsidR="009D14BA">
        <w:rPr>
          <w:rFonts w:cstheme="minorHAnsi"/>
        </w:rPr>
        <w:t xml:space="preserve"> as (130)[3-10]</w:t>
      </w:r>
      <w:r w:rsidR="009D14BA" w:rsidRPr="009D14BA">
        <w:rPr>
          <w:rFonts w:cstheme="minorHAnsi"/>
          <w:vertAlign w:val="subscript"/>
        </w:rPr>
        <w:t xml:space="preserve"> </w:t>
      </w:r>
      <w:r w:rsidR="009D14BA" w:rsidRPr="006B3536">
        <w:rPr>
          <w:rFonts w:cstheme="minorHAnsi"/>
          <w:vertAlign w:val="subscript"/>
        </w:rPr>
        <w:t>α’’</w:t>
      </w:r>
      <w:r w:rsidR="009D14BA">
        <w:rPr>
          <w:rFonts w:cstheme="minorHAnsi"/>
        </w:rPr>
        <w:t xml:space="preserve"> twinning</w:t>
      </w:r>
      <w:r w:rsidRPr="006B3536">
        <w:rPr>
          <w:rFonts w:cstheme="minorHAnsi"/>
        </w:rPr>
        <w:fldChar w:fldCharType="begin" w:fldLock="1"/>
      </w:r>
      <w:r>
        <w:rPr>
          <w:rFonts w:cstheme="minorHAnsi"/>
        </w:rPr>
        <w:instrText>ADDIN CSL_CITATION {"citationItems":[{"id":"ITEM-1","itemData":{"DOI":"10.1016/j.actamat.2013.10.048","ISBN":"13596454 (ISSN)","ISSN":"13596454","abstract":"In this paper, the origin of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which is a unique twinning mode in metastable β-Ti alloys, was investigated. The possible twinning modes in metastable β-Ti alloys are derived by considering lattice instability in addition to the theory of the crystallography of deformation twinning. In order to consider lattice instability in the body-centered-cubic (bcc) structure, a modulated structure was proposed. We then clarify how the modulated structure facilitates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preferentially compared to other possible twinning modes by evaluating the magnitude of twinning shear and the complexity of shuffle. It was found that the lattice instability makes {112}</w:instrText>
      </w:r>
      <w:r>
        <w:rPr>
          <w:rFonts w:cstheme="minorHAnsi" w:hint="eastAsia"/>
        </w:rPr>
        <w:instrText>〈</w:instrText>
      </w:r>
      <w:r>
        <w:rPr>
          <w:rFonts w:cstheme="minorHAnsi"/>
        </w:rPr>
        <w:instrText>1̄1̄1</w:instrText>
      </w:r>
      <w:r>
        <w:rPr>
          <w:rFonts w:cstheme="minorHAnsi" w:hint="eastAsia"/>
        </w:rPr>
        <w:instrText>〉</w:instrText>
      </w:r>
      <w:r>
        <w:rPr>
          <w:rFonts w:cstheme="minorHAnsi"/>
        </w:rPr>
        <w:instrText xml:space="preserve"> twinning, which is a major twinning mode observed in alloys with stable bcc structure, unlikely to occur because the lattice modulation causes additional shuffling to form the {112}</w:instrText>
      </w:r>
      <w:r>
        <w:rPr>
          <w:rFonts w:cstheme="minorHAnsi" w:hint="eastAsia"/>
        </w:rPr>
        <w:instrText>〈</w:instrText>
      </w:r>
      <w:r>
        <w:rPr>
          <w:rFonts w:cstheme="minorHAnsi"/>
        </w:rPr>
        <w:instrText>1̄1̄1</w:instrText>
      </w:r>
      <w:r>
        <w:rPr>
          <w:rFonts w:cstheme="minorHAnsi" w:hint="eastAsia"/>
        </w:rPr>
        <w:instrText>〉</w:instrText>
      </w:r>
      <w:r>
        <w:rPr>
          <w:rFonts w:cstheme="minorHAnsi"/>
        </w:rPr>
        <w:instrText xml:space="preserve"> twin. It was also found that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is the most possible twinning mode in the modulated structure in terms of the magnitude of twinning shear and the complexity of shuffle. The new formation model of the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 presented in this study can explain how the lattice instability preferentially activates the {332}</w:instrText>
      </w:r>
      <w:r>
        <w:rPr>
          <w:rFonts w:cstheme="minorHAnsi" w:hint="eastAsia"/>
        </w:rPr>
        <w:instrText>〈</w:instrText>
      </w:r>
      <w:r>
        <w:rPr>
          <w:rFonts w:cstheme="minorHAnsi"/>
        </w:rPr>
        <w:instrText>113̄</w:instrText>
      </w:r>
      <w:r>
        <w:rPr>
          <w:rFonts w:cstheme="minorHAnsi" w:hint="eastAsia"/>
        </w:rPr>
        <w:instrText>〉</w:instrText>
      </w:r>
      <w:r>
        <w:rPr>
          <w:rFonts w:cstheme="minorHAnsi"/>
        </w:rPr>
        <w:instrText xml:space="preserve"> twinning in metastable β-Ti alloys. © 2013 Acta Materialia Inc. Published by Elsevier Ltd. All rights reserved.","author":[{"dropping-particle":"","family":"Tobe","given":"Hirobumi","non-dropping-particle":"","parse-names":false,"suffix":""},{"dropping-particle":"","family":"Kim","given":"Hee Young","non-dropping-particle":"","parse-names":false,"suffix":""},{"dropping-particle":"","family":"Inamura","given":"Tomonari","non-dropping-particle":"","parse-names":false,"suffix":""},{"dropping-particle":"","family":"Hosoda","given":"Hideki","non-dropping-particle":"","parse-names":false,"suffix":""},{"dropping-particle":"","family":"Miyazaki","given":"Shuichi","non-dropping-particle":"","parse-names":false,"suffix":""}],"container-title":"Acta Materialia","id":"ITEM-1","issued":{"date-parts":[["2014"]]},"title":"Origin of {3 3 2} twinning in metastable β-Ti alloys","type":"article"},"uris":["http://www.mendeley.com/documents/?uuid=071f1bf4-cdc8-45b3-8675-32071ee1f466"]}],"mendeley":{"formattedCitation":"[29]","plainTextFormattedCitation":"[29]","previouslyFormattedCitation":"[37]"},"properties":{"noteIndex":0},"schema":"https://github.com/citation-style-language/schema/raw/master/csl-citation.json"}</w:instrText>
      </w:r>
      <w:r w:rsidRPr="006B3536">
        <w:rPr>
          <w:rFonts w:cstheme="minorHAnsi"/>
        </w:rPr>
        <w:fldChar w:fldCharType="separate"/>
      </w:r>
      <w:r w:rsidRPr="00681C64">
        <w:rPr>
          <w:rFonts w:cstheme="minorHAnsi"/>
          <w:noProof/>
        </w:rPr>
        <w:t>[29]</w:t>
      </w:r>
      <w:r w:rsidRPr="006B3536">
        <w:rPr>
          <w:rFonts w:cstheme="minorHAnsi"/>
        </w:rPr>
        <w:fldChar w:fldCharType="end"/>
      </w:r>
      <w:r w:rsidRPr="006B3536">
        <w:rPr>
          <w:rFonts w:cstheme="minorHAnsi"/>
        </w:rPr>
        <w:t>; considering the magnitude of the atomic shuffle</w:t>
      </w:r>
      <w:r w:rsidR="009D14BA">
        <w:rPr>
          <w:rFonts w:cstheme="minorHAnsi"/>
        </w:rPr>
        <w:t xml:space="preserve"> as shown in Fig. 7-13(b)</w:t>
      </w:r>
      <w:r w:rsidRPr="006B3536">
        <w:rPr>
          <w:rFonts w:cstheme="minorHAnsi"/>
        </w:rPr>
        <w:t xml:space="preserve">, the </w:t>
      </w:r>
      <w:r w:rsidR="009D14BA" w:rsidRPr="006B3536">
        <w:t>(351)[-211]</w:t>
      </w:r>
      <w:r w:rsidR="009D14BA" w:rsidRPr="006B3536">
        <w:rPr>
          <w:rFonts w:cstheme="minorHAnsi"/>
          <w:vertAlign w:val="subscript"/>
        </w:rPr>
        <w:t xml:space="preserve"> α’’</w:t>
      </w:r>
      <w:r w:rsidR="009D14BA" w:rsidRPr="006B3536">
        <w:t xml:space="preserve"> type II </w:t>
      </w:r>
      <w:r w:rsidR="009D14BA">
        <w:t>to</w:t>
      </w:r>
      <w:r w:rsidR="009D14BA" w:rsidRPr="006B3536">
        <w:rPr>
          <w:rFonts w:cstheme="minorHAnsi"/>
        </w:rPr>
        <w:t xml:space="preserve"> </w:t>
      </w:r>
      <w:r w:rsidR="009D14BA">
        <w:rPr>
          <w:rFonts w:cstheme="minorHAnsi"/>
        </w:rPr>
        <w:t>(351)[1-12]</w:t>
      </w:r>
      <w:r w:rsidR="009D14BA" w:rsidRPr="00335886">
        <w:rPr>
          <w:rFonts w:cstheme="minorHAnsi"/>
          <w:vertAlign w:val="subscript"/>
        </w:rPr>
        <w:t xml:space="preserve"> </w:t>
      </w:r>
      <w:r w:rsidR="009D14BA" w:rsidRPr="006B3536">
        <w:rPr>
          <w:rFonts w:cstheme="minorHAnsi"/>
          <w:vertAlign w:val="subscript"/>
        </w:rPr>
        <w:t>α’’</w:t>
      </w:r>
      <w:r w:rsidR="009D14BA" w:rsidRPr="006B3536">
        <w:rPr>
          <w:rFonts w:cstheme="minorHAnsi"/>
        </w:rPr>
        <w:t xml:space="preserve"> </w:t>
      </w:r>
      <w:r w:rsidR="009D14BA">
        <w:rPr>
          <w:rFonts w:cstheme="minorHAnsi"/>
        </w:rPr>
        <w:t>type I</w:t>
      </w:r>
      <w:r w:rsidR="009D14BA" w:rsidRPr="006B3536">
        <w:rPr>
          <w:rFonts w:cstheme="minorHAnsi"/>
        </w:rPr>
        <w:t xml:space="preserve"> twinning</w:t>
      </w:r>
      <w:r w:rsidRPr="006B3536">
        <w:rPr>
          <w:rFonts w:cstheme="minorHAnsi"/>
        </w:rPr>
        <w:t xml:space="preserve"> shear route </w:t>
      </w:r>
      <w:r w:rsidR="009D14BA">
        <w:rPr>
          <w:rFonts w:cstheme="minorHAnsi"/>
        </w:rPr>
        <w:t xml:space="preserve">require no atomic shuffle which </w:t>
      </w:r>
      <w:r w:rsidRPr="006B3536">
        <w:rPr>
          <w:rFonts w:cstheme="minorHAnsi"/>
          <w:noProof/>
        </w:rPr>
        <w:t>is more energetically favourable</w:t>
      </w:r>
      <w:r w:rsidRPr="006B3536">
        <w:rPr>
          <w:rFonts w:cstheme="minorHAnsi"/>
        </w:rPr>
        <w:t xml:space="preserve"> and </w:t>
      </w:r>
      <w:r>
        <w:rPr>
          <w:rFonts w:cstheme="minorHAnsi"/>
        </w:rPr>
        <w:t xml:space="preserve">thus </w:t>
      </w:r>
      <w:r w:rsidRPr="006B3536">
        <w:rPr>
          <w:rFonts w:cstheme="minorHAnsi"/>
        </w:rPr>
        <w:t xml:space="preserve">explains the </w:t>
      </w:r>
      <w:r w:rsidRPr="006B3536">
        <w:rPr>
          <w:rFonts w:cstheme="minorHAnsi"/>
          <w:noProof/>
        </w:rPr>
        <w:t>transformation in</w:t>
      </w:r>
      <w:r w:rsidRPr="006B3536">
        <w:rPr>
          <w:rFonts w:cstheme="minorHAnsi"/>
        </w:rPr>
        <w:t xml:space="preserve"> Fig. 7-</w:t>
      </w:r>
      <w:r w:rsidR="009D14BA">
        <w:rPr>
          <w:rFonts w:cstheme="minorHAnsi"/>
        </w:rPr>
        <w:t>8</w:t>
      </w:r>
      <w:r w:rsidRPr="006B3536">
        <w:rPr>
          <w:rFonts w:cstheme="minorHAnsi"/>
        </w:rPr>
        <w:t xml:space="preserve">. The </w:t>
      </w:r>
      <w:r w:rsidRPr="006B3536">
        <w:rPr>
          <w:rFonts w:cstheme="minorHAnsi"/>
          <w:noProof/>
        </w:rPr>
        <w:t>special</w:t>
      </w:r>
      <w:r w:rsidRPr="006B3536">
        <w:rPr>
          <w:rFonts w:cstheme="minorHAnsi"/>
        </w:rPr>
        <w:t xml:space="preserve"> lattice correspondence allow</w:t>
      </w:r>
      <w:r>
        <w:rPr>
          <w:rFonts w:cstheme="minorHAnsi"/>
        </w:rPr>
        <w:t>s</w:t>
      </w:r>
      <w:r w:rsidRPr="006B3536">
        <w:rPr>
          <w:rFonts w:cstheme="minorHAnsi"/>
        </w:rPr>
        <w:t xml:space="preserve"> the SA to </w:t>
      </w:r>
      <w:r w:rsidR="00D22046">
        <w:rPr>
          <w:rFonts w:cstheme="minorHAnsi"/>
        </w:rPr>
        <w:t xml:space="preserve">undergo </w:t>
      </w:r>
      <w:r w:rsidRPr="006B3536">
        <w:rPr>
          <w:rFonts w:cstheme="minorHAnsi"/>
        </w:rPr>
        <w:t xml:space="preserve">mechanical twin transformation </w:t>
      </w:r>
      <w:r>
        <w:rPr>
          <w:rFonts w:cstheme="minorHAnsi"/>
        </w:rPr>
        <w:t>activate</w:t>
      </w:r>
      <w:r w:rsidRPr="006B3536">
        <w:rPr>
          <w:rFonts w:cstheme="minorHAnsi"/>
        </w:rPr>
        <w:t xml:space="preserve"> within</w:t>
      </w:r>
      <w:r w:rsidR="00D22046">
        <w:rPr>
          <w:rFonts w:cstheme="minorHAnsi"/>
        </w:rPr>
        <w:t xml:space="preserve"> the</w:t>
      </w:r>
      <w:r w:rsidRPr="006B3536">
        <w:rPr>
          <w:rFonts w:cstheme="minorHAnsi"/>
        </w:rPr>
        <w:t xml:space="preserve"> </w:t>
      </w:r>
      <w:r w:rsidR="00505AEE">
        <w:rPr>
          <w:rFonts w:cstheme="minorHAnsi"/>
        </w:rPr>
        <w:t xml:space="preserve">primary type II </w:t>
      </w:r>
      <w:r w:rsidRPr="006B3536">
        <w:rPr>
          <w:rFonts w:cstheme="minorHAnsi"/>
        </w:rPr>
        <w:t>twin</w:t>
      </w:r>
      <w:r>
        <w:rPr>
          <w:rFonts w:cstheme="minorHAnsi"/>
        </w:rPr>
        <w:t>n</w:t>
      </w:r>
      <w:r w:rsidRPr="006B3536">
        <w:rPr>
          <w:rFonts w:cstheme="minorHAnsi"/>
        </w:rPr>
        <w:t xml:space="preserve">ed variant along </w:t>
      </w:r>
      <w:r w:rsidRPr="006B3536">
        <w:t>{</w:t>
      </w:r>
      <w:r w:rsidR="00505AEE">
        <w:t>351</w:t>
      </w:r>
      <w:r w:rsidRPr="006B3536">
        <w:t>}&lt;</w:t>
      </w:r>
      <w:r w:rsidR="00505AEE">
        <w:t>1-12</w:t>
      </w:r>
      <w:r w:rsidRPr="006B3536">
        <w:t>&gt;</w:t>
      </w:r>
      <w:r w:rsidRPr="006B3536">
        <w:rPr>
          <w:rFonts w:cstheme="minorHAnsi"/>
          <w:vertAlign w:val="subscript"/>
        </w:rPr>
        <w:t>α’’</w:t>
      </w:r>
      <w:r w:rsidRPr="006B3536">
        <w:rPr>
          <w:rFonts w:cstheme="minorHAnsi"/>
        </w:rPr>
        <w:t xml:space="preserve"> and </w:t>
      </w:r>
      <w:r w:rsidR="00505AEE">
        <w:rPr>
          <w:rFonts w:cstheme="minorHAnsi"/>
        </w:rPr>
        <w:t xml:space="preserve">partially </w:t>
      </w:r>
      <w:r w:rsidRPr="006B3536">
        <w:rPr>
          <w:rFonts w:cstheme="minorHAnsi"/>
        </w:rPr>
        <w:t xml:space="preserve">transform </w:t>
      </w:r>
      <w:r w:rsidR="00505AEE">
        <w:rPr>
          <w:rFonts w:cstheme="minorHAnsi"/>
        </w:rPr>
        <w:t xml:space="preserve">the type II twinned variant </w:t>
      </w:r>
      <w:r w:rsidRPr="006B3536">
        <w:rPr>
          <w:rFonts w:cstheme="minorHAnsi"/>
        </w:rPr>
        <w:t xml:space="preserve">into </w:t>
      </w:r>
      <w:r w:rsidRPr="006B3536">
        <w:t>{</w:t>
      </w:r>
      <w:r w:rsidR="00505AEE">
        <w:t>351</w:t>
      </w:r>
      <w:r w:rsidRPr="006B3536">
        <w:t>}&lt;</w:t>
      </w:r>
      <w:r w:rsidR="00505AEE">
        <w:t>1-12</w:t>
      </w:r>
      <w:r w:rsidRPr="006B3536">
        <w:t>&gt;</w:t>
      </w:r>
      <w:r w:rsidRPr="006B3536">
        <w:rPr>
          <w:rFonts w:cstheme="minorHAnsi"/>
          <w:vertAlign w:val="subscript"/>
        </w:rPr>
        <w:t>α’’</w:t>
      </w:r>
      <w:r w:rsidRPr="006B3536">
        <w:rPr>
          <w:rFonts w:cstheme="minorHAnsi"/>
        </w:rPr>
        <w:t xml:space="preserve"> </w:t>
      </w:r>
      <w:r w:rsidR="00505AEE">
        <w:rPr>
          <w:rFonts w:cstheme="minorHAnsi"/>
        </w:rPr>
        <w:t xml:space="preserve">type I </w:t>
      </w:r>
      <w:r w:rsidRPr="006B3536">
        <w:rPr>
          <w:rFonts w:cstheme="minorHAnsi"/>
        </w:rPr>
        <w:t>twin</w:t>
      </w:r>
      <w:r>
        <w:rPr>
          <w:rFonts w:cstheme="minorHAnsi"/>
        </w:rPr>
        <w:t>n</w:t>
      </w:r>
      <w:r w:rsidRPr="006B3536">
        <w:rPr>
          <w:rFonts w:cstheme="minorHAnsi"/>
        </w:rPr>
        <w:t xml:space="preserve">ed </w:t>
      </w:r>
      <w:r w:rsidR="00505AEE">
        <w:rPr>
          <w:rFonts w:cstheme="minorHAnsi"/>
        </w:rPr>
        <w:t>variant</w:t>
      </w:r>
      <w:r w:rsidRPr="006B3536">
        <w:rPr>
          <w:rFonts w:cstheme="minorHAnsi"/>
        </w:rPr>
        <w:t xml:space="preserve">. </w:t>
      </w:r>
      <w:r>
        <w:rPr>
          <w:rFonts w:cstheme="minorHAnsi"/>
        </w:rPr>
        <w:t>With l</w:t>
      </w:r>
      <w:r w:rsidRPr="006B3536">
        <w:rPr>
          <w:rFonts w:cstheme="minorHAnsi"/>
        </w:rPr>
        <w:t xml:space="preserve">attice </w:t>
      </w:r>
      <w:r w:rsidR="004A2B25" w:rsidRPr="006B3536">
        <w:rPr>
          <w:rFonts w:cstheme="minorHAnsi"/>
        </w:rPr>
        <w:t>correspond</w:t>
      </w:r>
      <w:r w:rsidR="004A2B25">
        <w:rPr>
          <w:rFonts w:cstheme="minorHAnsi"/>
        </w:rPr>
        <w:t>ence</w:t>
      </w:r>
      <w:r w:rsidRPr="006B3536">
        <w:rPr>
          <w:rFonts w:cstheme="minorHAnsi"/>
        </w:rPr>
        <w:t xml:space="preserve"> to {332}</w:t>
      </w:r>
      <w:r w:rsidRPr="006B3536">
        <w:rPr>
          <w:rFonts w:ascii="Times New Roman" w:hAnsi="Times New Roman" w:cs="Times New Roman"/>
          <w:vertAlign w:val="subscript"/>
        </w:rPr>
        <w:t>β</w:t>
      </w:r>
      <w:r w:rsidRPr="006B3536">
        <w:rPr>
          <w:rFonts w:cstheme="minorHAnsi"/>
        </w:rPr>
        <w:t xml:space="preserve"> mechanical twinning, </w:t>
      </w:r>
      <w:r>
        <w:rPr>
          <w:rFonts w:cstheme="minorHAnsi"/>
        </w:rPr>
        <w:t xml:space="preserve">the </w:t>
      </w:r>
      <w:r w:rsidRPr="006B3536">
        <w:rPr>
          <w:rFonts w:cstheme="minorHAnsi"/>
        </w:rPr>
        <w:t xml:space="preserve">twinning structures possess potential to propagate the planar character into </w:t>
      </w:r>
      <w:r>
        <w:rPr>
          <w:rFonts w:cstheme="minorHAnsi"/>
        </w:rPr>
        <w:t xml:space="preserve">the </w:t>
      </w:r>
      <w:r w:rsidRPr="006B3536">
        <w:rPr>
          <w:rFonts w:cstheme="minorHAnsi"/>
        </w:rPr>
        <w:lastRenderedPageBreak/>
        <w:t xml:space="preserve">adjacent </w:t>
      </w:r>
      <w:r w:rsidRPr="006B3536">
        <w:rPr>
          <w:rFonts w:cs="Times New Roman"/>
        </w:rPr>
        <w:t>β</w:t>
      </w:r>
      <w:r w:rsidRPr="006B3536">
        <w:rPr>
          <w:rFonts w:cstheme="minorHAnsi"/>
        </w:rPr>
        <w:t xml:space="preserve"> phase in</w:t>
      </w:r>
      <w:r w:rsidR="00D22046">
        <w:rPr>
          <w:rFonts w:cstheme="minorHAnsi"/>
        </w:rPr>
        <w:t xml:space="preserve"> the</w:t>
      </w:r>
      <w:r w:rsidRPr="006B3536">
        <w:rPr>
          <w:rFonts w:cstheme="minorHAnsi"/>
        </w:rPr>
        <w:t xml:space="preserve"> form of {332}</w:t>
      </w:r>
      <w:r w:rsidRPr="006B3536">
        <w:rPr>
          <w:rFonts w:ascii="Times New Roman" w:hAnsi="Times New Roman" w:cs="Times New Roman"/>
          <w:vertAlign w:val="subscript"/>
        </w:rPr>
        <w:t>β</w:t>
      </w:r>
      <w:r w:rsidRPr="006B3536">
        <w:rPr>
          <w:rFonts w:cstheme="minorHAnsi"/>
        </w:rPr>
        <w:t xml:space="preserve"> mechanical twinning (Fig. 7-</w:t>
      </w:r>
      <w:r w:rsidR="00505AEE">
        <w:rPr>
          <w:rFonts w:cstheme="minorHAnsi"/>
        </w:rPr>
        <w:t>8</w:t>
      </w:r>
      <w:r w:rsidRPr="006B3536">
        <w:rPr>
          <w:rFonts w:cstheme="minorHAnsi"/>
        </w:rPr>
        <w:t>(</w:t>
      </w:r>
      <w:r w:rsidR="00505AEE">
        <w:rPr>
          <w:rFonts w:cstheme="minorHAnsi"/>
        </w:rPr>
        <w:t>b-c</w:t>
      </w:r>
      <w:r w:rsidRPr="006B3536">
        <w:rPr>
          <w:rFonts w:cstheme="minorHAnsi"/>
        </w:rPr>
        <w:t>))</w:t>
      </w:r>
      <w:r>
        <w:rPr>
          <w:rFonts w:cstheme="minorHAnsi"/>
        </w:rPr>
        <w:t>. This</w:t>
      </w:r>
      <w:r w:rsidRPr="006B3536">
        <w:rPr>
          <w:rFonts w:cstheme="minorHAnsi"/>
        </w:rPr>
        <w:t xml:space="preserve"> further alleviate</w:t>
      </w:r>
      <w:r>
        <w:rPr>
          <w:rFonts w:cstheme="minorHAnsi"/>
        </w:rPr>
        <w:t>s</w:t>
      </w:r>
      <w:r w:rsidRPr="006B3536">
        <w:rPr>
          <w:rFonts w:cstheme="minorHAnsi"/>
        </w:rPr>
        <w:t xml:space="preserve"> the accumulated local stress </w:t>
      </w:r>
      <w:r w:rsidR="00505AEE">
        <w:rPr>
          <w:rFonts w:cstheme="minorHAnsi"/>
        </w:rPr>
        <w:t xml:space="preserve">at phase boundary </w:t>
      </w:r>
      <w:r w:rsidRPr="006B3536">
        <w:rPr>
          <w:rFonts w:cstheme="minorHAnsi"/>
        </w:rPr>
        <w:t xml:space="preserve">in a coherent manner. </w:t>
      </w:r>
    </w:p>
    <w:p w14:paraId="05ED3BB1" w14:textId="0918DB09" w:rsidR="00B145BE" w:rsidRPr="00383741" w:rsidRDefault="00383741" w:rsidP="00383741">
      <w:pPr>
        <w:spacing w:afterLines="60" w:after="144" w:line="360" w:lineRule="auto"/>
        <w:jc w:val="both"/>
        <w:rPr>
          <w:rFonts w:cstheme="minorHAnsi"/>
        </w:rPr>
      </w:pPr>
      <w:r w:rsidRPr="00383741">
        <w:rPr>
          <w:rFonts w:cstheme="minorHAnsi"/>
        </w:rPr>
        <w:t>Beyond 12% strain</w:t>
      </w:r>
      <w:r>
        <w:rPr>
          <w:rFonts w:cstheme="minorHAnsi"/>
        </w:rPr>
        <w:t>, in the final deformation stage</w:t>
      </w:r>
      <w:r w:rsidRPr="00383741">
        <w:rPr>
          <w:rFonts w:cstheme="minorHAnsi"/>
        </w:rPr>
        <w:t xml:space="preserve">, the work hardening exponent of Ta15 decreases gradually till fracture (Fig. </w:t>
      </w:r>
      <w:r>
        <w:rPr>
          <w:rFonts w:cstheme="minorHAnsi"/>
        </w:rPr>
        <w:t>7-1(a)</w:t>
      </w:r>
      <w:r w:rsidRPr="00383741">
        <w:rPr>
          <w:rFonts w:cstheme="minorHAnsi"/>
        </w:rPr>
        <w:t xml:space="preserve">), while for Ta13, the work hardening exponent </w:t>
      </w:r>
      <m:oMath>
        <m:r>
          <m:rPr>
            <m:sty m:val="bi"/>
          </m:rPr>
          <w:rPr>
            <w:rFonts w:ascii="Cambria Math" w:eastAsia="Cambria Math" w:hAnsi="Cambria Math" w:cstheme="minorHAnsi"/>
          </w:rPr>
          <m:t>n</m:t>
        </m:r>
      </m:oMath>
      <w:r w:rsidRPr="00383741">
        <w:rPr>
          <w:rFonts w:cstheme="minorHAnsi"/>
        </w:rPr>
        <w:t xml:space="preserve"> increases slightly, leading to higher facture strength and larger ductility. The increase of </w:t>
      </w:r>
      <m:oMath>
        <m:r>
          <m:rPr>
            <m:sty m:val="bi"/>
          </m:rPr>
          <w:rPr>
            <w:rFonts w:ascii="Cambria Math" w:eastAsia="Cambria Math" w:hAnsi="Cambria Math" w:cstheme="minorHAnsi"/>
          </w:rPr>
          <m:t>n</m:t>
        </m:r>
      </m:oMath>
      <w:r w:rsidRPr="00383741">
        <w:rPr>
          <w:rFonts w:cstheme="minorHAnsi"/>
        </w:rPr>
        <w:t xml:space="preserve"> at later deformation in Ta13 is attributed to the formation of intricate network</w:t>
      </w:r>
      <w:r>
        <w:rPr>
          <w:rFonts w:cstheme="minorHAnsi"/>
        </w:rPr>
        <w:t>s</w:t>
      </w:r>
      <w:r w:rsidRPr="00383741">
        <w:rPr>
          <w:rFonts w:cstheme="minorHAnsi"/>
        </w:rPr>
        <w:t xml:space="preserve"> consist of profuse secondary SA and {011}</w:t>
      </w:r>
      <w:r w:rsidRPr="00383741">
        <w:rPr>
          <w:rFonts w:cstheme="minorHAnsi"/>
          <w:vertAlign w:val="subscript"/>
        </w:rPr>
        <w:t>α’’</w:t>
      </w:r>
      <w:r w:rsidRPr="00383741">
        <w:rPr>
          <w:rFonts w:cstheme="minorHAnsi"/>
        </w:rPr>
        <w:t xml:space="preserve"> compound mechanical twins, which further contribute to the strength enhancement because of dynamic Hall-Petch effect (α’’ grain refinement down to 0.21μm). </w:t>
      </w:r>
      <w:r>
        <w:rPr>
          <w:rFonts w:cstheme="minorHAnsi"/>
        </w:rPr>
        <w:t>T</w:t>
      </w:r>
      <w:r w:rsidRPr="00383741">
        <w:rPr>
          <w:rFonts w:cstheme="minorHAnsi"/>
        </w:rPr>
        <w:t>he origin of this twisted {111}</w:t>
      </w:r>
      <w:r w:rsidRPr="00383741">
        <w:rPr>
          <w:rFonts w:cstheme="minorHAnsi"/>
          <w:vertAlign w:val="subscript"/>
        </w:rPr>
        <w:t>α’’</w:t>
      </w:r>
      <w:r w:rsidRPr="00383741">
        <w:rPr>
          <w:rFonts w:cstheme="minorHAnsi"/>
        </w:rPr>
        <w:t xml:space="preserve"> type I twinning and {011}</w:t>
      </w:r>
      <w:r w:rsidRPr="00383741">
        <w:rPr>
          <w:rFonts w:cstheme="minorHAnsi"/>
          <w:vertAlign w:val="subscript"/>
        </w:rPr>
        <w:t>α’’</w:t>
      </w:r>
      <w:r w:rsidRPr="00383741">
        <w:rPr>
          <w:rFonts w:cstheme="minorHAnsi"/>
        </w:rPr>
        <w:t xml:space="preserve"> compound twinning</w:t>
      </w:r>
      <w:r>
        <w:rPr>
          <w:rFonts w:cstheme="minorHAnsi"/>
        </w:rPr>
        <w:t xml:space="preserve"> is deduced by</w:t>
      </w:r>
      <w:r w:rsidRPr="00383741">
        <w:rPr>
          <w:rFonts w:cstheme="minorHAnsi"/>
        </w:rPr>
        <w:t xml:space="preserve"> OR analysis using stereographic projection on the four α’’ variants. The analysis shows that the {111}</w:t>
      </w:r>
      <w:r w:rsidRPr="00383741">
        <w:rPr>
          <w:rFonts w:cstheme="minorHAnsi"/>
          <w:vertAlign w:val="subscript"/>
        </w:rPr>
        <w:t>α’’</w:t>
      </w:r>
      <w:r w:rsidRPr="00383741">
        <w:rPr>
          <w:rFonts w:cstheme="minorHAnsi"/>
        </w:rPr>
        <w:t xml:space="preserve"> type I and {011}</w:t>
      </w:r>
      <w:r w:rsidRPr="00383741">
        <w:rPr>
          <w:rFonts w:cstheme="minorHAnsi"/>
          <w:vertAlign w:val="subscript"/>
        </w:rPr>
        <w:t>α’’</w:t>
      </w:r>
      <w:r w:rsidRPr="00383741">
        <w:rPr>
          <w:rFonts w:cstheme="minorHAnsi"/>
        </w:rPr>
        <w:t xml:space="preserve"> compound twins are the secondary twinning activated in the primary {351}&lt;-211&gt;</w:t>
      </w:r>
      <w:r w:rsidRPr="00383741">
        <w:rPr>
          <w:rFonts w:cstheme="minorHAnsi"/>
          <w:vertAlign w:val="subscript"/>
        </w:rPr>
        <w:t>α’’</w:t>
      </w:r>
      <w:r w:rsidRPr="00383741">
        <w:rPr>
          <w:rFonts w:cstheme="minorHAnsi"/>
        </w:rPr>
        <w:t xml:space="preserve"> type II twins. This observation indicates that, with further straining, the twisted {111}</w:t>
      </w:r>
      <w:r w:rsidRPr="00383741">
        <w:rPr>
          <w:rFonts w:cstheme="minorHAnsi"/>
          <w:vertAlign w:val="subscript"/>
        </w:rPr>
        <w:t>α’’</w:t>
      </w:r>
      <w:r w:rsidRPr="00383741">
        <w:rPr>
          <w:rFonts w:cstheme="minorHAnsi"/>
        </w:rPr>
        <w:t xml:space="preserve"> type I and {011}</w:t>
      </w:r>
      <w:r w:rsidRPr="00383741">
        <w:rPr>
          <w:rFonts w:cstheme="minorHAnsi"/>
          <w:vertAlign w:val="subscript"/>
        </w:rPr>
        <w:t>α’’</w:t>
      </w:r>
      <w:r w:rsidRPr="00383741">
        <w:rPr>
          <w:rFonts w:cstheme="minorHAnsi"/>
        </w:rPr>
        <w:t xml:space="preserve"> compound twins are activated as secondary deformation products to compensate the strain accumulation in primary SA {351}&lt;-211&gt;</w:t>
      </w:r>
      <w:r w:rsidRPr="00383741">
        <w:rPr>
          <w:rFonts w:cstheme="minorHAnsi"/>
          <w:vertAlign w:val="subscript"/>
        </w:rPr>
        <w:t>α’’</w:t>
      </w:r>
      <w:r w:rsidRPr="00383741">
        <w:rPr>
          <w:rFonts w:cstheme="minorHAnsi"/>
        </w:rPr>
        <w:t xml:space="preserve"> type II twins. As determined by the phase transformed lattice strain</w:t>
      </w:r>
      <w:r w:rsidRPr="00383741">
        <w:rPr>
          <w:rFonts w:cstheme="minorHAnsi"/>
        </w:rPr>
        <w:fldChar w:fldCharType="begin" w:fldLock="1"/>
      </w:r>
      <w:r w:rsidRPr="00383741">
        <w:rPr>
          <w:rFonts w:cstheme="minorHAnsi"/>
        </w:rPr>
        <w:instrText>ADDIN CSL_CITATION {"citationItems":[{"id":"ITEM-1","itemData":{"DOI":"10.1080/14786430601003874","ISBN":"1478-6435","ISSN":"14786435","abstract":"11q","author":[{"dropping-particle":"","family":"Inamura","given":"T.","non-dropping-particle":"","parse-names":false,"suffix":""},{"dropping-particle":"","family":"Kim","given":"J. I.","non-dropping-particle":"","parse-names":false,"suffix":""},{"dropping-particle":"","family":"Kim","given":"H. Y.","non-dropping-particle":"","parse-names":false,"suffix":""},{"dropping-particle":"","family":"Hosoda","given":"H.","non-dropping-particle":"","parse-names":false,"suffix":""},{"dropping-particle":"","family":"Wakashima","given":"K.","non-dropping-particle":"","parse-names":false,"suffix":""},{"dropping-particle":"","family":"Miyazaki","given":"S.","non-dropping-particle":"","parse-names":false,"suffix":""}],"container-title":"Philosophical Magazine","id":"ITEM-1","issued":{"date-parts":[["2007"]]},"title":"Composition dependent crystallography of α″-martensite in Ti-Nb-based β-titanium alloy","type":"article-journal"},"uris":["http://www.mendeley.com/documents/?uuid=4ea84c35-d3ea-4315-8bc5-461397befc0b"]}],"mendeley":{"formattedCitation":"&lt;sup&gt;53&lt;/sup&gt;","plainTextFormattedCitation":"53","previouslyFormattedCitation":"&lt;sup&gt;53&lt;/sup&gt;"},"properties":{"noteIndex":0},"schema":"https://github.com/citation-style-language/schema/raw/master/csl-citation.json"}</w:instrText>
      </w:r>
      <w:r w:rsidRPr="00383741">
        <w:rPr>
          <w:rFonts w:cstheme="minorHAnsi"/>
        </w:rPr>
        <w:fldChar w:fldCharType="separate"/>
      </w:r>
      <w:r w:rsidRPr="00383741">
        <w:rPr>
          <w:rFonts w:cstheme="minorHAnsi"/>
          <w:noProof/>
          <w:vertAlign w:val="superscript"/>
        </w:rPr>
        <w:t>53</w:t>
      </w:r>
      <w:r w:rsidRPr="00383741">
        <w:rPr>
          <w:rFonts w:cstheme="minorHAnsi"/>
        </w:rPr>
        <w:fldChar w:fldCharType="end"/>
      </w:r>
      <w:r w:rsidRPr="00383741">
        <w:rPr>
          <w:rFonts w:cstheme="minorHAnsi"/>
        </w:rPr>
        <w:t>, the {011}</w:t>
      </w:r>
      <w:r w:rsidRPr="00383741">
        <w:rPr>
          <w:rFonts w:cstheme="minorHAnsi"/>
          <w:vertAlign w:val="subscript"/>
        </w:rPr>
        <w:t>α’’</w:t>
      </w:r>
      <w:r w:rsidRPr="00383741">
        <w:rPr>
          <w:rFonts w:cstheme="minorHAnsi"/>
        </w:rPr>
        <w:t xml:space="preserve"> compound twinning should be accepted as mechanical twins in current states which explains its appearance in the later deformation</w:t>
      </w:r>
      <w:r>
        <w:rPr>
          <w:rFonts w:cstheme="minorHAnsi"/>
        </w:rPr>
        <w:t>.</w:t>
      </w:r>
      <w:r>
        <w:rPr>
          <w:rFonts w:cstheme="minorHAnsi" w:hint="eastAsia"/>
        </w:rPr>
        <w:t xml:space="preserve"> </w:t>
      </w:r>
      <w:r w:rsidRPr="00383741">
        <w:rPr>
          <w:rFonts w:cstheme="minorHAnsi"/>
        </w:rPr>
        <w:t>In Ta15, ascribed to the relatively weaker TRIP effect and SA twin</w:t>
      </w:r>
      <w:r w:rsidRPr="00383741">
        <w:rPr>
          <w:rFonts w:cstheme="minorHAnsi"/>
          <w:color w:val="222222"/>
          <w:shd w:val="clear" w:color="auto" w:fill="FFFFFF"/>
        </w:rPr>
        <w:t>ning formability</w:t>
      </w:r>
      <w:r w:rsidRPr="00383741">
        <w:rPr>
          <w:rFonts w:cstheme="minorHAnsi"/>
          <w:bCs/>
        </w:rPr>
        <w:t xml:space="preserve">, </w:t>
      </w:r>
      <w:r w:rsidRPr="00383741">
        <w:rPr>
          <w:rFonts w:cstheme="minorHAnsi"/>
          <w:color w:val="222222"/>
          <w:shd w:val="clear" w:color="auto" w:fill="FFFFFF"/>
        </w:rPr>
        <w:t xml:space="preserve">a relatively low fracture strength </w:t>
      </w:r>
      <w:r w:rsidRPr="00383741">
        <w:rPr>
          <w:rFonts w:cstheme="minorHAnsi"/>
        </w:rPr>
        <w:t>(900MPa)</w:t>
      </w:r>
      <w:r w:rsidRPr="00383741">
        <w:rPr>
          <w:rFonts w:cstheme="minorHAnsi"/>
          <w:color w:val="222222"/>
          <w:shd w:val="clear" w:color="auto" w:fill="FFFFFF"/>
        </w:rPr>
        <w:t xml:space="preserve"> is observed, which is </w:t>
      </w:r>
      <w:r w:rsidRPr="00383741">
        <w:rPr>
          <w:rFonts w:cstheme="minorHAnsi"/>
        </w:rPr>
        <w:t>inadequate</w:t>
      </w:r>
      <w:r w:rsidRPr="00383741">
        <w:rPr>
          <w:rFonts w:cstheme="minorHAnsi"/>
          <w:color w:val="222222"/>
          <w:shd w:val="clear" w:color="auto" w:fill="FFFFFF"/>
        </w:rPr>
        <w:t xml:space="preserve"> to activate </w:t>
      </w:r>
      <w:r w:rsidRPr="00383741">
        <w:rPr>
          <w:rFonts w:cstheme="minorHAnsi"/>
        </w:rPr>
        <w:t>complex SA microstructures (intersected  martensite laths). Consequently, the {011}</w:t>
      </w:r>
      <w:r w:rsidRPr="00383741">
        <w:rPr>
          <w:rFonts w:cstheme="minorHAnsi"/>
          <w:vertAlign w:val="subscript"/>
        </w:rPr>
        <w:t>α’’</w:t>
      </w:r>
      <w:r w:rsidRPr="00383741">
        <w:rPr>
          <w:rFonts w:cstheme="minorHAnsi"/>
        </w:rPr>
        <w:t xml:space="preserve"> compound twins were only found in primary α’’ grains at the necked region in Ta15 instead of twinned α’’ laths, so the resulting work hardening capacity was insufficient to maintain a stabilised plastic deformation. </w:t>
      </w:r>
      <w:r w:rsidR="00B145BE" w:rsidRPr="00383741">
        <w:rPr>
          <w:rFonts w:cstheme="minorHAnsi"/>
        </w:rPr>
        <w:t xml:space="preserve"> The four twinning transformation steps described above found the mechanism of TTIP. </w:t>
      </w:r>
    </w:p>
    <w:p w14:paraId="7917AE65" w14:textId="0F2FA715" w:rsidR="00B145BE" w:rsidRDefault="00B145BE" w:rsidP="00B145BE">
      <w:pPr>
        <w:spacing w:afterLines="60" w:after="144" w:line="360" w:lineRule="auto"/>
        <w:jc w:val="center"/>
      </w:pPr>
      <w:r w:rsidRPr="00CE0569">
        <w:rPr>
          <w:noProof/>
        </w:rPr>
        <w:lastRenderedPageBreak/>
        <w:t xml:space="preserve"> </w:t>
      </w:r>
      <w:r w:rsidR="00335886" w:rsidRPr="00335886">
        <w:rPr>
          <w:noProof/>
        </w:rPr>
        <w:drawing>
          <wp:inline distT="0" distB="0" distL="0" distR="0" wp14:anchorId="32298E39" wp14:editId="4DB34377">
            <wp:extent cx="3865880" cy="2926507"/>
            <wp:effectExtent l="0" t="0" r="1270" b="7620"/>
            <wp:docPr id="19" name="图片 18" descr="图片包含 游戏机&#10;&#10;描述已自动生成">
              <a:extLst xmlns:a="http://schemas.openxmlformats.org/drawingml/2006/main">
                <a:ext uri="{FF2B5EF4-FFF2-40B4-BE49-F238E27FC236}">
                  <a16:creationId xmlns:a16="http://schemas.microsoft.com/office/drawing/2014/main" id="{AAB8342B-0B83-4B3C-846B-4B2D5A3F56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descr="图片包含 游戏机&#10;&#10;描述已自动生成">
                      <a:extLst>
                        <a:ext uri="{FF2B5EF4-FFF2-40B4-BE49-F238E27FC236}">
                          <a16:creationId xmlns:a16="http://schemas.microsoft.com/office/drawing/2014/main" id="{AAB8342B-0B83-4B3C-846B-4B2D5A3F566A}"/>
                        </a:ext>
                      </a:extLst>
                    </pic:cNvPr>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3872364" cy="2931416"/>
                    </a:xfrm>
                    <a:prstGeom prst="rect">
                      <a:avLst/>
                    </a:prstGeom>
                  </pic:spPr>
                </pic:pic>
              </a:graphicData>
            </a:graphic>
          </wp:inline>
        </w:drawing>
      </w:r>
    </w:p>
    <w:p w14:paraId="299584F0" w14:textId="5CA690C5" w:rsidR="00335886" w:rsidRPr="008877CE" w:rsidRDefault="00B145BE" w:rsidP="00335886">
      <w:pPr>
        <w:spacing w:afterLines="60" w:after="144" w:line="360" w:lineRule="auto"/>
        <w:jc w:val="both"/>
        <w:rPr>
          <w:rFonts w:ascii="Arial" w:hAnsi="Arial" w:cs="Arial"/>
          <w:color w:val="000000" w:themeColor="text1"/>
          <w:sz w:val="20"/>
          <w:szCs w:val="20"/>
        </w:rPr>
      </w:pPr>
      <w:bookmarkStart w:id="350" w:name="_Toc39312736"/>
      <w:r w:rsidRPr="0031353F">
        <w:rPr>
          <w:b/>
          <w:sz w:val="20"/>
          <w:szCs w:val="18"/>
        </w:rPr>
        <w:t>Figure 7-</w:t>
      </w:r>
      <w:r w:rsidRPr="00351A7D">
        <w:rPr>
          <w:b/>
          <w:sz w:val="20"/>
        </w:rPr>
        <w:fldChar w:fldCharType="begin"/>
      </w:r>
      <w:r w:rsidRPr="00351A7D">
        <w:rPr>
          <w:b/>
          <w:sz w:val="20"/>
        </w:rPr>
        <w:instrText xml:space="preserve"> SEQ Figure \* ARABIC </w:instrText>
      </w:r>
      <w:r w:rsidRPr="00351A7D">
        <w:rPr>
          <w:b/>
          <w:sz w:val="20"/>
        </w:rPr>
        <w:fldChar w:fldCharType="separate"/>
      </w:r>
      <w:r>
        <w:rPr>
          <w:b/>
          <w:noProof/>
          <w:sz w:val="20"/>
        </w:rPr>
        <w:t>1</w:t>
      </w:r>
      <w:r w:rsidR="00581CD3">
        <w:rPr>
          <w:b/>
          <w:noProof/>
          <w:sz w:val="20"/>
        </w:rPr>
        <w:t>3</w:t>
      </w:r>
      <w:r w:rsidRPr="00351A7D">
        <w:rPr>
          <w:b/>
          <w:sz w:val="20"/>
        </w:rPr>
        <w:fldChar w:fldCharType="end"/>
      </w:r>
      <w:r w:rsidRPr="0031353F">
        <w:rPr>
          <w:b/>
          <w:sz w:val="20"/>
          <w:szCs w:val="18"/>
        </w:rPr>
        <w:t xml:space="preserve"> </w:t>
      </w:r>
      <w:r w:rsidRPr="00CE0569">
        <w:rPr>
          <w:b/>
          <w:sz w:val="20"/>
          <w:szCs w:val="20"/>
        </w:rPr>
        <w:t>Sch</w:t>
      </w:r>
      <w:r w:rsidRPr="00335886">
        <w:rPr>
          <w:rFonts w:cstheme="minorHAnsi"/>
          <w:b/>
          <w:sz w:val="20"/>
          <w:szCs w:val="20"/>
        </w:rPr>
        <w:t>ematic representation of TTIP analysis.</w:t>
      </w:r>
      <w:r w:rsidRPr="00335886">
        <w:rPr>
          <w:rFonts w:cstheme="minorHAnsi"/>
          <w:sz w:val="20"/>
          <w:szCs w:val="20"/>
        </w:rPr>
        <w:t xml:space="preserve"> </w:t>
      </w:r>
      <w:r w:rsidR="00335886">
        <w:rPr>
          <w:rFonts w:cstheme="minorHAnsi"/>
          <w:sz w:val="20"/>
          <w:szCs w:val="20"/>
        </w:rPr>
        <w:t xml:space="preserve">(a) </w:t>
      </w:r>
      <w:r w:rsidR="00335886" w:rsidRPr="00335886">
        <w:rPr>
          <w:rFonts w:cstheme="minorHAnsi"/>
          <w:b/>
          <w:bCs/>
          <w:sz w:val="20"/>
          <w:szCs w:val="20"/>
        </w:rPr>
        <w:t>I</w:t>
      </w:r>
      <w:r w:rsidR="00335886" w:rsidRPr="00335886">
        <w:rPr>
          <w:rFonts w:cstheme="minorHAnsi"/>
          <w:sz w:val="20"/>
          <w:szCs w:val="20"/>
        </w:rPr>
        <w:t xml:space="preserve">. Initial formation of α″ (red). </w:t>
      </w:r>
      <w:r w:rsidR="00335886" w:rsidRPr="00335886">
        <w:rPr>
          <w:rFonts w:cstheme="minorHAnsi"/>
          <w:b/>
          <w:bCs/>
          <w:sz w:val="20"/>
          <w:szCs w:val="20"/>
        </w:rPr>
        <w:t>II</w:t>
      </w:r>
      <w:r w:rsidR="00335886" w:rsidRPr="00335886">
        <w:rPr>
          <w:rFonts w:cstheme="minorHAnsi"/>
          <w:sz w:val="20"/>
          <w:szCs w:val="20"/>
        </w:rPr>
        <w:t>. SA type II {351}&lt;-211&gt;</w:t>
      </w:r>
      <w:r w:rsidR="00335886" w:rsidRPr="00335886">
        <w:rPr>
          <w:rFonts w:cstheme="minorHAnsi"/>
          <w:sz w:val="20"/>
          <w:szCs w:val="20"/>
          <w:vertAlign w:val="subscript"/>
        </w:rPr>
        <w:t>α″</w:t>
      </w:r>
      <w:r w:rsidR="00335886" w:rsidRPr="00335886">
        <w:rPr>
          <w:rFonts w:cstheme="minorHAnsi"/>
          <w:sz w:val="20"/>
          <w:szCs w:val="20"/>
        </w:rPr>
        <w:t xml:space="preserve"> SA twinning (green) generated adjacent to the primary α″. </w:t>
      </w:r>
      <w:r w:rsidR="00335886" w:rsidRPr="00335886">
        <w:rPr>
          <w:rFonts w:cstheme="minorHAnsi"/>
          <w:b/>
          <w:bCs/>
          <w:sz w:val="20"/>
          <w:szCs w:val="20"/>
        </w:rPr>
        <w:t>III</w:t>
      </w:r>
      <w:r w:rsidR="00335886" w:rsidRPr="00335886">
        <w:rPr>
          <w:rFonts w:cstheme="minorHAnsi"/>
          <w:sz w:val="20"/>
          <w:szCs w:val="20"/>
        </w:rPr>
        <w:t xml:space="preserve">. mechanical </w:t>
      </w:r>
      <w:r w:rsidR="00335886" w:rsidRPr="00335886">
        <w:rPr>
          <w:rFonts w:cstheme="minorHAnsi"/>
          <w:bCs/>
          <w:sz w:val="20"/>
          <w:szCs w:val="20"/>
        </w:rPr>
        <w:t>{351}</w:t>
      </w:r>
      <w:r w:rsidR="00335886" w:rsidRPr="00335886">
        <w:rPr>
          <w:rFonts w:cstheme="minorHAnsi"/>
          <w:sz w:val="20"/>
          <w:szCs w:val="20"/>
        </w:rPr>
        <w:t>&lt;1-12&gt;</w:t>
      </w:r>
      <w:r w:rsidR="00335886" w:rsidRPr="00335886">
        <w:rPr>
          <w:rFonts w:cstheme="minorHAnsi"/>
          <w:sz w:val="20"/>
          <w:szCs w:val="20"/>
          <w:vertAlign w:val="subscript"/>
        </w:rPr>
        <w:t>α″</w:t>
      </w:r>
      <w:r w:rsidR="00335886" w:rsidRPr="00335886">
        <w:rPr>
          <w:rFonts w:cstheme="minorHAnsi"/>
          <w:sz w:val="20"/>
          <w:szCs w:val="20"/>
        </w:rPr>
        <w:t xml:space="preserve">  twins (orange) nucleate within SA twinned α’’ variants and further overtake the SA twinned α’’ variant</w:t>
      </w:r>
      <w:r w:rsidR="00335886">
        <w:rPr>
          <w:rFonts w:cstheme="minorHAnsi"/>
          <w:sz w:val="20"/>
          <w:szCs w:val="20"/>
        </w:rPr>
        <w:t>s</w:t>
      </w:r>
      <w:r w:rsidR="00335886" w:rsidRPr="00335886">
        <w:rPr>
          <w:rFonts w:cstheme="minorHAnsi"/>
          <w:sz w:val="20"/>
          <w:szCs w:val="20"/>
        </w:rPr>
        <w:t xml:space="preserve">. </w:t>
      </w:r>
      <w:r w:rsidR="00335886">
        <w:rPr>
          <w:rFonts w:cstheme="minorHAnsi"/>
          <w:sz w:val="20"/>
          <w:szCs w:val="20"/>
        </w:rPr>
        <w:t>(b)</w:t>
      </w:r>
      <w:r w:rsidR="00335886" w:rsidRPr="00335886">
        <w:rPr>
          <w:rFonts w:cstheme="minorHAnsi"/>
          <w:b/>
          <w:bCs/>
          <w:sz w:val="20"/>
          <w:szCs w:val="20"/>
        </w:rPr>
        <w:t xml:space="preserve"> </w:t>
      </w:r>
      <w:r w:rsidR="00335886" w:rsidRPr="00335886">
        <w:rPr>
          <w:rFonts w:cstheme="minorHAnsi"/>
          <w:bCs/>
          <w:sz w:val="20"/>
          <w:szCs w:val="20"/>
        </w:rPr>
        <w:t>Schematic representation of atomic movements associated with {351</w:t>
      </w:r>
      <w:r w:rsidR="00335886" w:rsidRPr="00335886">
        <w:rPr>
          <w:rFonts w:cstheme="minorHAnsi"/>
          <w:sz w:val="20"/>
          <w:szCs w:val="20"/>
        </w:rPr>
        <w:t>}&lt;-211&gt;</w:t>
      </w:r>
      <w:r w:rsidR="00335886" w:rsidRPr="00335886">
        <w:rPr>
          <w:rFonts w:cstheme="minorHAnsi"/>
          <w:sz w:val="20"/>
          <w:szCs w:val="20"/>
          <w:vertAlign w:val="subscript"/>
        </w:rPr>
        <w:t>α″</w:t>
      </w:r>
      <w:r w:rsidR="00335886" w:rsidRPr="00335886">
        <w:rPr>
          <w:rFonts w:cstheme="minorHAnsi"/>
          <w:sz w:val="20"/>
          <w:szCs w:val="20"/>
        </w:rPr>
        <w:t xml:space="preserve"> to </w:t>
      </w:r>
      <w:r w:rsidR="00335886" w:rsidRPr="00335886">
        <w:rPr>
          <w:rFonts w:cstheme="minorHAnsi"/>
          <w:bCs/>
          <w:sz w:val="20"/>
          <w:szCs w:val="20"/>
        </w:rPr>
        <w:t>{351}</w:t>
      </w:r>
      <w:r w:rsidR="00335886" w:rsidRPr="00335886">
        <w:rPr>
          <w:rFonts w:cstheme="minorHAnsi"/>
          <w:sz w:val="20"/>
          <w:szCs w:val="20"/>
        </w:rPr>
        <w:t>&lt;1-12&gt;</w:t>
      </w:r>
      <w:r w:rsidR="00335886" w:rsidRPr="00335886">
        <w:rPr>
          <w:rFonts w:cstheme="minorHAnsi"/>
          <w:sz w:val="20"/>
          <w:szCs w:val="20"/>
          <w:vertAlign w:val="subscript"/>
        </w:rPr>
        <w:t>α″</w:t>
      </w:r>
      <w:r w:rsidR="00335886" w:rsidRPr="00335886">
        <w:rPr>
          <w:rFonts w:cstheme="minorHAnsi"/>
          <w:sz w:val="20"/>
          <w:szCs w:val="20"/>
        </w:rPr>
        <w:t xml:space="preserve"> evolution. Blue and brown dots indicate atoms at matrix and shuffled with (001)&lt;010&gt;</w:t>
      </w:r>
      <w:r w:rsidR="00335886" w:rsidRPr="00335886">
        <w:rPr>
          <w:rFonts w:cstheme="minorHAnsi"/>
          <w:sz w:val="20"/>
          <w:szCs w:val="20"/>
          <w:vertAlign w:val="subscript"/>
        </w:rPr>
        <w:t>α’’</w:t>
      </w:r>
      <w:r w:rsidR="00335886" w:rsidRPr="00335886">
        <w:rPr>
          <w:rFonts w:cstheme="minorHAnsi"/>
          <w:sz w:val="20"/>
          <w:szCs w:val="20"/>
        </w:rPr>
        <w:t xml:space="preserve"> displacement</w:t>
      </w:r>
      <w:r w:rsidR="00335886">
        <w:rPr>
          <w:rFonts w:cstheme="minorHAnsi" w:hint="eastAsia"/>
          <w:sz w:val="20"/>
          <w:szCs w:val="20"/>
        </w:rPr>
        <w:t>,</w:t>
      </w:r>
      <w:r w:rsidR="00335886" w:rsidRPr="00335886">
        <w:rPr>
          <w:rFonts w:cstheme="minorHAnsi"/>
          <w:sz w:val="20"/>
          <w:szCs w:val="20"/>
        </w:rPr>
        <w:t xml:space="preserve"> respectively. From left to right are projections of type II twin </w:t>
      </w:r>
      <w:r w:rsidR="00335886" w:rsidRPr="00335886">
        <w:rPr>
          <w:rFonts w:cstheme="minorHAnsi"/>
          <w:bCs/>
          <w:sz w:val="20"/>
          <w:szCs w:val="20"/>
        </w:rPr>
        <w:t>{351</w:t>
      </w:r>
      <w:r w:rsidR="00335886" w:rsidRPr="00335886">
        <w:rPr>
          <w:rFonts w:cstheme="minorHAnsi"/>
          <w:sz w:val="20"/>
          <w:szCs w:val="20"/>
        </w:rPr>
        <w:t>}&lt;-211&gt;</w:t>
      </w:r>
      <w:r w:rsidR="00335886" w:rsidRPr="00335886">
        <w:rPr>
          <w:rFonts w:cstheme="minorHAnsi"/>
          <w:sz w:val="20"/>
          <w:szCs w:val="20"/>
          <w:vertAlign w:val="subscript"/>
        </w:rPr>
        <w:t>α″</w:t>
      </w:r>
      <w:r w:rsidR="00335886" w:rsidRPr="00335886">
        <w:rPr>
          <w:rFonts w:cstheme="minorHAnsi"/>
          <w:sz w:val="20"/>
          <w:szCs w:val="20"/>
        </w:rPr>
        <w:t xml:space="preserve"> along &lt;1-12&gt;</w:t>
      </w:r>
      <w:r w:rsidR="00335886" w:rsidRPr="00335886">
        <w:rPr>
          <w:rFonts w:cstheme="minorHAnsi"/>
          <w:sz w:val="20"/>
          <w:szCs w:val="20"/>
          <w:vertAlign w:val="subscript"/>
        </w:rPr>
        <w:t>α″</w:t>
      </w:r>
      <w:r w:rsidR="00335886" w:rsidRPr="00335886">
        <w:rPr>
          <w:rFonts w:cstheme="minorHAnsi"/>
          <w:sz w:val="20"/>
          <w:szCs w:val="20"/>
        </w:rPr>
        <w:t xml:space="preserve"> and &lt;2-1-1&gt;</w:t>
      </w:r>
      <w:r w:rsidR="00335886" w:rsidRPr="00335886">
        <w:rPr>
          <w:rFonts w:cstheme="minorHAnsi"/>
          <w:sz w:val="20"/>
          <w:szCs w:val="20"/>
          <w:vertAlign w:val="subscript"/>
        </w:rPr>
        <w:t>α″</w:t>
      </w:r>
      <w:r w:rsidR="00335886" w:rsidRPr="00335886">
        <w:rPr>
          <w:rFonts w:cstheme="minorHAnsi"/>
          <w:bCs/>
          <w:sz w:val="20"/>
          <w:szCs w:val="20"/>
        </w:rPr>
        <w:t xml:space="preserve"> , type I </w:t>
      </w:r>
      <w:r w:rsidR="00335886" w:rsidRPr="00335886">
        <w:rPr>
          <w:rFonts w:cstheme="minorHAnsi"/>
          <w:sz w:val="20"/>
          <w:szCs w:val="20"/>
        </w:rPr>
        <w:t xml:space="preserve"> twin </w:t>
      </w:r>
      <w:r w:rsidR="00335886" w:rsidRPr="00335886">
        <w:rPr>
          <w:rFonts w:cstheme="minorHAnsi"/>
          <w:bCs/>
          <w:sz w:val="20"/>
          <w:szCs w:val="20"/>
        </w:rPr>
        <w:t>{351</w:t>
      </w:r>
      <w:r w:rsidR="00335886" w:rsidRPr="00335886">
        <w:rPr>
          <w:rFonts w:cstheme="minorHAnsi"/>
          <w:sz w:val="20"/>
          <w:szCs w:val="20"/>
        </w:rPr>
        <w:t>}&lt;1-12&gt;</w:t>
      </w:r>
      <w:r w:rsidR="00335886" w:rsidRPr="00335886">
        <w:rPr>
          <w:rFonts w:cstheme="minorHAnsi"/>
          <w:sz w:val="20"/>
          <w:szCs w:val="20"/>
          <w:vertAlign w:val="subscript"/>
        </w:rPr>
        <w:t>α″</w:t>
      </w:r>
      <w:r w:rsidR="00335886" w:rsidRPr="00335886">
        <w:rPr>
          <w:rFonts w:cstheme="minorHAnsi"/>
          <w:sz w:val="20"/>
          <w:szCs w:val="20"/>
        </w:rPr>
        <w:t xml:space="preserve"> along &lt;2-1-1&gt;</w:t>
      </w:r>
      <w:r w:rsidR="00335886" w:rsidRPr="00335886">
        <w:rPr>
          <w:rFonts w:cstheme="minorHAnsi"/>
          <w:sz w:val="20"/>
          <w:szCs w:val="20"/>
          <w:vertAlign w:val="subscript"/>
        </w:rPr>
        <w:t>α″</w:t>
      </w:r>
      <w:r w:rsidR="00335886" w:rsidRPr="00335886">
        <w:rPr>
          <w:rFonts w:cstheme="minorHAnsi"/>
          <w:sz w:val="20"/>
          <w:szCs w:val="20"/>
        </w:rPr>
        <w:t xml:space="preserve"> directions respectively.</w:t>
      </w:r>
      <w:bookmarkEnd w:id="350"/>
    </w:p>
    <w:p w14:paraId="1C8A4245" w14:textId="6819C553" w:rsidR="00B145BE" w:rsidRPr="0031353F" w:rsidRDefault="00B145BE" w:rsidP="00B145BE">
      <w:pPr>
        <w:spacing w:afterLines="60" w:after="144" w:line="360" w:lineRule="auto"/>
        <w:jc w:val="both"/>
        <w:rPr>
          <w:sz w:val="20"/>
          <w:szCs w:val="18"/>
        </w:rPr>
      </w:pPr>
      <w:r w:rsidRPr="00781DB9">
        <w:rPr>
          <w:rFonts w:cstheme="minorHAnsi"/>
          <w:sz w:val="20"/>
          <w:szCs w:val="20"/>
        </w:rPr>
        <w:t xml:space="preserve">  </w:t>
      </w:r>
    </w:p>
    <w:p w14:paraId="7F1D01FE" w14:textId="77777777" w:rsidR="00B145BE" w:rsidRPr="00F87370" w:rsidRDefault="00B145BE" w:rsidP="00B145BE">
      <w:pPr>
        <w:pStyle w:val="2"/>
        <w:spacing w:before="0" w:after="120" w:line="360" w:lineRule="auto"/>
        <w:rPr>
          <w:rFonts w:asciiTheme="minorHAnsi" w:hAnsiTheme="minorHAnsi"/>
          <w:b/>
          <w:color w:val="auto"/>
          <w:sz w:val="32"/>
          <w:lang w:bidi="hi-IN"/>
        </w:rPr>
      </w:pPr>
      <w:bookmarkStart w:id="351" w:name="_Toc22052561"/>
      <w:r w:rsidRPr="00F87370">
        <w:rPr>
          <w:rFonts w:asciiTheme="minorHAnsi" w:hAnsiTheme="minorHAnsi"/>
          <w:b/>
          <w:color w:val="auto"/>
          <w:sz w:val="32"/>
          <w:lang w:bidi="hi-IN"/>
        </w:rPr>
        <w:t>7.</w:t>
      </w:r>
      <w:r>
        <w:rPr>
          <w:rFonts w:asciiTheme="minorHAnsi" w:hAnsiTheme="minorHAnsi"/>
          <w:b/>
          <w:color w:val="auto"/>
          <w:sz w:val="32"/>
          <w:lang w:bidi="hi-IN"/>
        </w:rPr>
        <w:t>5</w:t>
      </w:r>
      <w:r w:rsidRPr="00F87370">
        <w:rPr>
          <w:rFonts w:asciiTheme="minorHAnsi" w:hAnsiTheme="minorHAnsi"/>
          <w:b/>
          <w:color w:val="auto"/>
          <w:sz w:val="32"/>
          <w:lang w:bidi="hi-IN"/>
        </w:rPr>
        <w:t xml:space="preserve"> Conclusion</w:t>
      </w:r>
      <w:r>
        <w:rPr>
          <w:rFonts w:asciiTheme="minorHAnsi" w:hAnsiTheme="minorHAnsi"/>
          <w:b/>
          <w:color w:val="auto"/>
          <w:sz w:val="32"/>
          <w:lang w:bidi="hi-IN"/>
        </w:rPr>
        <w:t>s</w:t>
      </w:r>
      <w:bookmarkEnd w:id="351"/>
    </w:p>
    <w:p w14:paraId="16E25E91" w14:textId="5FAEFCAE" w:rsidR="00B145BE" w:rsidRPr="009872CE" w:rsidRDefault="00B145BE" w:rsidP="00B145BE">
      <w:pPr>
        <w:spacing w:after="60" w:line="360" w:lineRule="auto"/>
        <w:jc w:val="both"/>
        <w:rPr>
          <w:rFonts w:cstheme="minorHAnsi"/>
        </w:rPr>
      </w:pPr>
      <w:r>
        <w:rPr>
          <w:rFonts w:cstheme="minorHAnsi"/>
        </w:rPr>
        <w:t xml:space="preserve">Through the careful tuning of </w:t>
      </w:r>
      <w:r w:rsidRPr="00A85EA3">
        <w:rPr>
          <w:rFonts w:cs="Times New Roman"/>
        </w:rPr>
        <w:t>β</w:t>
      </w:r>
      <w:r>
        <w:rPr>
          <w:rFonts w:cstheme="minorHAnsi"/>
        </w:rPr>
        <w:t xml:space="preserve"> phase stability by reducing the Ta content, the TRIP effect was increased for </w:t>
      </w:r>
      <w:r w:rsidRPr="00C503FC">
        <w:rPr>
          <w:rFonts w:cstheme="minorHAnsi"/>
        </w:rPr>
        <w:t>(TiZrHf)</w:t>
      </w:r>
      <w:r w:rsidRPr="00C503FC">
        <w:rPr>
          <w:rFonts w:cstheme="minorHAnsi"/>
          <w:vertAlign w:val="subscript"/>
        </w:rPr>
        <w:t>87</w:t>
      </w:r>
      <w:r w:rsidRPr="00C503FC">
        <w:rPr>
          <w:rFonts w:cstheme="minorHAnsi"/>
        </w:rPr>
        <w:t>Ta</w:t>
      </w:r>
      <w:r w:rsidRPr="00AC20CB">
        <w:rPr>
          <w:rFonts w:cstheme="minorHAnsi"/>
          <w:vertAlign w:val="subscript"/>
        </w:rPr>
        <w:t>13</w:t>
      </w:r>
      <w:r>
        <w:rPr>
          <w:rFonts w:cstheme="minorHAnsi"/>
        </w:rPr>
        <w:t xml:space="preserve"> in comparison with </w:t>
      </w:r>
      <w:r w:rsidRPr="00C503FC">
        <w:rPr>
          <w:rFonts w:cstheme="minorHAnsi"/>
        </w:rPr>
        <w:t>(TiZrHf)</w:t>
      </w:r>
      <w:r w:rsidRPr="00C503FC">
        <w:rPr>
          <w:rFonts w:cstheme="minorHAnsi"/>
          <w:vertAlign w:val="subscript"/>
        </w:rPr>
        <w:t>8</w:t>
      </w:r>
      <w:r>
        <w:rPr>
          <w:rFonts w:cstheme="minorHAnsi"/>
          <w:vertAlign w:val="subscript"/>
        </w:rPr>
        <w:t>5</w:t>
      </w:r>
      <w:r w:rsidRPr="00C503FC">
        <w:rPr>
          <w:rFonts w:cstheme="minorHAnsi"/>
        </w:rPr>
        <w:t>Ta</w:t>
      </w:r>
      <w:r w:rsidRPr="00AC20CB">
        <w:rPr>
          <w:rFonts w:cstheme="minorHAnsi"/>
          <w:vertAlign w:val="subscript"/>
        </w:rPr>
        <w:t>1</w:t>
      </w:r>
      <w:r>
        <w:rPr>
          <w:rFonts w:cstheme="minorHAnsi"/>
          <w:vertAlign w:val="subscript"/>
        </w:rPr>
        <w:t>5</w:t>
      </w:r>
      <w:r>
        <w:rPr>
          <w:rFonts w:cstheme="minorHAnsi"/>
        </w:rPr>
        <w:t xml:space="preserve">. Superior mechanical properties were achieved for </w:t>
      </w:r>
      <w:r w:rsidRPr="00C503FC">
        <w:rPr>
          <w:rFonts w:cstheme="minorHAnsi"/>
        </w:rPr>
        <w:t>(TiZrHf)</w:t>
      </w:r>
      <w:r w:rsidRPr="00C503FC">
        <w:rPr>
          <w:rFonts w:cstheme="minorHAnsi"/>
          <w:vertAlign w:val="subscript"/>
        </w:rPr>
        <w:t>87</w:t>
      </w:r>
      <w:r w:rsidRPr="00C503FC">
        <w:rPr>
          <w:rFonts w:cstheme="minorHAnsi"/>
        </w:rPr>
        <w:t>Ta</w:t>
      </w:r>
      <w:r w:rsidRPr="00AC20CB">
        <w:rPr>
          <w:rFonts w:cstheme="minorHAnsi"/>
          <w:vertAlign w:val="subscript"/>
        </w:rPr>
        <w:t>13</w:t>
      </w:r>
      <w:r>
        <w:rPr>
          <w:rFonts w:cstheme="minorHAnsi"/>
        </w:rPr>
        <w:t xml:space="preserve">, as ultimate ductility and strength were found to increase in addition to a significant high </w:t>
      </w:r>
      <w:r w:rsidR="002F3A48">
        <w:rPr>
          <w:rFonts w:cstheme="minorHAnsi"/>
        </w:rPr>
        <w:t>work</w:t>
      </w:r>
      <w:r>
        <w:rPr>
          <w:rFonts w:cstheme="minorHAnsi"/>
        </w:rPr>
        <w:t xml:space="preserve"> hardening capability, which may be attributed to the activation of various deformation mechanism</w:t>
      </w:r>
      <w:r w:rsidR="00D22046">
        <w:rPr>
          <w:rFonts w:cstheme="minorHAnsi"/>
        </w:rPr>
        <w:t>s</w:t>
      </w:r>
      <w:r>
        <w:rPr>
          <w:rFonts w:cstheme="minorHAnsi"/>
        </w:rPr>
        <w:t xml:space="preserve"> (TWIP and TTIP). Detailed experimental analysis has provided evidence of the</w:t>
      </w:r>
      <w:r w:rsidRPr="00C503FC">
        <w:rPr>
          <w:rFonts w:cstheme="minorHAnsi"/>
        </w:rPr>
        <w:t xml:space="preserve"> activation of TTIP</w:t>
      </w:r>
      <w:r>
        <w:rPr>
          <w:rFonts w:cstheme="minorHAnsi"/>
        </w:rPr>
        <w:t xml:space="preserve"> whose concept </w:t>
      </w:r>
      <w:r w:rsidRPr="009F4067">
        <w:rPr>
          <w:rFonts w:cstheme="minorHAnsi"/>
          <w:noProof/>
        </w:rPr>
        <w:t xml:space="preserve">was </w:t>
      </w:r>
      <w:r>
        <w:rPr>
          <w:rFonts w:cstheme="minorHAnsi"/>
          <w:noProof/>
        </w:rPr>
        <w:t xml:space="preserve">first </w:t>
      </w:r>
      <w:r w:rsidRPr="009F4067">
        <w:rPr>
          <w:rFonts w:cstheme="minorHAnsi"/>
          <w:noProof/>
        </w:rPr>
        <w:t>proposed</w:t>
      </w:r>
      <w:r>
        <w:rPr>
          <w:rFonts w:cstheme="minorHAnsi"/>
        </w:rPr>
        <w:t xml:space="preserve"> in the </w:t>
      </w:r>
      <w:r w:rsidRPr="009F4067">
        <w:rPr>
          <w:rFonts w:cstheme="minorHAnsi"/>
          <w:noProof/>
        </w:rPr>
        <w:t>previous</w:t>
      </w:r>
      <w:r>
        <w:rPr>
          <w:rFonts w:cstheme="minorHAnsi"/>
        </w:rPr>
        <w:t xml:space="preserve"> chapter as a continuous linkage between TRIP and TWIP. To help distinguish the underlying mechanism for TTIP, substantial </w:t>
      </w:r>
      <w:r>
        <w:rPr>
          <w:rFonts w:cstheme="minorHAnsi"/>
          <w:noProof/>
        </w:rPr>
        <w:t xml:space="preserve">EBSD and TEM results were used to demonstrate the microstructural and deformation mechanism evolution in </w:t>
      </w:r>
      <w:r w:rsidRPr="00C503FC">
        <w:rPr>
          <w:rFonts w:cstheme="minorHAnsi"/>
        </w:rPr>
        <w:t>(TiZrHf)</w:t>
      </w:r>
      <w:r w:rsidRPr="00C503FC">
        <w:rPr>
          <w:rFonts w:cstheme="minorHAnsi"/>
          <w:vertAlign w:val="subscript"/>
        </w:rPr>
        <w:t>87</w:t>
      </w:r>
      <w:r w:rsidRPr="00C503FC">
        <w:rPr>
          <w:rFonts w:cstheme="minorHAnsi"/>
        </w:rPr>
        <w:t>Ta</w:t>
      </w:r>
      <w:r w:rsidRPr="00AC20CB">
        <w:rPr>
          <w:rFonts w:cstheme="minorHAnsi"/>
          <w:vertAlign w:val="subscript"/>
        </w:rPr>
        <w:t>13</w:t>
      </w:r>
      <w:r>
        <w:rPr>
          <w:rFonts w:cstheme="minorHAnsi"/>
        </w:rPr>
        <w:t xml:space="preserve">. Various types of martensitic TRIP SA twinning and TWIP mechanical twinning were observed at different deformation stages, resulting in </w:t>
      </w:r>
      <w:r w:rsidRPr="00C503FC">
        <w:rPr>
          <w:rFonts w:cstheme="minorHAnsi"/>
        </w:rPr>
        <w:t xml:space="preserve">the </w:t>
      </w:r>
      <w:r>
        <w:rPr>
          <w:rFonts w:cstheme="minorHAnsi"/>
        </w:rPr>
        <w:t>formation</w:t>
      </w:r>
      <w:r w:rsidRPr="00C503FC">
        <w:rPr>
          <w:rFonts w:cstheme="minorHAnsi"/>
        </w:rPr>
        <w:t xml:space="preserve"> of </w:t>
      </w:r>
      <w:r>
        <w:rPr>
          <w:rFonts w:cstheme="minorHAnsi"/>
        </w:rPr>
        <w:t xml:space="preserve">a </w:t>
      </w:r>
      <w:r w:rsidRPr="009F4067">
        <w:rPr>
          <w:rFonts w:cstheme="minorHAnsi"/>
          <w:noProof/>
        </w:rPr>
        <w:t>highly</w:t>
      </w:r>
      <w:r>
        <w:rPr>
          <w:rFonts w:cstheme="minorHAnsi"/>
        </w:rPr>
        <w:t xml:space="preserve"> entangled</w:t>
      </w:r>
      <w:r w:rsidRPr="00C503FC">
        <w:rPr>
          <w:rFonts w:cstheme="minorHAnsi"/>
        </w:rPr>
        <w:t xml:space="preserve"> </w:t>
      </w:r>
      <w:r>
        <w:rPr>
          <w:rFonts w:cstheme="minorHAnsi"/>
        </w:rPr>
        <w:t>microstructure</w:t>
      </w:r>
      <w:r w:rsidRPr="00C503FC">
        <w:rPr>
          <w:rFonts w:cstheme="minorHAnsi"/>
        </w:rPr>
        <w:t>.</w:t>
      </w:r>
      <w:r>
        <w:rPr>
          <w:rFonts w:cstheme="minorHAnsi"/>
        </w:rPr>
        <w:t xml:space="preserve"> These</w:t>
      </w:r>
      <w:r>
        <w:rPr>
          <w:color w:val="000000" w:themeColor="text1"/>
        </w:rPr>
        <w:t xml:space="preserve"> </w:t>
      </w:r>
      <w:r w:rsidRPr="006C6D39">
        <w:rPr>
          <w:noProof/>
          <w:color w:val="000000" w:themeColor="text1"/>
        </w:rPr>
        <w:t>maze</w:t>
      </w:r>
      <w:r>
        <w:rPr>
          <w:noProof/>
          <w:color w:val="000000" w:themeColor="text1"/>
        </w:rPr>
        <w:t>-</w:t>
      </w:r>
      <w:r w:rsidRPr="006C6D39">
        <w:rPr>
          <w:noProof/>
          <w:color w:val="000000" w:themeColor="text1"/>
        </w:rPr>
        <w:t>like</w:t>
      </w:r>
      <w:r>
        <w:rPr>
          <w:color w:val="000000" w:themeColor="text1"/>
        </w:rPr>
        <w:t xml:space="preserve"> microstructures were formed by abnormal cooperation between type I, II and {011}</w:t>
      </w:r>
      <w:r w:rsidRPr="002B445E">
        <w:rPr>
          <w:rFonts w:cstheme="minorHAnsi"/>
          <w:vertAlign w:val="subscript"/>
        </w:rPr>
        <w:t>α’</w:t>
      </w:r>
      <w:r>
        <w:rPr>
          <w:rFonts w:cstheme="minorHAnsi"/>
          <w:vertAlign w:val="subscript"/>
        </w:rPr>
        <w:t>’</w:t>
      </w:r>
      <w:r>
        <w:rPr>
          <w:rFonts w:cstheme="minorHAnsi"/>
        </w:rPr>
        <w:t xml:space="preserve"> compound twinning, together with </w:t>
      </w:r>
      <w:r>
        <w:rPr>
          <w:rFonts w:cstheme="minorHAnsi"/>
        </w:rPr>
        <w:lastRenderedPageBreak/>
        <w:t xml:space="preserve">the </w:t>
      </w:r>
      <w:r>
        <w:t>{</w:t>
      </w:r>
      <w:r w:rsidR="00A51E10">
        <w:t>351</w:t>
      </w:r>
      <w:r>
        <w:t>}&lt;</w:t>
      </w:r>
      <w:r w:rsidR="00A51E10">
        <w:t>1-12</w:t>
      </w:r>
      <w:r>
        <w:t>&gt;</w:t>
      </w:r>
      <w:r w:rsidRPr="002B445E">
        <w:rPr>
          <w:rFonts w:cstheme="minorHAnsi"/>
          <w:vertAlign w:val="subscript"/>
        </w:rPr>
        <w:t>α’’</w:t>
      </w:r>
      <w:r>
        <w:rPr>
          <w:rFonts w:cstheme="minorHAnsi"/>
        </w:rPr>
        <w:t xml:space="preserve"> </w:t>
      </w:r>
      <w:r w:rsidRPr="006C6D39">
        <w:rPr>
          <w:rFonts w:cstheme="minorHAnsi"/>
          <w:noProof/>
        </w:rPr>
        <w:t>shear</w:t>
      </w:r>
      <w:r>
        <w:rPr>
          <w:rFonts w:cstheme="minorHAnsi"/>
          <w:noProof/>
        </w:rPr>
        <w:t>-</w:t>
      </w:r>
      <w:r w:rsidRPr="006C6D39">
        <w:rPr>
          <w:rFonts w:cstheme="minorHAnsi"/>
          <w:noProof/>
        </w:rPr>
        <w:t>induced</w:t>
      </w:r>
      <w:r>
        <w:rPr>
          <w:rFonts w:cstheme="minorHAnsi"/>
        </w:rPr>
        <w:t xml:space="preserve"> twinning transformation on primary </w:t>
      </w:r>
      <w:r w:rsidRPr="00CD55B9">
        <w:rPr>
          <w:color w:val="000000" w:themeColor="text1"/>
        </w:rPr>
        <w:t>{351}</w:t>
      </w:r>
      <w:r>
        <w:rPr>
          <w:color w:val="000000" w:themeColor="text1"/>
        </w:rPr>
        <w:t>&lt;</w:t>
      </w:r>
      <w:r w:rsidRPr="00CD55B9">
        <w:rPr>
          <w:color w:val="000000" w:themeColor="text1"/>
        </w:rPr>
        <w:t>-211</w:t>
      </w:r>
      <w:r>
        <w:rPr>
          <w:color w:val="000000" w:themeColor="text1"/>
        </w:rPr>
        <w:t>&gt;</w:t>
      </w:r>
      <w:r w:rsidRPr="00CD55B9">
        <w:rPr>
          <w:color w:val="000000" w:themeColor="text1"/>
          <w:vertAlign w:val="subscript"/>
        </w:rPr>
        <w:t>α’’</w:t>
      </w:r>
      <w:r>
        <w:rPr>
          <w:color w:val="000000" w:themeColor="text1"/>
        </w:rPr>
        <w:t xml:space="preserve"> SA twinning. This resulted in a double twinning-like structure which owes a lattice correspondence of {351}</w:t>
      </w:r>
      <w:r w:rsidRPr="002B445E">
        <w:rPr>
          <w:rFonts w:cstheme="minorHAnsi"/>
          <w:vertAlign w:val="subscript"/>
        </w:rPr>
        <w:t>α’’</w:t>
      </w:r>
      <w:r>
        <w:rPr>
          <w:rFonts w:cstheme="minorHAnsi"/>
        </w:rPr>
        <w:t>//</w:t>
      </w:r>
      <w:r w:rsidRPr="005B2C84">
        <w:rPr>
          <w:rFonts w:cstheme="minorHAnsi"/>
          <w:vertAlign w:val="subscript"/>
        </w:rPr>
        <w:t xml:space="preserve"> </w:t>
      </w:r>
      <w:r>
        <w:rPr>
          <w:rFonts w:cstheme="minorHAnsi"/>
        </w:rPr>
        <w:t>{</w:t>
      </w:r>
      <w:r w:rsidR="00A51E10">
        <w:rPr>
          <w:rFonts w:cstheme="minorHAnsi"/>
        </w:rPr>
        <w:t>332</w:t>
      </w:r>
      <w:r>
        <w:rPr>
          <w:rFonts w:cstheme="minorHAnsi"/>
        </w:rPr>
        <w:t>}</w:t>
      </w:r>
      <w:r w:rsidR="00A51E10">
        <w:rPr>
          <w:rFonts w:cstheme="minorHAnsi"/>
          <w:vertAlign w:val="subscript"/>
        </w:rPr>
        <w:t>β</w:t>
      </w:r>
      <w:r>
        <w:rPr>
          <w:rFonts w:cstheme="minorHAnsi"/>
        </w:rPr>
        <w:t xml:space="preserve"> between the matrix and the double-twinned variant.</w:t>
      </w:r>
      <w:r>
        <w:rPr>
          <w:color w:val="000000" w:themeColor="text1"/>
        </w:rPr>
        <w:t xml:space="preserve"> Due to this special lattice correspondence, the observed planar features can coherently propagate the </w:t>
      </w:r>
      <w:r>
        <w:rPr>
          <w:rFonts w:cstheme="minorHAnsi"/>
          <w:color w:val="000000" w:themeColor="text1"/>
        </w:rPr>
        <w:t xml:space="preserve">α’’-β </w:t>
      </w:r>
      <w:r>
        <w:rPr>
          <w:color w:val="000000" w:themeColor="text1"/>
        </w:rPr>
        <w:t>boundary and result in a lattice correspond</w:t>
      </w:r>
      <w:r w:rsidR="00D22046">
        <w:rPr>
          <w:color w:val="000000" w:themeColor="text1"/>
        </w:rPr>
        <w:t>ing</w:t>
      </w:r>
      <w:r>
        <w:rPr>
          <w:color w:val="000000" w:themeColor="text1"/>
        </w:rPr>
        <w:t xml:space="preserve"> {332}</w:t>
      </w:r>
      <w:r>
        <w:rPr>
          <w:rFonts w:cstheme="minorHAnsi"/>
          <w:color w:val="000000" w:themeColor="text1"/>
          <w:vertAlign w:val="subscript"/>
        </w:rPr>
        <w:t>α</w:t>
      </w:r>
      <w:r>
        <w:rPr>
          <w:color w:val="000000" w:themeColor="text1"/>
          <w:vertAlign w:val="subscript"/>
        </w:rPr>
        <w:t>’’</w:t>
      </w:r>
      <w:r>
        <w:rPr>
          <w:color w:val="000000" w:themeColor="text1"/>
        </w:rPr>
        <w:t xml:space="preserve"> twinning-like feature. The multimodal twinning enabled </w:t>
      </w:r>
      <w:r w:rsidRPr="007E0455">
        <w:t>heterogeneous hierarchical</w:t>
      </w:r>
      <w:r>
        <w:rPr>
          <w:color w:val="000000" w:themeColor="text1"/>
        </w:rPr>
        <w:t xml:space="preserve"> structure, which further restricted the available path for the glide of dislocations and activates a</w:t>
      </w:r>
      <w:r w:rsidRPr="00807474">
        <w:rPr>
          <w:color w:val="000000" w:themeColor="text1"/>
        </w:rPr>
        <w:t xml:space="preserve"> </w:t>
      </w:r>
      <w:r>
        <w:rPr>
          <w:color w:val="000000" w:themeColor="text1"/>
        </w:rPr>
        <w:t>dynamic Hall-Petch effect in (TiZrHf)</w:t>
      </w:r>
      <w:r>
        <w:rPr>
          <w:color w:val="000000" w:themeColor="text1"/>
          <w:vertAlign w:val="subscript"/>
        </w:rPr>
        <w:t>87</w:t>
      </w:r>
      <w:r>
        <w:rPr>
          <w:color w:val="000000" w:themeColor="text1"/>
        </w:rPr>
        <w:t>Ta</w:t>
      </w:r>
      <w:r>
        <w:rPr>
          <w:color w:val="000000" w:themeColor="text1"/>
          <w:vertAlign w:val="subscript"/>
        </w:rPr>
        <w:t>13</w:t>
      </w:r>
      <w:r w:rsidRPr="008C7503">
        <w:rPr>
          <w:rFonts w:hint="eastAsia"/>
          <w:color w:val="000000" w:themeColor="text1"/>
        </w:rPr>
        <w:t>.</w:t>
      </w:r>
      <w:r>
        <w:rPr>
          <w:rFonts w:cstheme="minorHAnsi"/>
        </w:rPr>
        <w:t xml:space="preserve"> The continuous </w:t>
      </w:r>
      <w:r w:rsidRPr="009F4067">
        <w:rPr>
          <w:rFonts w:cstheme="minorHAnsi"/>
          <w:noProof/>
        </w:rPr>
        <w:t>concentrated</w:t>
      </w:r>
      <w:r>
        <w:rPr>
          <w:rFonts w:cstheme="minorHAnsi"/>
        </w:rPr>
        <w:t xml:space="preserve"> strain resulting from previous twinning transformation drives the activation of secondary {111}</w:t>
      </w:r>
      <w:r w:rsidRPr="002B445E">
        <w:rPr>
          <w:rFonts w:cstheme="minorHAnsi"/>
          <w:vertAlign w:val="subscript"/>
        </w:rPr>
        <w:t>α’’</w:t>
      </w:r>
      <w:r>
        <w:rPr>
          <w:rFonts w:cstheme="minorHAnsi"/>
        </w:rPr>
        <w:t xml:space="preserve"> type I and {011}</w:t>
      </w:r>
      <w:r w:rsidRPr="002B445E">
        <w:rPr>
          <w:rFonts w:cstheme="minorHAnsi"/>
          <w:vertAlign w:val="subscript"/>
        </w:rPr>
        <w:t>α’’</w:t>
      </w:r>
      <w:r>
        <w:rPr>
          <w:rFonts w:cstheme="minorHAnsi"/>
        </w:rPr>
        <w:t xml:space="preserve"> compound twinning. This results in further refining of the grain and contributes to the enhanced work hardening capacity. Through this coherent strengthening enabled by TTIP, t</w:t>
      </w:r>
      <w:r w:rsidRPr="00C503FC">
        <w:rPr>
          <w:rFonts w:cstheme="minorHAnsi"/>
        </w:rPr>
        <w:t xml:space="preserve">he increased </w:t>
      </w:r>
      <w:r>
        <w:rPr>
          <w:rFonts w:cstheme="minorHAnsi"/>
        </w:rPr>
        <w:t xml:space="preserve">work </w:t>
      </w:r>
      <w:r w:rsidRPr="00C503FC">
        <w:rPr>
          <w:rFonts w:cstheme="minorHAnsi"/>
        </w:rPr>
        <w:t>hardening capa</w:t>
      </w:r>
      <w:r>
        <w:rPr>
          <w:rFonts w:cstheme="minorHAnsi"/>
        </w:rPr>
        <w:t>bility</w:t>
      </w:r>
      <w:r w:rsidRPr="00C503FC">
        <w:rPr>
          <w:rFonts w:cstheme="minorHAnsi"/>
        </w:rPr>
        <w:t xml:space="preserve"> during </w:t>
      </w:r>
      <w:r>
        <w:rPr>
          <w:rFonts w:cstheme="minorHAnsi"/>
        </w:rPr>
        <w:t xml:space="preserve">the </w:t>
      </w:r>
      <w:r w:rsidRPr="009F4067">
        <w:rPr>
          <w:rFonts w:cstheme="minorHAnsi"/>
          <w:noProof/>
        </w:rPr>
        <w:t>TRIP</w:t>
      </w:r>
      <w:r w:rsidRPr="00C503FC">
        <w:rPr>
          <w:rFonts w:cstheme="minorHAnsi"/>
        </w:rPr>
        <w:t xml:space="preserve"> process</w:t>
      </w:r>
      <w:r>
        <w:rPr>
          <w:rFonts w:cstheme="minorHAnsi"/>
        </w:rPr>
        <w:t xml:space="preserve"> in</w:t>
      </w:r>
      <w:r w:rsidRPr="00C503FC">
        <w:rPr>
          <w:rFonts w:cstheme="minorHAnsi"/>
        </w:rPr>
        <w:t xml:space="preserve"> deformation</w:t>
      </w:r>
      <w:r>
        <w:rPr>
          <w:rFonts w:cstheme="minorHAnsi"/>
        </w:rPr>
        <w:t xml:space="preserve"> S</w:t>
      </w:r>
      <w:r w:rsidRPr="00C503FC">
        <w:rPr>
          <w:rFonts w:cstheme="minorHAnsi"/>
        </w:rPr>
        <w:t xml:space="preserve">tage II </w:t>
      </w:r>
      <w:r>
        <w:rPr>
          <w:rFonts w:cstheme="minorHAnsi"/>
          <w:noProof/>
        </w:rPr>
        <w:t>can be</w:t>
      </w:r>
      <w:r w:rsidRPr="00E822FD">
        <w:rPr>
          <w:rFonts w:cstheme="minorHAnsi"/>
          <w:noProof/>
        </w:rPr>
        <w:t xml:space="preserve"> successfully maintained</w:t>
      </w:r>
      <w:r w:rsidRPr="00C503FC">
        <w:rPr>
          <w:rFonts w:cstheme="minorHAnsi"/>
        </w:rPr>
        <w:t xml:space="preserve"> </w:t>
      </w:r>
      <w:r>
        <w:rPr>
          <w:rFonts w:cstheme="minorHAnsi"/>
        </w:rPr>
        <w:t>at</w:t>
      </w:r>
      <w:r w:rsidRPr="00C503FC">
        <w:rPr>
          <w:rFonts w:cstheme="minorHAnsi"/>
        </w:rPr>
        <w:t xml:space="preserve"> </w:t>
      </w:r>
      <w:r>
        <w:rPr>
          <w:rFonts w:cstheme="minorHAnsi"/>
        </w:rPr>
        <w:t>S</w:t>
      </w:r>
      <w:r w:rsidRPr="00C503FC">
        <w:rPr>
          <w:rFonts w:cstheme="minorHAnsi"/>
        </w:rPr>
        <w:t>tage III</w:t>
      </w:r>
      <w:r>
        <w:rPr>
          <w:rFonts w:cstheme="minorHAnsi"/>
        </w:rPr>
        <w:t xml:space="preserve"> and extensively increased the ultimate strength and </w:t>
      </w:r>
      <w:r w:rsidRPr="009F4067">
        <w:rPr>
          <w:rFonts w:cstheme="minorHAnsi"/>
          <w:noProof/>
        </w:rPr>
        <w:t>ductility</w:t>
      </w:r>
      <w:r w:rsidRPr="00C503FC">
        <w:rPr>
          <w:rFonts w:cstheme="minorHAnsi"/>
        </w:rPr>
        <w:t>.</w:t>
      </w:r>
    </w:p>
    <w:p w14:paraId="0552ACBB" w14:textId="08A8CB88" w:rsidR="00B145BE" w:rsidRDefault="00B145BE" w:rsidP="00B145BE">
      <w:pPr>
        <w:spacing w:after="60" w:line="360" w:lineRule="auto"/>
        <w:jc w:val="both"/>
        <w:rPr>
          <w:color w:val="000000" w:themeColor="text1"/>
        </w:rPr>
      </w:pPr>
      <w:r w:rsidRPr="00CD55B9">
        <w:rPr>
          <w:color w:val="000000" w:themeColor="text1"/>
        </w:rPr>
        <w:t xml:space="preserve">In </w:t>
      </w:r>
      <w:r>
        <w:rPr>
          <w:color w:val="000000" w:themeColor="text1"/>
        </w:rPr>
        <w:t>summary</w:t>
      </w:r>
      <w:r w:rsidRPr="00CD55B9">
        <w:rPr>
          <w:color w:val="000000" w:themeColor="text1"/>
        </w:rPr>
        <w:t xml:space="preserve">, the concept </w:t>
      </w:r>
      <w:r w:rsidRPr="002B119F">
        <w:rPr>
          <w:noProof/>
          <w:color w:val="000000" w:themeColor="text1"/>
        </w:rPr>
        <w:t xml:space="preserve">of </w:t>
      </w:r>
      <w:r>
        <w:rPr>
          <w:color w:val="000000" w:themeColor="text1"/>
        </w:rPr>
        <w:t>TTIP</w:t>
      </w:r>
      <w:r w:rsidRPr="00CD55B9">
        <w:rPr>
          <w:color w:val="000000" w:themeColor="text1"/>
        </w:rPr>
        <w:t xml:space="preserve"> </w:t>
      </w:r>
      <w:r>
        <w:rPr>
          <w:color w:val="000000" w:themeColor="text1"/>
        </w:rPr>
        <w:t>has been</w:t>
      </w:r>
      <w:r w:rsidRPr="00CD55B9">
        <w:rPr>
          <w:color w:val="000000" w:themeColor="text1"/>
        </w:rPr>
        <w:t xml:space="preserve"> </w:t>
      </w:r>
      <w:r>
        <w:rPr>
          <w:color w:val="000000" w:themeColor="text1"/>
        </w:rPr>
        <w:t>experimentally evidenced.</w:t>
      </w:r>
      <w:r w:rsidRPr="00CD55B9">
        <w:rPr>
          <w:color w:val="000000" w:themeColor="text1"/>
        </w:rPr>
        <w:t xml:space="preserve"> </w:t>
      </w:r>
      <w:r>
        <w:rPr>
          <w:color w:val="000000" w:themeColor="text1"/>
        </w:rPr>
        <w:t>A significant</w:t>
      </w:r>
      <w:r w:rsidRPr="00CD55B9">
        <w:rPr>
          <w:color w:val="000000" w:themeColor="text1"/>
        </w:rPr>
        <w:t xml:space="preserve"> </w:t>
      </w:r>
      <w:r w:rsidR="002F3A48">
        <w:rPr>
          <w:color w:val="000000" w:themeColor="text1"/>
        </w:rPr>
        <w:t>work</w:t>
      </w:r>
      <w:r w:rsidRPr="00CD55B9">
        <w:rPr>
          <w:color w:val="000000" w:themeColor="text1"/>
        </w:rPr>
        <w:t xml:space="preserve"> hardening capa</w:t>
      </w:r>
      <w:r>
        <w:rPr>
          <w:color w:val="000000" w:themeColor="text1"/>
        </w:rPr>
        <w:t xml:space="preserve">bility </w:t>
      </w:r>
      <w:r>
        <w:rPr>
          <w:noProof/>
          <w:color w:val="000000" w:themeColor="text1"/>
        </w:rPr>
        <w:t>was</w:t>
      </w:r>
      <w:r w:rsidRPr="009F4067">
        <w:rPr>
          <w:noProof/>
          <w:color w:val="000000" w:themeColor="text1"/>
        </w:rPr>
        <w:t xml:space="preserve"> enabled</w:t>
      </w:r>
      <w:r w:rsidRPr="00CD55B9">
        <w:rPr>
          <w:color w:val="000000" w:themeColor="text1"/>
        </w:rPr>
        <w:t xml:space="preserve"> through</w:t>
      </w:r>
      <w:r>
        <w:rPr>
          <w:color w:val="000000" w:themeColor="text1"/>
        </w:rPr>
        <w:t xml:space="preserve"> the activation of the TTIP effect via</w:t>
      </w:r>
      <w:r w:rsidRPr="00CD55B9">
        <w:rPr>
          <w:color w:val="000000" w:themeColor="text1"/>
        </w:rPr>
        <w:t xml:space="preserve"> {351}</w:t>
      </w:r>
      <w:r>
        <w:rPr>
          <w:color w:val="000000" w:themeColor="text1"/>
        </w:rPr>
        <w:t>&lt;</w:t>
      </w:r>
      <w:r w:rsidRPr="00CD55B9">
        <w:rPr>
          <w:color w:val="000000" w:themeColor="text1"/>
        </w:rPr>
        <w:t>-211</w:t>
      </w:r>
      <w:r>
        <w:rPr>
          <w:color w:val="000000" w:themeColor="text1"/>
        </w:rPr>
        <w:t>&gt;</w:t>
      </w:r>
      <w:r w:rsidRPr="00CD55B9">
        <w:rPr>
          <w:color w:val="000000" w:themeColor="text1"/>
          <w:vertAlign w:val="subscript"/>
        </w:rPr>
        <w:t>α’’</w:t>
      </w:r>
      <w:r>
        <w:rPr>
          <w:color w:val="000000" w:themeColor="text1"/>
        </w:rPr>
        <w:t xml:space="preserve"> type II SA twinning system. The importance of TTIP is self-evident. This new deformation mechanism activated by tailoring </w:t>
      </w:r>
      <w:r>
        <w:rPr>
          <w:rFonts w:ascii="Times New Roman" w:hAnsi="Times New Roman" w:cs="Times New Roman"/>
          <w:color w:val="000000" w:themeColor="text1"/>
        </w:rPr>
        <w:t>β</w:t>
      </w:r>
      <w:r>
        <w:rPr>
          <w:color w:val="000000" w:themeColor="text1"/>
        </w:rPr>
        <w:t xml:space="preserve"> phase stability, not only enabled a continuous work hardening capability optimising mechanical performance</w:t>
      </w:r>
      <w:r w:rsidRPr="009F4067">
        <w:rPr>
          <w:noProof/>
          <w:color w:val="000000" w:themeColor="text1"/>
        </w:rPr>
        <w:t>,</w:t>
      </w:r>
      <w:r>
        <w:rPr>
          <w:color w:val="000000" w:themeColor="text1"/>
        </w:rPr>
        <w:t xml:space="preserve"> but importantly provided a transition pathway</w:t>
      </w:r>
      <w:r w:rsidRPr="008C7503">
        <w:rPr>
          <w:color w:val="000000" w:themeColor="text1"/>
        </w:rPr>
        <w:t xml:space="preserve"> between</w:t>
      </w:r>
      <w:r>
        <w:rPr>
          <w:color w:val="000000" w:themeColor="text1"/>
        </w:rPr>
        <w:t xml:space="preserve"> the TRIP and TWIP mechanisms. Therefore, this broadens the design window for a </w:t>
      </w:r>
      <w:r w:rsidRPr="009F4067">
        <w:rPr>
          <w:noProof/>
          <w:color w:val="000000" w:themeColor="text1"/>
        </w:rPr>
        <w:t>variety</w:t>
      </w:r>
      <w:r>
        <w:rPr>
          <w:noProof/>
          <w:color w:val="000000" w:themeColor="text1"/>
        </w:rPr>
        <w:t xml:space="preserve"> of</w:t>
      </w:r>
      <w:r>
        <w:rPr>
          <w:color w:val="000000" w:themeColor="text1"/>
        </w:rPr>
        <w:t xml:space="preserve"> metallic materials which exhibit the stress-induced BCC to HCP athermal phase transformation including steels, Mg alloys, Zr alloys and others. </w:t>
      </w:r>
      <w:r w:rsidRPr="008C7503">
        <w:rPr>
          <w:color w:val="000000" w:themeColor="text1"/>
        </w:rPr>
        <w:t xml:space="preserve"> </w:t>
      </w:r>
    </w:p>
    <w:p w14:paraId="4FB9436C" w14:textId="77777777" w:rsidR="00B145BE" w:rsidRDefault="00B145BE" w:rsidP="00B145BE">
      <w:pPr>
        <w:spacing w:after="120" w:line="360" w:lineRule="auto"/>
        <w:jc w:val="both"/>
        <w:rPr>
          <w:color w:val="000000" w:themeColor="text1"/>
        </w:rPr>
      </w:pPr>
    </w:p>
    <w:p w14:paraId="115C56A3" w14:textId="77777777" w:rsidR="00B145BE" w:rsidRDefault="00B145BE" w:rsidP="00B145BE">
      <w:pPr>
        <w:spacing w:after="120" w:line="360" w:lineRule="auto"/>
        <w:jc w:val="both"/>
        <w:rPr>
          <w:color w:val="000000" w:themeColor="text1"/>
        </w:rPr>
      </w:pPr>
    </w:p>
    <w:p w14:paraId="1E745ADF" w14:textId="77777777" w:rsidR="00B145BE" w:rsidRDefault="00B145BE" w:rsidP="00B145BE">
      <w:pPr>
        <w:spacing w:after="120" w:line="360" w:lineRule="auto"/>
        <w:jc w:val="both"/>
        <w:rPr>
          <w:color w:val="000000" w:themeColor="text1"/>
        </w:rPr>
      </w:pPr>
    </w:p>
    <w:p w14:paraId="70CEE491" w14:textId="77777777" w:rsidR="00B145BE" w:rsidRDefault="00B145BE" w:rsidP="00B145BE">
      <w:pPr>
        <w:spacing w:after="120" w:line="360" w:lineRule="auto"/>
        <w:jc w:val="both"/>
        <w:rPr>
          <w:color w:val="000000" w:themeColor="text1"/>
        </w:rPr>
      </w:pPr>
    </w:p>
    <w:p w14:paraId="4C237A6C" w14:textId="77777777" w:rsidR="00B145BE" w:rsidRDefault="00B145BE" w:rsidP="00B145BE">
      <w:pPr>
        <w:spacing w:after="120" w:line="360" w:lineRule="auto"/>
        <w:jc w:val="both"/>
        <w:rPr>
          <w:color w:val="000000" w:themeColor="text1"/>
        </w:rPr>
      </w:pPr>
    </w:p>
    <w:p w14:paraId="081C62DF" w14:textId="77777777" w:rsidR="00B145BE" w:rsidRDefault="00B145BE" w:rsidP="00B145BE">
      <w:pPr>
        <w:spacing w:after="120" w:line="360" w:lineRule="auto"/>
        <w:jc w:val="both"/>
        <w:rPr>
          <w:color w:val="000000" w:themeColor="text1"/>
        </w:rPr>
      </w:pPr>
    </w:p>
    <w:p w14:paraId="4409AC20" w14:textId="41F4882E" w:rsidR="00B145BE" w:rsidRDefault="00B145BE" w:rsidP="00B145BE">
      <w:pPr>
        <w:spacing w:after="120" w:line="360" w:lineRule="auto"/>
        <w:jc w:val="both"/>
        <w:rPr>
          <w:color w:val="000000" w:themeColor="text1"/>
        </w:rPr>
      </w:pPr>
    </w:p>
    <w:p w14:paraId="5D192F64" w14:textId="0A06B70E" w:rsidR="00A51E10" w:rsidRDefault="00A51E10" w:rsidP="00B145BE">
      <w:pPr>
        <w:spacing w:after="120" w:line="360" w:lineRule="auto"/>
        <w:jc w:val="both"/>
        <w:rPr>
          <w:color w:val="000000" w:themeColor="text1"/>
        </w:rPr>
      </w:pPr>
    </w:p>
    <w:p w14:paraId="3EA93EB8" w14:textId="77777777" w:rsidR="00A51E10" w:rsidRDefault="00A51E10" w:rsidP="00B145BE">
      <w:pPr>
        <w:spacing w:after="120" w:line="360" w:lineRule="auto"/>
        <w:jc w:val="both"/>
        <w:rPr>
          <w:color w:val="000000" w:themeColor="text1"/>
        </w:rPr>
      </w:pPr>
    </w:p>
    <w:p w14:paraId="7D5B5C81" w14:textId="77777777" w:rsidR="00383741" w:rsidRDefault="00383741" w:rsidP="00B145BE">
      <w:pPr>
        <w:spacing w:after="120" w:line="360" w:lineRule="auto"/>
        <w:jc w:val="both"/>
        <w:rPr>
          <w:color w:val="000000" w:themeColor="text1"/>
        </w:rPr>
      </w:pPr>
    </w:p>
    <w:p w14:paraId="421D1A6C" w14:textId="77777777" w:rsidR="00B145BE" w:rsidRPr="009872CE" w:rsidRDefault="00B145BE" w:rsidP="00B145BE">
      <w:pPr>
        <w:pStyle w:val="2"/>
        <w:spacing w:before="0" w:after="120" w:line="360" w:lineRule="auto"/>
        <w:rPr>
          <w:rFonts w:asciiTheme="minorHAnsi" w:hAnsiTheme="minorHAnsi"/>
          <w:b/>
          <w:color w:val="auto"/>
          <w:sz w:val="32"/>
          <w:lang w:bidi="hi-IN"/>
        </w:rPr>
      </w:pPr>
      <w:bookmarkStart w:id="352" w:name="_Toc22052562"/>
      <w:r w:rsidRPr="00F87370">
        <w:rPr>
          <w:rFonts w:asciiTheme="minorHAnsi" w:hAnsiTheme="minorHAnsi"/>
          <w:b/>
          <w:color w:val="auto"/>
          <w:sz w:val="32"/>
          <w:lang w:bidi="hi-IN"/>
        </w:rPr>
        <w:lastRenderedPageBreak/>
        <w:t>7.</w:t>
      </w:r>
      <w:r>
        <w:rPr>
          <w:rFonts w:asciiTheme="minorHAnsi" w:hAnsiTheme="minorHAnsi"/>
          <w:b/>
          <w:color w:val="auto"/>
          <w:sz w:val="32"/>
          <w:lang w:bidi="hi-IN"/>
        </w:rPr>
        <w:t>6</w:t>
      </w:r>
      <w:r w:rsidRPr="00F87370">
        <w:rPr>
          <w:rFonts w:asciiTheme="minorHAnsi" w:hAnsiTheme="minorHAnsi"/>
          <w:b/>
          <w:color w:val="auto"/>
          <w:sz w:val="32"/>
          <w:lang w:bidi="hi-IN"/>
        </w:rPr>
        <w:t xml:space="preserve"> </w:t>
      </w:r>
      <w:r>
        <w:rPr>
          <w:rFonts w:asciiTheme="minorHAnsi" w:hAnsiTheme="minorHAnsi"/>
          <w:b/>
          <w:color w:val="auto"/>
          <w:sz w:val="32"/>
          <w:lang w:bidi="hi-IN"/>
        </w:rPr>
        <w:t>References</w:t>
      </w:r>
      <w:bookmarkEnd w:id="352"/>
    </w:p>
    <w:p w14:paraId="718B700E"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Pr>
          <w:color w:val="000000" w:themeColor="text1"/>
        </w:rPr>
        <w:fldChar w:fldCharType="begin" w:fldLock="1"/>
      </w:r>
      <w:r>
        <w:rPr>
          <w:color w:val="000000" w:themeColor="text1"/>
        </w:rPr>
        <w:instrText xml:space="preserve">ADDIN Mendeley Bibliography CSL_BIBLIOGRAPHY </w:instrText>
      </w:r>
      <w:r>
        <w:rPr>
          <w:color w:val="000000" w:themeColor="text1"/>
        </w:rPr>
        <w:fldChar w:fldCharType="separate"/>
      </w:r>
      <w:r w:rsidRPr="00681C64">
        <w:rPr>
          <w:rFonts w:ascii="Calibri" w:hAnsi="Calibri" w:cs="Times New Roman"/>
          <w:noProof/>
          <w:szCs w:val="24"/>
        </w:rPr>
        <w:t>[1]</w:t>
      </w:r>
      <w:r w:rsidRPr="00681C64">
        <w:rPr>
          <w:rFonts w:ascii="Calibri" w:hAnsi="Calibri" w:cs="Times New Roman"/>
          <w:noProof/>
          <w:szCs w:val="24"/>
        </w:rPr>
        <w:tab/>
        <w:t>Microstructure of martensite: why it forms and how it gives rise to the shape-memory effect, Choice Rev. Online. (2013). doi:10.5860/choice.41-6554.</w:t>
      </w:r>
    </w:p>
    <w:p w14:paraId="0D56CC97"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[2]</w:t>
      </w:r>
      <w:r w:rsidRPr="00681C64">
        <w:rPr>
          <w:rFonts w:ascii="Calibri" w:hAnsi="Calibri" w:cs="Times New Roman"/>
          <w:noProof/>
          <w:szCs w:val="24"/>
        </w:rPr>
        <w:tab/>
        <w:t>Y.W. Chai, H.Y. Kim, H. Hosoda, S. Miyazaki, Self-accommodation in Ti-Nb shape memory alloys, Acta Mater. (2009). doi:10.1016/j.actamat.2009.04.051.</w:t>
      </w:r>
    </w:p>
    <w:p w14:paraId="55F367F0"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[3]</w:t>
      </w:r>
      <w:r w:rsidRPr="00681C64">
        <w:rPr>
          <w:rFonts w:ascii="Calibri" w:hAnsi="Calibri" w:cs="Times New Roman"/>
          <w:noProof/>
          <w:szCs w:val="24"/>
        </w:rPr>
        <w:tab/>
        <w:t>T. Inamura, J.I. Kim, H.Y. Kim, H. Hosoda, K. Wakashima, S. Miyazaki, Composition dependent crystallography of α″-martensite in Ti-Nb-based β-titanium alloy, Philos. Mag. (2007). doi:10.1080/14786430601003874.</w:t>
      </w:r>
    </w:p>
    <w:p w14:paraId="75E74D08"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[4]</w:t>
      </w:r>
      <w:r w:rsidRPr="00681C64">
        <w:rPr>
          <w:rFonts w:ascii="Calibri" w:hAnsi="Calibri" w:cs="Times New Roman"/>
          <w:noProof/>
          <w:szCs w:val="24"/>
        </w:rPr>
        <w:tab/>
        <w:t>L. Lilensten, J.P. Couzinié, J. Bourgon, L. Perrière, G. Dirras, F. Prima, I. Guillot, Design and tensile properties of a bcc Ti-rich high-entropy alloy with transformation-induced plasticity, Mater. Res. Lett. (2017). doi:10.1080/21663831.2016.1221861.</w:t>
      </w:r>
    </w:p>
    <w:p w14:paraId="45832CDC"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[5]</w:t>
      </w:r>
      <w:r w:rsidRPr="00681C64">
        <w:rPr>
          <w:rFonts w:ascii="Calibri" w:hAnsi="Calibri" w:cs="Times New Roman"/>
          <w:noProof/>
          <w:szCs w:val="24"/>
        </w:rPr>
        <w:tab/>
        <w:t>C. Brozek, F. Sun, P. Vermaut, Y. Millet, A. Lenain, D. Embury, P.J. Jacques, F. Prima, A β-titanium alloy with extra high strain-hardening rate: Design and mechanical properties, Scr. Mater. (2016). doi:10.1016/j.scriptamat.2015.11.020.</w:t>
      </w:r>
    </w:p>
    <w:p w14:paraId="545CBEA0"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[6]</w:t>
      </w:r>
      <w:r w:rsidRPr="00681C64">
        <w:rPr>
          <w:rFonts w:ascii="Calibri" w:hAnsi="Calibri" w:cs="Times New Roman"/>
          <w:noProof/>
          <w:szCs w:val="24"/>
        </w:rPr>
        <w:tab/>
        <w:t>X. Ji, S. Emura, X. Min, K. Tsuchiya, Strain-rate effect on work-hardening behavior in β-type Ti-10Mo-1Fe alloy with TWIP effect, Mater. Sci. Eng. A. (2017). doi:10.1016/j.msea.2017.09.055.</w:t>
      </w:r>
    </w:p>
    <w:p w14:paraId="0509DDA4"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[7]</w:t>
      </w:r>
      <w:r w:rsidRPr="00681C64">
        <w:rPr>
          <w:rFonts w:ascii="Calibri" w:hAnsi="Calibri" w:cs="Times New Roman"/>
          <w:noProof/>
          <w:szCs w:val="24"/>
        </w:rPr>
        <w:tab/>
        <w:t>F. Sun, J.Y. Zhang, M. Marteleur, C. Brozek, E.F. Rauch, M. Veron, P. Vermaut, P.J. Jacques, F. Prima, A new titanium alloy with a combination of high strength, high strain hardening and improved ductility, Scr. Mater. (2015). doi:10.1016/j.scriptamat.2014.09.005.</w:t>
      </w:r>
    </w:p>
    <w:p w14:paraId="66888410"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[8]</w:t>
      </w:r>
      <w:r w:rsidRPr="00681C64">
        <w:rPr>
          <w:rFonts w:ascii="Calibri" w:hAnsi="Calibri" w:cs="Times New Roman"/>
          <w:noProof/>
          <w:szCs w:val="24"/>
        </w:rPr>
        <w:tab/>
        <w:t>M. Ahmed, D. Wexler, G. Casillas, O.M. Ivasishin, E. V. Pereloma, The influence of β phase stability on deformation mode and compressive mechanical properties of Ti-10V-3Fe-3Al alloy, Acta Mater. (2015). doi:10.1016/j.actamat.2014.10.043.</w:t>
      </w:r>
    </w:p>
    <w:p w14:paraId="1E3F4F74"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[9]</w:t>
      </w:r>
      <w:r w:rsidRPr="00681C64">
        <w:rPr>
          <w:rFonts w:ascii="Calibri" w:hAnsi="Calibri" w:cs="Times New Roman"/>
          <w:noProof/>
          <w:szCs w:val="24"/>
        </w:rPr>
        <w:tab/>
        <w:t>H. Mecking, U.F. Kocks, Kinetics of flow and strain-hardening, Acta Metall. (1981). doi:10.1016/0001-6160(81)90112-7.</w:t>
      </w:r>
    </w:p>
    <w:p w14:paraId="7DD7CF5B"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[10]</w:t>
      </w:r>
      <w:r w:rsidRPr="00681C64">
        <w:rPr>
          <w:rFonts w:ascii="Calibri" w:hAnsi="Calibri" w:cs="Times New Roman"/>
          <w:noProof/>
          <w:szCs w:val="24"/>
        </w:rPr>
        <w:tab/>
        <w:t>Y. Ma, W. Song, W. Bleck, Investigation of the microstructure evolution in a Fe-17Mn-1.5Al-0.3C steel via in situ synchrotron X-ray diffraction during a tensile test, Materials (Basel). (2017). doi:10.3390/ma10101129.</w:t>
      </w:r>
    </w:p>
    <w:p w14:paraId="5B3ADB6E"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[11]</w:t>
      </w:r>
      <w:r w:rsidRPr="00681C64">
        <w:rPr>
          <w:rFonts w:ascii="Calibri" w:hAnsi="Calibri" w:cs="Times New Roman"/>
          <w:noProof/>
          <w:szCs w:val="24"/>
        </w:rPr>
        <w:tab/>
        <w:t xml:space="preserve">O. Grässel, L. Krüger, G. Frommeyer, L.W. Meyer, High strength Fe-Mn-(Al, Si) TRIP/TWIP steels </w:t>
      </w:r>
      <w:r w:rsidRPr="00681C64">
        <w:rPr>
          <w:rFonts w:ascii="Calibri" w:hAnsi="Calibri" w:cs="Times New Roman"/>
          <w:noProof/>
          <w:szCs w:val="24"/>
        </w:rPr>
        <w:lastRenderedPageBreak/>
        <w:t>development - properties - application, Int. J. Plast. (2000). doi:10.1016/S0749-6419(00)00015-2.</w:t>
      </w:r>
    </w:p>
    <w:p w14:paraId="7C00F116"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[12]</w:t>
      </w:r>
      <w:r w:rsidRPr="00681C64">
        <w:rPr>
          <w:rFonts w:ascii="Calibri" w:hAnsi="Calibri" w:cs="Times New Roman"/>
          <w:noProof/>
          <w:szCs w:val="24"/>
        </w:rPr>
        <w:tab/>
        <w:t>Z. Li, C.C. Tasan, H. Springer, B. Gault, D. Raabe, Interstitial atoms enable joint twinning and transformation induced plasticity in strong and ductile high-entropy alloys, Sci. Rep. (2017). doi:10.1038/srep40704.</w:t>
      </w:r>
    </w:p>
    <w:p w14:paraId="4B2DC8EF"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[13]</w:t>
      </w:r>
      <w:r w:rsidRPr="00681C64">
        <w:rPr>
          <w:rFonts w:ascii="Calibri" w:hAnsi="Calibri" w:cs="Times New Roman"/>
          <w:noProof/>
          <w:szCs w:val="24"/>
        </w:rPr>
        <w:tab/>
        <w:t>Z. Li, C.C. Tasan, K.G. Pradeep, D. Raabe, A TRIP-assisted dual-phase high-entropy alloy: Grain size and phase fraction effects on deformation behavior, Acta Mater. (2017). doi:10.1016/j.actamat.2017.03.069.</w:t>
      </w:r>
    </w:p>
    <w:p w14:paraId="3682610D"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[14]</w:t>
      </w:r>
      <w:r w:rsidRPr="00681C64">
        <w:rPr>
          <w:rFonts w:ascii="Calibri" w:hAnsi="Calibri" w:cs="Times New Roman"/>
          <w:noProof/>
          <w:szCs w:val="24"/>
        </w:rPr>
        <w:tab/>
        <w:t>Z. Li, K.G. Pradeep, Y. Deng, D. Raabe, C.C. Tasan, Metastable high-entropy dual-phase alloys overcome the strength-ductility trade-off, Nature. (2016). doi:10.1038/nature17981.</w:t>
      </w:r>
    </w:p>
    <w:p w14:paraId="42D1FC99"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[15]</w:t>
      </w:r>
      <w:r w:rsidRPr="00681C64">
        <w:rPr>
          <w:rFonts w:ascii="Calibri" w:hAnsi="Calibri" w:cs="Times New Roman"/>
          <w:noProof/>
          <w:szCs w:val="24"/>
        </w:rPr>
        <w:tab/>
        <w:t>H. Huang, Y. Wu, J. He, H. Wang, X. Liu, K. An, W. Wu, Z. Lu, Phase-Transformation Ductilization of Brittle High-Entropy Alloys via Metastability Engineering, Adv. Mater. (2017). doi:10.1002/adma.201701678.</w:t>
      </w:r>
    </w:p>
    <w:p w14:paraId="0CD4615C"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[16]</w:t>
      </w:r>
      <w:r w:rsidRPr="00681C64">
        <w:rPr>
          <w:rFonts w:ascii="Calibri" w:hAnsi="Calibri" w:cs="Times New Roman"/>
          <w:noProof/>
          <w:szCs w:val="24"/>
        </w:rPr>
        <w:tab/>
        <w:t>B. Wang, J. Shi, P. Ye, L. Deng, C. Wang, J. Chen, X. Yang, Q. Li, In-situ investigation on nucleation and propagation of {10-12} twins during uniaxial multi-pass compression in an extruded AZ31 Mg alloy, Mater. Sci. Eng. A. (2018). doi:10.1016/j.msea.2018.06.043.</w:t>
      </w:r>
    </w:p>
    <w:p w14:paraId="4AA7CFDA"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[17]</w:t>
      </w:r>
      <w:r w:rsidRPr="00681C64">
        <w:rPr>
          <w:rFonts w:ascii="Calibri" w:hAnsi="Calibri" w:cs="Times New Roman"/>
          <w:noProof/>
          <w:szCs w:val="24"/>
        </w:rPr>
        <w:tab/>
        <w:t>T. Inamura, H. Hosoda, H. Young Kim, S. Miyazaki, Antiphase boundary-like stacking fault in α″-martensite of disordered crystal structure in β-titanium shape memory alloy, Philos. Mag. (2010). doi:10.1080/14786435.2010.489889.</w:t>
      </w:r>
    </w:p>
    <w:p w14:paraId="22DDB856"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[18]</w:t>
      </w:r>
      <w:r w:rsidRPr="00681C64">
        <w:rPr>
          <w:rFonts w:ascii="Calibri" w:hAnsi="Calibri" w:cs="Times New Roman"/>
          <w:noProof/>
          <w:szCs w:val="24"/>
        </w:rPr>
        <w:tab/>
        <w:t>S. Lee, C. Park, J. Hong, J. taek Yeom, The Role of Nano-domains in {1–011} Twinned Martensite in Metastable Titanium Alloys, Sci. Rep. (2018). doi:10.1038/s41598-018-30059-8.</w:t>
      </w:r>
    </w:p>
    <w:p w14:paraId="2EF5826D"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[19]</w:t>
      </w:r>
      <w:r w:rsidRPr="00681C64">
        <w:rPr>
          <w:rFonts w:ascii="Calibri" w:hAnsi="Calibri" w:cs="Times New Roman"/>
          <w:noProof/>
          <w:szCs w:val="24"/>
        </w:rPr>
        <w:tab/>
        <w:t>E. Bertrand, P. Castany, Y. Yang, E. Menou, T. Gloriant, Deformation twinning in the full-α″ martensitic Ti-25Ta-20Nb shape memory alloy, Acta Mater. (2016). doi:10.1016/j.actamat.2015.12.001.</w:t>
      </w:r>
    </w:p>
    <w:p w14:paraId="1B995881"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[20]</w:t>
      </w:r>
      <w:r w:rsidRPr="00681C64">
        <w:rPr>
          <w:rFonts w:ascii="Calibri" w:hAnsi="Calibri" w:cs="Times New Roman"/>
          <w:noProof/>
          <w:szCs w:val="24"/>
        </w:rPr>
        <w:tab/>
        <w:t>P. Castany, Y. Yang, E. Bertrand, T. Gloriant, Reversion of a Parent {130}&lt;310&gt;alpha’’ Martensitic Twinning System at the Origin of {332 } &lt;113&gt;beta Twins Observed in Metastable beta Titanium Alloys, Phys. Rev. Lett. (2016). doi:10.1103/PhysRevLett.117.245501.</w:t>
      </w:r>
    </w:p>
    <w:p w14:paraId="64E51C96"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[21]</w:t>
      </w:r>
      <w:r w:rsidRPr="00681C64">
        <w:rPr>
          <w:rFonts w:ascii="Calibri" w:hAnsi="Calibri" w:cs="Times New Roman"/>
          <w:noProof/>
          <w:szCs w:val="24"/>
        </w:rPr>
        <w:tab/>
        <w:t>X. Zhang, W. Wang, J. Sun, Formation of {332}</w:t>
      </w:r>
      <w:r w:rsidRPr="00681C64">
        <w:rPr>
          <w:rFonts w:ascii="Calibri" w:hAnsi="Calibri" w:cs="Times New Roman"/>
          <w:noProof/>
          <w:szCs w:val="24"/>
        </w:rPr>
        <w:t>〈</w:t>
      </w:r>
      <w:r w:rsidRPr="00681C64">
        <w:rPr>
          <w:rFonts w:ascii="Calibri" w:hAnsi="Calibri" w:cs="Times New Roman"/>
          <w:noProof/>
          <w:szCs w:val="24"/>
        </w:rPr>
        <w:t>113</w:t>
      </w:r>
      <w:r w:rsidRPr="00681C64">
        <w:rPr>
          <w:rFonts w:ascii="Calibri" w:hAnsi="Calibri" w:cs="Times New Roman"/>
          <w:noProof/>
          <w:szCs w:val="24"/>
        </w:rPr>
        <w:t>〉</w:t>
      </w:r>
      <w:r w:rsidRPr="00681C64">
        <w:rPr>
          <w:rFonts w:ascii="Calibri" w:hAnsi="Calibri" w:cs="Times New Roman"/>
          <w:noProof/>
          <w:szCs w:val="24"/>
        </w:rPr>
        <w:t>βtwins from parent {130}</w:t>
      </w:r>
      <w:r w:rsidRPr="00681C64">
        <w:rPr>
          <w:rFonts w:ascii="Calibri" w:hAnsi="Calibri" w:cs="Times New Roman"/>
          <w:noProof/>
          <w:szCs w:val="24"/>
        </w:rPr>
        <w:t>〈</w:t>
      </w:r>
      <w:r w:rsidRPr="00681C64">
        <w:rPr>
          <w:rFonts w:ascii="Calibri" w:hAnsi="Calibri" w:cs="Times New Roman"/>
          <w:noProof/>
          <w:szCs w:val="24"/>
        </w:rPr>
        <w:t>310</w:t>
      </w:r>
      <w:r w:rsidRPr="00681C64">
        <w:rPr>
          <w:rFonts w:ascii="Calibri" w:hAnsi="Calibri" w:cs="Times New Roman"/>
          <w:noProof/>
          <w:szCs w:val="24"/>
        </w:rPr>
        <w:t>〉</w:t>
      </w:r>
      <w:r w:rsidRPr="00681C64">
        <w:rPr>
          <w:rFonts w:ascii="Calibri" w:hAnsi="Calibri" w:cs="Times New Roman"/>
          <w:noProof/>
          <w:szCs w:val="24"/>
        </w:rPr>
        <w:t>α″plastic twins in a full α″ Ti-Nb alloy by annealing, Mater. Charact. (2018). doi:10.1016/j.matchar.2018.09.034.</w:t>
      </w:r>
    </w:p>
    <w:p w14:paraId="44868A86"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lastRenderedPageBreak/>
        <w:t>[22]</w:t>
      </w:r>
      <w:r w:rsidRPr="00681C64">
        <w:rPr>
          <w:rFonts w:ascii="Calibri" w:hAnsi="Calibri" w:cs="Times New Roman"/>
          <w:noProof/>
          <w:szCs w:val="24"/>
        </w:rPr>
        <w:tab/>
        <w:t>H. Tobe, H.Y. Kim, T. Inamura, H. Hosoda, T.H. Nam, S. Miyazaki, Effect of Nb content on deformation behavior and shape memory properties of Ti-Nb alloys, J. Alloys Compd. (2013). doi:10.1016/j.jallcom.2012.02.023.</w:t>
      </w:r>
    </w:p>
    <w:p w14:paraId="787CFCF6"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[23]</w:t>
      </w:r>
      <w:r w:rsidRPr="00681C64">
        <w:rPr>
          <w:rFonts w:ascii="Calibri" w:hAnsi="Calibri" w:cs="Times New Roman"/>
          <w:noProof/>
          <w:szCs w:val="24"/>
        </w:rPr>
        <w:tab/>
        <w:t>X. Wu, M. Yang, F. Yuan, G. Wu, Y. Wei, X. Huang, Y. Zhu, Heterogeneous lamella structure unites ultrafine-grain strength with coarse-grain ductility, Proc. Natl. Acad. Sci. (2015). doi:10.1073/pnas.1517193112.</w:t>
      </w:r>
    </w:p>
    <w:p w14:paraId="6E0151BD"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[24]</w:t>
      </w:r>
      <w:r w:rsidRPr="00681C64">
        <w:rPr>
          <w:rFonts w:ascii="Calibri" w:hAnsi="Calibri" w:cs="Times New Roman"/>
          <w:noProof/>
          <w:szCs w:val="24"/>
        </w:rPr>
        <w:tab/>
        <w:t>M.F. Ashby, The deformation of plastically non-homogeneous materials, Philos. Mag. (1970). doi:10.1080/14786437008238426.</w:t>
      </w:r>
    </w:p>
    <w:p w14:paraId="43A9C0E9"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[25]</w:t>
      </w:r>
      <w:r w:rsidRPr="00681C64">
        <w:rPr>
          <w:rFonts w:ascii="Calibri" w:hAnsi="Calibri" w:cs="Times New Roman"/>
          <w:noProof/>
          <w:szCs w:val="24"/>
        </w:rPr>
        <w:tab/>
        <w:t>H. Gao, Y. Huang, Geometrically necessary dislocation and size-dependent plasticity, Scr. Mater. (2003). doi:10.1016/S1359-6462(02)00329-9.</w:t>
      </w:r>
    </w:p>
    <w:p w14:paraId="625A9138"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[26]</w:t>
      </w:r>
      <w:r w:rsidRPr="00681C64">
        <w:rPr>
          <w:rFonts w:ascii="Calibri" w:hAnsi="Calibri" w:cs="Times New Roman"/>
          <w:noProof/>
          <w:szCs w:val="24"/>
        </w:rPr>
        <w:tab/>
        <w:t>H. Gao, Y. Huang, W.D. Nix, J.W. Hutchinson, Mechanism-based strain gradient plasticity - I. Theory, J. Mech. Phys. Solids. (1999). doi:10.1016/S0022-5096(98)00103-3.</w:t>
      </w:r>
    </w:p>
    <w:p w14:paraId="478204BC"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[27]</w:t>
      </w:r>
      <w:r w:rsidRPr="00681C64">
        <w:rPr>
          <w:rFonts w:ascii="Calibri" w:hAnsi="Calibri" w:cs="Times New Roman"/>
          <w:noProof/>
          <w:szCs w:val="24"/>
        </w:rPr>
        <w:tab/>
        <w:t>M. Yang, Y. Pan, F. Yuan, Y. Zhu, X. Wu, Back stress strengthening and strain hardening in gradient structure, Mater. Res. Lett. (2016). doi:10.1080/21663831.2016.1153004.</w:t>
      </w:r>
    </w:p>
    <w:p w14:paraId="61FC6FA5"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[28]</w:t>
      </w:r>
      <w:r w:rsidRPr="00681C64">
        <w:rPr>
          <w:rFonts w:ascii="Calibri" w:hAnsi="Calibri" w:cs="Times New Roman"/>
          <w:noProof/>
          <w:szCs w:val="24"/>
        </w:rPr>
        <w:tab/>
        <w:t>X. Wu, Y. Zhu, Heterogeneous materials: a new class of materials with unprecedented mechanical properties, Mater. Res. Lett. (2017). doi:10.1080/21663831.2017.1343208.</w:t>
      </w:r>
    </w:p>
    <w:p w14:paraId="2C53F47E"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[29]</w:t>
      </w:r>
      <w:r w:rsidRPr="00681C64">
        <w:rPr>
          <w:rFonts w:ascii="Calibri" w:hAnsi="Calibri" w:cs="Times New Roman"/>
          <w:noProof/>
          <w:szCs w:val="24"/>
        </w:rPr>
        <w:tab/>
        <w:t>H. Tobe, H.Y. Kim, T. Inamura, H. Hosoda, S. Miyazaki, Origin of {3 3 2} twinning in metastable β-Ti alloys, Acta Mater. (2014). doi:10.1016/j.actamat.2013.10.048.</w:t>
      </w:r>
    </w:p>
    <w:p w14:paraId="2BD760AA"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cs="Times New Roman"/>
          <w:noProof/>
          <w:szCs w:val="24"/>
        </w:rPr>
      </w:pPr>
      <w:r w:rsidRPr="00681C64">
        <w:rPr>
          <w:rFonts w:ascii="Calibri" w:hAnsi="Calibri" w:cs="Times New Roman"/>
          <w:noProof/>
          <w:szCs w:val="24"/>
        </w:rPr>
        <w:t>[30]</w:t>
      </w:r>
      <w:r w:rsidRPr="00681C64">
        <w:rPr>
          <w:rFonts w:ascii="Calibri" w:hAnsi="Calibri" w:cs="Times New Roman"/>
          <w:noProof/>
          <w:szCs w:val="24"/>
        </w:rPr>
        <w:tab/>
        <w:t>Q. Sun, X. Fang, Y. Wang, L. Tan, X. Zhang, Changes in misorientations of {10 1 ¯ 1} twin boundaries in deformed magnesium alloy, J. Mater. Sci. (2018). doi:10.1007/s10853-018-2068-z.</w:t>
      </w:r>
    </w:p>
    <w:p w14:paraId="00A419E7" w14:textId="77777777" w:rsidR="00B145BE" w:rsidRPr="00681C64" w:rsidRDefault="00B145BE" w:rsidP="00B145BE">
      <w:pPr>
        <w:widowControl w:val="0"/>
        <w:autoSpaceDE w:val="0"/>
        <w:autoSpaceDN w:val="0"/>
        <w:adjustRightInd w:val="0"/>
        <w:spacing w:after="120" w:line="360" w:lineRule="auto"/>
        <w:ind w:left="640" w:hanging="640"/>
        <w:rPr>
          <w:rFonts w:ascii="Calibri" w:hAnsi="Calibri"/>
          <w:noProof/>
        </w:rPr>
      </w:pPr>
      <w:r w:rsidRPr="00681C64">
        <w:rPr>
          <w:rFonts w:ascii="Calibri" w:hAnsi="Calibri" w:cs="Times New Roman"/>
          <w:noProof/>
          <w:szCs w:val="24"/>
        </w:rPr>
        <w:t>[31]</w:t>
      </w:r>
      <w:r w:rsidRPr="00681C64">
        <w:rPr>
          <w:rFonts w:ascii="Calibri" w:hAnsi="Calibri" w:cs="Times New Roman"/>
          <w:noProof/>
          <w:szCs w:val="24"/>
        </w:rPr>
        <w:tab/>
        <w:t>M. Lentz, M. Risse, N. Schaefer, W. Reimers, I.J. Beyerlein, Strength and ductility with {10 11}-{1012} double twinning in a magnesium alloy, Nat. Commun. (2016). doi:10.1038/ncomms11068.</w:t>
      </w:r>
    </w:p>
    <w:p w14:paraId="51C7F61B" w14:textId="3282529D" w:rsidR="001C513B" w:rsidRPr="00492479" w:rsidRDefault="00B145BE" w:rsidP="00B145BE">
      <w:pPr>
        <w:widowControl w:val="0"/>
        <w:autoSpaceDE w:val="0"/>
        <w:autoSpaceDN w:val="0"/>
        <w:adjustRightInd w:val="0"/>
        <w:spacing w:after="120" w:line="360" w:lineRule="auto"/>
        <w:ind w:left="634" w:hanging="634"/>
        <w:rPr>
          <w:rFonts w:cstheme="minorHAnsi"/>
          <w:color w:val="000000" w:themeColor="text1"/>
          <w:szCs w:val="20"/>
        </w:rPr>
      </w:pPr>
      <w:r>
        <w:rPr>
          <w:color w:val="000000" w:themeColor="text1"/>
        </w:rPr>
        <w:fldChar w:fldCharType="end"/>
      </w:r>
    </w:p>
    <w:p w14:paraId="7F393E19" w14:textId="77777777" w:rsidR="001C513B" w:rsidRPr="00492479" w:rsidRDefault="001C513B" w:rsidP="001C513B">
      <w:pPr>
        <w:rPr>
          <w:sz w:val="24"/>
          <w:lang w:bidi="hi-IN"/>
        </w:rPr>
      </w:pPr>
    </w:p>
    <w:p w14:paraId="5210528C" w14:textId="77777777" w:rsidR="001C513B" w:rsidRDefault="001C513B"/>
    <w:p w14:paraId="573B9C4D" w14:textId="77777777" w:rsidR="001C513B" w:rsidRDefault="001C513B"/>
    <w:bookmarkEnd w:id="311"/>
    <w:p w14:paraId="24E80ED7" w14:textId="77777777" w:rsidR="001C513B" w:rsidRDefault="001C513B"/>
    <w:p w14:paraId="63B7AE77" w14:textId="77777777" w:rsidR="001C513B" w:rsidRDefault="001C513B"/>
    <w:p w14:paraId="16AD252D" w14:textId="77777777" w:rsidR="00B145BE" w:rsidRPr="005F6FF5" w:rsidRDefault="00B145BE" w:rsidP="00B145BE">
      <w:pPr>
        <w:pStyle w:val="1"/>
        <w:spacing w:before="0" w:after="120" w:line="360" w:lineRule="auto"/>
        <w:rPr>
          <w:rFonts w:asciiTheme="minorHAnsi" w:hAnsiTheme="minorHAnsi"/>
          <w:b/>
          <w:color w:val="auto"/>
        </w:rPr>
      </w:pPr>
      <w:bookmarkStart w:id="353" w:name="_Toc22052563"/>
      <w:r w:rsidRPr="0013232B">
        <w:rPr>
          <w:rFonts w:asciiTheme="minorHAnsi" w:hAnsiTheme="minorHAnsi"/>
          <w:b/>
          <w:color w:val="auto"/>
        </w:rPr>
        <w:lastRenderedPageBreak/>
        <w:t>Chapter. 8 Conclusions</w:t>
      </w:r>
      <w:bookmarkEnd w:id="353"/>
    </w:p>
    <w:p w14:paraId="0B77DEDB" w14:textId="267C1C66" w:rsidR="00B145BE" w:rsidRDefault="00B145BE" w:rsidP="00B145BE">
      <w:pPr>
        <w:spacing w:after="120" w:line="360" w:lineRule="auto"/>
        <w:jc w:val="both"/>
      </w:pPr>
      <w:bookmarkStart w:id="354" w:name="_Hlk7366821"/>
      <w:r>
        <w:t xml:space="preserve">The aims of this thesis were to discover new approaches to aid in the design of strong and ductile refractory HEAs (RHEAs). This work </w:t>
      </w:r>
      <w:r w:rsidR="006F4330">
        <w:t xml:space="preserve">explored </w:t>
      </w:r>
      <w:r>
        <w:t xml:space="preserve">several novel concepts resulting in improvement of the </w:t>
      </w:r>
      <w:r w:rsidRPr="00595BEF">
        <w:rPr>
          <w:noProof/>
        </w:rPr>
        <w:t>mechanical</w:t>
      </w:r>
      <w:r>
        <w:t xml:space="preserve"> performance of IVB group </w:t>
      </w:r>
      <w:r w:rsidR="00364290">
        <w:t>element-based</w:t>
      </w:r>
      <w:r>
        <w:t xml:space="preserve"> RHEAs. The key conclusions of this work are listed as follows.</w:t>
      </w:r>
    </w:p>
    <w:bookmarkEnd w:id="354"/>
    <w:p w14:paraId="10AD312F" w14:textId="77777777" w:rsidR="00B145BE" w:rsidRDefault="00B145BE" w:rsidP="00B145BE">
      <w:pPr>
        <w:spacing w:after="120" w:line="360" w:lineRule="auto"/>
        <w:jc w:val="both"/>
      </w:pPr>
      <w:r>
        <w:t>In chapter 4,</w:t>
      </w:r>
      <w:r w:rsidRPr="000F5426">
        <w:t xml:space="preserve"> a new empirical parameter </w:t>
      </w:r>
      <w:r>
        <w:t xml:space="preserve">of </w:t>
      </w:r>
      <w:r w:rsidRPr="000F5426">
        <w:t>mixing/formation enthalpy deviation</w:t>
      </w:r>
      <w:r>
        <w:t xml:space="preserve"> was proposed,</w:t>
      </w:r>
      <w:r w:rsidRPr="000F5426">
        <w:t xml:space="preserve"> which </w:t>
      </w:r>
      <w:r>
        <w:t>was</w:t>
      </w:r>
      <w:r w:rsidRPr="000F5426">
        <w:t xml:space="preserve"> applied </w:t>
      </w:r>
      <w:r>
        <w:t xml:space="preserve">in order </w:t>
      </w:r>
      <w:r w:rsidRPr="000F5426">
        <w:t>to distinguish the formation of simple solid solution phase</w:t>
      </w:r>
      <w:r>
        <w:t>s</w:t>
      </w:r>
      <w:r w:rsidRPr="000F5426">
        <w:t xml:space="preserve"> and complex intermetallic phases. Following the </w:t>
      </w:r>
      <w:r>
        <w:t>summary of</w:t>
      </w:r>
      <w:r w:rsidRPr="000F5426">
        <w:t xml:space="preserve"> phase formation</w:t>
      </w:r>
      <w:r>
        <w:t xml:space="preserve"> which was determined by the </w:t>
      </w:r>
      <w:r w:rsidRPr="00595BEF">
        <w:rPr>
          <w:noProof/>
        </w:rPr>
        <w:t>comparison</w:t>
      </w:r>
      <w:r>
        <w:t xml:space="preserve"> of </w:t>
      </w:r>
      <w:r w:rsidRPr="00BD2C64">
        <w:rPr>
          <w:i/>
        </w:rPr>
        <w:t>VEC</w:t>
      </w:r>
      <w:r w:rsidRPr="000F5426">
        <w:t xml:space="preserve"> and mixing/formation enthalpy deviation</w:t>
      </w:r>
      <w:r>
        <w:t xml:space="preserve"> from a number of existing C</w:t>
      </w:r>
      <w:r w:rsidRPr="000F5426">
        <w:t>antor</w:t>
      </w:r>
      <w:r>
        <w:t>-</w:t>
      </w:r>
      <w:r w:rsidRPr="000F5426">
        <w:t>type</w:t>
      </w:r>
      <w:r>
        <w:t xml:space="preserve"> HEAs</w:t>
      </w:r>
      <w:r w:rsidRPr="000F5426">
        <w:t xml:space="preserve">, two RHEAs </w:t>
      </w:r>
      <w:r>
        <w:t xml:space="preserve">with composition of </w:t>
      </w:r>
      <w:r w:rsidRPr="000F5426">
        <w:t>TiZrNbTa and TiZrHfTa were synthesised</w:t>
      </w:r>
      <w:r>
        <w:t>. These aided in developing an</w:t>
      </w:r>
      <w:r w:rsidRPr="000F5426">
        <w:t xml:space="preserve"> understand</w:t>
      </w:r>
      <w:r>
        <w:t>ing of</w:t>
      </w:r>
      <w:r w:rsidRPr="000F5426">
        <w:t xml:space="preserve"> the relationship between mixing/formation enthalpy deviation</w:t>
      </w:r>
      <w:r>
        <w:t>, phase stability</w:t>
      </w:r>
      <w:r w:rsidRPr="000F5426">
        <w:t xml:space="preserve"> and mechanical performance. T</w:t>
      </w:r>
      <w:r>
        <w:t>hrough</w:t>
      </w:r>
      <w:r w:rsidRPr="000F5426">
        <w:t xml:space="preserve"> DOS </w:t>
      </w:r>
      <w:r>
        <w:t>analyses of TiZrNbTa and TiZrHfTa,</w:t>
      </w:r>
      <w:r w:rsidRPr="000F5426">
        <w:t xml:space="preserve"> the possibili</w:t>
      </w:r>
      <w:r>
        <w:t>ty</w:t>
      </w:r>
      <w:r w:rsidRPr="000F5426">
        <w:t xml:space="preserve"> of tuning phase stability of RHEAs </w:t>
      </w:r>
      <w:r>
        <w:t>by</w:t>
      </w:r>
      <w:r w:rsidRPr="000F5426">
        <w:t xml:space="preserve"> tailoring specific </w:t>
      </w:r>
      <w:r>
        <w:t>elemental additions was discussed</w:t>
      </w:r>
      <w:r w:rsidRPr="000F5426">
        <w:t xml:space="preserve">. </w:t>
      </w:r>
    </w:p>
    <w:p w14:paraId="5F447F56" w14:textId="4C600DD7" w:rsidR="00B145BE" w:rsidRDefault="00B145BE" w:rsidP="00B145BE">
      <w:pPr>
        <w:spacing w:after="120" w:line="360" w:lineRule="auto"/>
        <w:jc w:val="both"/>
        <w:rPr>
          <w:rFonts w:cs="Times New Roman"/>
        </w:rPr>
      </w:pPr>
      <w:r>
        <w:t>The strategy of utilising metastable engineering to introduce</w:t>
      </w:r>
      <w:r w:rsidRPr="000F5426">
        <w:t xml:space="preserve"> multi</w:t>
      </w:r>
      <w:r>
        <w:t>-</w:t>
      </w:r>
      <w:r w:rsidRPr="000F5426">
        <w:t>deformation mechanisms</w:t>
      </w:r>
      <w:r>
        <w:t xml:space="preserve"> (TWIP and TRIP)</w:t>
      </w:r>
      <w:r w:rsidRPr="000F5426">
        <w:t xml:space="preserve"> into RHEAs</w:t>
      </w:r>
      <w:r>
        <w:t xml:space="preserve"> was proposed in Chapter 4 and applied to TiZrHfTa equal-molar system in Chapter 5. </w:t>
      </w:r>
      <w:r w:rsidRPr="000F5426">
        <w:t xml:space="preserve"> </w:t>
      </w:r>
      <w:r>
        <w:rPr>
          <w:rFonts w:cs="Times New Roman"/>
        </w:rPr>
        <w:t>The phase constitution and mechanical performance of TiZ</w:t>
      </w:r>
      <w:r>
        <w:rPr>
          <w:rFonts w:cs="Times New Roman" w:hint="eastAsia"/>
        </w:rPr>
        <w:t>rHfTa</w:t>
      </w:r>
      <w:r>
        <w:rPr>
          <w:rFonts w:cs="Times New Roman"/>
          <w:vertAlign w:val="subscript"/>
        </w:rPr>
        <w:t>x</w:t>
      </w:r>
      <w:r>
        <w:rPr>
          <w:rFonts w:cs="Times New Roman"/>
        </w:rPr>
        <w:t>(x=0.5-1) RHEA</w:t>
      </w:r>
      <w:r w:rsidRPr="00466821">
        <w:rPr>
          <w:rFonts w:cs="Times New Roman"/>
        </w:rPr>
        <w:t xml:space="preserve"> </w:t>
      </w:r>
      <w:r>
        <w:rPr>
          <w:rFonts w:cs="Times New Roman"/>
        </w:rPr>
        <w:t xml:space="preserve">samples subjected to compression testing, revealed that </w:t>
      </w:r>
      <w:r w:rsidRPr="00595BEF">
        <w:rPr>
          <w:rFonts w:cs="Times New Roman"/>
          <w:noProof/>
        </w:rPr>
        <w:t>metastable</w:t>
      </w:r>
      <w:r>
        <w:rPr>
          <w:rFonts w:cs="Times New Roman"/>
        </w:rPr>
        <w:t xml:space="preserve"> engineering was effective in introducing multiple-deformation mechanisms and enhancing strain hardening capacity of the materials. While TWIP was </w:t>
      </w:r>
      <w:r w:rsidRPr="008A415E">
        <w:rPr>
          <w:rFonts w:cs="Times New Roman"/>
        </w:rPr>
        <w:t>successfully activated and observed in TiZrHfTa</w:t>
      </w:r>
      <w:r w:rsidRPr="00E67D8A">
        <w:rPr>
          <w:rFonts w:cs="Times New Roman"/>
          <w:vertAlign w:val="subscript"/>
        </w:rPr>
        <w:t>0.8</w:t>
      </w:r>
      <w:r w:rsidRPr="008A415E">
        <w:rPr>
          <w:rFonts w:cs="Times New Roman"/>
        </w:rPr>
        <w:t xml:space="preserve">, </w:t>
      </w:r>
      <w:r>
        <w:rPr>
          <w:rFonts w:cs="Times New Roman"/>
        </w:rPr>
        <w:t>in addition to</w:t>
      </w:r>
      <w:r w:rsidRPr="008A415E">
        <w:rPr>
          <w:rFonts w:cs="Times New Roman"/>
        </w:rPr>
        <w:t xml:space="preserve"> </w:t>
      </w:r>
      <w:r w:rsidR="006F4330">
        <w:rPr>
          <w:rFonts w:cs="Times New Roman"/>
        </w:rPr>
        <w:t xml:space="preserve">the </w:t>
      </w:r>
      <w:r w:rsidRPr="008A415E">
        <w:rPr>
          <w:rFonts w:cs="Times New Roman"/>
        </w:rPr>
        <w:t>{112}[11-1]</w:t>
      </w:r>
      <w:r w:rsidRPr="008A415E">
        <w:rPr>
          <w:rFonts w:cs="Times New Roman"/>
          <w:vertAlign w:val="subscript"/>
        </w:rPr>
        <w:t>β</w:t>
      </w:r>
      <w:r w:rsidRPr="008A415E">
        <w:rPr>
          <w:rFonts w:cs="Times New Roman"/>
        </w:rPr>
        <w:t xml:space="preserve"> twinning </w:t>
      </w:r>
      <w:r>
        <w:rPr>
          <w:rFonts w:cs="Times New Roman"/>
        </w:rPr>
        <w:t>mode</w:t>
      </w:r>
      <w:r w:rsidRPr="008A415E">
        <w:rPr>
          <w:rFonts w:cs="Times New Roman"/>
        </w:rPr>
        <w:t>, {332}[11-3]</w:t>
      </w:r>
      <w:r w:rsidRPr="008A415E">
        <w:rPr>
          <w:rFonts w:cs="Times New Roman"/>
          <w:vertAlign w:val="subscript"/>
        </w:rPr>
        <w:t>β</w:t>
      </w:r>
      <w:r w:rsidRPr="008A415E">
        <w:rPr>
          <w:rFonts w:cs="Times New Roman"/>
        </w:rPr>
        <w:t xml:space="preserve"> twinning was also </w:t>
      </w:r>
      <w:r>
        <w:rPr>
          <w:rFonts w:cs="Times New Roman"/>
        </w:rPr>
        <w:t>observed</w:t>
      </w:r>
      <w:r w:rsidRPr="008A415E">
        <w:rPr>
          <w:rFonts w:cs="Times New Roman"/>
        </w:rPr>
        <w:t>. The effects of TRIP</w:t>
      </w:r>
      <w:r>
        <w:rPr>
          <w:rFonts w:cs="Times New Roman"/>
        </w:rPr>
        <w:t xml:space="preserve"> and TWIP</w:t>
      </w:r>
      <w:r w:rsidRPr="008A415E">
        <w:rPr>
          <w:rFonts w:cs="Times New Roman"/>
        </w:rPr>
        <w:t xml:space="preserve"> gradually increase</w:t>
      </w:r>
      <w:r>
        <w:rPr>
          <w:rFonts w:cs="Times New Roman"/>
        </w:rPr>
        <w:t>d</w:t>
      </w:r>
      <w:r w:rsidRPr="008A415E">
        <w:rPr>
          <w:rFonts w:cs="Times New Roman"/>
        </w:rPr>
        <w:t xml:space="preserve"> with the reduction of Ta content</w:t>
      </w:r>
      <w:r>
        <w:rPr>
          <w:rFonts w:cs="Times New Roman"/>
        </w:rPr>
        <w:t xml:space="preserve">. </w:t>
      </w:r>
      <w:r>
        <w:rPr>
          <w:rFonts w:cs="Times New Roman"/>
          <w:noProof/>
        </w:rPr>
        <w:t>E</w:t>
      </w:r>
      <w:r w:rsidRPr="00595BEF">
        <w:rPr>
          <w:rFonts w:cs="Times New Roman"/>
          <w:noProof/>
        </w:rPr>
        <w:t>ntanglement</w:t>
      </w:r>
      <w:r w:rsidRPr="008A415E">
        <w:rPr>
          <w:rFonts w:cs="Times New Roman"/>
        </w:rPr>
        <w:t xml:space="preserve"> of SA twinning </w:t>
      </w:r>
      <w:r>
        <w:rPr>
          <w:rFonts w:cs="Times New Roman"/>
        </w:rPr>
        <w:t>structures further</w:t>
      </w:r>
      <w:r w:rsidRPr="008A415E">
        <w:rPr>
          <w:rFonts w:cs="Times New Roman"/>
        </w:rPr>
        <w:t xml:space="preserve"> </w:t>
      </w:r>
      <w:r>
        <w:rPr>
          <w:rFonts w:cs="Times New Roman"/>
        </w:rPr>
        <w:t>contributed</w:t>
      </w:r>
      <w:r w:rsidRPr="008A415E">
        <w:rPr>
          <w:rFonts w:cs="Times New Roman"/>
        </w:rPr>
        <w:t xml:space="preserve"> to the</w:t>
      </w:r>
      <w:r>
        <w:rPr>
          <w:rFonts w:cs="Times New Roman"/>
        </w:rPr>
        <w:t xml:space="preserve"> enlarged</w:t>
      </w:r>
      <w:r w:rsidRPr="008A415E">
        <w:rPr>
          <w:rFonts w:cs="Times New Roman"/>
        </w:rPr>
        <w:t xml:space="preserve"> strain hardening capacity </w:t>
      </w:r>
      <w:r>
        <w:rPr>
          <w:rFonts w:cs="Times New Roman"/>
        </w:rPr>
        <w:t>by</w:t>
      </w:r>
      <w:r w:rsidRPr="008A415E">
        <w:rPr>
          <w:rFonts w:cs="Times New Roman"/>
        </w:rPr>
        <w:t xml:space="preserve"> </w:t>
      </w:r>
      <w:r>
        <w:rPr>
          <w:rFonts w:cs="Times New Roman"/>
        </w:rPr>
        <w:t>limiting</w:t>
      </w:r>
      <w:r w:rsidRPr="008A415E">
        <w:rPr>
          <w:rFonts w:cs="Times New Roman"/>
        </w:rPr>
        <w:t xml:space="preserve"> the</w:t>
      </w:r>
      <w:r>
        <w:rPr>
          <w:rFonts w:cs="Times New Roman"/>
        </w:rPr>
        <w:t xml:space="preserve"> free path of</w:t>
      </w:r>
      <w:r w:rsidRPr="008A415E">
        <w:rPr>
          <w:rFonts w:cs="Times New Roman"/>
        </w:rPr>
        <w:t xml:space="preserve"> dislocation glide.</w:t>
      </w:r>
      <w:r>
        <w:t xml:space="preserve"> </w:t>
      </w:r>
      <w:r>
        <w:rPr>
          <w:rFonts w:cs="Times New Roman"/>
        </w:rPr>
        <w:t>The unusual type II martensite twinning modes {351}&lt;-211&gt;</w:t>
      </w:r>
      <w:r w:rsidRPr="001E7C05">
        <w:rPr>
          <w:rFonts w:cs="Times New Roman"/>
          <w:vertAlign w:val="subscript"/>
        </w:rPr>
        <w:t>α’’</w:t>
      </w:r>
      <w:r>
        <w:rPr>
          <w:rFonts w:cs="Times New Roman"/>
        </w:rPr>
        <w:t xml:space="preserve"> together with  the abnormal cooperation between {111}</w:t>
      </w:r>
      <w:r w:rsidRPr="001E7C05">
        <w:rPr>
          <w:rFonts w:cs="Times New Roman"/>
          <w:vertAlign w:val="subscript"/>
        </w:rPr>
        <w:t>α’’</w:t>
      </w:r>
      <w:r>
        <w:rPr>
          <w:rFonts w:cs="Times New Roman"/>
        </w:rPr>
        <w:t xml:space="preserve"> type I and {011}</w:t>
      </w:r>
      <w:r w:rsidRPr="001E7C05">
        <w:rPr>
          <w:rFonts w:cs="Times New Roman"/>
          <w:vertAlign w:val="subscript"/>
        </w:rPr>
        <w:t>α’’</w:t>
      </w:r>
      <w:r>
        <w:rPr>
          <w:rFonts w:cs="Times New Roman"/>
        </w:rPr>
        <w:t xml:space="preserve"> compound twinning modes </w:t>
      </w:r>
      <w:r w:rsidRPr="00595BEF">
        <w:rPr>
          <w:rFonts w:cs="Times New Roman"/>
          <w:noProof/>
        </w:rPr>
        <w:t>w</w:t>
      </w:r>
      <w:r>
        <w:rPr>
          <w:rFonts w:cs="Times New Roman"/>
          <w:noProof/>
        </w:rPr>
        <w:t>ere</w:t>
      </w:r>
      <w:r>
        <w:rPr>
          <w:rFonts w:cs="Times New Roman"/>
        </w:rPr>
        <w:t xml:space="preserve"> first observed in TiZrHfTa</w:t>
      </w:r>
      <w:r>
        <w:rPr>
          <w:rFonts w:cs="Times New Roman"/>
          <w:vertAlign w:val="subscript"/>
        </w:rPr>
        <w:t>0.5</w:t>
      </w:r>
      <w:r>
        <w:rPr>
          <w:rFonts w:cs="Times New Roman"/>
        </w:rPr>
        <w:t xml:space="preserve">. This indicated the existence of an un-discovered deformation mechanism. Identified </w:t>
      </w:r>
      <w:r w:rsidRPr="008A415E">
        <w:rPr>
          <w:rFonts w:cs="Times New Roman"/>
        </w:rPr>
        <w:t xml:space="preserve">as </w:t>
      </w:r>
      <w:r>
        <w:rPr>
          <w:rFonts w:cs="Times New Roman"/>
        </w:rPr>
        <w:t>lattice corresponding to</w:t>
      </w:r>
      <w:r w:rsidRPr="008A415E">
        <w:rPr>
          <w:rFonts w:cs="Times New Roman"/>
        </w:rPr>
        <w:t xml:space="preserve"> {332}[11-3]</w:t>
      </w:r>
      <w:r w:rsidRPr="008A415E">
        <w:rPr>
          <w:rFonts w:cs="Times New Roman"/>
          <w:vertAlign w:val="subscript"/>
        </w:rPr>
        <w:t>β</w:t>
      </w:r>
      <w:r w:rsidRPr="008A415E">
        <w:rPr>
          <w:rFonts w:cs="Times New Roman"/>
        </w:rPr>
        <w:t xml:space="preserve"> twinning, </w:t>
      </w:r>
      <w:r>
        <w:rPr>
          <w:rFonts w:cs="Times New Roman"/>
        </w:rPr>
        <w:t>the {351}&lt;-211&gt;</w:t>
      </w:r>
      <w:r w:rsidRPr="001E7C05">
        <w:rPr>
          <w:rFonts w:cs="Times New Roman"/>
          <w:vertAlign w:val="subscript"/>
        </w:rPr>
        <w:t>α’’</w:t>
      </w:r>
      <w:r>
        <w:rPr>
          <w:rFonts w:cs="Times New Roman"/>
        </w:rPr>
        <w:t xml:space="preserve"> type II twinning</w:t>
      </w:r>
      <w:r w:rsidRPr="008A415E">
        <w:rPr>
          <w:rFonts w:cs="Times New Roman"/>
        </w:rPr>
        <w:t xml:space="preserve"> </w:t>
      </w:r>
      <w:r w:rsidR="00364290">
        <w:rPr>
          <w:rFonts w:cs="Times New Roman"/>
        </w:rPr>
        <w:t>was</w:t>
      </w:r>
      <w:r w:rsidRPr="008A415E">
        <w:rPr>
          <w:rFonts w:cs="Times New Roman"/>
        </w:rPr>
        <w:t xml:space="preserve"> the main </w:t>
      </w:r>
      <w:r>
        <w:rPr>
          <w:rFonts w:cs="Times New Roman"/>
        </w:rPr>
        <w:t>contributor to</w:t>
      </w:r>
      <w:r w:rsidRPr="008A415E">
        <w:rPr>
          <w:rFonts w:cs="Times New Roman"/>
        </w:rPr>
        <w:t xml:space="preserve"> the extraordinary strain hardening performance </w:t>
      </w:r>
      <w:r>
        <w:rPr>
          <w:rFonts w:cs="Times New Roman"/>
        </w:rPr>
        <w:t>observed</w:t>
      </w:r>
      <w:r w:rsidRPr="008A415E">
        <w:rPr>
          <w:rFonts w:cs="Times New Roman"/>
        </w:rPr>
        <w:t xml:space="preserve"> in TiZrHfTa</w:t>
      </w:r>
      <w:r w:rsidRPr="00A0491A">
        <w:rPr>
          <w:rFonts w:cs="Times New Roman"/>
          <w:vertAlign w:val="subscript"/>
        </w:rPr>
        <w:t>0.5</w:t>
      </w:r>
      <w:r w:rsidRPr="008A415E">
        <w:rPr>
          <w:rFonts w:cs="Times New Roman"/>
        </w:rPr>
        <w:t xml:space="preserve">. </w:t>
      </w:r>
      <w:r w:rsidR="006F4330">
        <w:rPr>
          <w:rFonts w:cs="Times New Roman"/>
        </w:rPr>
        <w:t>Combining</w:t>
      </w:r>
      <w:r w:rsidR="006F4330" w:rsidRPr="008A415E">
        <w:rPr>
          <w:rFonts w:cs="Times New Roman"/>
        </w:rPr>
        <w:t xml:space="preserve"> </w:t>
      </w:r>
      <w:r w:rsidRPr="008A415E">
        <w:rPr>
          <w:rFonts w:cs="Times New Roman"/>
        </w:rPr>
        <w:t xml:space="preserve">both the deformation products of TRIP and TWIP, the </w:t>
      </w:r>
      <w:r>
        <w:rPr>
          <w:rFonts w:cs="Times New Roman"/>
        </w:rPr>
        <w:t>newly discovered deformation</w:t>
      </w:r>
      <w:r w:rsidRPr="008A415E">
        <w:rPr>
          <w:rFonts w:cs="Times New Roman"/>
        </w:rPr>
        <w:t xml:space="preserve"> mechanism</w:t>
      </w:r>
      <w:r>
        <w:rPr>
          <w:rFonts w:cs="Times New Roman"/>
        </w:rPr>
        <w:t xml:space="preserve"> may</w:t>
      </w:r>
      <w:r w:rsidRPr="008A415E">
        <w:rPr>
          <w:rFonts w:cs="Times New Roman"/>
        </w:rPr>
        <w:t xml:space="preserve"> not only </w:t>
      </w:r>
      <w:r>
        <w:rPr>
          <w:rFonts w:cs="Times New Roman"/>
        </w:rPr>
        <w:t>aid in</w:t>
      </w:r>
      <w:r>
        <w:rPr>
          <w:rFonts w:cs="Times New Roman"/>
          <w:noProof/>
        </w:rPr>
        <w:t xml:space="preserve"> refining</w:t>
      </w:r>
      <w:r w:rsidRPr="008A415E">
        <w:rPr>
          <w:rFonts w:cs="Times New Roman"/>
        </w:rPr>
        <w:t xml:space="preserve"> the microstructure</w:t>
      </w:r>
      <w:r>
        <w:rPr>
          <w:rFonts w:cs="Times New Roman"/>
        </w:rPr>
        <w:t>,</w:t>
      </w:r>
      <w:r w:rsidRPr="008A415E">
        <w:rPr>
          <w:rFonts w:cs="Times New Roman"/>
        </w:rPr>
        <w:t xml:space="preserve"> but also have </w:t>
      </w:r>
      <w:r>
        <w:rPr>
          <w:rFonts w:cs="Times New Roman"/>
        </w:rPr>
        <w:t xml:space="preserve">the </w:t>
      </w:r>
      <w:r w:rsidRPr="00595BEF">
        <w:rPr>
          <w:rFonts w:cs="Times New Roman"/>
          <w:noProof/>
        </w:rPr>
        <w:t>potential</w:t>
      </w:r>
      <w:r>
        <w:rPr>
          <w:rFonts w:cs="Times New Roman"/>
        </w:rPr>
        <w:t xml:space="preserve"> to be applied</w:t>
      </w:r>
      <w:r w:rsidRPr="008A415E">
        <w:rPr>
          <w:rFonts w:cs="Times New Roman"/>
        </w:rPr>
        <w:t xml:space="preserve"> in further enhancement of </w:t>
      </w:r>
      <w:r>
        <w:rPr>
          <w:rFonts w:cs="Times New Roman"/>
        </w:rPr>
        <w:t>current</w:t>
      </w:r>
      <w:r w:rsidRPr="008A415E">
        <w:rPr>
          <w:rFonts w:cs="Times New Roman"/>
        </w:rPr>
        <w:t xml:space="preserve"> RHEA system</w:t>
      </w:r>
      <w:r>
        <w:rPr>
          <w:rFonts w:cs="Times New Roman"/>
        </w:rPr>
        <w:t>s</w:t>
      </w:r>
      <w:r w:rsidRPr="008A415E">
        <w:rPr>
          <w:rFonts w:cs="Times New Roman"/>
        </w:rPr>
        <w:t>.</w:t>
      </w:r>
    </w:p>
    <w:p w14:paraId="61D5E6F9" w14:textId="77777777" w:rsidR="00B145BE" w:rsidRDefault="00B145BE" w:rsidP="00B145BE">
      <w:pPr>
        <w:spacing w:after="0" w:line="360" w:lineRule="auto"/>
        <w:jc w:val="both"/>
        <w:rPr>
          <w:rFonts w:cs="Times New Roman"/>
        </w:rPr>
      </w:pPr>
    </w:p>
    <w:p w14:paraId="660ACB67" w14:textId="1C95DAAF" w:rsidR="00B145BE" w:rsidRDefault="00B145BE" w:rsidP="00B145BE">
      <w:pPr>
        <w:spacing w:after="120" w:line="360" w:lineRule="auto"/>
        <w:jc w:val="both"/>
        <w:rPr>
          <w:rFonts w:cstheme="minorHAnsi"/>
          <w:noProof/>
        </w:rPr>
      </w:pPr>
      <w:r>
        <w:lastRenderedPageBreak/>
        <w:t xml:space="preserve">To explain the driving force for the formation of newly discovered </w:t>
      </w:r>
      <w:r>
        <w:rPr>
          <w:rFonts w:cs="Times New Roman"/>
        </w:rPr>
        <w:t>{351}&lt;-211&gt;</w:t>
      </w:r>
      <w:r w:rsidRPr="001E7C05">
        <w:rPr>
          <w:rFonts w:cs="Times New Roman"/>
          <w:vertAlign w:val="subscript"/>
        </w:rPr>
        <w:t>α’’</w:t>
      </w:r>
      <w:r>
        <w:rPr>
          <w:rFonts w:cs="Times New Roman"/>
        </w:rPr>
        <w:t xml:space="preserve"> twinning,</w:t>
      </w:r>
      <w:r w:rsidRPr="008A415E">
        <w:rPr>
          <w:rFonts w:cs="Times New Roman"/>
        </w:rPr>
        <w:t xml:space="preserve"> </w:t>
      </w:r>
      <w:r>
        <w:t>t</w:t>
      </w:r>
      <w:r w:rsidRPr="00B61DD3">
        <w:t xml:space="preserve">he </w:t>
      </w:r>
      <w:r>
        <w:t xml:space="preserve">possible self-accommodation (SA) twinning system </w:t>
      </w:r>
      <w:r w:rsidRPr="00595BEF">
        <w:rPr>
          <w:noProof/>
        </w:rPr>
        <w:t>w</w:t>
      </w:r>
      <w:r>
        <w:rPr>
          <w:noProof/>
        </w:rPr>
        <w:t>as</w:t>
      </w:r>
      <w:r>
        <w:t xml:space="preserve"> calculated, through the application of the </w:t>
      </w:r>
      <w:r w:rsidRPr="00595BEF">
        <w:rPr>
          <w:noProof/>
        </w:rPr>
        <w:t>infinitesimal</w:t>
      </w:r>
      <w:r w:rsidRPr="00B61DD3">
        <w:t xml:space="preserve"> deformation approach</w:t>
      </w:r>
      <w:r>
        <w:t xml:space="preserve"> (IDA) on</w:t>
      </w:r>
      <w:r w:rsidR="00F13C7E">
        <w:t xml:space="preserve"> an</w:t>
      </w:r>
      <w:r>
        <w:t xml:space="preserve"> undistorted </w:t>
      </w:r>
      <w:r w:rsidRPr="0075253D">
        <w:t>orthorhombic</w:t>
      </w:r>
      <w:r>
        <w:t xml:space="preserve"> lattice</w:t>
      </w:r>
      <w:r w:rsidRPr="0075253D">
        <w:t xml:space="preserve"> </w:t>
      </w:r>
      <w:r>
        <w:t>structure in Chapter 6. Through formation of different self-accommodation twinned martensite</w:t>
      </w:r>
      <w:r w:rsidR="00F13C7E">
        <w:t>s</w:t>
      </w:r>
      <w:r>
        <w:t xml:space="preserve"> along the </w:t>
      </w:r>
      <w:r w:rsidRPr="008E7FCF">
        <w:rPr>
          <w:noProof/>
        </w:rPr>
        <w:t>lattice invariant</w:t>
      </w:r>
      <w:r>
        <w:t xml:space="preserve"> plane, the </w:t>
      </w:r>
      <w:r w:rsidRPr="00815EE3">
        <w:rPr>
          <w:rFonts w:hint="eastAsia"/>
        </w:rPr>
        <w:t xml:space="preserve">orthorhombic </w:t>
      </w:r>
      <w:r w:rsidRPr="00B66E43">
        <w:rPr>
          <w:rFonts w:cstheme="minorHAnsi"/>
        </w:rPr>
        <w:t>α″</w:t>
      </w:r>
      <w:r w:rsidRPr="00815EE3">
        <w:rPr>
          <w:rFonts w:hint="eastAsia"/>
        </w:rPr>
        <w:t xml:space="preserve"> martensite</w:t>
      </w:r>
      <w:r>
        <w:t xml:space="preserve"> transformation-induced</w:t>
      </w:r>
      <w:r w:rsidRPr="00815EE3">
        <w:rPr>
          <w:rFonts w:hint="eastAsia"/>
        </w:rPr>
        <w:t xml:space="preserve"> local </w:t>
      </w:r>
      <w:r>
        <w:t xml:space="preserve">stress and strain were compensated. In addition to the solution for SA </w:t>
      </w:r>
      <w:r w:rsidRPr="00815EE3">
        <w:t>{111}</w:t>
      </w:r>
      <w:r w:rsidRPr="00E9262D">
        <w:rPr>
          <w:vertAlign w:val="subscript"/>
        </w:rPr>
        <w:t>α’’</w:t>
      </w:r>
      <w:r w:rsidRPr="00815EE3">
        <w:t xml:space="preserve"> type I twinning </w:t>
      </w:r>
      <w:r>
        <w:t>and</w:t>
      </w:r>
      <w:r w:rsidRPr="00815EE3">
        <w:t xml:space="preserve"> {011}</w:t>
      </w:r>
      <w:r w:rsidRPr="00E9262D">
        <w:rPr>
          <w:vertAlign w:val="subscript"/>
        </w:rPr>
        <w:t>α’’</w:t>
      </w:r>
      <w:r w:rsidRPr="00815EE3">
        <w:t xml:space="preserve"> compound twinning</w:t>
      </w:r>
      <w:r>
        <w:t xml:space="preserve"> as reported in previous </w:t>
      </w:r>
      <w:r w:rsidRPr="00C30D13">
        <w:rPr>
          <w:noProof/>
        </w:rPr>
        <w:t>theoretical</w:t>
      </w:r>
      <w:r>
        <w:rPr>
          <w:noProof/>
        </w:rPr>
        <w:t xml:space="preserve"> work</w:t>
      </w:r>
      <w:r>
        <w:t xml:space="preserve">, more than one invariant plane was discovered to exist, in order to serve as a </w:t>
      </w:r>
      <w:r w:rsidRPr="00595BEF">
        <w:rPr>
          <w:noProof/>
        </w:rPr>
        <w:t>twinning</w:t>
      </w:r>
      <w:r>
        <w:t xml:space="preserve"> plane for SA &lt;211&gt;</w:t>
      </w:r>
      <w:r w:rsidRPr="00E9262D">
        <w:rPr>
          <w:vertAlign w:val="subscript"/>
        </w:rPr>
        <w:t>α’’</w:t>
      </w:r>
      <w:r>
        <w:t xml:space="preserve"> type II twinning. Double lattice structure was applied to include lattice instability of </w:t>
      </w:r>
      <w:r w:rsidR="00F13C7E">
        <w:t xml:space="preserve">the </w:t>
      </w:r>
      <w:r w:rsidRPr="00A4102D">
        <w:t>α’’</w:t>
      </w:r>
      <w:r>
        <w:t xml:space="preserve"> phase. Together with the </w:t>
      </w:r>
      <w:r w:rsidRPr="00A4102D">
        <w:t>theory of the crystallography of deformation twinning</w:t>
      </w:r>
      <w:r>
        <w:t>,</w:t>
      </w:r>
      <w:r w:rsidRPr="00A4102D">
        <w:t xml:space="preserve"> </w:t>
      </w:r>
      <w:r>
        <w:t>potential shuffle mechanisms were derived to investigate energetically favoured activation sequences of different SA type II &lt;-211&gt;</w:t>
      </w:r>
      <w:r w:rsidRPr="00DA2F38">
        <w:rPr>
          <w:vertAlign w:val="subscript"/>
        </w:rPr>
        <w:t>α’’</w:t>
      </w:r>
      <w:r>
        <w:t xml:space="preserve"> twinning modes. In proportion with the magnitude of atomic displacement </w:t>
      </w:r>
      <w:r>
        <w:rPr>
          <w:rFonts w:cstheme="minorHAnsi"/>
        </w:rPr>
        <w:t xml:space="preserve">along </w:t>
      </w:r>
      <w:r w:rsidR="00F13C7E">
        <w:rPr>
          <w:rFonts w:cstheme="minorHAnsi"/>
        </w:rPr>
        <w:t xml:space="preserve">the </w:t>
      </w:r>
      <w:r w:rsidRPr="00E9262D">
        <w:rPr>
          <w:rFonts w:hint="eastAsia"/>
        </w:rPr>
        <w:t>&lt;</w:t>
      </w:r>
      <w:r w:rsidRPr="00E9262D">
        <w:t>010&gt;</w:t>
      </w:r>
      <w:r w:rsidRPr="00105901">
        <w:rPr>
          <w:vertAlign w:val="subscript"/>
        </w:rPr>
        <w:t>α’</w:t>
      </w:r>
      <w:r w:rsidRPr="008E7FCF">
        <w:rPr>
          <w:noProof/>
          <w:vertAlign w:val="subscript"/>
        </w:rPr>
        <w:t>’</w:t>
      </w:r>
      <w:r>
        <w:rPr>
          <w:noProof/>
        </w:rPr>
        <w:t xml:space="preserve"> direction</w:t>
      </w:r>
      <w:r w:rsidR="00F13C7E">
        <w:rPr>
          <w:noProof/>
        </w:rPr>
        <w:t>s</w:t>
      </w:r>
      <w:r>
        <w:rPr>
          <w:noProof/>
        </w:rPr>
        <w:t xml:space="preserve">, all </w:t>
      </w:r>
      <w:r>
        <w:t>SA type II &lt;-211&gt;</w:t>
      </w:r>
      <w:r w:rsidRPr="00DA2F38">
        <w:rPr>
          <w:vertAlign w:val="subscript"/>
        </w:rPr>
        <w:t>α’’</w:t>
      </w:r>
      <w:r>
        <w:t xml:space="preserve"> twinning modes required simple atomic shuffle</w:t>
      </w:r>
      <w:r w:rsidR="00F13C7E">
        <w:t>s</w:t>
      </w:r>
      <w:r>
        <w:t xml:space="preserve"> and were activated with ease during phase transformation.</w:t>
      </w:r>
      <w:r>
        <w:rPr>
          <w:noProof/>
        </w:rPr>
        <w:t xml:space="preserve"> M</w:t>
      </w:r>
      <w:r>
        <w:t>odes I ({113}</w:t>
      </w:r>
      <w:r w:rsidRPr="00DA2F38">
        <w:rPr>
          <w:vertAlign w:val="subscript"/>
        </w:rPr>
        <w:t>α’’</w:t>
      </w:r>
      <w:r>
        <w:t xml:space="preserve"> invariant plane) and II </w:t>
      </w:r>
      <w:r>
        <w:br/>
        <w:t>({351}</w:t>
      </w:r>
      <w:r w:rsidRPr="00DA2F38">
        <w:rPr>
          <w:vertAlign w:val="subscript"/>
        </w:rPr>
        <w:t>α’’</w:t>
      </w:r>
      <w:r>
        <w:t xml:space="preserve"> invariant plane), whose corresponding mechanical type twinning required </w:t>
      </w:r>
      <w:r w:rsidR="00F13C7E">
        <w:t xml:space="preserve">the </w:t>
      </w:r>
      <w:r w:rsidRPr="00595BEF">
        <w:rPr>
          <w:noProof/>
        </w:rPr>
        <w:t>smallest</w:t>
      </w:r>
      <w:r>
        <w:t xml:space="preserve"> shear vector, </w:t>
      </w:r>
      <w:r>
        <w:rPr>
          <w:noProof/>
        </w:rPr>
        <w:t>were</w:t>
      </w:r>
      <w:r w:rsidRPr="00701E0D">
        <w:rPr>
          <w:noProof/>
        </w:rPr>
        <w:t xml:space="preserve"> further examined</w:t>
      </w:r>
      <w:r>
        <w:t xml:space="preserve"> for potential </w:t>
      </w:r>
      <w:r w:rsidRPr="00023796">
        <w:rPr>
          <w:noProof/>
        </w:rPr>
        <w:t>mechanical</w:t>
      </w:r>
      <w:r>
        <w:t xml:space="preserve"> twinning shuffle modulation</w:t>
      </w:r>
      <w:r w:rsidRPr="00023796">
        <w:rPr>
          <w:noProof/>
        </w:rPr>
        <w:t xml:space="preserve">. </w:t>
      </w:r>
      <w:r>
        <w:rPr>
          <w:noProof/>
        </w:rPr>
        <w:t>The concept of transformation twinning induced plasticity (TTIP) was proposed for the first time and was based on calculated results. W</w:t>
      </w:r>
      <w:r w:rsidRPr="00701E0D">
        <w:rPr>
          <w:noProof/>
        </w:rPr>
        <w:t xml:space="preserve">ithout </w:t>
      </w:r>
      <w:r>
        <w:rPr>
          <w:noProof/>
        </w:rPr>
        <w:t xml:space="preserve">the </w:t>
      </w:r>
      <w:r w:rsidRPr="00701E0D">
        <w:rPr>
          <w:noProof/>
        </w:rPr>
        <w:t>requirement of large atomic shuffle modulation</w:t>
      </w:r>
      <w:r>
        <w:rPr>
          <w:noProof/>
        </w:rPr>
        <w:t xml:space="preserve"> and critical shear</w:t>
      </w:r>
      <w:r w:rsidRPr="00701E0D">
        <w:rPr>
          <w:noProof/>
        </w:rPr>
        <w:t xml:space="preserve">, in </w:t>
      </w:r>
      <w:r>
        <w:rPr>
          <w:noProof/>
        </w:rPr>
        <w:t xml:space="preserve">the </w:t>
      </w:r>
      <w:r w:rsidRPr="00023796">
        <w:rPr>
          <w:noProof/>
        </w:rPr>
        <w:t>early</w:t>
      </w:r>
      <w:r>
        <w:rPr>
          <w:noProof/>
        </w:rPr>
        <w:t>-</w:t>
      </w:r>
      <w:r w:rsidRPr="00023796">
        <w:rPr>
          <w:noProof/>
        </w:rPr>
        <w:t>stage</w:t>
      </w:r>
      <w:r w:rsidRPr="00701E0D">
        <w:rPr>
          <w:noProof/>
        </w:rPr>
        <w:t xml:space="preserve"> deformation when TRIP take effect</w:t>
      </w:r>
      <w:r>
        <w:rPr>
          <w:noProof/>
        </w:rPr>
        <w:t>s,</w:t>
      </w:r>
      <w:r w:rsidRPr="00701E0D">
        <w:rPr>
          <w:noProof/>
        </w:rPr>
        <w:t xml:space="preserve"> SA twin</w:t>
      </w:r>
      <w:r>
        <w:rPr>
          <w:noProof/>
        </w:rPr>
        <w:t>ning</w:t>
      </w:r>
      <w:r w:rsidRPr="00701E0D">
        <w:rPr>
          <w:noProof/>
        </w:rPr>
        <w:t xml:space="preserve"> </w:t>
      </w:r>
      <w:r>
        <w:rPr>
          <w:noProof/>
        </w:rPr>
        <w:t>were</w:t>
      </w:r>
      <w:r w:rsidRPr="00701E0D">
        <w:rPr>
          <w:noProof/>
        </w:rPr>
        <w:t xml:space="preserve"> energetically favoured to </w:t>
      </w:r>
      <w:r>
        <w:rPr>
          <w:noProof/>
        </w:rPr>
        <w:t>form</w:t>
      </w:r>
      <w:r w:rsidRPr="00701E0D">
        <w:rPr>
          <w:noProof/>
        </w:rPr>
        <w:t xml:space="preserve"> first</w:t>
      </w:r>
      <w:r>
        <w:rPr>
          <w:noProof/>
        </w:rPr>
        <w:t xml:space="preserve">, as </w:t>
      </w:r>
      <w:r w:rsidRPr="00595BEF">
        <w:rPr>
          <w:noProof/>
        </w:rPr>
        <w:t>comp</w:t>
      </w:r>
      <w:r>
        <w:rPr>
          <w:noProof/>
        </w:rPr>
        <w:t>e</w:t>
      </w:r>
      <w:r w:rsidRPr="00595BEF">
        <w:rPr>
          <w:noProof/>
        </w:rPr>
        <w:t>nsation</w:t>
      </w:r>
      <w:r>
        <w:rPr>
          <w:noProof/>
        </w:rPr>
        <w:t xml:space="preserve"> for phase </w:t>
      </w:r>
      <w:r w:rsidRPr="00595BEF">
        <w:rPr>
          <w:noProof/>
        </w:rPr>
        <w:t>transfo</w:t>
      </w:r>
      <w:r>
        <w:rPr>
          <w:noProof/>
        </w:rPr>
        <w:t>rma</w:t>
      </w:r>
      <w:r w:rsidRPr="00595BEF">
        <w:rPr>
          <w:noProof/>
        </w:rPr>
        <w:t>tion</w:t>
      </w:r>
      <w:r>
        <w:rPr>
          <w:noProof/>
        </w:rPr>
        <w:t>-induced stress and strain</w:t>
      </w:r>
      <w:r w:rsidRPr="00701E0D">
        <w:rPr>
          <w:noProof/>
        </w:rPr>
        <w:t>.</w:t>
      </w:r>
      <w:r>
        <w:rPr>
          <w:rFonts w:cstheme="minorHAnsi"/>
          <w:noProof/>
        </w:rPr>
        <w:t xml:space="preserve"> </w:t>
      </w:r>
      <w:r w:rsidRPr="00023796">
        <w:rPr>
          <w:rFonts w:cstheme="minorHAnsi"/>
          <w:noProof/>
        </w:rPr>
        <w:t>Mea</w:t>
      </w:r>
      <w:r>
        <w:rPr>
          <w:rFonts w:cstheme="minorHAnsi"/>
          <w:noProof/>
        </w:rPr>
        <w:t>n</w:t>
      </w:r>
      <w:r w:rsidRPr="00023796">
        <w:rPr>
          <w:rFonts w:cstheme="minorHAnsi"/>
          <w:noProof/>
        </w:rPr>
        <w:t>while</w:t>
      </w:r>
      <w:r>
        <w:rPr>
          <w:rFonts w:cstheme="minorHAnsi"/>
          <w:noProof/>
        </w:rPr>
        <w:t xml:space="preserve">, in later deformation stages when the TRIP effect </w:t>
      </w:r>
      <w:r w:rsidRPr="00023796">
        <w:rPr>
          <w:rFonts w:cstheme="minorHAnsi"/>
          <w:noProof/>
        </w:rPr>
        <w:t>subside</w:t>
      </w:r>
      <w:r>
        <w:rPr>
          <w:rFonts w:cstheme="minorHAnsi"/>
          <w:noProof/>
        </w:rPr>
        <w:t xml:space="preserve">s, the existing SA twinnings were </w:t>
      </w:r>
      <w:r w:rsidRPr="00023796">
        <w:rPr>
          <w:rFonts w:cstheme="minorHAnsi"/>
          <w:noProof/>
        </w:rPr>
        <w:t>favo</w:t>
      </w:r>
      <w:r>
        <w:rPr>
          <w:rFonts w:cstheme="minorHAnsi"/>
          <w:noProof/>
        </w:rPr>
        <w:t>u</w:t>
      </w:r>
      <w:r w:rsidRPr="00023796">
        <w:rPr>
          <w:rFonts w:cstheme="minorHAnsi"/>
          <w:noProof/>
        </w:rPr>
        <w:t>red</w:t>
      </w:r>
      <w:r>
        <w:rPr>
          <w:rFonts w:cstheme="minorHAnsi"/>
          <w:noProof/>
        </w:rPr>
        <w:t xml:space="preserve"> to </w:t>
      </w:r>
      <w:r w:rsidRPr="00595BEF">
        <w:rPr>
          <w:rFonts w:cstheme="minorHAnsi"/>
          <w:noProof/>
        </w:rPr>
        <w:t>compensate</w:t>
      </w:r>
      <w:r>
        <w:rPr>
          <w:rFonts w:cstheme="minorHAnsi"/>
          <w:noProof/>
        </w:rPr>
        <w:t xml:space="preserve"> for </w:t>
      </w:r>
      <w:r w:rsidRPr="00595BEF">
        <w:rPr>
          <w:rFonts w:cstheme="minorHAnsi"/>
          <w:noProof/>
        </w:rPr>
        <w:t>increas</w:t>
      </w:r>
      <w:r>
        <w:rPr>
          <w:rFonts w:cstheme="minorHAnsi"/>
          <w:noProof/>
        </w:rPr>
        <w:t>ed stress and strain along corresponding lattice invariant planes</w:t>
      </w:r>
      <w:r w:rsidRPr="00701E0D">
        <w:rPr>
          <w:rFonts w:cstheme="minorHAnsi"/>
          <w:noProof/>
        </w:rPr>
        <w:t>.</w:t>
      </w:r>
      <w:r>
        <w:rPr>
          <w:rFonts w:cstheme="minorHAnsi"/>
        </w:rPr>
        <w:t xml:space="preserve"> Therefore</w:t>
      </w:r>
      <w:r w:rsidRPr="0078617A">
        <w:rPr>
          <w:rFonts w:cstheme="minorHAnsi"/>
          <w:noProof/>
        </w:rPr>
        <w:t>,</w:t>
      </w:r>
      <w:r>
        <w:rPr>
          <w:rFonts w:cstheme="minorHAnsi"/>
          <w:noProof/>
        </w:rPr>
        <w:t xml:space="preserve"> deformation products including mechanical </w:t>
      </w:r>
      <w:r w:rsidRPr="008D6348">
        <w:rPr>
          <w:rFonts w:cstheme="minorHAnsi"/>
          <w:noProof/>
        </w:rPr>
        <w:t xml:space="preserve">twinning or secondary SA twinning </w:t>
      </w:r>
      <w:r>
        <w:rPr>
          <w:rFonts w:cstheme="minorHAnsi"/>
          <w:noProof/>
        </w:rPr>
        <w:t>have the possibility of being activated</w:t>
      </w:r>
      <w:r w:rsidRPr="008D6348">
        <w:rPr>
          <w:rFonts w:cstheme="minorHAnsi"/>
          <w:noProof/>
        </w:rPr>
        <w:t xml:space="preserve"> on </w:t>
      </w:r>
      <w:r>
        <w:rPr>
          <w:rFonts w:cstheme="minorHAnsi"/>
          <w:noProof/>
        </w:rPr>
        <w:t>existed</w:t>
      </w:r>
      <w:r w:rsidRPr="008D6348">
        <w:rPr>
          <w:rFonts w:cstheme="minorHAnsi"/>
          <w:noProof/>
        </w:rPr>
        <w:t xml:space="preserve"> SA twinning structure</w:t>
      </w:r>
      <w:r w:rsidR="00F13C7E">
        <w:rPr>
          <w:rFonts w:cstheme="minorHAnsi"/>
          <w:noProof/>
        </w:rPr>
        <w:t>s</w:t>
      </w:r>
      <w:r>
        <w:rPr>
          <w:rFonts w:cstheme="minorHAnsi"/>
          <w:noProof/>
        </w:rPr>
        <w:t xml:space="preserve"> and subsequently results in a dynamic Hall-</w:t>
      </w:r>
      <w:r w:rsidR="0040622F">
        <w:rPr>
          <w:rFonts w:cstheme="minorHAnsi"/>
          <w:noProof/>
        </w:rPr>
        <w:t>Pe</w:t>
      </w:r>
      <w:r>
        <w:rPr>
          <w:rFonts w:cstheme="minorHAnsi"/>
          <w:noProof/>
        </w:rPr>
        <w:t>tch effect</w:t>
      </w:r>
      <w:r w:rsidRPr="008D6348">
        <w:rPr>
          <w:rFonts w:cstheme="minorHAnsi"/>
          <w:noProof/>
        </w:rPr>
        <w:t xml:space="preserve">. </w:t>
      </w:r>
    </w:p>
    <w:p w14:paraId="472A0C4E" w14:textId="172484B8" w:rsidR="00B145BE" w:rsidRPr="007B287C" w:rsidRDefault="00B145BE" w:rsidP="00B145BE">
      <w:pPr>
        <w:spacing w:after="120" w:line="360" w:lineRule="auto"/>
        <w:jc w:val="both"/>
        <w:rPr>
          <w:rFonts w:cstheme="minorHAnsi"/>
          <w:noProof/>
        </w:rPr>
      </w:pPr>
      <w:r>
        <w:rPr>
          <w:rFonts w:cstheme="minorHAnsi"/>
          <w:noProof/>
        </w:rPr>
        <w:t>According to the atomic shuffle mechanism results calculated in Chapter 6, the activation of TTIP-type twinning was</w:t>
      </w:r>
      <w:r w:rsidRPr="00023796">
        <w:rPr>
          <w:rFonts w:cstheme="minorHAnsi"/>
          <w:noProof/>
        </w:rPr>
        <w:t xml:space="preserve"> mainly depende</w:t>
      </w:r>
      <w:r>
        <w:rPr>
          <w:rFonts w:cstheme="minorHAnsi"/>
          <w:noProof/>
        </w:rPr>
        <w:t xml:space="preserve">nt on the magnitude of atomic </w:t>
      </w:r>
      <w:r w:rsidRPr="0075253D">
        <w:rPr>
          <w:rFonts w:cstheme="minorHAnsi"/>
          <w:noProof/>
        </w:rPr>
        <w:t xml:space="preserve">displacement </w:t>
      </w:r>
      <w:r w:rsidRPr="0075253D">
        <w:rPr>
          <w:rFonts w:eastAsia="等线" w:cstheme="majorHAnsi"/>
          <w:noProof/>
        </w:rPr>
        <w:t>σ</w:t>
      </w:r>
      <w:r>
        <w:rPr>
          <w:rFonts w:eastAsia="等线" w:cstheme="majorHAnsi"/>
          <w:noProof/>
        </w:rPr>
        <w:t xml:space="preserve"> on </w:t>
      </w:r>
      <w:r w:rsidRPr="0075253D">
        <w:rPr>
          <w:rFonts w:eastAsia="等线" w:cstheme="majorHAnsi"/>
          <w:noProof/>
        </w:rPr>
        <w:t>&lt;010&gt;</w:t>
      </w:r>
      <w:r w:rsidRPr="0075253D">
        <w:rPr>
          <w:rFonts w:eastAsia="等线" w:cstheme="majorHAnsi"/>
          <w:noProof/>
          <w:vertAlign w:val="subscript"/>
        </w:rPr>
        <w:t>α’’</w:t>
      </w:r>
      <w:r>
        <w:rPr>
          <w:rFonts w:cstheme="minorHAnsi"/>
          <w:noProof/>
        </w:rPr>
        <w:t xml:space="preserve">, </w:t>
      </w:r>
      <w:r w:rsidRPr="0075253D">
        <w:rPr>
          <w:rFonts w:cstheme="minorHAnsi"/>
          <w:noProof/>
        </w:rPr>
        <w:t>whic</w:t>
      </w:r>
      <w:r>
        <w:rPr>
          <w:rFonts w:cstheme="minorHAnsi"/>
          <w:noProof/>
        </w:rPr>
        <w:t>h was</w:t>
      </w:r>
      <w:r w:rsidRPr="00023796">
        <w:rPr>
          <w:rFonts w:cstheme="minorHAnsi"/>
          <w:noProof/>
        </w:rPr>
        <w:t xml:space="preserve"> </w:t>
      </w:r>
      <w:r>
        <w:rPr>
          <w:rFonts w:cstheme="minorHAnsi"/>
          <w:noProof/>
        </w:rPr>
        <w:t>determined by the</w:t>
      </w:r>
      <w:r w:rsidRPr="001347F8">
        <w:rPr>
          <w:rFonts w:cstheme="minorHAnsi"/>
          <w:noProof/>
        </w:rPr>
        <w:t xml:space="preserve"> </w:t>
      </w:r>
      <w:r w:rsidRPr="00B8043C">
        <w:rPr>
          <w:rFonts w:cstheme="minorHAnsi"/>
          <w:noProof/>
        </w:rPr>
        <w:t>β</w:t>
      </w:r>
      <w:r w:rsidRPr="001347F8">
        <w:rPr>
          <w:rFonts w:cstheme="minorHAnsi"/>
          <w:noProof/>
        </w:rPr>
        <w:t xml:space="preserve"> </w:t>
      </w:r>
      <w:r>
        <w:rPr>
          <w:rFonts w:cstheme="minorHAnsi"/>
          <w:noProof/>
        </w:rPr>
        <w:t xml:space="preserve">phase stability and </w:t>
      </w:r>
      <w:r w:rsidR="00F13C7E">
        <w:rPr>
          <w:rFonts w:cstheme="minorHAnsi"/>
          <w:noProof/>
        </w:rPr>
        <w:t xml:space="preserve">the </w:t>
      </w:r>
      <w:r>
        <w:rPr>
          <w:rFonts w:cstheme="minorHAnsi"/>
          <w:noProof/>
        </w:rPr>
        <w:t xml:space="preserve">magnitude of deformation strain. Thus, to provide evidence for the demonstration of the </w:t>
      </w:r>
      <w:r w:rsidRPr="00701E0D">
        <w:rPr>
          <w:rFonts w:cstheme="minorHAnsi"/>
          <w:noProof/>
        </w:rPr>
        <w:t>activat</w:t>
      </w:r>
      <w:r>
        <w:rPr>
          <w:rFonts w:cstheme="minorHAnsi"/>
          <w:noProof/>
        </w:rPr>
        <w:t xml:space="preserve">ion of </w:t>
      </w:r>
      <w:r w:rsidRPr="00701E0D">
        <w:rPr>
          <w:rFonts w:cstheme="minorHAnsi"/>
          <w:noProof/>
        </w:rPr>
        <w:t>TTIP</w:t>
      </w:r>
      <w:r>
        <w:rPr>
          <w:rFonts w:cstheme="minorHAnsi"/>
          <w:noProof/>
        </w:rPr>
        <w:t>, (TiZrHf)</w:t>
      </w:r>
      <w:r>
        <w:rPr>
          <w:rFonts w:cstheme="minorHAnsi"/>
          <w:noProof/>
          <w:vertAlign w:val="subscript"/>
        </w:rPr>
        <w:t>85</w:t>
      </w:r>
      <w:r>
        <w:rPr>
          <w:rFonts w:cstheme="minorHAnsi"/>
          <w:noProof/>
        </w:rPr>
        <w:t>Ta</w:t>
      </w:r>
      <w:r>
        <w:rPr>
          <w:rFonts w:cstheme="minorHAnsi"/>
          <w:noProof/>
          <w:vertAlign w:val="subscript"/>
        </w:rPr>
        <w:t>15</w:t>
      </w:r>
      <w:r w:rsidRPr="00AC20CB">
        <w:rPr>
          <w:rFonts w:cstheme="minorHAnsi"/>
          <w:noProof/>
        </w:rPr>
        <w:t xml:space="preserve"> </w:t>
      </w:r>
      <w:r>
        <w:rPr>
          <w:rFonts w:cstheme="minorHAnsi"/>
          <w:noProof/>
        </w:rPr>
        <w:t>(at.%) and (TiZrHf)</w:t>
      </w:r>
      <w:r>
        <w:rPr>
          <w:rFonts w:cstheme="minorHAnsi"/>
          <w:noProof/>
          <w:vertAlign w:val="subscript"/>
        </w:rPr>
        <w:t>87</w:t>
      </w:r>
      <w:r>
        <w:rPr>
          <w:rFonts w:cstheme="minorHAnsi"/>
          <w:noProof/>
        </w:rPr>
        <w:t>Ta</w:t>
      </w:r>
      <w:r>
        <w:rPr>
          <w:rFonts w:cstheme="minorHAnsi"/>
          <w:noProof/>
          <w:vertAlign w:val="subscript"/>
        </w:rPr>
        <w:t>13</w:t>
      </w:r>
      <w:r w:rsidRPr="00AC20CB">
        <w:rPr>
          <w:rFonts w:cstheme="minorHAnsi"/>
          <w:noProof/>
        </w:rPr>
        <w:t xml:space="preserve"> </w:t>
      </w:r>
      <w:r>
        <w:rPr>
          <w:rFonts w:cstheme="minorHAnsi"/>
          <w:noProof/>
        </w:rPr>
        <w:t>(at.%) were selected</w:t>
      </w:r>
      <w:r>
        <w:rPr>
          <w:rFonts w:cstheme="minorHAnsi"/>
        </w:rPr>
        <w:t xml:space="preserve">, </w:t>
      </w:r>
      <w:r w:rsidRPr="00701E0D">
        <w:rPr>
          <w:rFonts w:cstheme="minorHAnsi"/>
          <w:noProof/>
        </w:rPr>
        <w:t>synthesi</w:t>
      </w:r>
      <w:r>
        <w:rPr>
          <w:rFonts w:cstheme="minorHAnsi"/>
          <w:noProof/>
        </w:rPr>
        <w:t>s</w:t>
      </w:r>
      <w:r w:rsidRPr="00701E0D">
        <w:rPr>
          <w:rFonts w:cstheme="minorHAnsi"/>
          <w:noProof/>
        </w:rPr>
        <w:t>ed</w:t>
      </w:r>
      <w:r>
        <w:rPr>
          <w:rFonts w:cstheme="minorHAnsi"/>
        </w:rPr>
        <w:t>, carefully heat-treated and subjected to tensile deformation in Chapter 7.</w:t>
      </w:r>
      <w:r>
        <w:t xml:space="preserve"> </w:t>
      </w:r>
      <w:r>
        <w:rPr>
          <w:rFonts w:cstheme="minorHAnsi"/>
        </w:rPr>
        <w:t xml:space="preserve">Enhanced mechanical properties were achieved for </w:t>
      </w:r>
      <w:r w:rsidRPr="00C503FC">
        <w:rPr>
          <w:rFonts w:cstheme="minorHAnsi"/>
        </w:rPr>
        <w:t>(TiZrHf)</w:t>
      </w:r>
      <w:r w:rsidRPr="00C503FC">
        <w:rPr>
          <w:rFonts w:cstheme="minorHAnsi"/>
          <w:vertAlign w:val="subscript"/>
        </w:rPr>
        <w:t>87</w:t>
      </w:r>
      <w:r w:rsidRPr="00C503FC">
        <w:rPr>
          <w:rFonts w:cstheme="minorHAnsi"/>
        </w:rPr>
        <w:t>Ta</w:t>
      </w:r>
      <w:r w:rsidRPr="00AC20CB">
        <w:rPr>
          <w:rFonts w:cstheme="minorHAnsi"/>
          <w:vertAlign w:val="subscript"/>
        </w:rPr>
        <w:t>13</w:t>
      </w:r>
      <w:r>
        <w:rPr>
          <w:rFonts w:cstheme="minorHAnsi"/>
        </w:rPr>
        <w:t xml:space="preserve">, </w:t>
      </w:r>
      <w:r>
        <w:t xml:space="preserve">including with </w:t>
      </w:r>
      <w:r w:rsidR="00F13C7E">
        <w:t xml:space="preserve">an </w:t>
      </w:r>
      <w:r>
        <w:t>ultimate tensile stress of 1310 MPa, an elongation of 25.3% and an ultra-high strain hardening rate</w:t>
      </w:r>
      <w:r w:rsidR="005E0251">
        <w:t xml:space="preserve"> of</w:t>
      </w:r>
      <w:r>
        <w:t xml:space="preserve"> 1</w:t>
      </w:r>
      <w:r w:rsidR="00686B8D">
        <w:t>2.6</w:t>
      </w:r>
      <w:r>
        <w:t xml:space="preserve"> GPa.</w:t>
      </w:r>
      <w:r>
        <w:rPr>
          <w:rFonts w:cstheme="minorHAnsi"/>
        </w:rPr>
        <w:t xml:space="preserve"> The experimental results acquired successfully proved the</w:t>
      </w:r>
      <w:r w:rsidRPr="00C503FC">
        <w:rPr>
          <w:rFonts w:cstheme="minorHAnsi"/>
        </w:rPr>
        <w:t xml:space="preserve"> activation of TTIP</w:t>
      </w:r>
      <w:r>
        <w:rPr>
          <w:rFonts w:cstheme="minorHAnsi"/>
        </w:rPr>
        <w:t xml:space="preserve">, which </w:t>
      </w:r>
      <w:r w:rsidRPr="009F4067">
        <w:rPr>
          <w:rFonts w:cstheme="minorHAnsi"/>
          <w:noProof/>
        </w:rPr>
        <w:t>was proposed</w:t>
      </w:r>
      <w:r>
        <w:rPr>
          <w:rFonts w:cstheme="minorHAnsi"/>
        </w:rPr>
        <w:t xml:space="preserve"> as possessing </w:t>
      </w:r>
      <w:r w:rsidRPr="00595BEF">
        <w:rPr>
          <w:rFonts w:cstheme="minorHAnsi"/>
          <w:noProof/>
        </w:rPr>
        <w:t>coherent</w:t>
      </w:r>
      <w:r>
        <w:rPr>
          <w:rFonts w:cstheme="minorHAnsi"/>
        </w:rPr>
        <w:t xml:space="preserve"> linkages between TRIP and TWIP. Various type</w:t>
      </w:r>
      <w:r w:rsidR="005E0251">
        <w:rPr>
          <w:rFonts w:cstheme="minorHAnsi"/>
        </w:rPr>
        <w:t>s</w:t>
      </w:r>
      <w:r>
        <w:rPr>
          <w:rFonts w:cstheme="minorHAnsi"/>
        </w:rPr>
        <w:t xml:space="preserve"> of martensitic SA twinning and TWIP mechanical twinning were </w:t>
      </w:r>
      <w:r>
        <w:rPr>
          <w:rFonts w:cstheme="minorHAnsi"/>
        </w:rPr>
        <w:lastRenderedPageBreak/>
        <w:t xml:space="preserve">observed at different deformation stages, which resulted in </w:t>
      </w:r>
      <w:r w:rsidRPr="00C503FC">
        <w:rPr>
          <w:rFonts w:cstheme="minorHAnsi"/>
        </w:rPr>
        <w:t xml:space="preserve">the </w:t>
      </w:r>
      <w:r>
        <w:rPr>
          <w:rFonts w:cstheme="minorHAnsi"/>
        </w:rPr>
        <w:t>formation</w:t>
      </w:r>
      <w:r w:rsidRPr="00C503FC">
        <w:rPr>
          <w:rFonts w:cstheme="minorHAnsi"/>
        </w:rPr>
        <w:t xml:space="preserve"> of </w:t>
      </w:r>
      <w:r>
        <w:rPr>
          <w:rFonts w:cstheme="minorHAnsi"/>
        </w:rPr>
        <w:t xml:space="preserve">the </w:t>
      </w:r>
      <w:r w:rsidRPr="009F4067">
        <w:rPr>
          <w:rFonts w:cstheme="minorHAnsi"/>
          <w:noProof/>
        </w:rPr>
        <w:t>highly</w:t>
      </w:r>
      <w:r>
        <w:rPr>
          <w:rFonts w:cstheme="minorHAnsi"/>
        </w:rPr>
        <w:t xml:space="preserve"> entangled</w:t>
      </w:r>
      <w:r w:rsidRPr="00C503FC">
        <w:rPr>
          <w:rFonts w:cstheme="minorHAnsi"/>
        </w:rPr>
        <w:t xml:space="preserve"> </w:t>
      </w:r>
      <w:r>
        <w:rPr>
          <w:rFonts w:cstheme="minorHAnsi"/>
        </w:rPr>
        <w:t>bulk</w:t>
      </w:r>
      <w:r w:rsidRPr="00C503FC">
        <w:rPr>
          <w:rFonts w:cstheme="minorHAnsi"/>
        </w:rPr>
        <w:t xml:space="preserve"> </w:t>
      </w:r>
      <w:r>
        <w:rPr>
          <w:rFonts w:cstheme="minorHAnsi"/>
        </w:rPr>
        <w:t>microstructure</w:t>
      </w:r>
      <w:r w:rsidRPr="00C503FC">
        <w:rPr>
          <w:rFonts w:cstheme="minorHAnsi"/>
        </w:rPr>
        <w:t>.</w:t>
      </w:r>
      <w:r>
        <w:rPr>
          <w:rFonts w:cstheme="minorHAnsi"/>
        </w:rPr>
        <w:t xml:space="preserve"> {351}&lt;-211&gt;</w:t>
      </w:r>
      <w:r w:rsidRPr="002B445E">
        <w:rPr>
          <w:rFonts w:cstheme="minorHAnsi"/>
          <w:vertAlign w:val="subscript"/>
        </w:rPr>
        <w:t>α’’</w:t>
      </w:r>
      <w:r>
        <w:rPr>
          <w:rFonts w:cstheme="minorHAnsi"/>
          <w:vertAlign w:val="subscript"/>
        </w:rPr>
        <w:t xml:space="preserve"> </w:t>
      </w:r>
      <w:r>
        <w:rPr>
          <w:rFonts w:cstheme="minorHAnsi"/>
        </w:rPr>
        <w:t xml:space="preserve">type II </w:t>
      </w:r>
      <w:r w:rsidRPr="00C503FC">
        <w:rPr>
          <w:rFonts w:cstheme="minorHAnsi"/>
        </w:rPr>
        <w:t>SA twin</w:t>
      </w:r>
      <w:r>
        <w:rPr>
          <w:rFonts w:cstheme="minorHAnsi"/>
        </w:rPr>
        <w:t>ning</w:t>
      </w:r>
      <w:r w:rsidRPr="00C503FC">
        <w:rPr>
          <w:rFonts w:cstheme="minorHAnsi"/>
        </w:rPr>
        <w:t xml:space="preserve"> to</w:t>
      </w:r>
      <w:r>
        <w:rPr>
          <w:rFonts w:cstheme="minorHAnsi"/>
        </w:rPr>
        <w:t xml:space="preserve"> {</w:t>
      </w:r>
      <w:r w:rsidR="0042250B">
        <w:rPr>
          <w:rFonts w:cstheme="minorHAnsi"/>
        </w:rPr>
        <w:t>351</w:t>
      </w:r>
      <w:r>
        <w:rPr>
          <w:rFonts w:cstheme="minorHAnsi"/>
        </w:rPr>
        <w:t>}&lt;</w:t>
      </w:r>
      <w:r w:rsidR="0042250B">
        <w:rPr>
          <w:rFonts w:cstheme="minorHAnsi"/>
        </w:rPr>
        <w:t>1-12</w:t>
      </w:r>
      <w:r>
        <w:rPr>
          <w:rFonts w:cstheme="minorHAnsi"/>
        </w:rPr>
        <w:t>&gt;</w:t>
      </w:r>
      <w:r w:rsidRPr="002B445E">
        <w:rPr>
          <w:rFonts w:cstheme="minorHAnsi"/>
          <w:vertAlign w:val="subscript"/>
        </w:rPr>
        <w:t>α’’</w:t>
      </w:r>
      <w:r w:rsidRPr="00C503FC">
        <w:rPr>
          <w:rFonts w:cstheme="minorHAnsi"/>
        </w:rPr>
        <w:t xml:space="preserve"> mechanical twinning </w:t>
      </w:r>
      <w:r>
        <w:rPr>
          <w:rFonts w:cstheme="minorHAnsi"/>
        </w:rPr>
        <w:t>transformation was responsible for the facilitation of accumulated</w:t>
      </w:r>
      <w:r w:rsidRPr="00C503FC">
        <w:rPr>
          <w:rFonts w:cstheme="minorHAnsi"/>
        </w:rPr>
        <w:t xml:space="preserve"> </w:t>
      </w:r>
      <w:r>
        <w:rPr>
          <w:rFonts w:cstheme="minorHAnsi"/>
        </w:rPr>
        <w:t>strain</w:t>
      </w:r>
      <w:r w:rsidRPr="00C503FC">
        <w:rPr>
          <w:rFonts w:cstheme="minorHAnsi"/>
        </w:rPr>
        <w:t xml:space="preserve">. </w:t>
      </w:r>
      <w:r>
        <w:rPr>
          <w:rFonts w:cstheme="minorHAnsi"/>
        </w:rPr>
        <w:t xml:space="preserve">The </w:t>
      </w:r>
      <w:r w:rsidRPr="009F4067">
        <w:rPr>
          <w:rFonts w:cstheme="minorHAnsi"/>
          <w:noProof/>
        </w:rPr>
        <w:t>concentrated</w:t>
      </w:r>
      <w:r>
        <w:rPr>
          <w:rFonts w:cstheme="minorHAnsi"/>
        </w:rPr>
        <w:t xml:space="preserve"> strain which occurred as a result of TRIP</w:t>
      </w:r>
      <w:r w:rsidR="0042250B">
        <w:rPr>
          <w:rFonts w:cstheme="minorHAnsi"/>
        </w:rPr>
        <w:t xml:space="preserve"> and TTIP</w:t>
      </w:r>
      <w:r>
        <w:rPr>
          <w:rFonts w:cstheme="minorHAnsi"/>
        </w:rPr>
        <w:t>, was deduced as the driving force for the activation of secondary {111}</w:t>
      </w:r>
      <w:r w:rsidRPr="002B445E">
        <w:rPr>
          <w:rFonts w:cstheme="minorHAnsi"/>
          <w:vertAlign w:val="subscript"/>
        </w:rPr>
        <w:t>α’’</w:t>
      </w:r>
      <w:r>
        <w:rPr>
          <w:rFonts w:cstheme="minorHAnsi"/>
        </w:rPr>
        <w:t xml:space="preserve"> type I and {011}</w:t>
      </w:r>
      <w:r w:rsidRPr="002B445E">
        <w:rPr>
          <w:rFonts w:cstheme="minorHAnsi"/>
          <w:vertAlign w:val="subscript"/>
        </w:rPr>
        <w:t>α’’</w:t>
      </w:r>
      <w:r>
        <w:rPr>
          <w:rFonts w:cstheme="minorHAnsi"/>
        </w:rPr>
        <w:t xml:space="preserve"> compound twinning. Through the coherent strengthening enabled by TTIP, t</w:t>
      </w:r>
      <w:r w:rsidRPr="00C503FC">
        <w:rPr>
          <w:rFonts w:cstheme="minorHAnsi"/>
        </w:rPr>
        <w:t xml:space="preserve">he increased hardening capacity obtained during </w:t>
      </w:r>
      <w:r>
        <w:rPr>
          <w:rFonts w:cstheme="minorHAnsi"/>
        </w:rPr>
        <w:t xml:space="preserve">the </w:t>
      </w:r>
      <w:r w:rsidRPr="009F4067">
        <w:rPr>
          <w:rFonts w:cstheme="minorHAnsi"/>
          <w:noProof/>
        </w:rPr>
        <w:t>TRIP</w:t>
      </w:r>
      <w:r w:rsidRPr="00C503FC">
        <w:rPr>
          <w:rFonts w:cstheme="minorHAnsi"/>
        </w:rPr>
        <w:t xml:space="preserve"> process</w:t>
      </w:r>
      <w:r>
        <w:rPr>
          <w:rFonts w:cstheme="minorHAnsi"/>
        </w:rPr>
        <w:t xml:space="preserve"> in</w:t>
      </w:r>
      <w:r w:rsidRPr="00C503FC">
        <w:rPr>
          <w:rFonts w:cstheme="minorHAnsi"/>
        </w:rPr>
        <w:t xml:space="preserve"> deformation</w:t>
      </w:r>
      <w:r>
        <w:rPr>
          <w:rFonts w:cstheme="minorHAnsi"/>
        </w:rPr>
        <w:t xml:space="preserve"> S</w:t>
      </w:r>
      <w:r w:rsidRPr="00C503FC">
        <w:rPr>
          <w:rFonts w:cstheme="minorHAnsi"/>
        </w:rPr>
        <w:t xml:space="preserve">tage II </w:t>
      </w:r>
      <w:r w:rsidRPr="00E822FD">
        <w:rPr>
          <w:rFonts w:cstheme="minorHAnsi"/>
          <w:noProof/>
        </w:rPr>
        <w:t>was successfully maintained</w:t>
      </w:r>
      <w:r w:rsidRPr="00C503FC">
        <w:rPr>
          <w:rFonts w:cstheme="minorHAnsi"/>
        </w:rPr>
        <w:t xml:space="preserve"> </w:t>
      </w:r>
      <w:r>
        <w:rPr>
          <w:rFonts w:cstheme="minorHAnsi"/>
        </w:rPr>
        <w:t>at</w:t>
      </w:r>
      <w:r w:rsidRPr="00C503FC">
        <w:rPr>
          <w:rFonts w:cstheme="minorHAnsi"/>
        </w:rPr>
        <w:t xml:space="preserve"> </w:t>
      </w:r>
      <w:r>
        <w:rPr>
          <w:rFonts w:cstheme="minorHAnsi"/>
        </w:rPr>
        <w:t>S</w:t>
      </w:r>
      <w:r w:rsidRPr="00C503FC">
        <w:rPr>
          <w:rFonts w:cstheme="minorHAnsi"/>
        </w:rPr>
        <w:t>tage III</w:t>
      </w:r>
      <w:r>
        <w:rPr>
          <w:rFonts w:cstheme="minorHAnsi"/>
        </w:rPr>
        <w:t xml:space="preserve">. This contributed to the extensive increase in ultimate strength and </w:t>
      </w:r>
      <w:r w:rsidRPr="009F4067">
        <w:rPr>
          <w:rFonts w:cstheme="minorHAnsi"/>
          <w:noProof/>
        </w:rPr>
        <w:t>ductility</w:t>
      </w:r>
      <w:r w:rsidRPr="00C503FC">
        <w:rPr>
          <w:rFonts w:cstheme="minorHAnsi"/>
        </w:rPr>
        <w:t>.</w:t>
      </w:r>
    </w:p>
    <w:p w14:paraId="740618C9" w14:textId="67307491" w:rsidR="00B145BE" w:rsidRPr="007B287C" w:rsidRDefault="00B145BE" w:rsidP="0040622F">
      <w:pPr>
        <w:spacing w:after="120" w:line="360" w:lineRule="auto"/>
        <w:jc w:val="both"/>
        <w:rPr>
          <w:color w:val="000000" w:themeColor="text1"/>
        </w:rPr>
      </w:pPr>
      <w:r>
        <w:rPr>
          <w:color w:val="000000" w:themeColor="text1"/>
        </w:rPr>
        <w:t>To summarise</w:t>
      </w:r>
      <w:r w:rsidRPr="00CD55B9">
        <w:rPr>
          <w:color w:val="000000" w:themeColor="text1"/>
        </w:rPr>
        <w:t xml:space="preserve">, </w:t>
      </w:r>
      <w:r>
        <w:rPr>
          <w:color w:val="000000" w:themeColor="text1"/>
        </w:rPr>
        <w:t xml:space="preserve">in Chapter 4, to design ductile refractory HEAs, the possibility of applying metastable engineering in introducing the TRIP effect into RHEAs was investigated by conducting the mixing/formation enthalpy deviation and DOS analysis on 67 existing RHEAs systems. Through conducting metastable engineering in TiZrHfTa, by tuning Ta addition in Chapter 5, TWIP and TRIP </w:t>
      </w:r>
      <w:r w:rsidRPr="00595BEF">
        <w:rPr>
          <w:noProof/>
          <w:color w:val="000000" w:themeColor="text1"/>
        </w:rPr>
        <w:t>w</w:t>
      </w:r>
      <w:r>
        <w:rPr>
          <w:noProof/>
          <w:color w:val="000000" w:themeColor="text1"/>
        </w:rPr>
        <w:t>ere</w:t>
      </w:r>
      <w:r>
        <w:rPr>
          <w:color w:val="000000" w:themeColor="text1"/>
        </w:rPr>
        <w:t xml:space="preserve"> successfully activated in </w:t>
      </w:r>
      <w:r w:rsidR="0040622F">
        <w:rPr>
          <w:color w:val="000000" w:themeColor="text1"/>
        </w:rPr>
        <w:t xml:space="preserve">the </w:t>
      </w:r>
      <w:r>
        <w:rPr>
          <w:color w:val="000000" w:themeColor="text1"/>
        </w:rPr>
        <w:t xml:space="preserve">TiZrHfTa RHEA system. Focusing on coherently </w:t>
      </w:r>
      <w:r w:rsidR="0040622F">
        <w:rPr>
          <w:color w:val="000000" w:themeColor="text1"/>
        </w:rPr>
        <w:t>linking</w:t>
      </w:r>
      <w:r>
        <w:rPr>
          <w:color w:val="000000" w:themeColor="text1"/>
        </w:rPr>
        <w:t xml:space="preserve"> the effects of TWIP and TRIP, </w:t>
      </w:r>
      <w:r w:rsidRPr="00CD55B9">
        <w:rPr>
          <w:color w:val="000000" w:themeColor="text1"/>
        </w:rPr>
        <w:t xml:space="preserve">the concept </w:t>
      </w:r>
      <w:r w:rsidRPr="002B119F">
        <w:rPr>
          <w:noProof/>
          <w:color w:val="000000" w:themeColor="text1"/>
        </w:rPr>
        <w:t>of transformation</w:t>
      </w:r>
      <w:r w:rsidRPr="00CD55B9">
        <w:rPr>
          <w:color w:val="000000" w:themeColor="text1"/>
        </w:rPr>
        <w:t xml:space="preserve"> twinning induced plasticity</w:t>
      </w:r>
      <w:r>
        <w:rPr>
          <w:color w:val="000000" w:themeColor="text1"/>
        </w:rPr>
        <w:t xml:space="preserve"> (TTIP)</w:t>
      </w:r>
      <w:r w:rsidRPr="00CD55B9">
        <w:rPr>
          <w:color w:val="000000" w:themeColor="text1"/>
        </w:rPr>
        <w:t xml:space="preserve"> </w:t>
      </w:r>
      <w:r>
        <w:rPr>
          <w:color w:val="000000" w:themeColor="text1"/>
        </w:rPr>
        <w:t>was</w:t>
      </w:r>
      <w:r w:rsidRPr="00CD55B9">
        <w:rPr>
          <w:color w:val="000000" w:themeColor="text1"/>
        </w:rPr>
        <w:t xml:space="preserve"> </w:t>
      </w:r>
      <w:r>
        <w:rPr>
          <w:color w:val="000000" w:themeColor="text1"/>
        </w:rPr>
        <w:t>presented.</w:t>
      </w:r>
      <w:r w:rsidRPr="00CD55B9">
        <w:rPr>
          <w:color w:val="000000" w:themeColor="text1"/>
        </w:rPr>
        <w:t xml:space="preserve"> </w:t>
      </w:r>
      <w:r w:rsidRPr="002B119F">
        <w:rPr>
          <w:noProof/>
          <w:color w:val="000000" w:themeColor="text1"/>
        </w:rPr>
        <w:t>T</w:t>
      </w:r>
      <w:r>
        <w:rPr>
          <w:noProof/>
          <w:color w:val="000000" w:themeColor="text1"/>
        </w:rPr>
        <w:t>he t</w:t>
      </w:r>
      <w:r w:rsidRPr="002B119F">
        <w:rPr>
          <w:noProof/>
          <w:color w:val="000000" w:themeColor="text1"/>
        </w:rPr>
        <w:t>heoretical</w:t>
      </w:r>
      <w:r w:rsidRPr="00CD55B9">
        <w:rPr>
          <w:color w:val="000000" w:themeColor="text1"/>
        </w:rPr>
        <w:t xml:space="preserve"> basis for </w:t>
      </w:r>
      <w:r w:rsidRPr="002B119F">
        <w:rPr>
          <w:noProof/>
          <w:color w:val="000000" w:themeColor="text1"/>
        </w:rPr>
        <w:t>activat</w:t>
      </w:r>
      <w:r>
        <w:rPr>
          <w:noProof/>
          <w:color w:val="000000" w:themeColor="text1"/>
        </w:rPr>
        <w:t>ing</w:t>
      </w:r>
      <w:r w:rsidRPr="00CD55B9">
        <w:rPr>
          <w:color w:val="000000" w:themeColor="text1"/>
        </w:rPr>
        <w:t xml:space="preserve"> TTIP </w:t>
      </w:r>
      <w:r>
        <w:rPr>
          <w:noProof/>
          <w:color w:val="000000" w:themeColor="text1"/>
        </w:rPr>
        <w:t>was</w:t>
      </w:r>
      <w:r w:rsidRPr="002B119F">
        <w:rPr>
          <w:noProof/>
          <w:color w:val="000000" w:themeColor="text1"/>
        </w:rPr>
        <w:t xml:space="preserve"> elucidate</w:t>
      </w:r>
      <w:r>
        <w:rPr>
          <w:noProof/>
          <w:color w:val="000000" w:themeColor="text1"/>
        </w:rPr>
        <w:t>d</w:t>
      </w:r>
      <w:r w:rsidRPr="00CD55B9">
        <w:rPr>
          <w:color w:val="000000" w:themeColor="text1"/>
        </w:rPr>
        <w:t xml:space="preserve"> using </w:t>
      </w:r>
      <w:r>
        <w:rPr>
          <w:color w:val="000000" w:themeColor="text1"/>
        </w:rPr>
        <w:t>IDA</w:t>
      </w:r>
      <w:r w:rsidRPr="00CD55B9">
        <w:rPr>
          <w:color w:val="000000" w:themeColor="text1"/>
        </w:rPr>
        <w:t xml:space="preserve"> and </w:t>
      </w:r>
      <w:r w:rsidR="0040622F">
        <w:rPr>
          <w:color w:val="000000" w:themeColor="text1"/>
        </w:rPr>
        <w:t xml:space="preserve">the </w:t>
      </w:r>
      <w:r w:rsidRPr="00CD55B9">
        <w:rPr>
          <w:color w:val="000000" w:themeColor="text1"/>
        </w:rPr>
        <w:t>shuffle modulation mechanism</w:t>
      </w:r>
      <w:r w:rsidRPr="00776BDC">
        <w:rPr>
          <w:color w:val="000000" w:themeColor="text1"/>
        </w:rPr>
        <w:t xml:space="preserve"> </w:t>
      </w:r>
      <w:r>
        <w:rPr>
          <w:color w:val="000000" w:themeColor="text1"/>
        </w:rPr>
        <w:t>in Chapter 6</w:t>
      </w:r>
      <w:r w:rsidRPr="00CD55B9">
        <w:rPr>
          <w:color w:val="000000" w:themeColor="text1"/>
        </w:rPr>
        <w:t xml:space="preserve">. </w:t>
      </w:r>
      <w:r>
        <w:rPr>
          <w:color w:val="000000" w:themeColor="text1"/>
        </w:rPr>
        <w:t xml:space="preserve">By carefully tailoring the </w:t>
      </w:r>
      <w:r>
        <w:rPr>
          <w:rFonts w:ascii="Times New Roman" w:hAnsi="Times New Roman" w:cs="Times New Roman"/>
          <w:color w:val="000000" w:themeColor="text1"/>
        </w:rPr>
        <w:t>β</w:t>
      </w:r>
      <w:r>
        <w:rPr>
          <w:color w:val="000000" w:themeColor="text1"/>
        </w:rPr>
        <w:t xml:space="preserve"> phase stability by reducing Ta content, experimental evidence of the TTIP effect was acquired for (TiZrHf)</w:t>
      </w:r>
      <w:r>
        <w:rPr>
          <w:color w:val="000000" w:themeColor="text1"/>
          <w:vertAlign w:val="subscript"/>
        </w:rPr>
        <w:t>87</w:t>
      </w:r>
      <w:r>
        <w:rPr>
          <w:color w:val="000000" w:themeColor="text1"/>
        </w:rPr>
        <w:t>Ta</w:t>
      </w:r>
      <w:r>
        <w:rPr>
          <w:color w:val="000000" w:themeColor="text1"/>
          <w:vertAlign w:val="subscript"/>
        </w:rPr>
        <w:t>13</w:t>
      </w:r>
      <w:r w:rsidR="0040622F">
        <w:rPr>
          <w:color w:val="000000" w:themeColor="text1"/>
        </w:rPr>
        <w:t xml:space="preserve"> in Chapter 7</w:t>
      </w:r>
      <w:r>
        <w:rPr>
          <w:color w:val="000000" w:themeColor="text1"/>
        </w:rPr>
        <w:t>.</w:t>
      </w:r>
      <w:r w:rsidR="0040622F">
        <w:rPr>
          <w:color w:val="000000" w:themeColor="text1"/>
        </w:rPr>
        <w:t xml:space="preserve"> </w:t>
      </w:r>
      <w:r>
        <w:rPr>
          <w:color w:val="000000" w:themeColor="text1"/>
        </w:rPr>
        <w:t>The outstanding</w:t>
      </w:r>
      <w:r w:rsidRPr="00CD55B9">
        <w:rPr>
          <w:color w:val="000000" w:themeColor="text1"/>
        </w:rPr>
        <w:t xml:space="preserve"> strain hardening capacity </w:t>
      </w:r>
      <w:r>
        <w:rPr>
          <w:noProof/>
          <w:color w:val="000000" w:themeColor="text1"/>
        </w:rPr>
        <w:t>was</w:t>
      </w:r>
      <w:r w:rsidRPr="009F4067">
        <w:rPr>
          <w:noProof/>
          <w:color w:val="000000" w:themeColor="text1"/>
        </w:rPr>
        <w:t xml:space="preserve"> </w:t>
      </w:r>
      <w:r>
        <w:rPr>
          <w:noProof/>
          <w:color w:val="000000" w:themeColor="text1"/>
        </w:rPr>
        <w:t>attributed to the</w:t>
      </w:r>
      <w:r>
        <w:rPr>
          <w:color w:val="000000" w:themeColor="text1"/>
        </w:rPr>
        <w:t xml:space="preserve"> activation of the TTIP effect via the newly discovered</w:t>
      </w:r>
      <w:r w:rsidRPr="00CD55B9">
        <w:rPr>
          <w:color w:val="000000" w:themeColor="text1"/>
        </w:rPr>
        <w:t xml:space="preserve"> {351}</w:t>
      </w:r>
      <w:r>
        <w:rPr>
          <w:color w:val="000000" w:themeColor="text1"/>
        </w:rPr>
        <w:t>&lt;</w:t>
      </w:r>
      <w:r w:rsidRPr="00CD55B9">
        <w:rPr>
          <w:color w:val="000000" w:themeColor="text1"/>
        </w:rPr>
        <w:t>-211</w:t>
      </w:r>
      <w:r>
        <w:rPr>
          <w:color w:val="000000" w:themeColor="text1"/>
        </w:rPr>
        <w:t>&gt;</w:t>
      </w:r>
      <w:r w:rsidRPr="00CD55B9">
        <w:rPr>
          <w:color w:val="000000" w:themeColor="text1"/>
          <w:vertAlign w:val="subscript"/>
        </w:rPr>
        <w:t>α’’</w:t>
      </w:r>
      <w:r>
        <w:rPr>
          <w:color w:val="000000" w:themeColor="text1"/>
        </w:rPr>
        <w:t xml:space="preserve"> type II SA twinning system. Highly tangled </w:t>
      </w:r>
      <w:r w:rsidRPr="006C6D39">
        <w:rPr>
          <w:noProof/>
          <w:color w:val="000000" w:themeColor="text1"/>
        </w:rPr>
        <w:t>maze</w:t>
      </w:r>
      <w:r>
        <w:rPr>
          <w:noProof/>
          <w:color w:val="000000" w:themeColor="text1"/>
        </w:rPr>
        <w:t>-</w:t>
      </w:r>
      <w:r w:rsidRPr="006C6D39">
        <w:rPr>
          <w:noProof/>
          <w:color w:val="000000" w:themeColor="text1"/>
        </w:rPr>
        <w:t>like</w:t>
      </w:r>
      <w:r>
        <w:rPr>
          <w:color w:val="000000" w:themeColor="text1"/>
        </w:rPr>
        <w:t xml:space="preserve"> microstructures enabled by abnormal cooperation between type I, II and {011}</w:t>
      </w:r>
      <w:r w:rsidRPr="002B445E">
        <w:rPr>
          <w:rFonts w:cstheme="minorHAnsi"/>
          <w:vertAlign w:val="subscript"/>
        </w:rPr>
        <w:t>α’</w:t>
      </w:r>
      <w:r>
        <w:rPr>
          <w:rFonts w:cstheme="minorHAnsi"/>
          <w:vertAlign w:val="subscript"/>
        </w:rPr>
        <w:t>’</w:t>
      </w:r>
      <w:r>
        <w:rPr>
          <w:rFonts w:cstheme="minorHAnsi"/>
        </w:rPr>
        <w:t xml:space="preserve"> compound twinning, together with the </w:t>
      </w:r>
      <w:r>
        <w:t>{</w:t>
      </w:r>
      <w:r w:rsidR="0042250B">
        <w:t>351</w:t>
      </w:r>
      <w:r>
        <w:t>}&lt;</w:t>
      </w:r>
      <w:r w:rsidR="0042250B">
        <w:t>1-12</w:t>
      </w:r>
      <w:r>
        <w:t>&gt;</w:t>
      </w:r>
      <w:r w:rsidRPr="002B445E">
        <w:rPr>
          <w:rFonts w:cstheme="minorHAnsi"/>
          <w:vertAlign w:val="subscript"/>
        </w:rPr>
        <w:t>α’’</w:t>
      </w:r>
      <w:r>
        <w:rPr>
          <w:rFonts w:cstheme="minorHAnsi"/>
        </w:rPr>
        <w:t xml:space="preserve"> </w:t>
      </w:r>
      <w:r w:rsidRPr="006C6D39">
        <w:rPr>
          <w:rFonts w:cstheme="minorHAnsi"/>
          <w:noProof/>
        </w:rPr>
        <w:t>shear</w:t>
      </w:r>
      <w:r>
        <w:rPr>
          <w:rFonts w:cstheme="minorHAnsi"/>
          <w:noProof/>
        </w:rPr>
        <w:t>-</w:t>
      </w:r>
      <w:r w:rsidRPr="006C6D39">
        <w:rPr>
          <w:rFonts w:cstheme="minorHAnsi"/>
          <w:noProof/>
        </w:rPr>
        <w:t>induced</w:t>
      </w:r>
      <w:r>
        <w:rPr>
          <w:rFonts w:cstheme="minorHAnsi"/>
        </w:rPr>
        <w:t xml:space="preserve"> twinning transformation on primary {</w:t>
      </w:r>
      <w:r w:rsidRPr="00CD55B9">
        <w:rPr>
          <w:color w:val="000000" w:themeColor="text1"/>
        </w:rPr>
        <w:t>351}</w:t>
      </w:r>
      <w:r>
        <w:rPr>
          <w:color w:val="000000" w:themeColor="text1"/>
        </w:rPr>
        <w:t>&lt;</w:t>
      </w:r>
      <w:r w:rsidRPr="00CD55B9">
        <w:rPr>
          <w:color w:val="000000" w:themeColor="text1"/>
        </w:rPr>
        <w:t>-211</w:t>
      </w:r>
      <w:r>
        <w:rPr>
          <w:color w:val="000000" w:themeColor="text1"/>
        </w:rPr>
        <w:t>&gt;</w:t>
      </w:r>
      <w:r w:rsidRPr="00CD55B9">
        <w:rPr>
          <w:color w:val="000000" w:themeColor="text1"/>
          <w:vertAlign w:val="subscript"/>
        </w:rPr>
        <w:t>α’’</w:t>
      </w:r>
      <w:r>
        <w:rPr>
          <w:color w:val="000000" w:themeColor="text1"/>
        </w:rPr>
        <w:t xml:space="preserve"> SA twinning was observed. This resulted in the restriction of the available paths for the glide of dislocations</w:t>
      </w:r>
      <w:r w:rsidRPr="008C7503">
        <w:rPr>
          <w:rFonts w:hint="eastAsia"/>
          <w:color w:val="000000" w:themeColor="text1"/>
        </w:rPr>
        <w:t xml:space="preserve">. </w:t>
      </w:r>
      <w:r>
        <w:rPr>
          <w:color w:val="000000" w:themeColor="text1"/>
        </w:rPr>
        <w:t xml:space="preserve">The importance of TTIP is self-evident. This new ductile RHEA design strategy not only allows tuning of alloy performance </w:t>
      </w:r>
      <w:r>
        <w:rPr>
          <w:noProof/>
          <w:color w:val="000000" w:themeColor="text1"/>
        </w:rPr>
        <w:t xml:space="preserve">in </w:t>
      </w:r>
      <w:r w:rsidRPr="00595BEF">
        <w:rPr>
          <w:noProof/>
          <w:color w:val="000000" w:themeColor="text1"/>
        </w:rPr>
        <w:t>HEAs,</w:t>
      </w:r>
      <w:r>
        <w:rPr>
          <w:color w:val="000000" w:themeColor="text1"/>
        </w:rPr>
        <w:t xml:space="preserve"> but also provides a transition pathway</w:t>
      </w:r>
      <w:r w:rsidRPr="008C7503">
        <w:rPr>
          <w:color w:val="000000" w:themeColor="text1"/>
        </w:rPr>
        <w:t xml:space="preserve"> between</w:t>
      </w:r>
      <w:r>
        <w:rPr>
          <w:color w:val="000000" w:themeColor="text1"/>
        </w:rPr>
        <w:t xml:space="preserve"> TRIP and TWIP mechanisms. This importantly broadens the design window for a </w:t>
      </w:r>
      <w:r w:rsidRPr="009F4067">
        <w:rPr>
          <w:noProof/>
          <w:color w:val="000000" w:themeColor="text1"/>
        </w:rPr>
        <w:t>variety</w:t>
      </w:r>
      <w:r>
        <w:rPr>
          <w:noProof/>
          <w:color w:val="000000" w:themeColor="text1"/>
        </w:rPr>
        <w:t xml:space="preserve"> of</w:t>
      </w:r>
      <w:r>
        <w:rPr>
          <w:color w:val="000000" w:themeColor="text1"/>
        </w:rPr>
        <w:t xml:space="preserve"> metallic materials that exhibit the BCC to HCC athermal phase transformation during deformation</w:t>
      </w:r>
      <w:r w:rsidR="0042250B">
        <w:rPr>
          <w:color w:val="000000" w:themeColor="text1"/>
        </w:rPr>
        <w:t>.</w:t>
      </w:r>
    </w:p>
    <w:p w14:paraId="28F1DFD7" w14:textId="77777777" w:rsidR="00B145BE" w:rsidRPr="00C73EF3" w:rsidRDefault="00B145BE" w:rsidP="00B145BE">
      <w:pPr>
        <w:pStyle w:val="Normal1"/>
        <w:suppressAutoHyphens w:val="0"/>
        <w:spacing w:after="120" w:line="360" w:lineRule="auto"/>
        <w:jc w:val="both"/>
        <w:rPr>
          <w:rFonts w:hint="eastAsia"/>
          <w:noProof/>
          <w:sz w:val="20"/>
        </w:rPr>
      </w:pPr>
    </w:p>
    <w:p w14:paraId="622508A8" w14:textId="77777777" w:rsidR="00B145BE" w:rsidRPr="00C73EF3" w:rsidRDefault="00B145BE" w:rsidP="00B145BE">
      <w:pPr>
        <w:spacing w:after="120" w:line="360" w:lineRule="auto"/>
        <w:jc w:val="both"/>
        <w:rPr>
          <w:noProof/>
          <w:sz w:val="20"/>
        </w:rPr>
      </w:pPr>
    </w:p>
    <w:p w14:paraId="41C9EECC" w14:textId="77777777" w:rsidR="00B145BE" w:rsidRDefault="00B145BE" w:rsidP="00B145BE"/>
    <w:p w14:paraId="7ADAD2CF" w14:textId="77777777" w:rsidR="00B145BE" w:rsidRDefault="00B145BE" w:rsidP="00B145BE"/>
    <w:p w14:paraId="37D65313" w14:textId="77777777" w:rsidR="00B145BE" w:rsidRPr="005F6FF5" w:rsidRDefault="00B145BE" w:rsidP="00B145BE">
      <w:pPr>
        <w:pStyle w:val="1"/>
        <w:spacing w:before="0" w:after="120" w:line="360" w:lineRule="auto"/>
        <w:rPr>
          <w:rFonts w:asciiTheme="minorHAnsi" w:hAnsiTheme="minorHAnsi"/>
          <w:b/>
          <w:color w:val="auto"/>
        </w:rPr>
      </w:pPr>
      <w:bookmarkStart w:id="355" w:name="_Toc22052564"/>
      <w:r w:rsidRPr="003A4B1B">
        <w:rPr>
          <w:rFonts w:asciiTheme="minorHAnsi" w:hAnsiTheme="minorHAnsi"/>
          <w:b/>
          <w:color w:val="auto"/>
        </w:rPr>
        <w:lastRenderedPageBreak/>
        <w:t>Chapter. 9 Future works</w:t>
      </w:r>
      <w:bookmarkEnd w:id="355"/>
    </w:p>
    <w:p w14:paraId="343DCDC1" w14:textId="59C32BA5" w:rsidR="00B145BE" w:rsidRDefault="00B145BE" w:rsidP="00B145BE">
      <w:pPr>
        <w:spacing w:after="120" w:line="360" w:lineRule="auto"/>
        <w:jc w:val="both"/>
      </w:pPr>
      <w:r>
        <w:t>The current work present</w:t>
      </w:r>
      <w:r w:rsidR="0040622F">
        <w:t>ed</w:t>
      </w:r>
      <w:r>
        <w:t xml:space="preserve"> in this thesis provides a new strategy to design high strength and ductile HEAs with refractory elements as components. The newly discovered TTIP effect not only offers an ideal mechanism to coherently link TRIP and TWIP, but also is a valuable aid for designing novel high performance structural metallic materials. Some </w:t>
      </w:r>
      <w:r>
        <w:rPr>
          <w:noProof/>
        </w:rPr>
        <w:t>considerations are listed to aid in utilising the discoveries in potential future works as follows:</w:t>
      </w:r>
      <w:r>
        <w:t xml:space="preserve"> </w:t>
      </w:r>
      <w:r w:rsidRPr="00140729">
        <w:rPr>
          <w:noProof/>
        </w:rPr>
        <w:t>a</w:t>
      </w:r>
    </w:p>
    <w:p w14:paraId="420B3463" w14:textId="77777777" w:rsidR="00B145BE" w:rsidRDefault="00B145BE" w:rsidP="00B145BE">
      <w:pPr>
        <w:spacing w:after="120" w:line="360" w:lineRule="auto"/>
        <w:jc w:val="both"/>
      </w:pPr>
      <w:r>
        <w:t xml:space="preserve">1. In addition to the </w:t>
      </w:r>
      <w:r w:rsidRPr="00595BEF">
        <w:rPr>
          <w:noProof/>
        </w:rPr>
        <w:t>stress</w:t>
      </w:r>
      <w:r>
        <w:rPr>
          <w:noProof/>
        </w:rPr>
        <w:t>-</w:t>
      </w:r>
      <w:r w:rsidRPr="00595BEF">
        <w:rPr>
          <w:noProof/>
        </w:rPr>
        <w:t>induced</w:t>
      </w:r>
      <w:r>
        <w:t xml:space="preserve"> </w:t>
      </w:r>
      <w:r w:rsidRPr="001F476C">
        <w:t>orthorhombic</w:t>
      </w:r>
      <w:r>
        <w:t xml:space="preserve"> martensite phase and TWIP effect, </w:t>
      </w:r>
      <w:r w:rsidRPr="00140729">
        <w:rPr>
          <w:noProof/>
        </w:rPr>
        <w:t>other deformation mechanism</w:t>
      </w:r>
      <w:r>
        <w:rPr>
          <w:noProof/>
        </w:rPr>
        <w:t>s</w:t>
      </w:r>
      <w:r>
        <w:t xml:space="preserve"> including stacking faults, </w:t>
      </w:r>
      <w:r w:rsidRPr="00595BEF">
        <w:rPr>
          <w:noProof/>
        </w:rPr>
        <w:t>stress</w:t>
      </w:r>
      <w:r>
        <w:rPr>
          <w:noProof/>
        </w:rPr>
        <w:t>-</w:t>
      </w:r>
      <w:r w:rsidRPr="00595BEF">
        <w:rPr>
          <w:noProof/>
        </w:rPr>
        <w:t>induced</w:t>
      </w:r>
      <w:r>
        <w:t xml:space="preserve"> omega phase could also be considered as potential reinforcement methods for strengthening. The heat treatment procedures could be optimised to achieve better grain refinement.</w:t>
      </w:r>
    </w:p>
    <w:p w14:paraId="42E59A8C" w14:textId="77777777" w:rsidR="00B145BE" w:rsidRDefault="00B145BE" w:rsidP="00B145BE">
      <w:pPr>
        <w:spacing w:after="120" w:line="360" w:lineRule="auto"/>
        <w:jc w:val="both"/>
      </w:pPr>
      <w:r>
        <w:t xml:space="preserve">2. </w:t>
      </w:r>
      <w:r w:rsidRPr="00595BEF">
        <w:rPr>
          <w:noProof/>
        </w:rPr>
        <w:t>High</w:t>
      </w:r>
      <w:r>
        <w:rPr>
          <w:noProof/>
        </w:rPr>
        <w:t>-</w:t>
      </w:r>
      <w:r w:rsidRPr="00595BEF">
        <w:rPr>
          <w:noProof/>
        </w:rPr>
        <w:t>resolution</w:t>
      </w:r>
      <w:r>
        <w:t xml:space="preserve"> scanning transmission electron microscopy (HRSTEM) and </w:t>
      </w:r>
      <w:r w:rsidRPr="00BD2C64">
        <w:rPr>
          <w:i/>
        </w:rPr>
        <w:t>in situ</w:t>
      </w:r>
      <w:r>
        <w:t xml:space="preserve"> HRTEM could be conducted to aid in the investigation of the twinning evolution process of TTIP in the </w:t>
      </w:r>
      <w:r w:rsidRPr="00140729">
        <w:rPr>
          <w:noProof/>
        </w:rPr>
        <w:t>current</w:t>
      </w:r>
      <w:r>
        <w:t xml:space="preserve"> materials. </w:t>
      </w:r>
    </w:p>
    <w:p w14:paraId="7D66CBDD" w14:textId="7F20D272" w:rsidR="00B145BE" w:rsidRDefault="00B145BE" w:rsidP="00B145BE">
      <w:pPr>
        <w:spacing w:after="120" w:line="360" w:lineRule="auto"/>
        <w:jc w:val="both"/>
      </w:pPr>
      <w:r>
        <w:t xml:space="preserve">3. The current martensite lattice model applied in Chapter 6 is </w:t>
      </w:r>
      <w:r w:rsidR="0040622F">
        <w:t xml:space="preserve">based on a </w:t>
      </w:r>
      <w:r>
        <w:t xml:space="preserve">BCT lattice </w:t>
      </w:r>
      <w:r w:rsidR="0040622F">
        <w:t>built using</w:t>
      </w:r>
      <w:r>
        <w:t xml:space="preserve"> lattice parameters derived from general XRD data. To increase the simulation precision, the </w:t>
      </w:r>
      <w:r w:rsidRPr="001F476C">
        <w:t>orthorhombic</w:t>
      </w:r>
      <w:r>
        <w:t xml:space="preserve"> lattice could be introduced with precise lattice parameters derived from </w:t>
      </w:r>
      <w:r w:rsidRPr="001F476C">
        <w:t xml:space="preserve">synchrotron </w:t>
      </w:r>
      <w:r>
        <w:t xml:space="preserve">XRD results of deformed RHEAs. </w:t>
      </w:r>
    </w:p>
    <w:p w14:paraId="6BA7E9C6" w14:textId="120002C1" w:rsidR="00B145BE" w:rsidRDefault="00B145BE" w:rsidP="00B145BE">
      <w:pPr>
        <w:spacing w:after="120" w:line="360" w:lineRule="auto"/>
        <w:jc w:val="both"/>
      </w:pPr>
      <w:r>
        <w:t xml:space="preserve">4. In accordance with the theoretical and experimental results presented in chapter 6 and 7, a critical phase stability zone should exist to activate </w:t>
      </w:r>
      <w:r w:rsidR="0040622F">
        <w:t xml:space="preserve">the </w:t>
      </w:r>
      <w:r w:rsidRPr="00140729">
        <w:rPr>
          <w:noProof/>
        </w:rPr>
        <w:t>TTIP</w:t>
      </w:r>
      <w:r>
        <w:t xml:space="preserve"> effect in similar metastable metallic materials (</w:t>
      </w:r>
      <w:r w:rsidRPr="00921ED3">
        <w:rPr>
          <w:rFonts w:cs="Times New Roman"/>
        </w:rPr>
        <w:t>β</w:t>
      </w:r>
      <w:r w:rsidRPr="00921ED3">
        <w:t xml:space="preserve"> Ti-alloy and </w:t>
      </w:r>
      <w:r w:rsidRPr="00921ED3">
        <w:rPr>
          <w:rFonts w:cs="Times New Roman"/>
        </w:rPr>
        <w:t>α</w:t>
      </w:r>
      <w:r w:rsidRPr="00921ED3">
        <w:t xml:space="preserve">-Fe. etc). For </w:t>
      </w:r>
      <w:r>
        <w:t xml:space="preserve">the </w:t>
      </w:r>
      <w:r w:rsidRPr="00921ED3">
        <w:t>current RHEAs system, the TTIP</w:t>
      </w:r>
      <w:r>
        <w:t>-</w:t>
      </w:r>
      <w:r w:rsidRPr="00921ED3">
        <w:t xml:space="preserve">effect zone </w:t>
      </w:r>
      <w:r>
        <w:t>was</w:t>
      </w:r>
      <w:r w:rsidRPr="00921ED3">
        <w:t xml:space="preserve"> evaluated by varying Ta contents</w:t>
      </w:r>
      <w:r>
        <w:t xml:space="preserve"> from 25% to 13% (atomic percentage) and the best performance was observed when the Ta content was reduced to 13%. Thus, a new model could be proposed to evaluate this range to aid in simplifying the optimal composition. Key factors for TTIP activation presented in Chapter 6, including atomic displacement </w:t>
      </w:r>
      <w:r w:rsidRPr="00921ED3">
        <w:rPr>
          <w:rFonts w:cs="Times New Roman"/>
        </w:rPr>
        <w:t>σ</w:t>
      </w:r>
      <w:r>
        <w:rPr>
          <w:rFonts w:cs="Times New Roman"/>
        </w:rPr>
        <w:t xml:space="preserve"> in</w:t>
      </w:r>
      <w:r w:rsidRPr="00921ED3">
        <w:rPr>
          <w:rFonts w:cs="Times New Roman"/>
        </w:rPr>
        <w:t xml:space="preserve"> </w:t>
      </w:r>
      <w:r w:rsidR="0040622F">
        <w:rPr>
          <w:rFonts w:cs="Times New Roman"/>
        </w:rPr>
        <w:t xml:space="preserve">the </w:t>
      </w:r>
      <w:r w:rsidRPr="00921ED3">
        <w:rPr>
          <w:rFonts w:cs="Times New Roman"/>
        </w:rPr>
        <w:t>&lt;010&gt;</w:t>
      </w:r>
      <w:r w:rsidRPr="00921ED3">
        <w:rPr>
          <w:rFonts w:cs="Times New Roman"/>
          <w:vertAlign w:val="subscript"/>
        </w:rPr>
        <w:t>α’’</w:t>
      </w:r>
      <w:r>
        <w:rPr>
          <w:rFonts w:cs="Times New Roman"/>
        </w:rPr>
        <w:t xml:space="preserve"> direction</w:t>
      </w:r>
      <w:r w:rsidR="0040622F">
        <w:rPr>
          <w:rFonts w:cs="Times New Roman"/>
        </w:rPr>
        <w:t>s</w:t>
      </w:r>
      <w:r>
        <w:rPr>
          <w:rFonts w:cs="Times New Roman"/>
        </w:rPr>
        <w:t xml:space="preserve"> </w:t>
      </w:r>
      <w:r w:rsidRPr="00921ED3">
        <w:rPr>
          <w:rFonts w:cs="Times New Roman"/>
        </w:rPr>
        <w:t xml:space="preserve">and </w:t>
      </w:r>
      <w:r>
        <w:rPr>
          <w:rFonts w:cs="Times New Roman"/>
        </w:rPr>
        <w:t xml:space="preserve">lattice strain of </w:t>
      </w:r>
      <w:r w:rsidRPr="00921ED3">
        <w:rPr>
          <w:rFonts w:cs="Times New Roman"/>
        </w:rPr>
        <w:t>η</w:t>
      </w:r>
      <w:r w:rsidRPr="00921ED3">
        <w:rPr>
          <w:rFonts w:cs="Times New Roman"/>
          <w:vertAlign w:val="subscript"/>
        </w:rPr>
        <w:t>3</w:t>
      </w:r>
      <w:r>
        <w:rPr>
          <w:rFonts w:cs="Times New Roman"/>
        </w:rPr>
        <w:t>, should be involved to develop this model.</w:t>
      </w:r>
      <w:r>
        <w:t xml:space="preserve"> </w:t>
      </w:r>
      <w:r w:rsidRPr="00BD2C64">
        <w:rPr>
          <w:i/>
        </w:rPr>
        <w:t>Ab initio</w:t>
      </w:r>
      <w:r>
        <w:t xml:space="preserve"> calculations of the deformed </w:t>
      </w:r>
      <w:r w:rsidRPr="001F476C">
        <w:t>orthorhombic</w:t>
      </w:r>
      <w:r>
        <w:t xml:space="preserve"> lattice stability should also be considered as a </w:t>
      </w:r>
      <w:r w:rsidRPr="00140729">
        <w:rPr>
          <w:noProof/>
        </w:rPr>
        <w:t>comparison</w:t>
      </w:r>
      <w:r>
        <w:t xml:space="preserve"> to increase the accuracy of the prediction. </w:t>
      </w:r>
    </w:p>
    <w:p w14:paraId="23C040F3" w14:textId="4F84F537" w:rsidR="00B145BE" w:rsidRDefault="00B145BE" w:rsidP="00B145BE">
      <w:pPr>
        <w:spacing w:after="120" w:line="360" w:lineRule="auto"/>
      </w:pPr>
      <w:r>
        <w:t xml:space="preserve">5. </w:t>
      </w:r>
      <w:r w:rsidR="0040622F">
        <w:t xml:space="preserve">As </w:t>
      </w:r>
      <w:r>
        <w:t xml:space="preserve">similar self-accommodation </w:t>
      </w:r>
      <w:r w:rsidR="0040622F">
        <w:t xml:space="preserve">morphologies were </w:t>
      </w:r>
      <w:r>
        <w:t xml:space="preserve">observed in various metastable alloy systems, different systems (Ti-Ni, B2&gt;&gt;B19, etc) could be investigated </w:t>
      </w:r>
      <w:r w:rsidR="0040622F">
        <w:t xml:space="preserve">using </w:t>
      </w:r>
      <w:r>
        <w:rPr>
          <w:noProof/>
        </w:rPr>
        <w:t>similar</w:t>
      </w:r>
      <w:r>
        <w:t xml:space="preserve"> procedures </w:t>
      </w:r>
      <w:r w:rsidR="0040622F">
        <w:t xml:space="preserve">to </w:t>
      </w:r>
      <w:r>
        <w:t xml:space="preserve">those presented in Chapter 6 to determine </w:t>
      </w:r>
      <w:r w:rsidRPr="00140729">
        <w:rPr>
          <w:noProof/>
        </w:rPr>
        <w:t xml:space="preserve">other </w:t>
      </w:r>
      <w:r>
        <w:rPr>
          <w:noProof/>
        </w:rPr>
        <w:t>potential</w:t>
      </w:r>
      <w:r w:rsidRPr="00140729">
        <w:rPr>
          <w:noProof/>
        </w:rPr>
        <w:t xml:space="preserve"> TTIP mechanism</w:t>
      </w:r>
      <w:r>
        <w:rPr>
          <w:noProof/>
        </w:rPr>
        <w:t>s</w:t>
      </w:r>
      <w:r>
        <w:t xml:space="preserve">. </w:t>
      </w:r>
    </w:p>
    <w:p w14:paraId="072019DF" w14:textId="77777777" w:rsidR="001C513B" w:rsidRDefault="001C513B"/>
    <w:p w14:paraId="36444725" w14:textId="77777777" w:rsidR="00DD65C8" w:rsidRPr="003A4B1B" w:rsidRDefault="00DD65C8" w:rsidP="00DD65C8">
      <w:pPr>
        <w:pStyle w:val="1"/>
        <w:spacing w:before="0" w:after="120" w:line="360" w:lineRule="auto"/>
        <w:rPr>
          <w:rFonts w:asciiTheme="minorHAnsi" w:hAnsiTheme="minorHAnsi"/>
          <w:b/>
          <w:color w:val="auto"/>
        </w:rPr>
      </w:pPr>
      <w:bookmarkStart w:id="356" w:name="_Toc5959225"/>
      <w:bookmarkStart w:id="357" w:name="_Toc22052565"/>
      <w:r w:rsidRPr="003A4B1B">
        <w:rPr>
          <w:rFonts w:asciiTheme="minorHAnsi" w:hAnsiTheme="minorHAnsi"/>
          <w:b/>
          <w:color w:val="auto"/>
        </w:rPr>
        <w:lastRenderedPageBreak/>
        <w:t xml:space="preserve">Chapter </w:t>
      </w:r>
      <w:r>
        <w:rPr>
          <w:rFonts w:asciiTheme="minorHAnsi" w:hAnsiTheme="minorHAnsi"/>
          <w:b/>
          <w:color w:val="auto"/>
        </w:rPr>
        <w:t>10</w:t>
      </w:r>
      <w:r w:rsidRPr="003A4B1B">
        <w:rPr>
          <w:rFonts w:asciiTheme="minorHAnsi" w:hAnsiTheme="minorHAnsi"/>
          <w:b/>
          <w:color w:val="auto"/>
        </w:rPr>
        <w:t xml:space="preserve"> </w:t>
      </w:r>
      <w:r>
        <w:rPr>
          <w:rFonts w:asciiTheme="minorHAnsi" w:hAnsiTheme="minorHAnsi"/>
          <w:b/>
          <w:color w:val="auto"/>
        </w:rPr>
        <w:t>Appendix</w:t>
      </w:r>
      <w:bookmarkEnd w:id="356"/>
      <w:bookmarkEnd w:id="357"/>
    </w:p>
    <w:p w14:paraId="746A17C7" w14:textId="77777777" w:rsidR="00DD65C8" w:rsidRPr="005F6FF5" w:rsidRDefault="00DD65C8" w:rsidP="00DD65C8">
      <w:pPr>
        <w:pStyle w:val="2"/>
        <w:spacing w:before="0" w:after="120" w:line="360" w:lineRule="auto"/>
        <w:rPr>
          <w:rFonts w:asciiTheme="minorHAnsi" w:hAnsiTheme="minorHAnsi"/>
          <w:b/>
          <w:noProof/>
          <w:color w:val="auto"/>
          <w:sz w:val="32"/>
          <w:szCs w:val="32"/>
        </w:rPr>
      </w:pPr>
      <w:bookmarkStart w:id="358" w:name="_Toc5959226"/>
      <w:bookmarkStart w:id="359" w:name="_Toc22052566"/>
      <w:r w:rsidRPr="00E40B2A">
        <w:rPr>
          <w:rFonts w:asciiTheme="minorHAnsi" w:hAnsiTheme="minorHAnsi"/>
          <w:b/>
          <w:noProof/>
          <w:color w:val="auto"/>
          <w:sz w:val="32"/>
          <w:szCs w:val="32"/>
        </w:rPr>
        <w:t>Determination of Twin</w:t>
      </w:r>
      <w:r>
        <w:rPr>
          <w:rFonts w:asciiTheme="minorHAnsi" w:hAnsiTheme="minorHAnsi"/>
          <w:b/>
          <w:noProof/>
          <w:color w:val="auto"/>
          <w:sz w:val="32"/>
          <w:szCs w:val="32"/>
        </w:rPr>
        <w:t>n</w:t>
      </w:r>
      <w:r w:rsidRPr="00E40B2A">
        <w:rPr>
          <w:rFonts w:asciiTheme="minorHAnsi" w:hAnsiTheme="minorHAnsi"/>
          <w:b/>
          <w:noProof/>
          <w:color w:val="auto"/>
          <w:sz w:val="32"/>
          <w:szCs w:val="32"/>
        </w:rPr>
        <w:t>ing elements for martensite twin</w:t>
      </w:r>
      <w:r>
        <w:rPr>
          <w:rFonts w:asciiTheme="minorHAnsi" w:hAnsiTheme="minorHAnsi"/>
          <w:b/>
          <w:noProof/>
          <w:color w:val="auto"/>
          <w:sz w:val="32"/>
          <w:szCs w:val="32"/>
        </w:rPr>
        <w:t>n</w:t>
      </w:r>
      <w:r w:rsidRPr="00E40B2A">
        <w:rPr>
          <w:rFonts w:asciiTheme="minorHAnsi" w:hAnsiTheme="minorHAnsi"/>
          <w:b/>
          <w:noProof/>
          <w:color w:val="auto"/>
          <w:sz w:val="32"/>
          <w:szCs w:val="32"/>
        </w:rPr>
        <w:t>ing</w:t>
      </w:r>
      <w:bookmarkEnd w:id="358"/>
      <w:bookmarkEnd w:id="359"/>
    </w:p>
    <w:p w14:paraId="251F161F" w14:textId="2867280E" w:rsidR="00DD65C8" w:rsidRDefault="00DD65C8" w:rsidP="00DD65C8">
      <w:pPr>
        <w:spacing w:after="120" w:line="360" w:lineRule="auto"/>
        <w:jc w:val="both"/>
        <w:rPr>
          <w:noProof/>
        </w:rPr>
      </w:pPr>
      <w:r>
        <w:rPr>
          <w:noProof/>
        </w:rPr>
        <w:t xml:space="preserve">To confirm the twinning elements for various SA and mechanical type twinning which occurred </w:t>
      </w:r>
      <w:r w:rsidR="002D6024">
        <w:rPr>
          <w:noProof/>
        </w:rPr>
        <w:t>during</w:t>
      </w:r>
      <w:r>
        <w:rPr>
          <w:noProof/>
        </w:rPr>
        <w:t xml:space="preserve"> plastic deformation, the calculation</w:t>
      </w:r>
      <w:r w:rsidR="002D6024">
        <w:rPr>
          <w:noProof/>
        </w:rPr>
        <w:t>s</w:t>
      </w:r>
      <w:r>
        <w:rPr>
          <w:noProof/>
        </w:rPr>
        <w:t xml:space="preserve"> </w:t>
      </w:r>
      <w:r w:rsidR="002D6024">
        <w:rPr>
          <w:noProof/>
        </w:rPr>
        <w:t xml:space="preserve">were </w:t>
      </w:r>
      <w:r>
        <w:rPr>
          <w:noProof/>
        </w:rPr>
        <w:t xml:space="preserve">conducted as follows. </w:t>
      </w:r>
    </w:p>
    <w:p w14:paraId="34A05B3C" w14:textId="77777777" w:rsidR="00DD65C8" w:rsidRPr="00C71F9D" w:rsidRDefault="00DD65C8" w:rsidP="00DD65C8">
      <w:pPr>
        <w:pStyle w:val="a7"/>
        <w:numPr>
          <w:ilvl w:val="0"/>
          <w:numId w:val="15"/>
        </w:numPr>
        <w:spacing w:after="120" w:line="360" w:lineRule="auto"/>
        <w:rPr>
          <w:noProof/>
        </w:rPr>
      </w:pPr>
      <w:r>
        <w:rPr>
          <w:b/>
          <w:noProof/>
        </w:rPr>
        <w:t>Determination of two reduced</w:t>
      </w:r>
      <w:r w:rsidRPr="00C71F9D">
        <w:rPr>
          <w:b/>
          <w:noProof/>
        </w:rPr>
        <w:t xml:space="preserve"> basis vector </w:t>
      </w:r>
      <w:r>
        <w:rPr>
          <w:b/>
          <w:noProof/>
        </w:rPr>
        <w:t>(a general solution)</w:t>
      </w:r>
    </w:p>
    <w:p w14:paraId="06D8DA94" w14:textId="77777777" w:rsidR="00DD65C8" w:rsidRDefault="00DD65C8" w:rsidP="00DD65C8">
      <w:pPr>
        <w:spacing w:after="120" w:line="360" w:lineRule="auto"/>
        <w:jc w:val="both"/>
        <w:rPr>
          <w:noProof/>
        </w:rPr>
      </w:pPr>
      <w:r>
        <w:rPr>
          <w:b/>
          <w:noProof/>
        </w:rPr>
        <w:t>The</w:t>
      </w:r>
      <w:r>
        <w:rPr>
          <w:noProof/>
        </w:rPr>
        <w:t xml:space="preserve"> </w:t>
      </w:r>
      <w:r w:rsidRPr="00E86D50">
        <w:rPr>
          <w:noProof/>
        </w:rPr>
        <w:t>twin</w:t>
      </w:r>
      <w:r>
        <w:rPr>
          <w:noProof/>
        </w:rPr>
        <w:t>ni</w:t>
      </w:r>
      <w:r w:rsidRPr="00E86D50">
        <w:rPr>
          <w:noProof/>
        </w:rPr>
        <w:t>ng</w:t>
      </w:r>
      <w:r>
        <w:rPr>
          <w:noProof/>
        </w:rPr>
        <w:t xml:space="preserve"> plane was firstly derived from TEM. Following this, the </w:t>
      </w:r>
      <w:r w:rsidRPr="003769D6">
        <w:rPr>
          <w:noProof/>
        </w:rPr>
        <w:t>twinning</w:t>
      </w:r>
      <w:r>
        <w:rPr>
          <w:noProof/>
        </w:rPr>
        <w:t xml:space="preserve"> direction</w:t>
      </w:r>
      <m:oMath>
        <m:r>
          <m:rPr>
            <m:sty m:val="p"/>
          </m:rPr>
          <w:rPr>
            <w:rFonts w:ascii="Cambria Math" w:hAnsi="Cambria Math"/>
            <w:noProof/>
          </w:rPr>
          <m:t xml:space="preserve"> </m:t>
        </m:r>
        <m:sSub>
          <m:sSubPr>
            <m:ctrlPr>
              <w:rPr>
                <w:rFonts w:ascii="Cambria Math" w:hAnsi="Cambria Math"/>
                <w:noProof/>
              </w:rPr>
            </m:ctrlPr>
          </m:sSubPr>
          <m:e>
            <m:r>
              <w:rPr>
                <w:rFonts w:ascii="Cambria Math" w:hAnsi="Cambria Math"/>
                <w:noProof/>
              </w:rPr>
              <m:t>η</m:t>
            </m:r>
          </m:e>
          <m:sub>
            <m:r>
              <w:rPr>
                <w:rFonts w:ascii="Cambria Math" w:hAnsi="Cambria Math"/>
                <w:noProof/>
              </w:rPr>
              <m:t>1</m:t>
            </m:r>
          </m:sub>
        </m:sSub>
      </m:oMath>
      <w:r>
        <w:rPr>
          <w:noProof/>
        </w:rPr>
        <w:t xml:space="preserve"> can be derived, which is the minimum shear direction that moves the parent lattice to the correct twin positions. Accordingly, the two dimensional primitive vector on the twinning  plane is necessary to determine the correct lattice position (all calculations conducted in the primitive lattice of the parent phase). Once the lattice plane (</w:t>
      </w:r>
      <m:oMath>
        <m:r>
          <w:rPr>
            <w:rFonts w:ascii="Cambria Math" w:hAnsi="Cambria Math"/>
            <w:noProof/>
          </w:rPr>
          <m:t>h k l</m:t>
        </m:r>
      </m:oMath>
      <w:r>
        <w:rPr>
          <w:noProof/>
        </w:rPr>
        <w:t xml:space="preserve">) was determined, a basis vector </w:t>
      </w:r>
      <m:oMath>
        <m:r>
          <m:rPr>
            <m:sty m:val="bi"/>
          </m:rPr>
          <w:rPr>
            <w:rFonts w:ascii="Cambria Math" w:hAnsi="Cambria Math"/>
            <w:noProof/>
          </w:rPr>
          <m:t>u</m:t>
        </m:r>
      </m:oMath>
      <w:r>
        <w:rPr>
          <w:noProof/>
        </w:rPr>
        <w:t>(</w:t>
      </w:r>
      <m:oMath>
        <m:r>
          <w:rPr>
            <w:rFonts w:ascii="Cambria Math" w:hAnsi="Cambria Math"/>
            <w:noProof/>
          </w:rPr>
          <m:t>u v w</m:t>
        </m:r>
      </m:oMath>
      <w:r>
        <w:rPr>
          <w:noProof/>
        </w:rPr>
        <w:t xml:space="preserve">) can be found on the plane which </w:t>
      </w:r>
      <w:r w:rsidRPr="00E86D50">
        <w:rPr>
          <w:noProof/>
        </w:rPr>
        <w:t>satisf</w:t>
      </w:r>
      <w:r>
        <w:rPr>
          <w:noProof/>
        </w:rPr>
        <w:t xml:space="preserve">ies: </w:t>
      </w:r>
    </w:p>
    <w:p w14:paraId="484601B5" w14:textId="478FF574" w:rsidR="00DD65C8" w:rsidRDefault="00DD65C8" w:rsidP="00DD65C8">
      <w:pPr>
        <w:spacing w:after="120" w:line="360" w:lineRule="auto"/>
        <w:jc w:val="right"/>
        <w:rPr>
          <w:noProof/>
        </w:rPr>
      </w:pPr>
      <m:oMath>
        <m:r>
          <w:rPr>
            <w:rFonts w:ascii="Cambria Math" w:hAnsi="Cambria Math"/>
            <w:noProof/>
          </w:rPr>
          <m:t>hu+kv+lw=0</m:t>
        </m:r>
      </m:oMath>
      <w:r>
        <w:rPr>
          <w:noProof/>
        </w:rPr>
        <w:t xml:space="preserve">                                                                   (1)                                                       </w:t>
      </w:r>
    </w:p>
    <w:p w14:paraId="40BC6175" w14:textId="77777777" w:rsidR="00DD65C8" w:rsidRDefault="00DD65C8" w:rsidP="00DD65C8">
      <w:pPr>
        <w:spacing w:after="120" w:line="360" w:lineRule="auto"/>
        <w:jc w:val="both"/>
        <w:rPr>
          <w:noProof/>
        </w:rPr>
      </w:pPr>
      <w:r>
        <w:rPr>
          <w:noProof/>
        </w:rPr>
        <w:t>Considering the greatest common factor |gcd(</w:t>
      </w:r>
      <m:oMath>
        <m:r>
          <w:rPr>
            <w:rFonts w:ascii="Cambria Math" w:hAnsi="Cambria Math"/>
            <w:noProof/>
          </w:rPr>
          <m:t>h,k</m:t>
        </m:r>
      </m:oMath>
      <w:r>
        <w:rPr>
          <w:noProof/>
        </w:rPr>
        <w:t>)|=</w:t>
      </w:r>
      <m:oMath>
        <m:r>
          <w:rPr>
            <w:rFonts w:ascii="Cambria Math" w:hAnsi="Cambria Math"/>
            <w:noProof/>
          </w:rPr>
          <m:t>d</m:t>
        </m:r>
      </m:oMath>
      <w:r>
        <w:rPr>
          <w:noProof/>
        </w:rPr>
        <w:t>; |gcd(</w:t>
      </w:r>
      <m:oMath>
        <m:r>
          <w:rPr>
            <w:rFonts w:ascii="Cambria Math" w:hAnsi="Cambria Math"/>
            <w:noProof/>
          </w:rPr>
          <m:t>l,d</m:t>
        </m:r>
      </m:oMath>
      <w:r>
        <w:rPr>
          <w:noProof/>
        </w:rPr>
        <w:t xml:space="preserve">)|=1, two general solutions for basis vectors which satisfy </w:t>
      </w:r>
      <w:r w:rsidRPr="00C70056">
        <w:rPr>
          <w:i/>
          <w:noProof/>
        </w:rPr>
        <w:t>eq</w:t>
      </w:r>
      <w:r>
        <w:rPr>
          <w:noProof/>
        </w:rPr>
        <w:t>.(1) can be derived as [1]:</w:t>
      </w:r>
    </w:p>
    <w:p w14:paraId="15F3A424" w14:textId="0782F104" w:rsidR="00DD65C8" w:rsidRPr="00C71F9D" w:rsidRDefault="00077961" w:rsidP="00DD65C8">
      <w:pPr>
        <w:pStyle w:val="a7"/>
        <w:spacing w:after="120" w:line="360" w:lineRule="auto"/>
        <w:ind w:left="1080"/>
        <w:jc w:val="right"/>
        <w:rPr>
          <w:b/>
          <w:noProof/>
        </w:rPr>
      </w:pPr>
      <m:oMath>
        <m:sSub>
          <m:sSubPr>
            <m:ctrlPr>
              <w:rPr>
                <w:rFonts w:ascii="Cambria Math" w:hAnsi="Cambria Math"/>
                <w:b/>
                <w:i/>
                <w:noProof/>
              </w:rPr>
            </m:ctrlPr>
          </m:sSubPr>
          <m:e>
            <m:r>
              <m:rPr>
                <m:sty m:val="bi"/>
              </m:rPr>
              <w:rPr>
                <w:rFonts w:ascii="Cambria Math" w:hAnsi="Cambria Math"/>
                <w:noProof/>
              </w:rPr>
              <m:t>u</m:t>
            </m:r>
          </m:e>
          <m:sub>
            <m:r>
              <m:rPr>
                <m:sty m:val="bi"/>
              </m:rPr>
              <w:rPr>
                <w:rFonts w:ascii="Cambria Math" w:hAnsi="Cambria Math"/>
                <w:noProof/>
              </w:rPr>
              <m:t>1</m:t>
            </m:r>
          </m:sub>
        </m:sSub>
      </m:oMath>
      <w:r w:rsidR="00DD65C8">
        <w:rPr>
          <w:noProof/>
        </w:rPr>
        <w:t>=(</w:t>
      </w:r>
      <m:oMath>
        <m:r>
          <w:rPr>
            <w:rFonts w:ascii="Cambria Math" w:hAnsi="Cambria Math"/>
            <w:noProof/>
          </w:rPr>
          <m:t>-</m:t>
        </m:r>
        <m:f>
          <m:fPr>
            <m:ctrlPr>
              <w:rPr>
                <w:rFonts w:ascii="Cambria Math" w:hAnsi="Cambria Math"/>
                <w:i/>
                <w:noProof/>
              </w:rPr>
            </m:ctrlPr>
          </m:fPr>
          <m:num>
            <m:r>
              <w:rPr>
                <w:rFonts w:ascii="Cambria Math" w:hAnsi="Cambria Math"/>
                <w:noProof/>
              </w:rPr>
              <m:t>k</m:t>
            </m:r>
          </m:num>
          <m:den>
            <m:r>
              <w:rPr>
                <w:rFonts w:ascii="Cambria Math" w:hAnsi="Cambria Math"/>
                <w:noProof/>
              </w:rPr>
              <m:t>d</m:t>
            </m:r>
          </m:den>
        </m:f>
        <m:r>
          <w:rPr>
            <w:rFonts w:ascii="Cambria Math" w:hAnsi="Cambria Math"/>
            <w:noProof/>
          </w:rPr>
          <m:t>,</m:t>
        </m:r>
        <m:f>
          <m:fPr>
            <m:ctrlPr>
              <w:rPr>
                <w:rFonts w:ascii="Cambria Math" w:hAnsi="Cambria Math"/>
                <w:i/>
                <w:noProof/>
              </w:rPr>
            </m:ctrlPr>
          </m:fPr>
          <m:num>
            <m:r>
              <w:rPr>
                <w:rFonts w:ascii="Cambria Math" w:hAnsi="Cambria Math"/>
                <w:noProof/>
              </w:rPr>
              <m:t>h</m:t>
            </m:r>
          </m:num>
          <m:den>
            <m:r>
              <w:rPr>
                <w:rFonts w:ascii="Cambria Math" w:hAnsi="Cambria Math"/>
                <w:noProof/>
              </w:rPr>
              <m:t>d</m:t>
            </m:r>
          </m:den>
        </m:f>
        <m:r>
          <w:rPr>
            <w:rFonts w:ascii="Cambria Math" w:hAnsi="Cambria Math"/>
            <w:noProof/>
          </w:rPr>
          <m:t>,0</m:t>
        </m:r>
      </m:oMath>
      <w:r w:rsidR="00DD65C8">
        <w:rPr>
          <w:noProof/>
        </w:rPr>
        <w:t xml:space="preserve">), </w:t>
      </w:r>
      <m:oMath>
        <m:sSub>
          <m:sSubPr>
            <m:ctrlPr>
              <w:rPr>
                <w:rFonts w:ascii="Cambria Math" w:hAnsi="Cambria Math"/>
                <w:b/>
                <w:i/>
                <w:noProof/>
              </w:rPr>
            </m:ctrlPr>
          </m:sSubPr>
          <m:e>
            <m:r>
              <m:rPr>
                <m:sty m:val="bi"/>
              </m:rPr>
              <w:rPr>
                <w:rFonts w:ascii="Cambria Math" w:hAnsi="Cambria Math"/>
                <w:noProof/>
              </w:rPr>
              <m:t>u</m:t>
            </m:r>
          </m:e>
          <m:sub>
            <m:r>
              <m:rPr>
                <m:sty m:val="bi"/>
              </m:rPr>
              <w:rPr>
                <w:rFonts w:ascii="Cambria Math" w:hAnsi="Cambria Math"/>
                <w:noProof/>
              </w:rPr>
              <m:t>2</m:t>
            </m:r>
          </m:sub>
        </m:sSub>
      </m:oMath>
      <w:r w:rsidR="00DD65C8">
        <w:rPr>
          <w:noProof/>
        </w:rPr>
        <w:t>=(</w:t>
      </w:r>
      <m:oMath>
        <m:r>
          <w:rPr>
            <w:rFonts w:ascii="Cambria Math" w:hAnsi="Cambria Math"/>
            <w:noProof/>
          </w:rPr>
          <m:t>-l</m:t>
        </m:r>
        <m:sSub>
          <m:sSubPr>
            <m:ctrlPr>
              <w:rPr>
                <w:rFonts w:ascii="Cambria Math" w:hAnsi="Cambria Math"/>
                <w:i/>
                <w:noProof/>
              </w:rPr>
            </m:ctrlPr>
          </m:sSubPr>
          <m:e>
            <m:r>
              <w:rPr>
                <w:rFonts w:ascii="Cambria Math" w:hAnsi="Cambria Math"/>
                <w:noProof/>
              </w:rPr>
              <m:t>u</m:t>
            </m:r>
          </m:e>
          <m:sub>
            <m:r>
              <w:rPr>
                <w:rFonts w:ascii="Cambria Math" w:hAnsi="Cambria Math"/>
                <w:noProof/>
              </w:rPr>
              <m:t>0</m:t>
            </m:r>
          </m:sub>
        </m:sSub>
        <m:r>
          <w:rPr>
            <w:rFonts w:ascii="Cambria Math" w:hAnsi="Cambria Math"/>
            <w:noProof/>
          </w:rPr>
          <m:t>,-l</m:t>
        </m:r>
        <m:sSub>
          <m:sSubPr>
            <m:ctrlPr>
              <w:rPr>
                <w:rFonts w:ascii="Cambria Math" w:hAnsi="Cambria Math"/>
                <w:i/>
                <w:noProof/>
              </w:rPr>
            </m:ctrlPr>
          </m:sSubPr>
          <m:e>
            <m:r>
              <w:rPr>
                <w:rFonts w:ascii="Cambria Math" w:hAnsi="Cambria Math"/>
                <w:noProof/>
              </w:rPr>
              <m:t>v</m:t>
            </m:r>
          </m:e>
          <m:sub>
            <m:r>
              <w:rPr>
                <w:rFonts w:ascii="Cambria Math" w:hAnsi="Cambria Math"/>
                <w:noProof/>
              </w:rPr>
              <m:t>0</m:t>
            </m:r>
          </m:sub>
        </m:sSub>
        <m:r>
          <w:rPr>
            <w:rFonts w:ascii="Cambria Math" w:hAnsi="Cambria Math"/>
            <w:noProof/>
          </w:rPr>
          <m:t>,d</m:t>
        </m:r>
      </m:oMath>
      <w:r w:rsidR="00DD65C8">
        <w:rPr>
          <w:noProof/>
        </w:rPr>
        <w:t xml:space="preserve">)                                                    (2)                                                 </w:t>
      </w:r>
    </w:p>
    <w:p w14:paraId="3EECBC5D" w14:textId="62849754" w:rsidR="00DD65C8" w:rsidRPr="00C71F9D" w:rsidRDefault="00DD65C8" w:rsidP="00DD65C8">
      <w:pPr>
        <w:spacing w:after="120" w:line="360" w:lineRule="auto"/>
        <w:jc w:val="right"/>
        <w:rPr>
          <w:noProof/>
        </w:rPr>
      </w:pPr>
      <w:r>
        <w:rPr>
          <w:noProof/>
        </w:rPr>
        <w:t>(</w:t>
      </w:r>
      <m:oMath>
        <m:f>
          <m:fPr>
            <m:ctrlPr>
              <w:rPr>
                <w:rFonts w:ascii="Cambria Math" w:hAnsi="Cambria Math"/>
                <w:i/>
                <w:noProof/>
              </w:rPr>
            </m:ctrlPr>
          </m:fPr>
          <m:num>
            <m:r>
              <w:rPr>
                <w:rFonts w:ascii="Cambria Math" w:hAnsi="Cambria Math"/>
                <w:noProof/>
              </w:rPr>
              <m:t>h</m:t>
            </m:r>
          </m:num>
          <m:den>
            <m:r>
              <w:rPr>
                <w:rFonts w:ascii="Cambria Math" w:hAnsi="Cambria Math"/>
                <w:noProof/>
              </w:rPr>
              <m:t>d</m:t>
            </m:r>
          </m:den>
        </m:f>
      </m:oMath>
      <w:r>
        <w:rPr>
          <w:noProof/>
        </w:rPr>
        <w:t>)</w:t>
      </w:r>
      <m:oMath>
        <m:sSub>
          <m:sSubPr>
            <m:ctrlPr>
              <w:rPr>
                <w:rFonts w:ascii="Cambria Math" w:hAnsi="Cambria Math"/>
                <w:i/>
                <w:noProof/>
              </w:rPr>
            </m:ctrlPr>
          </m:sSubPr>
          <m:e>
            <m:r>
              <w:rPr>
                <w:rFonts w:ascii="Cambria Math" w:hAnsi="Cambria Math"/>
                <w:noProof/>
              </w:rPr>
              <m:t>u</m:t>
            </m:r>
          </m:e>
          <m:sub>
            <m:r>
              <w:rPr>
                <w:rFonts w:ascii="Cambria Math" w:hAnsi="Cambria Math"/>
                <w:noProof/>
              </w:rPr>
              <m:t>0</m:t>
            </m:r>
          </m:sub>
        </m:sSub>
      </m:oMath>
      <w:r>
        <w:rPr>
          <w:noProof/>
        </w:rPr>
        <w:t>+(</w:t>
      </w:r>
      <m:oMath>
        <m:f>
          <m:fPr>
            <m:ctrlPr>
              <w:rPr>
                <w:rFonts w:ascii="Cambria Math" w:hAnsi="Cambria Math"/>
                <w:i/>
                <w:noProof/>
              </w:rPr>
            </m:ctrlPr>
          </m:fPr>
          <m:num>
            <m:r>
              <w:rPr>
                <w:rFonts w:ascii="Cambria Math" w:hAnsi="Cambria Math"/>
                <w:noProof/>
              </w:rPr>
              <m:t>k</m:t>
            </m:r>
          </m:num>
          <m:den>
            <m:r>
              <w:rPr>
                <w:rFonts w:ascii="Cambria Math" w:hAnsi="Cambria Math"/>
                <w:noProof/>
              </w:rPr>
              <m:t>d</m:t>
            </m:r>
          </m:den>
        </m:f>
      </m:oMath>
      <w:r>
        <w:rPr>
          <w:noProof/>
        </w:rPr>
        <w:t>)</w:t>
      </w:r>
      <m:oMath>
        <m:sSub>
          <m:sSubPr>
            <m:ctrlPr>
              <w:rPr>
                <w:rFonts w:ascii="Cambria Math" w:hAnsi="Cambria Math"/>
                <w:i/>
                <w:noProof/>
              </w:rPr>
            </m:ctrlPr>
          </m:sSubPr>
          <m:e>
            <m:r>
              <w:rPr>
                <w:rFonts w:ascii="Cambria Math" w:hAnsi="Cambria Math"/>
                <w:noProof/>
              </w:rPr>
              <m:t>v</m:t>
            </m:r>
          </m:e>
          <m:sub>
            <m:r>
              <w:rPr>
                <w:rFonts w:ascii="Cambria Math" w:hAnsi="Cambria Math"/>
                <w:noProof/>
              </w:rPr>
              <m:t>0</m:t>
            </m:r>
          </m:sub>
        </m:sSub>
      </m:oMath>
      <w:r>
        <w:rPr>
          <w:noProof/>
        </w:rPr>
        <w:t xml:space="preserve">=1                                                                         (3)                                                                </w:t>
      </w:r>
    </w:p>
    <w:p w14:paraId="1B0319F9" w14:textId="77777777" w:rsidR="00DD65C8" w:rsidRDefault="00DD65C8" w:rsidP="00DD65C8">
      <w:pPr>
        <w:spacing w:after="120" w:line="360" w:lineRule="auto"/>
        <w:jc w:val="both"/>
        <w:rPr>
          <w:noProof/>
        </w:rPr>
      </w:pPr>
      <w:r>
        <w:rPr>
          <w:noProof/>
        </w:rPr>
        <w:t xml:space="preserve">With extended </w:t>
      </w:r>
      <w:r w:rsidRPr="003769D6">
        <w:rPr>
          <w:noProof/>
        </w:rPr>
        <w:t>euclidean</w:t>
      </w:r>
      <w:r>
        <w:rPr>
          <w:noProof/>
        </w:rPr>
        <w:t xml:space="preserve"> algorithm, </w:t>
      </w:r>
      <m:oMath>
        <m:sSub>
          <m:sSubPr>
            <m:ctrlPr>
              <w:rPr>
                <w:rFonts w:ascii="Cambria Math" w:hAnsi="Cambria Math"/>
                <w:i/>
                <w:noProof/>
              </w:rPr>
            </m:ctrlPr>
          </m:sSubPr>
          <m:e>
            <m:r>
              <w:rPr>
                <w:rFonts w:ascii="Cambria Math" w:hAnsi="Cambria Math"/>
                <w:noProof/>
              </w:rPr>
              <m:t>u</m:t>
            </m:r>
          </m:e>
          <m:sub>
            <m:r>
              <w:rPr>
                <w:rFonts w:ascii="Cambria Math" w:hAnsi="Cambria Math"/>
                <w:noProof/>
              </w:rPr>
              <m:t>0</m:t>
            </m:r>
          </m:sub>
        </m:sSub>
      </m:oMath>
      <w:r>
        <w:rPr>
          <w:noProof/>
        </w:rPr>
        <w:t xml:space="preserve"> and </w:t>
      </w:r>
      <m:oMath>
        <m:sSub>
          <m:sSubPr>
            <m:ctrlPr>
              <w:rPr>
                <w:rFonts w:ascii="Cambria Math" w:hAnsi="Cambria Math"/>
                <w:i/>
                <w:noProof/>
              </w:rPr>
            </m:ctrlPr>
          </m:sSubPr>
          <m:e>
            <m:r>
              <w:rPr>
                <w:rFonts w:ascii="Cambria Math" w:hAnsi="Cambria Math"/>
                <w:noProof/>
              </w:rPr>
              <m:t>v</m:t>
            </m:r>
          </m:e>
          <m:sub>
            <m:r>
              <w:rPr>
                <w:rFonts w:ascii="Cambria Math" w:hAnsi="Cambria Math"/>
                <w:noProof/>
              </w:rPr>
              <m:t>0</m:t>
            </m:r>
          </m:sub>
        </m:sSub>
      </m:oMath>
      <w:r>
        <w:rPr>
          <w:noProof/>
        </w:rPr>
        <w:t xml:space="preserve"> can be calculated.</w:t>
      </w:r>
    </w:p>
    <w:p w14:paraId="6108254B" w14:textId="77777777" w:rsidR="00DD65C8" w:rsidRDefault="00DD65C8" w:rsidP="00DD65C8">
      <w:pPr>
        <w:spacing w:after="120" w:line="360" w:lineRule="auto"/>
        <w:jc w:val="both"/>
        <w:rPr>
          <w:noProof/>
        </w:rPr>
      </w:pPr>
      <w:r>
        <w:rPr>
          <w:noProof/>
        </w:rPr>
        <w:t xml:space="preserve">By selecting any two of the basis vectors from above, the reduced basis vector can be derived by an iterative process as </w:t>
      </w:r>
      <w:r w:rsidRPr="007F728B">
        <w:rPr>
          <w:noProof/>
        </w:rPr>
        <w:t>a simplified</w:t>
      </w:r>
      <w:r>
        <w:rPr>
          <w:noProof/>
        </w:rPr>
        <w:t xml:space="preserve"> two dimension algorithm </w:t>
      </w:r>
      <w:r>
        <w:rPr>
          <w:noProof/>
        </w:rPr>
        <w:fldChar w:fldCharType="begin" w:fldLock="1"/>
      </w:r>
      <w:r>
        <w:rPr>
          <w:noProof/>
        </w:rPr>
        <w:instrText>ADDIN CSL_CITATION {"citationItems":[{"id":"ITEM-1","itemData":{"DOI":"10.1107/S0108767395006672","ISSN":"16005724","abstract":"A new algorithm is proposed to convert an arbitrary primitive cell of various Bravais lattices into the reduced (Niggli) cell. The geometrical basis of this algorithm is briefly discussed.","author":[{"dropping-particle":"","family":"Zuo","given":"L.","non-dropping-particle":"","parse-names":false,"suffix":""},{"dropping-particle":"","family":"Muller","given":"J.","non-dropping-p</w:instrText>
      </w:r>
      <w:r>
        <w:rPr>
          <w:rFonts w:hint="eastAsia"/>
          <w:noProof/>
        </w:rPr>
        <w:instrText xml:space="preserve">article":"","parse-names":false,"suffix":""},{"dropping-particle":"","family":"Philippe","given":"M. </w:instrText>
      </w:r>
      <w:r>
        <w:rPr>
          <w:rFonts w:hint="eastAsia"/>
          <w:noProof/>
        </w:rPr>
        <w:instrText>‐</w:instrText>
      </w:r>
      <w:r>
        <w:rPr>
          <w:rFonts w:hint="eastAsia"/>
          <w:noProof/>
        </w:rPr>
        <w:instrText>J","non-dropping-particle":"","parse-names":false,"suffix":""},{"dropping-particle":"","family":"Esling","given":"C.","non-dropping-particle":"","parse-names":false,"suffix":""}],"container-title":"Acta Crystallographica Section A","id":"ITEM-1","issued":{"date-parts":[["1995"]]},"title":"A refined algorithm for the reduced</w:instrText>
      </w:r>
      <w:r>
        <w:rPr>
          <w:rFonts w:hint="eastAsia"/>
          <w:noProof/>
        </w:rPr>
        <w:instrText>‐</w:instrText>
      </w:r>
      <w:r>
        <w:rPr>
          <w:rFonts w:hint="eastAsia"/>
          <w:noProof/>
        </w:rPr>
        <w:instrText>cell determination","type":"article-journal"},"uris":["http://www.mendeley.com/doc</w:instrText>
      </w:r>
      <w:r>
        <w:rPr>
          <w:noProof/>
        </w:rPr>
        <w:instrText>uments/?uuid=b880e43e-5eb2-4166-a0b9-5f8bf6c456ac"]}],"mendeley":{"formattedCitation":"[1]","plainTextFormattedCitation":"[1]","previouslyFormattedCitation":"[1]"},"properties":{"noteIndex":0},"schema":"https://github.com/citation-style-language/schema/raw/master/csl-citation.json"}</w:instrText>
      </w:r>
      <w:r>
        <w:rPr>
          <w:noProof/>
        </w:rPr>
        <w:fldChar w:fldCharType="separate"/>
      </w:r>
      <w:r w:rsidRPr="00C73EF3">
        <w:rPr>
          <w:noProof/>
        </w:rPr>
        <w:t>[1]</w:t>
      </w:r>
      <w:r>
        <w:rPr>
          <w:noProof/>
        </w:rPr>
        <w:fldChar w:fldCharType="end"/>
      </w:r>
      <w:r>
        <w:rPr>
          <w:noProof/>
        </w:rPr>
        <w:t>:</w:t>
      </w:r>
    </w:p>
    <w:p w14:paraId="108BA529" w14:textId="77777777" w:rsidR="00DD65C8" w:rsidRDefault="00DD65C8" w:rsidP="00DD65C8">
      <w:pPr>
        <w:spacing w:after="120" w:line="360" w:lineRule="auto"/>
        <w:jc w:val="both"/>
        <w:rPr>
          <w:noProof/>
        </w:rPr>
      </w:pPr>
      <w:r w:rsidRPr="007F728B">
        <w:rPr>
          <w:noProof/>
        </w:rPr>
        <w:t>Conside</w:t>
      </w:r>
      <w:r>
        <w:rPr>
          <w:noProof/>
        </w:rPr>
        <w:t>ri</w:t>
      </w:r>
      <w:r w:rsidRPr="007F728B">
        <w:rPr>
          <w:noProof/>
        </w:rPr>
        <w:t>ng</w:t>
      </w:r>
      <w:r>
        <w:rPr>
          <w:noProof/>
        </w:rPr>
        <w:t xml:space="preserve"> the necessary condition for the simplified vector </w:t>
      </w:r>
      <m:oMath>
        <m:r>
          <m:rPr>
            <m:sty m:val="bi"/>
          </m:rPr>
          <w:rPr>
            <w:rFonts w:ascii="Cambria Math" w:hAnsi="Cambria Math"/>
            <w:noProof/>
          </w:rPr>
          <m:t>i</m:t>
        </m:r>
      </m:oMath>
      <w:r>
        <w:rPr>
          <w:b/>
          <w:noProof/>
        </w:rPr>
        <w:t xml:space="preserve"> </w:t>
      </w:r>
      <w:r w:rsidRPr="005935CD">
        <w:rPr>
          <w:noProof/>
        </w:rPr>
        <w:t>and</w:t>
      </w:r>
      <w:r>
        <w:rPr>
          <w:b/>
          <w:noProof/>
        </w:rPr>
        <w:t xml:space="preserve"> </w:t>
      </w:r>
      <m:oMath>
        <m:r>
          <m:rPr>
            <m:sty m:val="bi"/>
          </m:rPr>
          <w:rPr>
            <w:rFonts w:ascii="Cambria Math" w:hAnsi="Cambria Math"/>
            <w:noProof/>
          </w:rPr>
          <m:t>j</m:t>
        </m:r>
      </m:oMath>
      <w:r>
        <w:rPr>
          <w:b/>
          <w:noProof/>
        </w:rPr>
        <w:t xml:space="preserve"> </w:t>
      </w:r>
      <w:r w:rsidRPr="002D12BF">
        <w:rPr>
          <w:noProof/>
        </w:rPr>
        <w:t>which can be re</w:t>
      </w:r>
      <w:r>
        <w:rPr>
          <w:noProof/>
        </w:rPr>
        <w:t>garded as a primitive vector:</w:t>
      </w:r>
    </w:p>
    <w:p w14:paraId="584BD37C" w14:textId="77777777" w:rsidR="00DD65C8" w:rsidRPr="00133F63" w:rsidRDefault="00DD65C8" w:rsidP="00DD65C8">
      <w:pPr>
        <w:pStyle w:val="a7"/>
        <w:numPr>
          <w:ilvl w:val="0"/>
          <w:numId w:val="18"/>
        </w:numPr>
        <w:spacing w:after="120" w:line="360" w:lineRule="auto"/>
        <w:jc w:val="both"/>
        <w:rPr>
          <w:noProof/>
        </w:rPr>
      </w:pPr>
      <w:r>
        <w:rPr>
          <w:noProof/>
        </w:rPr>
        <w:t xml:space="preserve">Let </w:t>
      </w:r>
      <m:oMath>
        <m:r>
          <m:rPr>
            <m:sty m:val="bi"/>
          </m:rPr>
          <w:rPr>
            <w:rFonts w:ascii="Cambria Math" w:hAnsi="Cambria Math"/>
            <w:noProof/>
          </w:rPr>
          <m:t>i</m:t>
        </m:r>
      </m:oMath>
      <w:r w:rsidRPr="00133F63">
        <w:rPr>
          <w:b/>
          <w:noProof/>
        </w:rPr>
        <w:t xml:space="preserve"> </w:t>
      </w:r>
      <w:r>
        <w:rPr>
          <w:noProof/>
        </w:rPr>
        <w:t>be the shorter vector (|</w:t>
      </w:r>
      <m:oMath>
        <m:r>
          <m:rPr>
            <m:sty m:val="bi"/>
          </m:rPr>
          <w:rPr>
            <w:rFonts w:ascii="Cambria Math" w:hAnsi="Cambria Math"/>
            <w:noProof/>
          </w:rPr>
          <m:t>i</m:t>
        </m:r>
      </m:oMath>
      <w:r>
        <w:rPr>
          <w:noProof/>
        </w:rPr>
        <w:t>|</w:t>
      </w:r>
      <m:oMath>
        <m:r>
          <w:rPr>
            <w:rFonts w:ascii="Cambria Math" w:hAnsi="Cambria Math"/>
            <w:noProof/>
          </w:rPr>
          <m:t>≤</m:t>
        </m:r>
        <m:r>
          <m:rPr>
            <m:sty m:val="p"/>
          </m:rPr>
          <w:rPr>
            <w:rFonts w:ascii="Cambria Math" w:hAnsi="Cambria Math"/>
            <w:noProof/>
          </w:rPr>
          <m:t>|</m:t>
        </m:r>
        <m:r>
          <m:rPr>
            <m:sty m:val="bi"/>
          </m:rPr>
          <w:rPr>
            <w:rFonts w:ascii="Cambria Math" w:hAnsi="Cambria Math"/>
            <w:noProof/>
          </w:rPr>
          <m:t>j</m:t>
        </m:r>
        <m:r>
          <m:rPr>
            <m:sty m:val="p"/>
          </m:rPr>
          <w:rPr>
            <w:rFonts w:ascii="Cambria Math" w:hAnsi="Cambria Math"/>
            <w:noProof/>
          </w:rPr>
          <m:t>|</m:t>
        </m:r>
      </m:oMath>
      <w:r>
        <w:rPr>
          <w:noProof/>
        </w:rPr>
        <w:t xml:space="preserve">). Then </w:t>
      </w:r>
      <m:oMath>
        <m:r>
          <m:rPr>
            <m:sty m:val="bi"/>
          </m:rPr>
          <w:rPr>
            <w:rFonts w:ascii="Cambria Math" w:hAnsi="Cambria Math"/>
            <w:noProof/>
          </w:rPr>
          <m:t>j∙i≤i∙i/2</m:t>
        </m:r>
      </m:oMath>
    </w:p>
    <w:p w14:paraId="6FFD21B9" w14:textId="77777777" w:rsidR="00DD65C8" w:rsidRPr="00133F63" w:rsidRDefault="00DD65C8" w:rsidP="00DD65C8">
      <w:pPr>
        <w:pStyle w:val="a7"/>
        <w:numPr>
          <w:ilvl w:val="0"/>
          <w:numId w:val="18"/>
        </w:numPr>
        <w:spacing w:after="120" w:line="360" w:lineRule="auto"/>
        <w:jc w:val="both"/>
        <w:rPr>
          <w:noProof/>
        </w:rPr>
      </w:pPr>
      <w:r w:rsidRPr="00133F63">
        <w:rPr>
          <w:noProof/>
        </w:rPr>
        <w:t>The</w:t>
      </w:r>
      <w:r>
        <w:rPr>
          <w:noProof/>
        </w:rPr>
        <w:t xml:space="preserve"> sum of the length of vector </w:t>
      </w:r>
      <m:oMath>
        <m:r>
          <m:rPr>
            <m:sty m:val="bi"/>
          </m:rPr>
          <w:rPr>
            <w:rFonts w:ascii="Cambria Math" w:hAnsi="Cambria Math"/>
            <w:noProof/>
          </w:rPr>
          <m:t>i</m:t>
        </m:r>
      </m:oMath>
      <w:r>
        <w:rPr>
          <w:b/>
          <w:noProof/>
        </w:rPr>
        <w:t xml:space="preserve"> </w:t>
      </w:r>
      <w:r w:rsidRPr="00133F63">
        <w:rPr>
          <w:noProof/>
        </w:rPr>
        <w:t xml:space="preserve">and </w:t>
      </w:r>
      <m:oMath>
        <m:r>
          <m:rPr>
            <m:sty m:val="bi"/>
          </m:rPr>
          <w:rPr>
            <w:rFonts w:ascii="Cambria Math" w:hAnsi="Cambria Math"/>
            <w:noProof/>
          </w:rPr>
          <m:t>j</m:t>
        </m:r>
      </m:oMath>
      <w:r>
        <w:rPr>
          <w:b/>
          <w:noProof/>
        </w:rPr>
        <w:t xml:space="preserve"> </w:t>
      </w:r>
      <w:r>
        <w:rPr>
          <w:noProof/>
        </w:rPr>
        <w:t xml:space="preserve">is the minimum value among any two vector’s sum derived from selected basis vector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oMath>
      <w:r>
        <w:rPr>
          <w:noProof/>
        </w:rPr>
        <w:t xml:space="preserve"> and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oMath>
    </w:p>
    <w:p w14:paraId="5D03A2B4" w14:textId="77777777" w:rsidR="00DD65C8" w:rsidRDefault="00DD65C8" w:rsidP="00DD65C8">
      <w:pPr>
        <w:spacing w:after="120" w:line="360" w:lineRule="auto"/>
        <w:jc w:val="both"/>
        <w:rPr>
          <w:noProof/>
        </w:rPr>
      </w:pPr>
      <w:r>
        <w:rPr>
          <w:noProof/>
        </w:rPr>
        <w:t xml:space="preserve">Firstly, select the vector,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oMath>
      <w:r w:rsidRPr="00EC1026">
        <w:rPr>
          <w:noProof/>
        </w:rPr>
        <w:t>,</w:t>
      </w:r>
      <w:r>
        <w:rPr>
          <w:b/>
          <w:noProof/>
        </w:rPr>
        <w:t xml:space="preserve"> </w:t>
      </w:r>
      <w:r>
        <w:rPr>
          <w:noProof/>
        </w:rPr>
        <w:t xml:space="preserve">which has minimum length from the solution of </w:t>
      </w:r>
      <m:oMath>
        <m:sSub>
          <m:sSubPr>
            <m:ctrlPr>
              <w:rPr>
                <w:rFonts w:ascii="Cambria Math" w:hAnsi="Cambria Math"/>
                <w:b/>
                <w:i/>
                <w:noProof/>
              </w:rPr>
            </m:ctrlPr>
          </m:sSubPr>
          <m:e>
            <m:r>
              <m:rPr>
                <m:sty m:val="bi"/>
              </m:rPr>
              <w:rPr>
                <w:rFonts w:ascii="Cambria Math" w:hAnsi="Cambria Math"/>
                <w:noProof/>
              </w:rPr>
              <m:t>u</m:t>
            </m:r>
          </m:e>
          <m:sub>
            <m:r>
              <m:rPr>
                <m:sty m:val="bi"/>
              </m:rPr>
              <w:rPr>
                <w:rFonts w:ascii="Cambria Math" w:hAnsi="Cambria Math"/>
                <w:noProof/>
              </w:rPr>
              <m:t>2</m:t>
            </m:r>
          </m:sub>
        </m:sSub>
      </m:oMath>
      <w:r>
        <w:rPr>
          <w:noProof/>
        </w:rPr>
        <w:t xml:space="preserve"> </w:t>
      </w:r>
      <w:r w:rsidRPr="00C70056">
        <w:rPr>
          <w:i/>
          <w:noProof/>
        </w:rPr>
        <w:t>eq</w:t>
      </w:r>
      <w:r>
        <w:rPr>
          <w:noProof/>
        </w:rPr>
        <w:t xml:space="preserve">.(2). </w:t>
      </w:r>
    </w:p>
    <w:p w14:paraId="6F85ADD4" w14:textId="46F41CDE" w:rsidR="00DD65C8" w:rsidRDefault="00DD65C8" w:rsidP="00DD65C8">
      <w:pPr>
        <w:spacing w:after="120" w:line="360" w:lineRule="auto"/>
        <w:jc w:val="both"/>
        <w:rPr>
          <w:noProof/>
        </w:rPr>
      </w:pPr>
      <w:r>
        <w:rPr>
          <w:noProof/>
        </w:rPr>
        <w:t xml:space="preserve">By </w:t>
      </w:r>
      <w:r w:rsidRPr="007F728B">
        <w:rPr>
          <w:noProof/>
        </w:rPr>
        <w:t>substitute</w:t>
      </w:r>
      <w:r>
        <w:rPr>
          <w:noProof/>
        </w:rPr>
        <w:t xml:space="preserve">ing </w:t>
      </w:r>
      <w:r w:rsidRPr="00C70056">
        <w:rPr>
          <w:i/>
          <w:noProof/>
        </w:rPr>
        <w:t>eq</w:t>
      </w:r>
      <w:r>
        <w:rPr>
          <w:noProof/>
        </w:rPr>
        <w:t xml:space="preserve">.(3) into </w:t>
      </w:r>
      <m:oMath>
        <m:sSub>
          <m:sSubPr>
            <m:ctrlPr>
              <w:rPr>
                <w:rFonts w:ascii="Cambria Math" w:hAnsi="Cambria Math"/>
                <w:b/>
                <w:i/>
                <w:noProof/>
              </w:rPr>
            </m:ctrlPr>
          </m:sSubPr>
          <m:e>
            <m:r>
              <m:rPr>
                <m:sty m:val="bi"/>
              </m:rPr>
              <w:rPr>
                <w:rFonts w:ascii="Cambria Math" w:hAnsi="Cambria Math"/>
                <w:noProof/>
              </w:rPr>
              <m:t>u</m:t>
            </m:r>
          </m:e>
          <m:sub>
            <m:r>
              <m:rPr>
                <m:sty m:val="bi"/>
              </m:rPr>
              <w:rPr>
                <w:rFonts w:ascii="Cambria Math" w:hAnsi="Cambria Math"/>
                <w:noProof/>
              </w:rPr>
              <m:t>2</m:t>
            </m:r>
          </m:sub>
        </m:sSub>
      </m:oMath>
      <w:r>
        <w:rPr>
          <w:noProof/>
        </w:rPr>
        <w:t>, to find the solution which has minimum length the extremum point should</w:t>
      </w:r>
      <w:r w:rsidR="002D6024">
        <w:rPr>
          <w:noProof/>
        </w:rPr>
        <w:t xml:space="preserve"> be</w:t>
      </w:r>
      <w:r>
        <w:rPr>
          <w:noProof/>
        </w:rPr>
        <w:t xml:space="preserve"> considered as a reference:</w:t>
      </w:r>
    </w:p>
    <w:p w14:paraId="766A8111" w14:textId="58248C4D" w:rsidR="00DD65C8" w:rsidRDefault="00077961" w:rsidP="00DD65C8">
      <w:pPr>
        <w:spacing w:after="120" w:line="360" w:lineRule="auto"/>
        <w:jc w:val="right"/>
        <w:rPr>
          <w:noProof/>
        </w:rPr>
      </w:pPr>
      <m:oMath>
        <m:sSub>
          <m:sSubPr>
            <m:ctrlPr>
              <w:rPr>
                <w:rFonts w:ascii="Cambria Math" w:hAnsi="Cambria Math"/>
                <w:i/>
                <w:noProof/>
              </w:rPr>
            </m:ctrlPr>
          </m:sSubPr>
          <m:e>
            <m:r>
              <m:rPr>
                <m:sty m:val="bi"/>
              </m:rPr>
              <w:rPr>
                <w:rFonts w:ascii="Cambria Math" w:hAnsi="Cambria Math"/>
                <w:noProof/>
              </w:rPr>
              <m:t>u</m:t>
            </m:r>
          </m:e>
          <m:sub>
            <m:r>
              <w:rPr>
                <w:rFonts w:ascii="Cambria Math" w:hAnsi="Cambria Math"/>
                <w:noProof/>
              </w:rPr>
              <m:t>min</m:t>
            </m:r>
          </m:sub>
        </m:sSub>
      </m:oMath>
      <w:r w:rsidR="00DD65C8">
        <w:rPr>
          <w:noProof/>
        </w:rPr>
        <w:t>=</w:t>
      </w:r>
      <m:oMath>
        <m:f>
          <m:fPr>
            <m:ctrlPr>
              <w:rPr>
                <w:rFonts w:ascii="Cambria Math" w:hAnsi="Cambria Math"/>
                <w:i/>
                <w:noProof/>
              </w:rPr>
            </m:ctrlPr>
          </m:fPr>
          <m:num>
            <m:sSup>
              <m:sSupPr>
                <m:ctrlPr>
                  <w:rPr>
                    <w:rFonts w:ascii="Cambria Math" w:hAnsi="Cambria Math"/>
                    <w:i/>
                    <w:noProof/>
                  </w:rPr>
                </m:ctrlPr>
              </m:sSupPr>
              <m:e>
                <m:r>
                  <w:rPr>
                    <w:rFonts w:ascii="Cambria Math" w:hAnsi="Cambria Math"/>
                    <w:noProof/>
                  </w:rPr>
                  <m:t>b</m:t>
                </m:r>
              </m:e>
              <m:sup>
                <m:r>
                  <w:rPr>
                    <w:rFonts w:ascii="Cambria Math" w:hAnsi="Cambria Math"/>
                    <w:noProof/>
                  </w:rPr>
                  <m:t>2</m:t>
                </m:r>
              </m:sup>
            </m:sSup>
            <m:r>
              <w:rPr>
                <w:rFonts w:ascii="Cambria Math" w:hAnsi="Cambria Math"/>
                <w:noProof/>
              </w:rPr>
              <m:t>dh</m:t>
            </m:r>
          </m:num>
          <m:den>
            <m:sSup>
              <m:sSupPr>
                <m:ctrlPr>
                  <w:rPr>
                    <w:rFonts w:ascii="Cambria Math" w:hAnsi="Cambria Math"/>
                    <w:i/>
                    <w:noProof/>
                  </w:rPr>
                </m:ctrlPr>
              </m:sSupPr>
              <m:e>
                <m:r>
                  <w:rPr>
                    <w:rFonts w:ascii="Cambria Math" w:hAnsi="Cambria Math"/>
                    <w:noProof/>
                  </w:rPr>
                  <m:t>a</m:t>
                </m:r>
              </m:e>
              <m:sup>
                <m:r>
                  <w:rPr>
                    <w:rFonts w:ascii="Cambria Math" w:hAnsi="Cambria Math"/>
                    <w:noProof/>
                  </w:rPr>
                  <m:t>2</m:t>
                </m:r>
              </m:sup>
            </m:sSup>
            <m:sSup>
              <m:sSupPr>
                <m:ctrlPr>
                  <w:rPr>
                    <w:rFonts w:ascii="Cambria Math" w:hAnsi="Cambria Math"/>
                    <w:i/>
                    <w:noProof/>
                  </w:rPr>
                </m:ctrlPr>
              </m:sSupPr>
              <m:e>
                <m:r>
                  <w:rPr>
                    <w:rFonts w:ascii="Cambria Math" w:hAnsi="Cambria Math"/>
                    <w:noProof/>
                  </w:rPr>
                  <m:t>k</m:t>
                </m:r>
              </m:e>
              <m:sup>
                <m:r>
                  <w:rPr>
                    <w:rFonts w:ascii="Cambria Math" w:hAnsi="Cambria Math"/>
                    <w:noProof/>
                  </w:rPr>
                  <m:t>2</m:t>
                </m:r>
              </m:sup>
            </m:sSup>
            <m:r>
              <w:rPr>
                <w:rFonts w:ascii="Cambria Math" w:hAnsi="Cambria Math"/>
                <w:noProof/>
              </w:rPr>
              <m:t>+</m:t>
            </m:r>
            <m:sSup>
              <m:sSupPr>
                <m:ctrlPr>
                  <w:rPr>
                    <w:rFonts w:ascii="Cambria Math" w:hAnsi="Cambria Math"/>
                    <w:i/>
                    <w:noProof/>
                  </w:rPr>
                </m:ctrlPr>
              </m:sSupPr>
              <m:e>
                <m:r>
                  <w:rPr>
                    <w:rFonts w:ascii="Cambria Math" w:hAnsi="Cambria Math"/>
                    <w:noProof/>
                  </w:rPr>
                  <m:t>b</m:t>
                </m:r>
              </m:e>
              <m:sup>
                <m:r>
                  <w:rPr>
                    <w:rFonts w:ascii="Cambria Math" w:hAnsi="Cambria Math"/>
                    <w:noProof/>
                  </w:rPr>
                  <m:t>2</m:t>
                </m:r>
              </m:sup>
            </m:sSup>
            <m:sSup>
              <m:sSupPr>
                <m:ctrlPr>
                  <w:rPr>
                    <w:rFonts w:ascii="Cambria Math" w:hAnsi="Cambria Math"/>
                    <w:i/>
                    <w:noProof/>
                  </w:rPr>
                </m:ctrlPr>
              </m:sSupPr>
              <m:e>
                <m:r>
                  <w:rPr>
                    <w:rFonts w:ascii="Cambria Math" w:hAnsi="Cambria Math"/>
                    <w:noProof/>
                  </w:rPr>
                  <m:t>h</m:t>
                </m:r>
              </m:e>
              <m:sup>
                <m:r>
                  <w:rPr>
                    <w:rFonts w:ascii="Cambria Math" w:hAnsi="Cambria Math"/>
                    <w:noProof/>
                  </w:rPr>
                  <m:t>2</m:t>
                </m:r>
              </m:sup>
            </m:sSup>
          </m:den>
        </m:f>
      </m:oMath>
      <w:r w:rsidR="00DD65C8">
        <w:rPr>
          <w:noProof/>
        </w:rPr>
        <w:t xml:space="preserve">                                                                          (4)                                                                  </w:t>
      </w:r>
    </w:p>
    <w:p w14:paraId="6EE66E78" w14:textId="77777777" w:rsidR="00DD65C8" w:rsidRDefault="00DD65C8" w:rsidP="00DD65C8">
      <w:pPr>
        <w:spacing w:after="120" w:line="360" w:lineRule="auto"/>
        <w:jc w:val="both"/>
        <w:rPr>
          <w:noProof/>
        </w:rPr>
      </w:pPr>
      <w:r>
        <w:rPr>
          <w:noProof/>
        </w:rPr>
        <w:t xml:space="preserve">The integer solution of </w:t>
      </w:r>
      <m:oMath>
        <m:sSub>
          <m:sSubPr>
            <m:ctrlPr>
              <w:rPr>
                <w:rFonts w:ascii="Cambria Math" w:hAnsi="Cambria Math"/>
                <w:i/>
                <w:noProof/>
              </w:rPr>
            </m:ctrlPr>
          </m:sSubPr>
          <m:e>
            <m:r>
              <w:rPr>
                <w:rFonts w:ascii="Cambria Math" w:hAnsi="Cambria Math"/>
                <w:noProof/>
              </w:rPr>
              <m:t>u</m:t>
            </m:r>
          </m:e>
          <m:sub>
            <m:r>
              <w:rPr>
                <w:rFonts w:ascii="Cambria Math" w:hAnsi="Cambria Math"/>
                <w:noProof/>
              </w:rPr>
              <m:t>0</m:t>
            </m:r>
          </m:sub>
        </m:sSub>
      </m:oMath>
      <w:r>
        <w:rPr>
          <w:noProof/>
        </w:rPr>
        <w:t xml:space="preserve"> for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oMath>
      <w:r w:rsidRPr="00B150CB">
        <w:rPr>
          <w:noProof/>
        </w:rPr>
        <w:t xml:space="preserve"> is the </w:t>
      </w:r>
      <w:r>
        <w:rPr>
          <w:noProof/>
        </w:rPr>
        <w:t xml:space="preserve">one nearest to </w:t>
      </w:r>
      <w:r w:rsidRPr="00C70056">
        <w:rPr>
          <w:i/>
          <w:noProof/>
        </w:rPr>
        <w:t>eq</w:t>
      </w:r>
      <w:r>
        <w:rPr>
          <w:noProof/>
        </w:rPr>
        <w:t xml:space="preserve">.(4). </w:t>
      </w:r>
    </w:p>
    <w:p w14:paraId="1928F732" w14:textId="48023BE4" w:rsidR="00DD65C8" w:rsidRPr="00B744BD" w:rsidRDefault="00DD65C8" w:rsidP="00DD65C8">
      <w:pPr>
        <w:spacing w:after="120" w:line="360" w:lineRule="auto"/>
        <w:jc w:val="both"/>
        <w:rPr>
          <w:noProof/>
        </w:rPr>
      </w:pPr>
      <w:r>
        <w:rPr>
          <w:noProof/>
        </w:rPr>
        <w:t xml:space="preserve">Once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oMath>
      <w:r>
        <w:rPr>
          <w:b/>
          <w:noProof/>
        </w:rPr>
        <w:t xml:space="preserve"> </w:t>
      </w:r>
      <w:r w:rsidRPr="00444D54">
        <w:rPr>
          <w:noProof/>
        </w:rPr>
        <w:t>was determined</w:t>
      </w:r>
      <w:r>
        <w:rPr>
          <w:b/>
          <w:noProof/>
        </w:rPr>
        <w:t xml:space="preserve">, </w:t>
      </w:r>
      <w:r>
        <w:rPr>
          <w:noProof/>
        </w:rPr>
        <w:t xml:space="preserve">to calculate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oMath>
      <w:r>
        <w:rPr>
          <w:noProof/>
        </w:rPr>
        <w:t xml:space="preserve">, considering a lattice plane </w:t>
      </w:r>
      <m:oMath>
        <m:r>
          <m:rPr>
            <m:sty m:val="bi"/>
          </m:rPr>
          <w:rPr>
            <w:rFonts w:ascii="Cambria Math" w:hAnsi="Cambria Math"/>
            <w:noProof/>
          </w:rPr>
          <m:t>L</m:t>
        </m:r>
      </m:oMath>
      <w:r>
        <w:rPr>
          <w:b/>
          <w:noProof/>
        </w:rPr>
        <w:t xml:space="preserve"> </w:t>
      </w:r>
      <w:r w:rsidRPr="003F031C">
        <w:rPr>
          <w:noProof/>
        </w:rPr>
        <w:t xml:space="preserve">which </w:t>
      </w:r>
      <w:r>
        <w:rPr>
          <w:noProof/>
        </w:rPr>
        <w:t xml:space="preserve">contains vector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oMath>
      <w:r>
        <w:rPr>
          <w:b/>
          <w:noProof/>
        </w:rPr>
        <w:t xml:space="preserve"> </w:t>
      </w:r>
      <w:r w:rsidRPr="003F031C">
        <w:rPr>
          <w:noProof/>
        </w:rPr>
        <w:t xml:space="preserve">and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oMath>
      <w:r>
        <w:rPr>
          <w:noProof/>
        </w:rPr>
        <w:t xml:space="preserve">, where </w:t>
      </w:r>
      <m:oMath>
        <m:r>
          <m:rPr>
            <m:sty m:val="p"/>
          </m:rPr>
          <w:rPr>
            <w:rFonts w:ascii="Cambria Math" w:hAnsi="Cambria Math"/>
            <w:noProof/>
          </w:rPr>
          <m:t>|</m:t>
        </m:r>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oMath>
      <w:r>
        <w:rPr>
          <w:noProof/>
        </w:rPr>
        <w:t>|</w:t>
      </w:r>
      <m:oMath>
        <m:r>
          <w:rPr>
            <w:rFonts w:ascii="Cambria Math" w:hAnsi="Cambria Math"/>
            <w:noProof/>
          </w:rPr>
          <m:t>≤</m:t>
        </m:r>
        <m:r>
          <m:rPr>
            <m:sty m:val="p"/>
          </m:rPr>
          <w:rPr>
            <w:rFonts w:ascii="Cambria Math" w:hAnsi="Cambria Math"/>
            <w:noProof/>
          </w:rPr>
          <m:t>|</m:t>
        </m:r>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r>
          <m:rPr>
            <m:sty m:val="p"/>
          </m:rPr>
          <w:rPr>
            <w:rFonts w:ascii="Cambria Math" w:hAnsi="Cambria Math"/>
            <w:noProof/>
          </w:rPr>
          <m:t>|</m:t>
        </m:r>
      </m:oMath>
      <w:r>
        <w:rPr>
          <w:noProof/>
        </w:rPr>
        <w:t xml:space="preserve">. Let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oMath>
      <w:r>
        <w:rPr>
          <w:b/>
          <w:noProof/>
        </w:rPr>
        <w:t xml:space="preserve"> </w:t>
      </w:r>
      <w:r w:rsidRPr="00B744BD">
        <w:rPr>
          <w:b/>
          <w:noProof/>
        </w:rPr>
        <w:t>OA</w:t>
      </w:r>
      <w:r>
        <w:rPr>
          <w:b/>
          <w:noProof/>
        </w:rPr>
        <w:t xml:space="preserve"> </w:t>
      </w:r>
      <w:r w:rsidRPr="00B744BD">
        <w:rPr>
          <w:noProof/>
        </w:rPr>
        <w:t xml:space="preserve">projection </w:t>
      </w:r>
      <w:r>
        <w:rPr>
          <w:noProof/>
        </w:rPr>
        <w:t xml:space="preserve">on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oMath>
      <w:r>
        <w:rPr>
          <w:b/>
          <w:noProof/>
        </w:rPr>
        <w:t xml:space="preserve"> </w:t>
      </w:r>
      <w:r w:rsidR="002D6024">
        <w:rPr>
          <w:noProof/>
        </w:rPr>
        <w:t xml:space="preserve">be </w:t>
      </w:r>
      <w:r w:rsidRPr="00B744BD">
        <w:rPr>
          <w:b/>
          <w:noProof/>
        </w:rPr>
        <w:t>OA’</w:t>
      </w:r>
      <w:r w:rsidRPr="00B744BD">
        <w:rPr>
          <w:noProof/>
        </w:rPr>
        <w:t xml:space="preserve"> </w:t>
      </w:r>
      <w:r>
        <w:rPr>
          <w:noProof/>
        </w:rPr>
        <w:t xml:space="preserve">, by linking the nearest point B to A, a new vector is generated.  </w:t>
      </w:r>
    </w:p>
    <w:p w14:paraId="539FE78B" w14:textId="77777777" w:rsidR="00DD65C8" w:rsidRDefault="00DD65C8" w:rsidP="00DD65C8">
      <w:pPr>
        <w:spacing w:after="120" w:line="360" w:lineRule="auto"/>
        <w:rPr>
          <w:noProof/>
        </w:rPr>
      </w:pPr>
      <w:bookmarkStart w:id="360" w:name="_Hlk7364385"/>
      <w:r>
        <w:rPr>
          <w:noProof/>
          <w:lang w:val="en-US" w:eastAsia="en-US"/>
        </w:rPr>
        <w:drawing>
          <wp:inline distT="0" distB="0" distL="0" distR="0" wp14:anchorId="48F41094" wp14:editId="562CE3F7">
            <wp:extent cx="5274310" cy="2894965"/>
            <wp:effectExtent l="0" t="0" r="2540" b="635"/>
            <wp:docPr id="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2894965"/>
                    </a:xfrm>
                    <a:prstGeom prst="rect">
                      <a:avLst/>
                    </a:prstGeom>
                  </pic:spPr>
                </pic:pic>
              </a:graphicData>
            </a:graphic>
          </wp:inline>
        </w:drawing>
      </w:r>
    </w:p>
    <w:p w14:paraId="3882AA0B" w14:textId="77777777" w:rsidR="00DD65C8" w:rsidRPr="00C73EF3" w:rsidRDefault="00DD65C8" w:rsidP="00DD65C8">
      <w:pPr>
        <w:spacing w:after="120" w:line="360" w:lineRule="auto"/>
        <w:jc w:val="both"/>
        <w:rPr>
          <w:noProof/>
          <w:sz w:val="20"/>
        </w:rPr>
      </w:pPr>
      <w:bookmarkStart w:id="361" w:name="_Toc7364623"/>
      <w:bookmarkStart w:id="362" w:name="_Toc39312737"/>
      <w:bookmarkStart w:id="363" w:name="_Hlk7364378"/>
      <w:bookmarkEnd w:id="360"/>
      <w:r w:rsidRPr="00C73EF3">
        <w:rPr>
          <w:b/>
          <w:noProof/>
          <w:sz w:val="20"/>
        </w:rPr>
        <w:t>Figure 10-</w:t>
      </w:r>
      <w:r w:rsidRPr="00D77CA4">
        <w:rPr>
          <w:b/>
          <w:sz w:val="20"/>
        </w:rPr>
        <w:fldChar w:fldCharType="begin"/>
      </w:r>
      <w:r w:rsidRPr="00D77CA4">
        <w:rPr>
          <w:b/>
          <w:sz w:val="20"/>
        </w:rPr>
        <w:instrText xml:space="preserve"> SEQ Figure \* ARABIC </w:instrText>
      </w:r>
      <w:r w:rsidRPr="00D77CA4">
        <w:rPr>
          <w:b/>
          <w:sz w:val="20"/>
        </w:rPr>
        <w:fldChar w:fldCharType="separate"/>
      </w:r>
      <w:r w:rsidRPr="00D77CA4">
        <w:rPr>
          <w:b/>
          <w:noProof/>
          <w:sz w:val="20"/>
        </w:rPr>
        <w:t>1</w:t>
      </w:r>
      <w:r w:rsidRPr="00D77CA4">
        <w:rPr>
          <w:b/>
          <w:sz w:val="20"/>
        </w:rPr>
        <w:fldChar w:fldCharType="end"/>
      </w:r>
      <w:r>
        <w:rPr>
          <w:b/>
          <w:noProof/>
          <w:sz w:val="20"/>
        </w:rPr>
        <w:t xml:space="preserve"> Schematic of the iterative procedure to determine basis vectors on (</w:t>
      </w:r>
      <m:oMath>
        <m:r>
          <w:rPr>
            <w:rFonts w:ascii="Cambria Math" w:hAnsi="Cambria Math"/>
            <w:noProof/>
            <w:sz w:val="20"/>
          </w:rPr>
          <m:t>h k l</m:t>
        </m:r>
      </m:oMath>
      <w:r>
        <w:rPr>
          <w:b/>
          <w:noProof/>
          <w:sz w:val="20"/>
        </w:rPr>
        <w:t>) plane</w:t>
      </w:r>
      <w:r w:rsidRPr="00C73EF3">
        <w:rPr>
          <w:noProof/>
          <w:sz w:val="20"/>
        </w:rPr>
        <w:t>.</w:t>
      </w:r>
      <w:bookmarkEnd w:id="361"/>
      <w:bookmarkEnd w:id="362"/>
      <w:r w:rsidRPr="00C73EF3">
        <w:rPr>
          <w:noProof/>
          <w:sz w:val="20"/>
        </w:rPr>
        <w:t xml:space="preserve">  </w:t>
      </w:r>
    </w:p>
    <w:bookmarkEnd w:id="363"/>
    <w:p w14:paraId="07C24D14" w14:textId="77777777" w:rsidR="00DD65C8" w:rsidRDefault="00DD65C8" w:rsidP="00DD65C8">
      <w:pPr>
        <w:spacing w:after="120" w:line="360" w:lineRule="auto"/>
        <w:rPr>
          <w:noProof/>
        </w:rPr>
      </w:pPr>
      <w:r>
        <w:rPr>
          <w:noProof/>
        </w:rPr>
        <w:t>By iterative procedure, let a new base vector:</w:t>
      </w:r>
    </w:p>
    <w:p w14:paraId="4413AD04" w14:textId="07E97F22" w:rsidR="00DD65C8" w:rsidRDefault="00077961" w:rsidP="00DD65C8">
      <w:pPr>
        <w:spacing w:after="120" w:line="360" w:lineRule="auto"/>
        <w:jc w:val="right"/>
        <w:rPr>
          <w:noProof/>
        </w:rPr>
      </w:pP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r>
          <m:rPr>
            <m:sty m:val="bi"/>
          </m:rPr>
          <w:rPr>
            <w:rFonts w:ascii="Cambria Math" w:hAnsi="Cambria Math"/>
            <w:noProof/>
          </w:rPr>
          <m:t>'</m:t>
        </m:r>
      </m:oMath>
      <w:r w:rsidR="00DD65C8">
        <w:rPr>
          <w:noProof/>
        </w:rPr>
        <w:t>=</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oMath>
      <w:r w:rsidR="00DD65C8" w:rsidRPr="00791C20">
        <w:rPr>
          <w:noProof/>
        </w:rPr>
        <w:t>,</w:t>
      </w:r>
      <w:r w:rsidR="00DD65C8">
        <w:rPr>
          <w:b/>
          <w:noProof/>
        </w:rPr>
        <w:t xml:space="preserve">   </w:t>
      </w:r>
      <w:r w:rsidR="00DD65C8">
        <w:rPr>
          <w:noProof/>
        </w:rPr>
        <w:t xml:space="preserve">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r>
          <m:rPr>
            <m:sty m:val="bi"/>
          </m:rPr>
          <w:rPr>
            <w:rFonts w:ascii="Cambria Math" w:hAnsi="Cambria Math"/>
            <w:noProof/>
          </w:rPr>
          <m:t>'</m:t>
        </m:r>
      </m:oMath>
      <w:r w:rsidR="00DD65C8" w:rsidRPr="000677F5">
        <w:rPr>
          <w:noProof/>
        </w:rPr>
        <w:t>=</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r>
          <m:rPr>
            <m:sty m:val="bi"/>
          </m:rPr>
          <w:rPr>
            <w:rFonts w:ascii="Cambria Math" w:hAnsi="Cambria Math"/>
            <w:noProof/>
          </w:rPr>
          <m:t>-α</m:t>
        </m:r>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oMath>
      <w:r w:rsidR="00DD65C8" w:rsidRPr="00791C20">
        <w:rPr>
          <w:noProof/>
        </w:rPr>
        <w:t>.</w:t>
      </w:r>
      <w:r w:rsidR="00DD65C8">
        <w:rPr>
          <w:noProof/>
        </w:rPr>
        <w:t xml:space="preserve">                                                                 (5)                                                    </w:t>
      </w:r>
    </w:p>
    <w:p w14:paraId="41E1477F" w14:textId="77777777" w:rsidR="00DD65C8" w:rsidRDefault="00DD65C8" w:rsidP="00DD65C8">
      <w:pPr>
        <w:spacing w:after="120" w:line="360" w:lineRule="auto"/>
        <w:rPr>
          <w:noProof/>
        </w:rPr>
      </w:pPr>
      <w:r>
        <w:rPr>
          <w:noProof/>
        </w:rPr>
        <w:t xml:space="preserve">Test the value of </w:t>
      </w:r>
      <m:oMath>
        <m:r>
          <m:rPr>
            <m:sty m:val="bi"/>
          </m:rPr>
          <w:rPr>
            <w:rFonts w:ascii="Cambria Math" w:hAnsi="Cambria Math"/>
            <w:noProof/>
          </w:rPr>
          <m:t>α</m:t>
        </m:r>
      </m:oMath>
      <w:r>
        <w:rPr>
          <w:b/>
          <w:noProof/>
        </w:rPr>
        <w:t xml:space="preserve"> </w:t>
      </w:r>
      <w:r w:rsidRPr="00B744BD">
        <w:rPr>
          <w:noProof/>
        </w:rPr>
        <w:t>every loop,</w:t>
      </w:r>
    </w:p>
    <w:p w14:paraId="7A80B331" w14:textId="1C55B5BC" w:rsidR="00DD65C8" w:rsidRDefault="00DD65C8" w:rsidP="00DD65C8">
      <w:pPr>
        <w:spacing w:after="120" w:line="360" w:lineRule="auto"/>
        <w:jc w:val="right"/>
        <w:rPr>
          <w:noProof/>
        </w:rPr>
      </w:pPr>
      <m:oMath>
        <m:r>
          <m:rPr>
            <m:sty m:val="bi"/>
          </m:rPr>
          <w:rPr>
            <w:rFonts w:ascii="Cambria Math" w:hAnsi="Cambria Math"/>
            <w:noProof/>
          </w:rPr>
          <m:t>α</m:t>
        </m:r>
      </m:oMath>
      <w:r w:rsidRPr="00444D54">
        <w:rPr>
          <w:noProof/>
        </w:rPr>
        <w:t>=</w:t>
      </w:r>
      <m:oMath>
        <m:f>
          <m:fPr>
            <m:ctrlPr>
              <w:rPr>
                <w:rFonts w:ascii="Cambria Math" w:hAnsi="Cambria Math"/>
                <w:i/>
                <w:noProof/>
              </w:rPr>
            </m:ctrlPr>
          </m:fPr>
          <m:num>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r>
              <m:rPr>
                <m:sty m:val="bi"/>
              </m:rPr>
              <w:rPr>
                <w:rFonts w:ascii="Cambria Math" w:hAnsi="Cambria Math"/>
                <w:noProof/>
              </w:rPr>
              <m:t>∙</m:t>
            </m:r>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num>
          <m:den>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r>
              <m:rPr>
                <m:sty m:val="bi"/>
              </m:rPr>
              <w:rPr>
                <w:rFonts w:ascii="Cambria Math" w:hAnsi="Cambria Math"/>
                <w:noProof/>
              </w:rPr>
              <m:t>∙</m:t>
            </m:r>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den>
        </m:f>
      </m:oMath>
      <w:r>
        <w:rPr>
          <w:noProof/>
        </w:rPr>
        <w:t xml:space="preserve">                                                                                   (6)                                                                        </w:t>
      </w:r>
    </w:p>
    <w:p w14:paraId="366759C2" w14:textId="77777777" w:rsidR="00DD65C8" w:rsidRDefault="00DD65C8" w:rsidP="00DD65C8">
      <w:pPr>
        <w:spacing w:after="120" w:line="360" w:lineRule="auto"/>
        <w:ind w:right="110"/>
        <w:jc w:val="both"/>
        <w:rPr>
          <w:noProof/>
        </w:rPr>
      </w:pPr>
      <w:r>
        <w:rPr>
          <w:noProof/>
        </w:rPr>
        <w:t xml:space="preserve">Only if </w:t>
      </w:r>
      <m:oMath>
        <m:r>
          <m:rPr>
            <m:sty m:val="bi"/>
          </m:rPr>
          <w:rPr>
            <w:rFonts w:ascii="Cambria Math" w:hAnsi="Cambria Math"/>
            <w:noProof/>
          </w:rPr>
          <m:t>α≤</m:t>
        </m:r>
      </m:oMath>
      <w:r>
        <w:rPr>
          <w:noProof/>
        </w:rPr>
        <w:t xml:space="preserve">0.5 the procedure stops, otherwise take </w:t>
      </w:r>
      <m:oMath>
        <m:r>
          <m:rPr>
            <m:sty m:val="bi"/>
          </m:rPr>
          <w:rPr>
            <w:rFonts w:ascii="Cambria Math" w:hAnsi="Cambria Math"/>
            <w:noProof/>
          </w:rPr>
          <m:t xml:space="preserve">α </m:t>
        </m:r>
      </m:oMath>
      <w:r w:rsidRPr="00B744BD">
        <w:rPr>
          <w:noProof/>
        </w:rPr>
        <w:t>=</w:t>
      </w:r>
      <m:oMath>
        <m:r>
          <w:rPr>
            <w:rFonts w:ascii="Cambria Math" w:hAnsi="Cambria Math"/>
            <w:noProof/>
          </w:rPr>
          <m:t>n</m:t>
        </m:r>
      </m:oMath>
      <w:r>
        <w:rPr>
          <w:noProof/>
        </w:rPr>
        <w:t xml:space="preserve"> (</w:t>
      </w:r>
      <m:oMath>
        <m:r>
          <w:rPr>
            <w:rFonts w:ascii="Cambria Math" w:hAnsi="Cambria Math"/>
            <w:noProof/>
          </w:rPr>
          <m:t>n</m:t>
        </m:r>
      </m:oMath>
      <w:r>
        <w:rPr>
          <w:noProof/>
        </w:rPr>
        <w:t xml:space="preserve"> represents the multiple of the distance from origin point </w:t>
      </w:r>
      <m:oMath>
        <m:r>
          <w:rPr>
            <w:rFonts w:ascii="Cambria Math" w:hAnsi="Cambria Math"/>
            <w:noProof/>
          </w:rPr>
          <m:t>O</m:t>
        </m:r>
      </m:oMath>
      <w:r>
        <w:rPr>
          <w:noProof/>
        </w:rPr>
        <w:t xml:space="preserve"> to </w:t>
      </w:r>
      <m:oMath>
        <m:r>
          <w:rPr>
            <w:rFonts w:ascii="Cambria Math" w:hAnsi="Cambria Math"/>
            <w:noProof/>
          </w:rPr>
          <m:t>B</m:t>
        </m:r>
      </m:oMath>
      <w:r>
        <w:rPr>
          <w:noProof/>
        </w:rPr>
        <w:t xml:space="preserve">, while </w:t>
      </w:r>
      <m:oMath>
        <m:r>
          <w:rPr>
            <w:rFonts w:ascii="Cambria Math" w:hAnsi="Cambria Math"/>
            <w:noProof/>
          </w:rPr>
          <m:t>B</m:t>
        </m:r>
      </m:oMath>
      <w:r>
        <w:rPr>
          <w:noProof/>
        </w:rPr>
        <w:t xml:space="preserve"> is the nearest lattice to the end of </w:t>
      </w:r>
      <m:oMath>
        <m:r>
          <w:rPr>
            <w:rFonts w:ascii="Cambria Math" w:hAnsi="Cambria Math"/>
            <w:noProof/>
          </w:rPr>
          <m:t>OA</m:t>
        </m:r>
      </m:oMath>
      <w:r>
        <w:rPr>
          <w:noProof/>
        </w:rPr>
        <w:t xml:space="preserve"> projection on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oMath>
      <w:r>
        <w:rPr>
          <w:b/>
          <w:noProof/>
        </w:rPr>
        <w:t xml:space="preserve"> </w:t>
      </w:r>
      <w:r w:rsidRPr="007B0BBF">
        <w:rPr>
          <w:noProof/>
        </w:rPr>
        <w:t>direction</w:t>
      </w:r>
      <w:r>
        <w:rPr>
          <w:noProof/>
        </w:rPr>
        <w:t xml:space="preserve"> </w:t>
      </w:r>
      <m:oMath>
        <m:r>
          <w:rPr>
            <w:rFonts w:ascii="Cambria Math" w:hAnsi="Cambria Math"/>
            <w:noProof/>
          </w:rPr>
          <m:t>OA'</m:t>
        </m:r>
      </m:oMath>
      <w:r>
        <w:rPr>
          <w:noProof/>
        </w:rPr>
        <w:t xml:space="preserve">) and continue until </w:t>
      </w:r>
      <m:oMath>
        <m:r>
          <m:rPr>
            <m:sty m:val="bi"/>
          </m:rPr>
          <w:rPr>
            <w:rFonts w:ascii="Cambria Math" w:hAnsi="Cambria Math"/>
            <w:noProof/>
          </w:rPr>
          <m:t>α≤</m:t>
        </m:r>
      </m:oMath>
      <w:r>
        <w:rPr>
          <w:noProof/>
        </w:rPr>
        <w:t>0.5. The final check in the procedure is:</w:t>
      </w:r>
    </w:p>
    <w:p w14:paraId="35EB442A" w14:textId="77777777" w:rsidR="00DD65C8" w:rsidRDefault="00DD65C8" w:rsidP="00DD65C8">
      <w:pPr>
        <w:spacing w:after="120" w:line="360" w:lineRule="auto"/>
        <w:ind w:right="110"/>
        <w:rPr>
          <w:noProof/>
        </w:rPr>
      </w:pPr>
      <w:r>
        <w:rPr>
          <w:noProof/>
        </w:rPr>
        <w:t xml:space="preserve">After checking </w:t>
      </w:r>
      <m:oMath>
        <m:r>
          <m:rPr>
            <m:sty m:val="bi"/>
          </m:rPr>
          <w:rPr>
            <w:rFonts w:ascii="Cambria Math" w:hAnsi="Cambria Math"/>
            <w:noProof/>
          </w:rPr>
          <m:t>α≤</m:t>
        </m:r>
      </m:oMath>
      <w:r>
        <w:rPr>
          <w:noProof/>
        </w:rPr>
        <w:t>0.5, and obtaining:</w:t>
      </w:r>
    </w:p>
    <w:p w14:paraId="1DA2CD30" w14:textId="1E2867FB" w:rsidR="00DD65C8" w:rsidRDefault="00DD65C8" w:rsidP="00DD65C8">
      <w:pPr>
        <w:spacing w:after="120" w:line="360" w:lineRule="auto"/>
        <w:ind w:right="110"/>
        <w:jc w:val="right"/>
        <w:rPr>
          <w:noProof/>
        </w:rPr>
      </w:pPr>
      <w:r>
        <w:rPr>
          <w:noProof/>
        </w:rPr>
        <w:t xml:space="preserve">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r>
          <m:rPr>
            <m:sty m:val="bi"/>
          </m:rPr>
          <w:rPr>
            <w:rFonts w:ascii="Cambria Math" w:hAnsi="Cambria Math"/>
            <w:noProof/>
          </w:rPr>
          <m:t>'</m:t>
        </m:r>
      </m:oMath>
      <w:r w:rsidRPr="00EB0405">
        <w:rPr>
          <w:noProof/>
        </w:rPr>
        <w:t>=(</w:t>
      </w:r>
      <m:oMath>
        <m:r>
          <w:rPr>
            <w:rFonts w:ascii="Cambria Math" w:hAnsi="Cambria Math"/>
            <w:noProof/>
          </w:rPr>
          <m:t>A,B,C</m:t>
        </m:r>
      </m:oMath>
      <w:r w:rsidRPr="00EB0405">
        <w:rPr>
          <w:noProof/>
        </w:rPr>
        <w:t>)</w:t>
      </w:r>
      <w:r>
        <w:rPr>
          <w:noProof/>
        </w:rPr>
        <w:t>,</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r>
          <m:rPr>
            <m:sty m:val="bi"/>
          </m:rPr>
          <w:rPr>
            <w:rFonts w:ascii="Cambria Math" w:hAnsi="Cambria Math"/>
            <w:noProof/>
          </w:rPr>
          <m:t>'</m:t>
        </m:r>
      </m:oMath>
      <w:r w:rsidRPr="00EB0405">
        <w:rPr>
          <w:noProof/>
        </w:rPr>
        <w:t>=(</w:t>
      </w:r>
      <m:oMath>
        <m:r>
          <w:rPr>
            <w:rFonts w:ascii="Cambria Math" w:hAnsi="Cambria Math"/>
            <w:noProof/>
          </w:rPr>
          <m:t>D,E,F</m:t>
        </m:r>
      </m:oMath>
      <w:r w:rsidRPr="00EB0405">
        <w:rPr>
          <w:noProof/>
        </w:rPr>
        <w:t>)</w:t>
      </w:r>
      <w:r>
        <w:rPr>
          <w:noProof/>
        </w:rPr>
        <w:t xml:space="preserve">, let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3</m:t>
            </m:r>
          </m:sub>
        </m:sSub>
      </m:oMath>
      <w:r w:rsidRPr="00EB0405">
        <w:rPr>
          <w:noProof/>
        </w:rPr>
        <w:t>=(</w:t>
      </w:r>
      <m:oMath>
        <m:r>
          <w:rPr>
            <w:rFonts w:ascii="Cambria Math" w:hAnsi="Cambria Math"/>
            <w:noProof/>
          </w:rPr>
          <m:t>D-A,E-B,F-C</m:t>
        </m:r>
      </m:oMath>
      <w:r w:rsidRPr="00EB0405">
        <w:rPr>
          <w:noProof/>
        </w:rPr>
        <w:t>)</w:t>
      </w:r>
      <w:r>
        <w:rPr>
          <w:noProof/>
        </w:rPr>
        <w:t>.                                (7)</w:t>
      </w:r>
    </w:p>
    <w:p w14:paraId="332C30DA" w14:textId="4B3C740B" w:rsidR="00DD65C8" w:rsidRPr="005B4B37" w:rsidRDefault="00DD65C8" w:rsidP="002D6024">
      <w:pPr>
        <w:spacing w:after="120" w:line="360" w:lineRule="auto"/>
        <w:ind w:right="110"/>
        <w:jc w:val="both"/>
        <w:rPr>
          <w:rFonts w:ascii="Cambria Math" w:hAnsi="Cambria Math"/>
          <w:i/>
          <w:noProof/>
        </w:rPr>
      </w:pPr>
      <w:r>
        <w:rPr>
          <w:noProof/>
        </w:rPr>
        <w:lastRenderedPageBreak/>
        <w:t>If gcd|(</w:t>
      </w:r>
      <m:oMath>
        <m:r>
          <w:rPr>
            <w:rFonts w:ascii="Cambria Math" w:hAnsi="Cambria Math"/>
            <w:noProof/>
          </w:rPr>
          <m:t>D,E,F</m:t>
        </m:r>
      </m:oMath>
      <w:r>
        <w:rPr>
          <w:noProof/>
        </w:rPr>
        <w:t>)|=</w:t>
      </w:r>
      <w:r w:rsidRPr="005A0707">
        <w:rPr>
          <w:noProof/>
        </w:rPr>
        <w:t xml:space="preserve"> </w:t>
      </w:r>
      <w:r>
        <w:rPr>
          <w:noProof/>
        </w:rPr>
        <w:t>gcd|(</w:t>
      </w:r>
      <m:oMath>
        <m:r>
          <w:rPr>
            <w:rFonts w:ascii="Cambria Math" w:hAnsi="Cambria Math"/>
            <w:noProof/>
          </w:rPr>
          <m:t>D-A,E-B,F-C</m:t>
        </m:r>
      </m:oMath>
      <w:r>
        <w:rPr>
          <w:noProof/>
        </w:rPr>
        <w:t>)|=</w:t>
      </w:r>
      <m:oMath>
        <m:r>
          <w:rPr>
            <w:rFonts w:ascii="Cambria Math" w:hAnsi="Cambria Math"/>
            <w:noProof/>
          </w:rPr>
          <m:t>±1</m:t>
        </m:r>
      </m:oMath>
      <w:r>
        <w:rPr>
          <w:noProof/>
        </w:rPr>
        <w:t xml:space="preserve">, then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r>
          <m:rPr>
            <m:sty m:val="bi"/>
          </m:rPr>
          <w:rPr>
            <w:rFonts w:ascii="Cambria Math" w:hAnsi="Cambria Math"/>
            <w:noProof/>
          </w:rPr>
          <m:t>'</m:t>
        </m:r>
      </m:oMath>
      <w:r w:rsidRPr="00EB0405">
        <w:rPr>
          <w:noProof/>
        </w:rPr>
        <w:t>=(</w:t>
      </w:r>
      <m:oMath>
        <m:r>
          <w:rPr>
            <w:rFonts w:ascii="Cambria Math" w:hAnsi="Cambria Math"/>
            <w:noProof/>
          </w:rPr>
          <m:t>A,B,C</m:t>
        </m:r>
      </m:oMath>
      <w:r w:rsidRPr="00EB0405">
        <w:rPr>
          <w:noProof/>
        </w:rPr>
        <w:t>)</w:t>
      </w:r>
      <w:r>
        <w:rPr>
          <w:noProof/>
        </w:rPr>
        <w:t>,</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r>
          <m:rPr>
            <m:sty m:val="bi"/>
          </m:rPr>
          <w:rPr>
            <w:rFonts w:ascii="Cambria Math" w:hAnsi="Cambria Math"/>
            <w:noProof/>
          </w:rPr>
          <m:t>'</m:t>
        </m:r>
      </m:oMath>
      <w:r>
        <w:rPr>
          <w:noProof/>
        </w:rPr>
        <w:t>=(</w:t>
      </w:r>
      <m:oMath>
        <m:r>
          <w:rPr>
            <w:rFonts w:ascii="Cambria Math" w:hAnsi="Cambria Math"/>
            <w:noProof/>
          </w:rPr>
          <m:t>D,E,F</m:t>
        </m:r>
      </m:oMath>
      <w:r w:rsidRPr="00EB0405">
        <w:rPr>
          <w:noProof/>
        </w:rPr>
        <w:t>)</w:t>
      </w:r>
      <w:r>
        <w:rPr>
          <w:noProof/>
        </w:rPr>
        <w:t xml:space="preserve"> are the primitive basis vectors. Otherwise, if gcd|(</w:t>
      </w:r>
      <m:oMath>
        <m:r>
          <w:rPr>
            <w:rFonts w:ascii="Cambria Math" w:hAnsi="Cambria Math"/>
            <w:noProof/>
          </w:rPr>
          <m:t>D,E,F</m:t>
        </m:r>
      </m:oMath>
      <w:r>
        <w:rPr>
          <w:noProof/>
        </w:rPr>
        <w:t>)|=</w:t>
      </w:r>
      <m:oMath>
        <m:r>
          <w:rPr>
            <w:rFonts w:ascii="Cambria Math" w:hAnsi="Cambria Math"/>
            <w:noProof/>
          </w:rPr>
          <m:t xml:space="preserve"> n</m:t>
        </m:r>
      </m:oMath>
      <w:r>
        <w:rPr>
          <w:noProof/>
        </w:rPr>
        <w:t>,</w:t>
      </w:r>
      <w:r w:rsidRPr="005A0707">
        <w:rPr>
          <w:noProof/>
        </w:rPr>
        <w:t xml:space="preserve"> </w:t>
      </w:r>
      <w:r>
        <w:rPr>
          <w:noProof/>
        </w:rPr>
        <w:t>gcd|(</w:t>
      </w:r>
      <m:oMath>
        <m:r>
          <w:rPr>
            <w:rFonts w:ascii="Cambria Math" w:hAnsi="Cambria Math"/>
            <w:noProof/>
          </w:rPr>
          <m:t>D-A,E-B,F-C</m:t>
        </m:r>
      </m:oMath>
      <w:r>
        <w:rPr>
          <w:noProof/>
        </w:rPr>
        <w:t>)|=</w:t>
      </w:r>
      <m:oMath>
        <m:r>
          <w:rPr>
            <w:rFonts w:ascii="Cambria Math" w:hAnsi="Cambria Math"/>
            <w:noProof/>
          </w:rPr>
          <m:t>m</m:t>
        </m:r>
      </m:oMath>
      <w:r>
        <w:rPr>
          <w:noProof/>
        </w:rPr>
        <w:t xml:space="preserve"> (</w:t>
      </w:r>
      <m:oMath>
        <m:r>
          <w:rPr>
            <w:rFonts w:ascii="Cambria Math" w:hAnsi="Cambria Math"/>
            <w:noProof/>
          </w:rPr>
          <m:t>1≤n</m:t>
        </m:r>
      </m:oMath>
      <w:r>
        <w:rPr>
          <w:noProof/>
        </w:rPr>
        <w:t>,</w:t>
      </w:r>
      <m:oMath>
        <m:r>
          <w:rPr>
            <w:rFonts w:ascii="Cambria Math" w:hAnsi="Cambria Math"/>
            <w:noProof/>
          </w:rPr>
          <m:t>1≤m,n</m:t>
        </m:r>
        <m:r>
          <m:rPr>
            <m:sty m:val="p"/>
          </m:rPr>
          <w:rPr>
            <w:rFonts w:ascii="Cambria Math" w:hAnsi="Cambria Math"/>
            <w:noProof/>
          </w:rPr>
          <m:t>,</m:t>
        </m:r>
        <m:r>
          <w:rPr>
            <w:rFonts w:ascii="Cambria Math" w:hAnsi="Cambria Math"/>
            <w:noProof/>
          </w:rPr>
          <m:t>≠m</m:t>
        </m:r>
      </m:oMath>
      <w:r>
        <w:rPr>
          <w:noProof/>
        </w:rPr>
        <w:t xml:space="preserve">), compare </w:t>
      </w:r>
      <m:oMath>
        <m:r>
          <m:rPr>
            <m:sty m:val="p"/>
          </m:rPr>
          <w:rPr>
            <w:rFonts w:ascii="Cambria Math" w:hAnsi="Cambria Math"/>
            <w:noProof/>
          </w:rPr>
          <m:t>|</m:t>
        </m:r>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r>
          <m:rPr>
            <m:sty m:val="p"/>
          </m:rPr>
          <w:rPr>
            <w:rFonts w:ascii="Cambria Math" w:hAnsi="Cambria Math"/>
            <w:noProof/>
          </w:rPr>
          <m:t>'|</m:t>
        </m:r>
        <m:r>
          <m:rPr>
            <m:sty m:val="bi"/>
          </m:rPr>
          <w:rPr>
            <w:rFonts w:ascii="Cambria Math" w:hAnsi="Cambria Math"/>
            <w:noProof/>
          </w:rPr>
          <m:t>/</m:t>
        </m:r>
        <m:r>
          <w:rPr>
            <w:rFonts w:ascii="Cambria Math" w:hAnsi="Cambria Math"/>
            <w:noProof/>
          </w:rPr>
          <m:t>n</m:t>
        </m:r>
      </m:oMath>
      <w:r>
        <w:rPr>
          <w:noProof/>
        </w:rPr>
        <w:t xml:space="preserve"> and </w:t>
      </w:r>
      <m:oMath>
        <m:r>
          <m:rPr>
            <m:sty m:val="p"/>
          </m:rPr>
          <w:rPr>
            <w:rFonts w:ascii="Cambria Math" w:hAnsi="Cambria Math"/>
            <w:noProof/>
          </w:rPr>
          <m:t>|</m:t>
        </m:r>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3</m:t>
            </m:r>
          </m:sub>
        </m:sSub>
        <m:r>
          <m:rPr>
            <m:sty m:val="p"/>
          </m:rPr>
          <w:rPr>
            <w:rFonts w:ascii="Cambria Math" w:hAnsi="Cambria Math"/>
            <w:noProof/>
          </w:rPr>
          <m:t>|</m:t>
        </m:r>
        <m:r>
          <m:rPr>
            <m:sty m:val="bi"/>
          </m:rPr>
          <w:rPr>
            <w:rFonts w:ascii="Cambria Math" w:hAnsi="Cambria Math"/>
            <w:noProof/>
          </w:rPr>
          <m:t>/</m:t>
        </m:r>
        <m:r>
          <w:rPr>
            <w:rFonts w:ascii="Cambria Math" w:hAnsi="Cambria Math"/>
            <w:noProof/>
          </w:rPr>
          <m:t>m</m:t>
        </m:r>
      </m:oMath>
      <w:r>
        <w:rPr>
          <w:noProof/>
        </w:rPr>
        <w:t xml:space="preserve">, chose the smaller one as new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oMath>
      <w:r>
        <w:rPr>
          <w:b/>
          <w:noProof/>
        </w:rPr>
        <w:t xml:space="preserve"> </w:t>
      </w:r>
      <w:r w:rsidRPr="00EC1026">
        <w:rPr>
          <w:noProof/>
        </w:rPr>
        <w:t>then</w:t>
      </w:r>
      <w:r>
        <w:rPr>
          <w:b/>
          <w:noProof/>
        </w:rPr>
        <w:t xml:space="preserve"> </w:t>
      </w:r>
      <w:r w:rsidRPr="008449AD">
        <w:rPr>
          <w:noProof/>
        </w:rPr>
        <w:t xml:space="preserve">repeat </w:t>
      </w:r>
      <w:r>
        <w:rPr>
          <w:noProof/>
        </w:rPr>
        <w:t xml:space="preserve">(5)(6), until for the new generated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r>
          <m:rPr>
            <m:sty m:val="bi"/>
          </m:rPr>
          <w:rPr>
            <w:rFonts w:ascii="Cambria Math" w:hAnsi="Cambria Math"/>
            <w:noProof/>
          </w:rPr>
          <m:t>'</m:t>
        </m:r>
      </m:oMath>
      <w:r>
        <w:rPr>
          <w:noProof/>
        </w:rPr>
        <w:t>,</w:t>
      </w:r>
      <w:r>
        <w:rPr>
          <w:b/>
          <w:noProof/>
        </w:rPr>
        <w:t xml:space="preserve"> </w:t>
      </w:r>
      <w:r>
        <w:rPr>
          <w:noProof/>
        </w:rPr>
        <w:t>gcd|(</w:t>
      </w:r>
      <m:oMath>
        <m:r>
          <w:rPr>
            <w:rFonts w:ascii="Cambria Math" w:hAnsi="Cambria Math"/>
            <w:noProof/>
          </w:rPr>
          <m:t>D,E,F</m:t>
        </m:r>
      </m:oMath>
      <w:r>
        <w:rPr>
          <w:noProof/>
        </w:rPr>
        <w:t>)|=</w:t>
      </w:r>
      <w:r w:rsidRPr="005A0707">
        <w:rPr>
          <w:noProof/>
        </w:rPr>
        <w:t xml:space="preserve"> </w:t>
      </w:r>
      <w:r>
        <w:rPr>
          <w:noProof/>
        </w:rPr>
        <w:t>gcd|(</w:t>
      </w:r>
      <m:oMath>
        <m:r>
          <w:rPr>
            <w:rFonts w:ascii="Cambria Math" w:hAnsi="Cambria Math"/>
            <w:noProof/>
          </w:rPr>
          <m:t>D-A,E-B,F-C</m:t>
        </m:r>
      </m:oMath>
      <w:r>
        <w:rPr>
          <w:noProof/>
        </w:rPr>
        <w:t>)|=</w:t>
      </w:r>
      <m:oMath>
        <m:r>
          <w:rPr>
            <w:rFonts w:ascii="Cambria Math" w:hAnsi="Cambria Math"/>
            <w:noProof/>
          </w:rPr>
          <m:t>±1</m:t>
        </m:r>
      </m:oMath>
      <w:r>
        <w:rPr>
          <w:noProof/>
        </w:rPr>
        <w:t>.</w:t>
      </w:r>
      <w:r w:rsidR="002D6024">
        <w:rPr>
          <w:noProof/>
        </w:rPr>
        <w:t xml:space="preserve"> </w:t>
      </w:r>
      <w:r w:rsidRPr="007F728B">
        <w:rPr>
          <w:noProof/>
        </w:rPr>
        <w:t>However</w:t>
      </w:r>
      <w:r>
        <w:rPr>
          <w:noProof/>
        </w:rPr>
        <w:t xml:space="preserve">, in </w:t>
      </w:r>
      <w:r w:rsidRPr="003769D6">
        <w:rPr>
          <w:noProof/>
        </w:rPr>
        <w:t>real</w:t>
      </w:r>
      <w:r>
        <w:rPr>
          <w:noProof/>
        </w:rPr>
        <w:t xml:space="preserve"> </w:t>
      </w:r>
      <w:r w:rsidRPr="007F728B">
        <w:rPr>
          <w:noProof/>
        </w:rPr>
        <w:t>situation</w:t>
      </w:r>
      <w:r>
        <w:rPr>
          <w:noProof/>
        </w:rPr>
        <w:t xml:space="preserve">s, most  </w:t>
      </w:r>
      <w:r w:rsidRPr="008E2E8D">
        <w:rPr>
          <w:noProof/>
        </w:rPr>
        <w:t>Bravais</w:t>
      </w:r>
      <w:r>
        <w:rPr>
          <w:noProof/>
        </w:rPr>
        <w:t xml:space="preserve"> lattice structure of crystals are not their primitive cell, ie.</w:t>
      </w:r>
      <w:r w:rsidR="002D6024">
        <w:rPr>
          <w:noProof/>
        </w:rPr>
        <w:t>,</w:t>
      </w:r>
      <w:r>
        <w:rPr>
          <w:noProof/>
        </w:rPr>
        <w:t xml:space="preserve"> body </w:t>
      </w:r>
      <w:r w:rsidRPr="007F728B">
        <w:rPr>
          <w:noProof/>
        </w:rPr>
        <w:t>centred</w:t>
      </w:r>
      <w:r>
        <w:rPr>
          <w:noProof/>
        </w:rPr>
        <w:t xml:space="preserve"> structure primitive cell is a simple </w:t>
      </w:r>
      <w:r w:rsidRPr="007F728B">
        <w:rPr>
          <w:noProof/>
        </w:rPr>
        <w:t>recta</w:t>
      </w:r>
      <w:r>
        <w:rPr>
          <w:noProof/>
        </w:rPr>
        <w:t>n</w:t>
      </w:r>
      <w:r w:rsidRPr="007F728B">
        <w:rPr>
          <w:noProof/>
        </w:rPr>
        <w:t>gular</w:t>
      </w:r>
      <w:r>
        <w:rPr>
          <w:noProof/>
        </w:rPr>
        <w:t xml:space="preserve"> structure. To solve this and extend the above solution, a simple coordinates transformation should be conducted. For any </w:t>
      </w:r>
      <w:r w:rsidRPr="008E2E8D">
        <w:rPr>
          <w:noProof/>
        </w:rPr>
        <w:t>Bravais</w:t>
      </w:r>
      <w:r>
        <w:rPr>
          <w:noProof/>
        </w:rPr>
        <w:t xml:space="preserve"> lattice whose basis vector are </w:t>
      </w:r>
      <m:oMath>
        <m:r>
          <m:rPr>
            <m:sty m:val="bi"/>
          </m:rPr>
          <w:rPr>
            <w:rFonts w:ascii="Cambria Math" w:hAnsi="Cambria Math"/>
            <w:noProof/>
          </w:rPr>
          <m:t>a b c</m:t>
        </m:r>
      </m:oMath>
      <w:r>
        <w:rPr>
          <w:noProof/>
        </w:rPr>
        <w:t xml:space="preserve"> we have the expression for the primitive cell:</w:t>
      </w:r>
    </w:p>
    <w:p w14:paraId="415AD770" w14:textId="33D09FEA" w:rsidR="00DD65C8" w:rsidRPr="005B4B37" w:rsidRDefault="00077961" w:rsidP="00DD65C8">
      <w:pPr>
        <w:spacing w:after="120" w:line="360" w:lineRule="auto"/>
        <w:jc w:val="right"/>
        <w:rPr>
          <w:noProof/>
        </w:rPr>
      </w:pPr>
      <m:oMath>
        <m:d>
          <m:dPr>
            <m:begChr m:val="{"/>
            <m:endChr m:val=""/>
            <m:ctrlPr>
              <w:rPr>
                <w:rFonts w:ascii="Cambria Math" w:hAnsi="Cambria Math"/>
                <w:i/>
                <w:noProof/>
              </w:rPr>
            </m:ctrlPr>
          </m:dPr>
          <m:e>
            <m:eqArr>
              <m:eqArrPr>
                <m:ctrlPr>
                  <w:rPr>
                    <w:rFonts w:ascii="Cambria Math" w:hAnsi="Cambria Math"/>
                    <w:i/>
                    <w:noProof/>
                  </w:rPr>
                </m:ctrlPr>
              </m:eqArrPr>
              <m:e>
                <m:sSub>
                  <m:sSubPr>
                    <m:ctrlPr>
                      <w:rPr>
                        <w:rFonts w:ascii="Cambria Math" w:hAnsi="Cambria Math"/>
                        <w:i/>
                        <w:noProof/>
                      </w:rPr>
                    </m:ctrlPr>
                  </m:sSubPr>
                  <m:e>
                    <m:r>
                      <m:rPr>
                        <m:sty m:val="bi"/>
                      </m:rPr>
                      <w:rPr>
                        <w:rFonts w:ascii="Cambria Math" w:hAnsi="Cambria Math"/>
                        <w:noProof/>
                      </w:rPr>
                      <m:t>a</m:t>
                    </m:r>
                  </m:e>
                  <m:sub>
                    <m:r>
                      <w:rPr>
                        <w:rFonts w:ascii="Cambria Math" w:hAnsi="Cambria Math"/>
                        <w:noProof/>
                      </w:rPr>
                      <m:t>1</m:t>
                    </m:r>
                  </m:sub>
                </m:sSub>
                <m:r>
                  <w:rPr>
                    <w:rFonts w:ascii="Cambria Math" w:hAnsi="Cambria Math"/>
                    <w:noProof/>
                  </w:rPr>
                  <m:t>=</m:t>
                </m:r>
                <m:sSub>
                  <m:sSubPr>
                    <m:ctrlPr>
                      <w:rPr>
                        <w:rFonts w:ascii="Cambria Math" w:hAnsi="Cambria Math"/>
                        <w:i/>
                        <w:noProof/>
                      </w:rPr>
                    </m:ctrlPr>
                  </m:sSubPr>
                  <m:e>
                    <m:r>
                      <w:rPr>
                        <w:rFonts w:ascii="Cambria Math" w:hAnsi="Cambria Math"/>
                        <w:noProof/>
                      </w:rPr>
                      <m:t>x</m:t>
                    </m:r>
                  </m:e>
                  <m:sub>
                    <m:r>
                      <w:rPr>
                        <w:rFonts w:ascii="Cambria Math" w:hAnsi="Cambria Math"/>
                        <w:noProof/>
                      </w:rPr>
                      <m:t>1</m:t>
                    </m:r>
                  </m:sub>
                </m:sSub>
                <m:r>
                  <m:rPr>
                    <m:sty m:val="bi"/>
                  </m:rPr>
                  <w:rPr>
                    <w:rFonts w:ascii="Cambria Math" w:hAnsi="Cambria Math"/>
                    <w:noProof/>
                  </w:rPr>
                  <m:t>a</m:t>
                </m:r>
                <m:r>
                  <w:rPr>
                    <w:rFonts w:ascii="Cambria Math" w:hAnsi="Cambria Math"/>
                    <w:noProof/>
                  </w:rPr>
                  <m:t>+</m:t>
                </m:r>
                <m:sSub>
                  <m:sSubPr>
                    <m:ctrlPr>
                      <w:rPr>
                        <w:rFonts w:ascii="Cambria Math" w:hAnsi="Cambria Math"/>
                        <w:i/>
                        <w:noProof/>
                      </w:rPr>
                    </m:ctrlPr>
                  </m:sSubPr>
                  <m:e>
                    <m:r>
                      <w:rPr>
                        <w:rFonts w:ascii="Cambria Math" w:hAnsi="Cambria Math"/>
                        <w:noProof/>
                      </w:rPr>
                      <m:t>y</m:t>
                    </m:r>
                  </m:e>
                  <m:sub>
                    <m:r>
                      <w:rPr>
                        <w:rFonts w:ascii="Cambria Math" w:hAnsi="Cambria Math"/>
                        <w:noProof/>
                      </w:rPr>
                      <m:t>1</m:t>
                    </m:r>
                  </m:sub>
                </m:sSub>
                <m:r>
                  <m:rPr>
                    <m:sty m:val="bi"/>
                  </m:rPr>
                  <w:rPr>
                    <w:rFonts w:ascii="Cambria Math" w:hAnsi="Cambria Math"/>
                    <w:noProof/>
                  </w:rPr>
                  <m:t>b</m:t>
                </m:r>
                <m:r>
                  <w:rPr>
                    <w:rFonts w:ascii="Cambria Math" w:hAnsi="Cambria Math"/>
                    <w:noProof/>
                  </w:rPr>
                  <m:t>+</m:t>
                </m:r>
                <m:sSub>
                  <m:sSubPr>
                    <m:ctrlPr>
                      <w:rPr>
                        <w:rFonts w:ascii="Cambria Math" w:hAnsi="Cambria Math"/>
                        <w:i/>
                        <w:noProof/>
                      </w:rPr>
                    </m:ctrlPr>
                  </m:sSubPr>
                  <m:e>
                    <m:r>
                      <w:rPr>
                        <w:rFonts w:ascii="Cambria Math" w:hAnsi="Cambria Math"/>
                        <w:noProof/>
                      </w:rPr>
                      <m:t>z</m:t>
                    </m:r>
                  </m:e>
                  <m:sub>
                    <m:r>
                      <m:rPr>
                        <m:sty m:val="bi"/>
                      </m:rPr>
                      <w:rPr>
                        <w:rFonts w:ascii="Cambria Math" w:hAnsi="Cambria Math"/>
                        <w:noProof/>
                      </w:rPr>
                      <m:t>1</m:t>
                    </m:r>
                  </m:sub>
                </m:sSub>
                <m:r>
                  <m:rPr>
                    <m:sty m:val="bi"/>
                  </m:rPr>
                  <w:rPr>
                    <w:rFonts w:ascii="Cambria Math" w:hAnsi="Cambria Math"/>
                    <w:noProof/>
                  </w:rPr>
                  <m:t>c</m:t>
                </m:r>
              </m:e>
              <m:e>
                <m:sSub>
                  <m:sSubPr>
                    <m:ctrlPr>
                      <w:rPr>
                        <w:rFonts w:ascii="Cambria Math" w:hAnsi="Cambria Math"/>
                        <w:i/>
                        <w:noProof/>
                      </w:rPr>
                    </m:ctrlPr>
                  </m:sSubPr>
                  <m:e>
                    <m:r>
                      <m:rPr>
                        <m:sty m:val="bi"/>
                      </m:rPr>
                      <w:rPr>
                        <w:rFonts w:ascii="Cambria Math" w:hAnsi="Cambria Math"/>
                        <w:noProof/>
                      </w:rPr>
                      <m:t>b</m:t>
                    </m:r>
                  </m:e>
                  <m:sub>
                    <m:r>
                      <w:rPr>
                        <w:rFonts w:ascii="Cambria Math" w:hAnsi="Cambria Math"/>
                        <w:noProof/>
                      </w:rPr>
                      <m:t>1</m:t>
                    </m:r>
                  </m:sub>
                </m:sSub>
                <m:r>
                  <w:rPr>
                    <w:rFonts w:ascii="Cambria Math" w:hAnsi="Cambria Math"/>
                    <w:noProof/>
                  </w:rPr>
                  <m:t>=</m:t>
                </m:r>
                <m:sSub>
                  <m:sSubPr>
                    <m:ctrlPr>
                      <w:rPr>
                        <w:rFonts w:ascii="Cambria Math" w:hAnsi="Cambria Math"/>
                        <w:i/>
                        <w:noProof/>
                      </w:rPr>
                    </m:ctrlPr>
                  </m:sSubPr>
                  <m:e>
                    <m:r>
                      <w:rPr>
                        <w:rFonts w:ascii="Cambria Math" w:hAnsi="Cambria Math"/>
                        <w:noProof/>
                      </w:rPr>
                      <m:t>x</m:t>
                    </m:r>
                  </m:e>
                  <m:sub>
                    <m:r>
                      <w:rPr>
                        <w:rFonts w:ascii="Cambria Math" w:hAnsi="Cambria Math"/>
                        <w:noProof/>
                      </w:rPr>
                      <m:t>2</m:t>
                    </m:r>
                  </m:sub>
                </m:sSub>
                <m:r>
                  <m:rPr>
                    <m:sty m:val="bi"/>
                  </m:rPr>
                  <w:rPr>
                    <w:rFonts w:ascii="Cambria Math" w:hAnsi="Cambria Math"/>
                    <w:noProof/>
                  </w:rPr>
                  <m:t>a</m:t>
                </m:r>
                <m:r>
                  <w:rPr>
                    <w:rFonts w:ascii="Cambria Math" w:hAnsi="Cambria Math"/>
                    <w:noProof/>
                  </w:rPr>
                  <m:t>+</m:t>
                </m:r>
                <m:sSub>
                  <m:sSubPr>
                    <m:ctrlPr>
                      <w:rPr>
                        <w:rFonts w:ascii="Cambria Math" w:hAnsi="Cambria Math"/>
                        <w:i/>
                        <w:noProof/>
                      </w:rPr>
                    </m:ctrlPr>
                  </m:sSubPr>
                  <m:e>
                    <m:r>
                      <w:rPr>
                        <w:rFonts w:ascii="Cambria Math" w:hAnsi="Cambria Math"/>
                        <w:noProof/>
                      </w:rPr>
                      <m:t>y</m:t>
                    </m:r>
                  </m:e>
                  <m:sub>
                    <m:r>
                      <w:rPr>
                        <w:rFonts w:ascii="Cambria Math" w:hAnsi="Cambria Math"/>
                        <w:noProof/>
                      </w:rPr>
                      <m:t>2</m:t>
                    </m:r>
                  </m:sub>
                </m:sSub>
                <m:r>
                  <m:rPr>
                    <m:sty m:val="bi"/>
                  </m:rPr>
                  <w:rPr>
                    <w:rFonts w:ascii="Cambria Math" w:hAnsi="Cambria Math"/>
                    <w:noProof/>
                  </w:rPr>
                  <m:t>b</m:t>
                </m:r>
                <m:r>
                  <w:rPr>
                    <w:rFonts w:ascii="Cambria Math" w:hAnsi="Cambria Math"/>
                    <w:noProof/>
                  </w:rPr>
                  <m:t>+</m:t>
                </m:r>
                <m:sSub>
                  <m:sSubPr>
                    <m:ctrlPr>
                      <w:rPr>
                        <w:rFonts w:ascii="Cambria Math" w:hAnsi="Cambria Math"/>
                        <w:i/>
                        <w:noProof/>
                      </w:rPr>
                    </m:ctrlPr>
                  </m:sSubPr>
                  <m:e>
                    <m:r>
                      <w:rPr>
                        <w:rFonts w:ascii="Cambria Math" w:hAnsi="Cambria Math"/>
                        <w:noProof/>
                      </w:rPr>
                      <m:t>z</m:t>
                    </m:r>
                  </m:e>
                  <m:sub>
                    <m:r>
                      <m:rPr>
                        <m:sty m:val="bi"/>
                      </m:rPr>
                      <w:rPr>
                        <w:rFonts w:ascii="Cambria Math" w:hAnsi="Cambria Math"/>
                        <w:noProof/>
                      </w:rPr>
                      <m:t>2</m:t>
                    </m:r>
                  </m:sub>
                </m:sSub>
                <m:r>
                  <m:rPr>
                    <m:sty m:val="bi"/>
                  </m:rPr>
                  <w:rPr>
                    <w:rFonts w:ascii="Cambria Math" w:hAnsi="Cambria Math"/>
                    <w:noProof/>
                  </w:rPr>
                  <m:t>c</m:t>
                </m:r>
              </m:e>
              <m:e>
                <m:sSub>
                  <m:sSubPr>
                    <m:ctrlPr>
                      <w:rPr>
                        <w:rFonts w:ascii="Cambria Math" w:hAnsi="Cambria Math"/>
                        <w:i/>
                        <w:noProof/>
                      </w:rPr>
                    </m:ctrlPr>
                  </m:sSubPr>
                  <m:e>
                    <m:r>
                      <m:rPr>
                        <m:sty m:val="bi"/>
                      </m:rPr>
                      <w:rPr>
                        <w:rFonts w:ascii="Cambria Math" w:hAnsi="Cambria Math"/>
                        <w:noProof/>
                      </w:rPr>
                      <m:t>c</m:t>
                    </m:r>
                  </m:e>
                  <m:sub>
                    <m:r>
                      <w:rPr>
                        <w:rFonts w:ascii="Cambria Math" w:hAnsi="Cambria Math"/>
                        <w:noProof/>
                      </w:rPr>
                      <m:t>1</m:t>
                    </m:r>
                  </m:sub>
                </m:sSub>
                <m:r>
                  <w:rPr>
                    <w:rFonts w:ascii="Cambria Math" w:hAnsi="Cambria Math"/>
                    <w:noProof/>
                  </w:rPr>
                  <m:t>=</m:t>
                </m:r>
                <m:sSub>
                  <m:sSubPr>
                    <m:ctrlPr>
                      <w:rPr>
                        <w:rFonts w:ascii="Cambria Math" w:hAnsi="Cambria Math"/>
                        <w:i/>
                        <w:noProof/>
                      </w:rPr>
                    </m:ctrlPr>
                  </m:sSubPr>
                  <m:e>
                    <m:r>
                      <w:rPr>
                        <w:rFonts w:ascii="Cambria Math" w:hAnsi="Cambria Math"/>
                        <w:noProof/>
                      </w:rPr>
                      <m:t>x</m:t>
                    </m:r>
                  </m:e>
                  <m:sub>
                    <m:r>
                      <w:rPr>
                        <w:rFonts w:ascii="Cambria Math" w:hAnsi="Cambria Math"/>
                        <w:noProof/>
                      </w:rPr>
                      <m:t>3</m:t>
                    </m:r>
                  </m:sub>
                </m:sSub>
                <m:r>
                  <m:rPr>
                    <m:sty m:val="bi"/>
                  </m:rPr>
                  <w:rPr>
                    <w:rFonts w:ascii="Cambria Math" w:hAnsi="Cambria Math"/>
                    <w:noProof/>
                  </w:rPr>
                  <m:t>a</m:t>
                </m:r>
                <m:r>
                  <w:rPr>
                    <w:rFonts w:ascii="Cambria Math" w:hAnsi="Cambria Math"/>
                    <w:noProof/>
                  </w:rPr>
                  <m:t>+</m:t>
                </m:r>
                <m:sSub>
                  <m:sSubPr>
                    <m:ctrlPr>
                      <w:rPr>
                        <w:rFonts w:ascii="Cambria Math" w:hAnsi="Cambria Math"/>
                        <w:i/>
                        <w:noProof/>
                      </w:rPr>
                    </m:ctrlPr>
                  </m:sSubPr>
                  <m:e>
                    <m:r>
                      <w:rPr>
                        <w:rFonts w:ascii="Cambria Math" w:hAnsi="Cambria Math"/>
                        <w:noProof/>
                      </w:rPr>
                      <m:t>y</m:t>
                    </m:r>
                  </m:e>
                  <m:sub>
                    <m:r>
                      <w:rPr>
                        <w:rFonts w:ascii="Cambria Math" w:hAnsi="Cambria Math"/>
                        <w:noProof/>
                      </w:rPr>
                      <m:t>3</m:t>
                    </m:r>
                  </m:sub>
                </m:sSub>
                <m:r>
                  <m:rPr>
                    <m:sty m:val="bi"/>
                  </m:rPr>
                  <w:rPr>
                    <w:rFonts w:ascii="Cambria Math" w:hAnsi="Cambria Math"/>
                    <w:noProof/>
                  </w:rPr>
                  <m:t>b</m:t>
                </m:r>
                <m:r>
                  <w:rPr>
                    <w:rFonts w:ascii="Cambria Math" w:hAnsi="Cambria Math"/>
                    <w:noProof/>
                  </w:rPr>
                  <m:t>+</m:t>
                </m:r>
                <m:sSub>
                  <m:sSubPr>
                    <m:ctrlPr>
                      <w:rPr>
                        <w:rFonts w:ascii="Cambria Math" w:hAnsi="Cambria Math"/>
                        <w:i/>
                        <w:noProof/>
                      </w:rPr>
                    </m:ctrlPr>
                  </m:sSubPr>
                  <m:e>
                    <m:r>
                      <w:rPr>
                        <w:rFonts w:ascii="Cambria Math" w:hAnsi="Cambria Math"/>
                        <w:noProof/>
                      </w:rPr>
                      <m:t>z</m:t>
                    </m:r>
                  </m:e>
                  <m:sub>
                    <m:r>
                      <m:rPr>
                        <m:sty m:val="bi"/>
                      </m:rPr>
                      <w:rPr>
                        <w:rFonts w:ascii="Cambria Math" w:hAnsi="Cambria Math"/>
                        <w:noProof/>
                      </w:rPr>
                      <m:t>3</m:t>
                    </m:r>
                  </m:sub>
                </m:sSub>
                <m:r>
                  <m:rPr>
                    <m:sty m:val="bi"/>
                  </m:rPr>
                  <w:rPr>
                    <w:rFonts w:ascii="Cambria Math" w:hAnsi="Cambria Math"/>
                    <w:noProof/>
                  </w:rPr>
                  <m:t>c</m:t>
                </m:r>
              </m:e>
            </m:eqArr>
          </m:e>
        </m:d>
      </m:oMath>
      <w:r w:rsidR="00DD65C8" w:rsidRPr="005B4B37">
        <w:rPr>
          <w:rFonts w:ascii="Cambria Math" w:hAnsi="Cambria Math"/>
          <w:i/>
          <w:noProof/>
        </w:rPr>
        <w:t xml:space="preserve"> </w:t>
      </w:r>
      <w:r w:rsidR="00DD65C8">
        <w:rPr>
          <w:rFonts w:ascii="Cambria Math" w:hAnsi="Cambria Math"/>
          <w:i/>
          <w:noProof/>
        </w:rPr>
        <w:t xml:space="preserve">                    </w:t>
      </w:r>
      <w:r w:rsidR="00DD65C8">
        <w:rPr>
          <w:rFonts w:ascii="Cambria Math" w:hAnsi="Cambria Math"/>
          <w:iCs/>
          <w:noProof/>
        </w:rPr>
        <w:t xml:space="preserve">                                      </w:t>
      </w:r>
      <w:r w:rsidR="00DD65C8">
        <w:rPr>
          <w:rFonts w:ascii="Cambria Math" w:hAnsi="Cambria Math"/>
          <w:i/>
          <w:noProof/>
        </w:rPr>
        <w:t xml:space="preserve">  </w:t>
      </w:r>
      <w:r w:rsidR="00DD65C8" w:rsidRPr="005B4B37">
        <w:rPr>
          <w:rFonts w:ascii="Cambria Math" w:hAnsi="Cambria Math"/>
          <w:i/>
          <w:noProof/>
        </w:rPr>
        <w:t xml:space="preserve">  </w:t>
      </w:r>
      <w:r w:rsidR="00DD65C8" w:rsidRPr="005B4B37">
        <w:rPr>
          <w:noProof/>
        </w:rPr>
        <w:t>(8)</w:t>
      </w:r>
      <w:r w:rsidR="00DD65C8" w:rsidRPr="005B4B37">
        <w:rPr>
          <w:rFonts w:ascii="Cambria Math" w:hAnsi="Cambria Math"/>
          <w:i/>
          <w:noProof/>
        </w:rPr>
        <w:t xml:space="preserve">                                                        </w:t>
      </w:r>
    </w:p>
    <w:p w14:paraId="5507BF06" w14:textId="77777777" w:rsidR="00DD65C8" w:rsidRDefault="00DD65C8" w:rsidP="00DD65C8">
      <w:pPr>
        <w:spacing w:after="120" w:line="360" w:lineRule="auto"/>
        <w:rPr>
          <w:noProof/>
        </w:rPr>
      </w:pPr>
      <w:r>
        <w:rPr>
          <w:noProof/>
        </w:rPr>
        <w:t xml:space="preserve">By </w:t>
      </w:r>
      <w:r w:rsidRPr="007F728B">
        <w:rPr>
          <w:noProof/>
        </w:rPr>
        <w:t>solv</w:t>
      </w:r>
      <w:r>
        <w:rPr>
          <w:noProof/>
        </w:rPr>
        <w:t xml:space="preserve">ing </w:t>
      </w:r>
      <w:r w:rsidRPr="00C70056">
        <w:rPr>
          <w:i/>
          <w:noProof/>
        </w:rPr>
        <w:t>eq</w:t>
      </w:r>
      <w:r>
        <w:rPr>
          <w:noProof/>
        </w:rPr>
        <w:t xml:space="preserve">.8 the basis vector </w:t>
      </w:r>
      <m:oMath>
        <m:r>
          <m:rPr>
            <m:sty m:val="bi"/>
          </m:rPr>
          <w:rPr>
            <w:rFonts w:ascii="Cambria Math" w:hAnsi="Cambria Math"/>
            <w:noProof/>
          </w:rPr>
          <m:t>a b c</m:t>
        </m:r>
      </m:oMath>
      <w:r>
        <w:rPr>
          <w:b/>
          <w:noProof/>
        </w:rPr>
        <w:t xml:space="preserve"> </w:t>
      </w:r>
      <w:r w:rsidRPr="005B4B37">
        <w:rPr>
          <w:noProof/>
        </w:rPr>
        <w:t>can be repr</w:t>
      </w:r>
      <w:r>
        <w:rPr>
          <w:noProof/>
        </w:rPr>
        <w:t xml:space="preserve">esented by </w:t>
      </w:r>
      <m:oMath>
        <m:sSub>
          <m:sSubPr>
            <m:ctrlPr>
              <w:rPr>
                <w:rFonts w:ascii="Cambria Math" w:hAnsi="Cambria Math"/>
                <w:i/>
                <w:noProof/>
              </w:rPr>
            </m:ctrlPr>
          </m:sSubPr>
          <m:e>
            <m:r>
              <m:rPr>
                <m:sty m:val="bi"/>
              </m:rPr>
              <w:rPr>
                <w:rFonts w:ascii="Cambria Math" w:hAnsi="Cambria Math"/>
                <w:noProof/>
              </w:rPr>
              <m:t>a</m:t>
            </m:r>
          </m:e>
          <m:sub>
            <m:r>
              <w:rPr>
                <w:rFonts w:ascii="Cambria Math" w:hAnsi="Cambria Math"/>
                <w:noProof/>
              </w:rPr>
              <m:t>1</m:t>
            </m:r>
          </m:sub>
        </m:sSub>
        <m:sSub>
          <m:sSubPr>
            <m:ctrlPr>
              <w:rPr>
                <w:rFonts w:ascii="Cambria Math" w:hAnsi="Cambria Math"/>
                <w:i/>
                <w:noProof/>
              </w:rPr>
            </m:ctrlPr>
          </m:sSubPr>
          <m:e>
            <m:r>
              <m:rPr>
                <m:sty m:val="bi"/>
              </m:rPr>
              <w:rPr>
                <w:rFonts w:ascii="Cambria Math" w:hAnsi="Cambria Math"/>
                <w:noProof/>
              </w:rPr>
              <m:t xml:space="preserve"> b</m:t>
            </m:r>
          </m:e>
          <m:sub>
            <m:r>
              <w:rPr>
                <w:rFonts w:ascii="Cambria Math" w:hAnsi="Cambria Math"/>
                <w:noProof/>
              </w:rPr>
              <m:t>1</m:t>
            </m:r>
          </m:sub>
        </m:sSub>
        <m:sSub>
          <m:sSubPr>
            <m:ctrlPr>
              <w:rPr>
                <w:rFonts w:ascii="Cambria Math" w:hAnsi="Cambria Math"/>
                <w:i/>
                <w:noProof/>
              </w:rPr>
            </m:ctrlPr>
          </m:sSubPr>
          <m:e>
            <m:r>
              <m:rPr>
                <m:sty m:val="bi"/>
              </m:rPr>
              <w:rPr>
                <w:rFonts w:ascii="Cambria Math" w:hAnsi="Cambria Math"/>
                <w:noProof/>
              </w:rPr>
              <m:t xml:space="preserve"> c</m:t>
            </m:r>
          </m:e>
          <m:sub>
            <m:r>
              <w:rPr>
                <w:rFonts w:ascii="Cambria Math" w:hAnsi="Cambria Math"/>
                <w:noProof/>
              </w:rPr>
              <m:t>1</m:t>
            </m:r>
          </m:sub>
        </m:sSub>
      </m:oMath>
      <w:r>
        <w:rPr>
          <w:noProof/>
        </w:rPr>
        <w:t xml:space="preserve"> as:</w:t>
      </w:r>
    </w:p>
    <w:p w14:paraId="25383321" w14:textId="1B5EC178" w:rsidR="00DD65C8" w:rsidRDefault="00077961" w:rsidP="00DD65C8">
      <w:pPr>
        <w:spacing w:after="120" w:line="360" w:lineRule="auto"/>
        <w:jc w:val="right"/>
        <w:rPr>
          <w:noProof/>
        </w:rPr>
      </w:pPr>
      <m:oMath>
        <m:d>
          <m:dPr>
            <m:begChr m:val="{"/>
            <m:endChr m:val=""/>
            <m:ctrlPr>
              <w:rPr>
                <w:rFonts w:ascii="Cambria Math" w:hAnsi="Cambria Math"/>
                <w:i/>
                <w:noProof/>
              </w:rPr>
            </m:ctrlPr>
          </m:dPr>
          <m:e>
            <m:eqArr>
              <m:eqArrPr>
                <m:ctrlPr>
                  <w:rPr>
                    <w:rFonts w:ascii="Cambria Math" w:hAnsi="Cambria Math"/>
                    <w:i/>
                    <w:noProof/>
                  </w:rPr>
                </m:ctrlPr>
              </m:eqArrPr>
              <m:e>
                <m:r>
                  <m:rPr>
                    <m:sty m:val="bi"/>
                  </m:rPr>
                  <w:rPr>
                    <w:rFonts w:ascii="Cambria Math" w:hAnsi="Cambria Math"/>
                    <w:noProof/>
                  </w:rPr>
                  <m:t>a</m:t>
                </m:r>
                <m:r>
                  <w:rPr>
                    <w:rFonts w:ascii="Cambria Math" w:hAnsi="Cambria Math"/>
                    <w:noProof/>
                  </w:rPr>
                  <m:t>=</m:t>
                </m:r>
                <m:sSub>
                  <m:sSubPr>
                    <m:ctrlPr>
                      <w:rPr>
                        <w:rFonts w:ascii="Cambria Math" w:hAnsi="Cambria Math"/>
                        <w:i/>
                        <w:noProof/>
                      </w:rPr>
                    </m:ctrlPr>
                  </m:sSubPr>
                  <m:e>
                    <m:r>
                      <w:rPr>
                        <w:rFonts w:ascii="Cambria Math" w:hAnsi="Cambria Math"/>
                        <w:noProof/>
                      </w:rPr>
                      <m:t>X</m:t>
                    </m:r>
                  </m:e>
                  <m:sub>
                    <m:r>
                      <w:rPr>
                        <w:rFonts w:ascii="Cambria Math" w:hAnsi="Cambria Math"/>
                        <w:noProof/>
                      </w:rPr>
                      <m:t>1</m:t>
                    </m:r>
                  </m:sub>
                </m:sSub>
                <m:sSub>
                  <m:sSubPr>
                    <m:ctrlPr>
                      <w:rPr>
                        <w:rFonts w:ascii="Cambria Math" w:hAnsi="Cambria Math"/>
                        <w:i/>
                        <w:noProof/>
                      </w:rPr>
                    </m:ctrlPr>
                  </m:sSubPr>
                  <m:e>
                    <m:r>
                      <m:rPr>
                        <m:sty m:val="bi"/>
                      </m:rPr>
                      <w:rPr>
                        <w:rFonts w:ascii="Cambria Math" w:hAnsi="Cambria Math"/>
                        <w:noProof/>
                      </w:rPr>
                      <m:t>a</m:t>
                    </m:r>
                  </m:e>
                  <m:sub>
                    <m:r>
                      <w:rPr>
                        <w:rFonts w:ascii="Cambria Math" w:hAnsi="Cambria Math"/>
                        <w:noProof/>
                      </w:rPr>
                      <m:t>1</m:t>
                    </m:r>
                  </m:sub>
                </m:sSub>
                <m:r>
                  <m:rPr>
                    <m:sty m:val="bi"/>
                  </m:rPr>
                  <w:rPr>
                    <w:rFonts w:ascii="Cambria Math" w:hAnsi="Cambria Math"/>
                    <w:noProof/>
                  </w:rPr>
                  <m:t>+</m:t>
                </m:r>
                <m:sSub>
                  <m:sSubPr>
                    <m:ctrlPr>
                      <w:rPr>
                        <w:rFonts w:ascii="Cambria Math" w:hAnsi="Cambria Math"/>
                        <w:i/>
                        <w:noProof/>
                      </w:rPr>
                    </m:ctrlPr>
                  </m:sSubPr>
                  <m:e>
                    <m:r>
                      <w:rPr>
                        <w:rFonts w:ascii="Cambria Math" w:hAnsi="Cambria Math"/>
                        <w:noProof/>
                      </w:rPr>
                      <m:t>Y</m:t>
                    </m:r>
                  </m:e>
                  <m:sub>
                    <m:r>
                      <w:rPr>
                        <w:rFonts w:ascii="Cambria Math" w:hAnsi="Cambria Math"/>
                        <w:noProof/>
                      </w:rPr>
                      <m:t>1</m:t>
                    </m:r>
                  </m:sub>
                </m:sSub>
                <m:sSub>
                  <m:sSubPr>
                    <m:ctrlPr>
                      <w:rPr>
                        <w:rFonts w:ascii="Cambria Math" w:hAnsi="Cambria Math"/>
                        <w:i/>
                        <w:noProof/>
                      </w:rPr>
                    </m:ctrlPr>
                  </m:sSubPr>
                  <m:e>
                    <m:r>
                      <m:rPr>
                        <m:sty m:val="bi"/>
                      </m:rPr>
                      <w:rPr>
                        <w:rFonts w:ascii="Cambria Math" w:hAnsi="Cambria Math"/>
                        <w:noProof/>
                      </w:rPr>
                      <m:t>b</m:t>
                    </m:r>
                  </m:e>
                  <m:sub>
                    <m:r>
                      <w:rPr>
                        <w:rFonts w:ascii="Cambria Math" w:hAnsi="Cambria Math"/>
                        <w:noProof/>
                      </w:rPr>
                      <m:t>1</m:t>
                    </m:r>
                  </m:sub>
                </m:sSub>
                <m:r>
                  <m:rPr>
                    <m:sty m:val="bi"/>
                  </m:rPr>
                  <w:rPr>
                    <w:rFonts w:ascii="Cambria Math" w:hAnsi="Cambria Math"/>
                    <w:noProof/>
                  </w:rPr>
                  <m:t>+</m:t>
                </m:r>
                <m:sSub>
                  <m:sSubPr>
                    <m:ctrlPr>
                      <w:rPr>
                        <w:rFonts w:ascii="Cambria Math" w:hAnsi="Cambria Math"/>
                        <w:i/>
                        <w:noProof/>
                      </w:rPr>
                    </m:ctrlPr>
                  </m:sSubPr>
                  <m:e>
                    <m:r>
                      <w:rPr>
                        <w:rFonts w:ascii="Cambria Math" w:hAnsi="Cambria Math"/>
                        <w:noProof/>
                      </w:rPr>
                      <m:t>Z</m:t>
                    </m:r>
                  </m:e>
                  <m:sub>
                    <m:r>
                      <m:rPr>
                        <m:sty m:val="bi"/>
                      </m:rPr>
                      <w:rPr>
                        <w:rFonts w:ascii="Cambria Math" w:hAnsi="Cambria Math"/>
                        <w:noProof/>
                      </w:rPr>
                      <m:t>1</m:t>
                    </m:r>
                  </m:sub>
                </m:sSub>
                <m:sSub>
                  <m:sSubPr>
                    <m:ctrlPr>
                      <w:rPr>
                        <w:rFonts w:ascii="Cambria Math" w:hAnsi="Cambria Math"/>
                        <w:i/>
                        <w:noProof/>
                      </w:rPr>
                    </m:ctrlPr>
                  </m:sSubPr>
                  <m:e>
                    <m:r>
                      <m:rPr>
                        <m:sty m:val="bi"/>
                      </m:rPr>
                      <w:rPr>
                        <w:rFonts w:ascii="Cambria Math" w:hAnsi="Cambria Math"/>
                        <w:noProof/>
                      </w:rPr>
                      <m:t>c</m:t>
                    </m:r>
                  </m:e>
                  <m:sub>
                    <m:r>
                      <w:rPr>
                        <w:rFonts w:ascii="Cambria Math" w:hAnsi="Cambria Math"/>
                        <w:noProof/>
                      </w:rPr>
                      <m:t>1</m:t>
                    </m:r>
                  </m:sub>
                </m:sSub>
              </m:e>
              <m:e>
                <m:r>
                  <m:rPr>
                    <m:sty m:val="bi"/>
                  </m:rPr>
                  <w:rPr>
                    <w:rFonts w:ascii="Cambria Math" w:hAnsi="Cambria Math"/>
                    <w:noProof/>
                  </w:rPr>
                  <m:t>b</m:t>
                </m:r>
                <m:r>
                  <w:rPr>
                    <w:rFonts w:ascii="Cambria Math" w:hAnsi="Cambria Math"/>
                    <w:noProof/>
                  </w:rPr>
                  <m:t>=</m:t>
                </m:r>
                <m:sSub>
                  <m:sSubPr>
                    <m:ctrlPr>
                      <w:rPr>
                        <w:rFonts w:ascii="Cambria Math" w:hAnsi="Cambria Math"/>
                        <w:i/>
                        <w:noProof/>
                      </w:rPr>
                    </m:ctrlPr>
                  </m:sSubPr>
                  <m:e>
                    <m:r>
                      <w:rPr>
                        <w:rFonts w:ascii="Cambria Math" w:hAnsi="Cambria Math"/>
                        <w:noProof/>
                      </w:rPr>
                      <m:t>X</m:t>
                    </m:r>
                  </m:e>
                  <m:sub>
                    <m:r>
                      <w:rPr>
                        <w:rFonts w:ascii="Cambria Math" w:hAnsi="Cambria Math"/>
                        <w:noProof/>
                      </w:rPr>
                      <m:t>2</m:t>
                    </m:r>
                  </m:sub>
                </m:sSub>
                <m:sSub>
                  <m:sSubPr>
                    <m:ctrlPr>
                      <w:rPr>
                        <w:rFonts w:ascii="Cambria Math" w:hAnsi="Cambria Math"/>
                        <w:i/>
                        <w:noProof/>
                      </w:rPr>
                    </m:ctrlPr>
                  </m:sSubPr>
                  <m:e>
                    <m:r>
                      <m:rPr>
                        <m:sty m:val="bi"/>
                      </m:rPr>
                      <w:rPr>
                        <w:rFonts w:ascii="Cambria Math" w:hAnsi="Cambria Math"/>
                        <w:noProof/>
                      </w:rPr>
                      <m:t>a</m:t>
                    </m:r>
                  </m:e>
                  <m:sub>
                    <m:r>
                      <w:rPr>
                        <w:rFonts w:ascii="Cambria Math" w:hAnsi="Cambria Math"/>
                        <w:noProof/>
                      </w:rPr>
                      <m:t>1</m:t>
                    </m:r>
                  </m:sub>
                </m:sSub>
                <m:r>
                  <m:rPr>
                    <m:sty m:val="bi"/>
                  </m:rPr>
                  <w:rPr>
                    <w:rFonts w:ascii="Cambria Math" w:hAnsi="Cambria Math"/>
                    <w:noProof/>
                  </w:rPr>
                  <m:t>+</m:t>
                </m:r>
                <m:sSub>
                  <m:sSubPr>
                    <m:ctrlPr>
                      <w:rPr>
                        <w:rFonts w:ascii="Cambria Math" w:hAnsi="Cambria Math"/>
                        <w:i/>
                        <w:noProof/>
                      </w:rPr>
                    </m:ctrlPr>
                  </m:sSubPr>
                  <m:e>
                    <m:r>
                      <w:rPr>
                        <w:rFonts w:ascii="Cambria Math" w:hAnsi="Cambria Math"/>
                        <w:noProof/>
                      </w:rPr>
                      <m:t>Y</m:t>
                    </m:r>
                  </m:e>
                  <m:sub>
                    <m:r>
                      <w:rPr>
                        <w:rFonts w:ascii="Cambria Math" w:hAnsi="Cambria Math"/>
                        <w:noProof/>
                      </w:rPr>
                      <m:t>2</m:t>
                    </m:r>
                  </m:sub>
                </m:sSub>
                <m:sSub>
                  <m:sSubPr>
                    <m:ctrlPr>
                      <w:rPr>
                        <w:rFonts w:ascii="Cambria Math" w:hAnsi="Cambria Math"/>
                        <w:i/>
                        <w:noProof/>
                      </w:rPr>
                    </m:ctrlPr>
                  </m:sSubPr>
                  <m:e>
                    <m:r>
                      <m:rPr>
                        <m:sty m:val="bi"/>
                      </m:rPr>
                      <w:rPr>
                        <w:rFonts w:ascii="Cambria Math" w:hAnsi="Cambria Math"/>
                        <w:noProof/>
                      </w:rPr>
                      <m:t>b</m:t>
                    </m:r>
                  </m:e>
                  <m:sub>
                    <m:r>
                      <w:rPr>
                        <w:rFonts w:ascii="Cambria Math" w:hAnsi="Cambria Math"/>
                        <w:noProof/>
                      </w:rPr>
                      <m:t>1</m:t>
                    </m:r>
                  </m:sub>
                </m:sSub>
                <m:r>
                  <m:rPr>
                    <m:sty m:val="bi"/>
                  </m:rPr>
                  <w:rPr>
                    <w:rFonts w:ascii="Cambria Math" w:hAnsi="Cambria Math"/>
                    <w:noProof/>
                  </w:rPr>
                  <m:t>+</m:t>
                </m:r>
                <m:sSub>
                  <m:sSubPr>
                    <m:ctrlPr>
                      <w:rPr>
                        <w:rFonts w:ascii="Cambria Math" w:hAnsi="Cambria Math"/>
                        <w:i/>
                        <w:noProof/>
                      </w:rPr>
                    </m:ctrlPr>
                  </m:sSubPr>
                  <m:e>
                    <m:r>
                      <w:rPr>
                        <w:rFonts w:ascii="Cambria Math" w:hAnsi="Cambria Math"/>
                        <w:noProof/>
                      </w:rPr>
                      <m:t>Z</m:t>
                    </m:r>
                  </m:e>
                  <m:sub>
                    <m:r>
                      <m:rPr>
                        <m:sty m:val="bi"/>
                      </m:rPr>
                      <w:rPr>
                        <w:rFonts w:ascii="Cambria Math" w:hAnsi="Cambria Math"/>
                        <w:noProof/>
                      </w:rPr>
                      <m:t>2</m:t>
                    </m:r>
                  </m:sub>
                </m:sSub>
                <m:sSub>
                  <m:sSubPr>
                    <m:ctrlPr>
                      <w:rPr>
                        <w:rFonts w:ascii="Cambria Math" w:hAnsi="Cambria Math"/>
                        <w:i/>
                        <w:noProof/>
                      </w:rPr>
                    </m:ctrlPr>
                  </m:sSubPr>
                  <m:e>
                    <m:r>
                      <m:rPr>
                        <m:sty m:val="bi"/>
                      </m:rPr>
                      <w:rPr>
                        <w:rFonts w:ascii="Cambria Math" w:hAnsi="Cambria Math"/>
                        <w:noProof/>
                      </w:rPr>
                      <m:t>c</m:t>
                    </m:r>
                  </m:e>
                  <m:sub>
                    <m:r>
                      <w:rPr>
                        <w:rFonts w:ascii="Cambria Math" w:hAnsi="Cambria Math"/>
                        <w:noProof/>
                      </w:rPr>
                      <m:t xml:space="preserve">1 </m:t>
                    </m:r>
                  </m:sub>
                </m:sSub>
              </m:e>
              <m:e>
                <m:r>
                  <m:rPr>
                    <m:sty m:val="bi"/>
                  </m:rPr>
                  <w:rPr>
                    <w:rFonts w:ascii="Cambria Math" w:hAnsi="Cambria Math"/>
                    <w:noProof/>
                  </w:rPr>
                  <m:t>c</m:t>
                </m:r>
                <m:r>
                  <w:rPr>
                    <w:rFonts w:ascii="Cambria Math" w:hAnsi="Cambria Math"/>
                    <w:noProof/>
                  </w:rPr>
                  <m:t>=</m:t>
                </m:r>
                <m:sSub>
                  <m:sSubPr>
                    <m:ctrlPr>
                      <w:rPr>
                        <w:rFonts w:ascii="Cambria Math" w:hAnsi="Cambria Math"/>
                        <w:i/>
                        <w:noProof/>
                      </w:rPr>
                    </m:ctrlPr>
                  </m:sSubPr>
                  <m:e>
                    <m:r>
                      <w:rPr>
                        <w:rFonts w:ascii="Cambria Math" w:hAnsi="Cambria Math"/>
                        <w:noProof/>
                      </w:rPr>
                      <m:t>X</m:t>
                    </m:r>
                  </m:e>
                  <m:sub>
                    <m:r>
                      <w:rPr>
                        <w:rFonts w:ascii="Cambria Math" w:hAnsi="Cambria Math"/>
                        <w:noProof/>
                      </w:rPr>
                      <m:t>3</m:t>
                    </m:r>
                  </m:sub>
                </m:sSub>
                <m:sSub>
                  <m:sSubPr>
                    <m:ctrlPr>
                      <w:rPr>
                        <w:rFonts w:ascii="Cambria Math" w:hAnsi="Cambria Math"/>
                        <w:i/>
                        <w:noProof/>
                      </w:rPr>
                    </m:ctrlPr>
                  </m:sSubPr>
                  <m:e>
                    <m:r>
                      <m:rPr>
                        <m:sty m:val="bi"/>
                      </m:rPr>
                      <w:rPr>
                        <w:rFonts w:ascii="Cambria Math" w:hAnsi="Cambria Math"/>
                        <w:noProof/>
                      </w:rPr>
                      <m:t>a</m:t>
                    </m:r>
                  </m:e>
                  <m:sub>
                    <m:r>
                      <w:rPr>
                        <w:rFonts w:ascii="Cambria Math" w:hAnsi="Cambria Math"/>
                        <w:noProof/>
                      </w:rPr>
                      <m:t>1</m:t>
                    </m:r>
                  </m:sub>
                </m:sSub>
                <m:r>
                  <m:rPr>
                    <m:sty m:val="bi"/>
                  </m:rPr>
                  <w:rPr>
                    <w:rFonts w:ascii="Cambria Math" w:hAnsi="Cambria Math"/>
                    <w:noProof/>
                  </w:rPr>
                  <m:t>+</m:t>
                </m:r>
                <m:sSub>
                  <m:sSubPr>
                    <m:ctrlPr>
                      <w:rPr>
                        <w:rFonts w:ascii="Cambria Math" w:hAnsi="Cambria Math"/>
                        <w:i/>
                        <w:noProof/>
                      </w:rPr>
                    </m:ctrlPr>
                  </m:sSubPr>
                  <m:e>
                    <m:r>
                      <w:rPr>
                        <w:rFonts w:ascii="Cambria Math" w:hAnsi="Cambria Math"/>
                        <w:noProof/>
                      </w:rPr>
                      <m:t>Y</m:t>
                    </m:r>
                  </m:e>
                  <m:sub>
                    <m:r>
                      <w:rPr>
                        <w:rFonts w:ascii="Cambria Math" w:hAnsi="Cambria Math"/>
                        <w:noProof/>
                      </w:rPr>
                      <m:t>3</m:t>
                    </m:r>
                  </m:sub>
                </m:sSub>
                <m:sSub>
                  <m:sSubPr>
                    <m:ctrlPr>
                      <w:rPr>
                        <w:rFonts w:ascii="Cambria Math" w:hAnsi="Cambria Math"/>
                        <w:i/>
                        <w:noProof/>
                      </w:rPr>
                    </m:ctrlPr>
                  </m:sSubPr>
                  <m:e>
                    <m:r>
                      <m:rPr>
                        <m:sty m:val="bi"/>
                      </m:rPr>
                      <w:rPr>
                        <w:rFonts w:ascii="Cambria Math" w:hAnsi="Cambria Math"/>
                        <w:noProof/>
                      </w:rPr>
                      <m:t>b</m:t>
                    </m:r>
                  </m:e>
                  <m:sub>
                    <m:r>
                      <w:rPr>
                        <w:rFonts w:ascii="Cambria Math" w:hAnsi="Cambria Math"/>
                        <w:noProof/>
                      </w:rPr>
                      <m:t>1</m:t>
                    </m:r>
                  </m:sub>
                </m:sSub>
                <m:r>
                  <m:rPr>
                    <m:sty m:val="bi"/>
                  </m:rPr>
                  <w:rPr>
                    <w:rFonts w:ascii="Cambria Math" w:hAnsi="Cambria Math"/>
                    <w:noProof/>
                  </w:rPr>
                  <m:t>+</m:t>
                </m:r>
                <m:sSub>
                  <m:sSubPr>
                    <m:ctrlPr>
                      <w:rPr>
                        <w:rFonts w:ascii="Cambria Math" w:hAnsi="Cambria Math"/>
                        <w:i/>
                        <w:noProof/>
                      </w:rPr>
                    </m:ctrlPr>
                  </m:sSubPr>
                  <m:e>
                    <m:r>
                      <w:rPr>
                        <w:rFonts w:ascii="Cambria Math" w:hAnsi="Cambria Math"/>
                        <w:noProof/>
                      </w:rPr>
                      <m:t>Z</m:t>
                    </m:r>
                  </m:e>
                  <m:sub>
                    <m:r>
                      <m:rPr>
                        <m:sty m:val="bi"/>
                      </m:rPr>
                      <w:rPr>
                        <w:rFonts w:ascii="Cambria Math" w:hAnsi="Cambria Math"/>
                        <w:noProof/>
                      </w:rPr>
                      <m:t>3</m:t>
                    </m:r>
                  </m:sub>
                </m:sSub>
                <m:sSub>
                  <m:sSubPr>
                    <m:ctrlPr>
                      <w:rPr>
                        <w:rFonts w:ascii="Cambria Math" w:hAnsi="Cambria Math"/>
                        <w:i/>
                        <w:noProof/>
                      </w:rPr>
                    </m:ctrlPr>
                  </m:sSubPr>
                  <m:e>
                    <m:r>
                      <m:rPr>
                        <m:sty m:val="bi"/>
                      </m:rPr>
                      <w:rPr>
                        <w:rFonts w:ascii="Cambria Math" w:hAnsi="Cambria Math"/>
                        <w:noProof/>
                      </w:rPr>
                      <m:t>c</m:t>
                    </m:r>
                  </m:e>
                  <m:sub>
                    <m:r>
                      <w:rPr>
                        <w:rFonts w:ascii="Cambria Math" w:hAnsi="Cambria Math"/>
                        <w:noProof/>
                      </w:rPr>
                      <m:t>1</m:t>
                    </m:r>
                  </m:sub>
                </m:sSub>
              </m:e>
            </m:eqArr>
          </m:e>
        </m:d>
      </m:oMath>
      <w:r w:rsidR="00DD65C8">
        <w:rPr>
          <w:noProof/>
        </w:rPr>
        <w:t xml:space="preserve">                                                        (9)                                                     </w:t>
      </w:r>
    </w:p>
    <w:p w14:paraId="780E4CAE" w14:textId="77777777" w:rsidR="00DD65C8" w:rsidRDefault="00DD65C8" w:rsidP="00DD65C8">
      <w:pPr>
        <w:spacing w:after="120" w:line="360" w:lineRule="auto"/>
        <w:rPr>
          <w:noProof/>
        </w:rPr>
      </w:pPr>
      <w:r>
        <w:rPr>
          <w:noProof/>
        </w:rPr>
        <w:t>Thus, the lattice plane (</w:t>
      </w:r>
      <m:oMath>
        <m:r>
          <w:rPr>
            <w:rFonts w:ascii="Cambria Math" w:hAnsi="Cambria Math"/>
            <w:noProof/>
          </w:rPr>
          <m:t>h k l</m:t>
        </m:r>
      </m:oMath>
      <w:r>
        <w:rPr>
          <w:noProof/>
        </w:rPr>
        <w:t xml:space="preserve">) can be represented in </w:t>
      </w:r>
      <m:oMath>
        <m:sSub>
          <m:sSubPr>
            <m:ctrlPr>
              <w:rPr>
                <w:rFonts w:ascii="Cambria Math" w:hAnsi="Cambria Math"/>
                <w:i/>
                <w:noProof/>
              </w:rPr>
            </m:ctrlPr>
          </m:sSubPr>
          <m:e>
            <m:r>
              <m:rPr>
                <m:sty m:val="bi"/>
              </m:rPr>
              <w:rPr>
                <w:rFonts w:ascii="Cambria Math" w:hAnsi="Cambria Math"/>
                <w:noProof/>
              </w:rPr>
              <m:t>a</m:t>
            </m:r>
          </m:e>
          <m:sub>
            <m:r>
              <w:rPr>
                <w:rFonts w:ascii="Cambria Math" w:hAnsi="Cambria Math"/>
                <w:noProof/>
              </w:rPr>
              <m:t>1</m:t>
            </m:r>
          </m:sub>
        </m:sSub>
        <m:sSub>
          <m:sSubPr>
            <m:ctrlPr>
              <w:rPr>
                <w:rFonts w:ascii="Cambria Math" w:hAnsi="Cambria Math"/>
                <w:i/>
                <w:noProof/>
              </w:rPr>
            </m:ctrlPr>
          </m:sSubPr>
          <m:e>
            <m:r>
              <m:rPr>
                <m:sty m:val="bi"/>
              </m:rPr>
              <w:rPr>
                <w:rFonts w:ascii="Cambria Math" w:hAnsi="Cambria Math"/>
                <w:noProof/>
              </w:rPr>
              <m:t xml:space="preserve"> b</m:t>
            </m:r>
          </m:e>
          <m:sub>
            <m:r>
              <w:rPr>
                <w:rFonts w:ascii="Cambria Math" w:hAnsi="Cambria Math"/>
                <w:noProof/>
              </w:rPr>
              <m:t>1</m:t>
            </m:r>
          </m:sub>
        </m:sSub>
        <m:sSub>
          <m:sSubPr>
            <m:ctrlPr>
              <w:rPr>
                <w:rFonts w:ascii="Cambria Math" w:hAnsi="Cambria Math"/>
                <w:i/>
                <w:noProof/>
              </w:rPr>
            </m:ctrlPr>
          </m:sSubPr>
          <m:e>
            <m:r>
              <m:rPr>
                <m:sty m:val="bi"/>
              </m:rPr>
              <w:rPr>
                <w:rFonts w:ascii="Cambria Math" w:hAnsi="Cambria Math"/>
                <w:noProof/>
              </w:rPr>
              <m:t xml:space="preserve"> c</m:t>
            </m:r>
          </m:e>
          <m:sub>
            <m:r>
              <w:rPr>
                <w:rFonts w:ascii="Cambria Math" w:hAnsi="Cambria Math"/>
                <w:noProof/>
              </w:rPr>
              <m:t>1</m:t>
            </m:r>
          </m:sub>
        </m:sSub>
      </m:oMath>
      <w:r>
        <w:rPr>
          <w:noProof/>
        </w:rPr>
        <w:t xml:space="preserve"> as:</w:t>
      </w:r>
    </w:p>
    <w:p w14:paraId="57A0AB4B" w14:textId="03CFE9B0" w:rsidR="00DD65C8" w:rsidRDefault="00DD65C8" w:rsidP="00DD65C8">
      <w:pPr>
        <w:spacing w:after="120" w:line="360" w:lineRule="auto"/>
        <w:jc w:val="right"/>
        <w:rPr>
          <w:noProof/>
        </w:rPr>
      </w:pPr>
      <w:r w:rsidRPr="0024182B">
        <w:rPr>
          <w:noProof/>
        </w:rPr>
        <w:t>(</w:t>
      </w:r>
      <m:oMath>
        <m:r>
          <w:rPr>
            <w:rFonts w:ascii="Cambria Math" w:hAnsi="Cambria Math"/>
            <w:noProof/>
          </w:rPr>
          <m:t>h k l</m:t>
        </m:r>
      </m:oMath>
      <w:r w:rsidRPr="0024182B">
        <w:rPr>
          <w:noProof/>
        </w:rPr>
        <w:t>)=(</w:t>
      </w:r>
      <m:oMath>
        <m:r>
          <w:rPr>
            <w:rFonts w:ascii="Cambria Math" w:hAnsi="Cambria Math"/>
            <w:noProof/>
          </w:rPr>
          <m:t>h</m:t>
        </m:r>
        <m:sSub>
          <m:sSubPr>
            <m:ctrlPr>
              <w:rPr>
                <w:rFonts w:ascii="Cambria Math" w:hAnsi="Cambria Math"/>
                <w:i/>
                <w:noProof/>
              </w:rPr>
            </m:ctrlPr>
          </m:sSubPr>
          <m:e>
            <m:r>
              <w:rPr>
                <w:rFonts w:ascii="Cambria Math" w:hAnsi="Cambria Math"/>
                <w:noProof/>
              </w:rPr>
              <m:t>X</m:t>
            </m:r>
          </m:e>
          <m:sub>
            <m:r>
              <w:rPr>
                <w:rFonts w:ascii="Cambria Math" w:hAnsi="Cambria Math"/>
                <w:noProof/>
              </w:rPr>
              <m:t>1</m:t>
            </m:r>
          </m:sub>
        </m:sSub>
        <m:r>
          <w:rPr>
            <w:rFonts w:ascii="Cambria Math" w:hAnsi="Cambria Math"/>
            <w:noProof/>
          </w:rPr>
          <m:t>+k</m:t>
        </m:r>
        <m:sSub>
          <m:sSubPr>
            <m:ctrlPr>
              <w:rPr>
                <w:rFonts w:ascii="Cambria Math" w:hAnsi="Cambria Math"/>
                <w:i/>
                <w:noProof/>
              </w:rPr>
            </m:ctrlPr>
          </m:sSubPr>
          <m:e>
            <m:r>
              <w:rPr>
                <w:rFonts w:ascii="Cambria Math" w:hAnsi="Cambria Math"/>
                <w:noProof/>
              </w:rPr>
              <m:t>X</m:t>
            </m:r>
          </m:e>
          <m:sub>
            <m:r>
              <w:rPr>
                <w:rFonts w:ascii="Cambria Math" w:hAnsi="Cambria Math"/>
                <w:noProof/>
              </w:rPr>
              <m:t>2</m:t>
            </m:r>
          </m:sub>
        </m:sSub>
        <m:r>
          <w:rPr>
            <w:rFonts w:ascii="Cambria Math" w:hAnsi="Cambria Math"/>
            <w:noProof/>
          </w:rPr>
          <m:t>+l</m:t>
        </m:r>
        <m:sSub>
          <m:sSubPr>
            <m:ctrlPr>
              <w:rPr>
                <w:rFonts w:ascii="Cambria Math" w:hAnsi="Cambria Math"/>
                <w:i/>
                <w:noProof/>
              </w:rPr>
            </m:ctrlPr>
          </m:sSubPr>
          <m:e>
            <m:r>
              <w:rPr>
                <w:rFonts w:ascii="Cambria Math" w:hAnsi="Cambria Math"/>
                <w:noProof/>
              </w:rPr>
              <m:t>X</m:t>
            </m:r>
          </m:e>
          <m:sub>
            <m:r>
              <w:rPr>
                <w:rFonts w:ascii="Cambria Math" w:hAnsi="Cambria Math"/>
                <w:noProof/>
              </w:rPr>
              <m:t>3</m:t>
            </m:r>
          </m:sub>
        </m:sSub>
      </m:oMath>
      <w:r w:rsidRPr="0024182B">
        <w:rPr>
          <w:rFonts w:ascii="Cambria Math" w:hAnsi="Cambria Math"/>
          <w:i/>
          <w:noProof/>
        </w:rPr>
        <w:t>,</w:t>
      </w:r>
      <m:oMath>
        <m:r>
          <w:rPr>
            <w:rFonts w:ascii="Cambria Math" w:hAnsi="Cambria Math"/>
            <w:noProof/>
          </w:rPr>
          <m:t xml:space="preserve"> h</m:t>
        </m:r>
        <m:sSub>
          <m:sSubPr>
            <m:ctrlPr>
              <w:rPr>
                <w:rFonts w:ascii="Cambria Math" w:hAnsi="Cambria Math"/>
                <w:i/>
                <w:noProof/>
              </w:rPr>
            </m:ctrlPr>
          </m:sSubPr>
          <m:e>
            <m:r>
              <w:rPr>
                <w:rFonts w:ascii="Cambria Math" w:hAnsi="Cambria Math"/>
                <w:noProof/>
              </w:rPr>
              <m:t>Y</m:t>
            </m:r>
          </m:e>
          <m:sub>
            <m:r>
              <w:rPr>
                <w:rFonts w:ascii="Cambria Math" w:hAnsi="Cambria Math"/>
                <w:noProof/>
              </w:rPr>
              <m:t>1</m:t>
            </m:r>
          </m:sub>
        </m:sSub>
        <m:r>
          <w:rPr>
            <w:rFonts w:ascii="Cambria Math" w:hAnsi="Cambria Math"/>
            <w:noProof/>
          </w:rPr>
          <m:t>+k</m:t>
        </m:r>
        <m:sSub>
          <m:sSubPr>
            <m:ctrlPr>
              <w:rPr>
                <w:rFonts w:ascii="Cambria Math" w:hAnsi="Cambria Math"/>
                <w:i/>
                <w:noProof/>
              </w:rPr>
            </m:ctrlPr>
          </m:sSubPr>
          <m:e>
            <m:r>
              <w:rPr>
                <w:rFonts w:ascii="Cambria Math" w:hAnsi="Cambria Math"/>
                <w:noProof/>
              </w:rPr>
              <m:t>Y</m:t>
            </m:r>
          </m:e>
          <m:sub>
            <m:r>
              <w:rPr>
                <w:rFonts w:ascii="Cambria Math" w:hAnsi="Cambria Math"/>
                <w:noProof/>
              </w:rPr>
              <m:t>2</m:t>
            </m:r>
          </m:sub>
        </m:sSub>
        <m:r>
          <w:rPr>
            <w:rFonts w:ascii="Cambria Math" w:hAnsi="Cambria Math"/>
            <w:noProof/>
          </w:rPr>
          <m:t>+l</m:t>
        </m:r>
        <m:sSub>
          <m:sSubPr>
            <m:ctrlPr>
              <w:rPr>
                <w:rFonts w:ascii="Cambria Math" w:hAnsi="Cambria Math"/>
                <w:i/>
                <w:noProof/>
              </w:rPr>
            </m:ctrlPr>
          </m:sSubPr>
          <m:e>
            <m:r>
              <w:rPr>
                <w:rFonts w:ascii="Cambria Math" w:hAnsi="Cambria Math"/>
                <w:noProof/>
              </w:rPr>
              <m:t>Y</m:t>
            </m:r>
          </m:e>
          <m:sub>
            <m:r>
              <w:rPr>
                <w:rFonts w:ascii="Cambria Math" w:hAnsi="Cambria Math"/>
                <w:noProof/>
              </w:rPr>
              <m:t>3</m:t>
            </m:r>
          </m:sub>
        </m:sSub>
        <m:r>
          <w:rPr>
            <w:rFonts w:ascii="Cambria Math" w:hAnsi="Cambria Math"/>
            <w:noProof/>
          </w:rPr>
          <m:t>,h</m:t>
        </m:r>
        <m:sSub>
          <m:sSubPr>
            <m:ctrlPr>
              <w:rPr>
                <w:rFonts w:ascii="Cambria Math" w:hAnsi="Cambria Math"/>
                <w:i/>
                <w:noProof/>
              </w:rPr>
            </m:ctrlPr>
          </m:sSubPr>
          <m:e>
            <m:r>
              <w:rPr>
                <w:rFonts w:ascii="Cambria Math" w:hAnsi="Cambria Math"/>
                <w:noProof/>
              </w:rPr>
              <m:t>Z</m:t>
            </m:r>
          </m:e>
          <m:sub>
            <m:r>
              <w:rPr>
                <w:rFonts w:ascii="Cambria Math" w:hAnsi="Cambria Math"/>
                <w:noProof/>
              </w:rPr>
              <m:t>1</m:t>
            </m:r>
          </m:sub>
        </m:sSub>
        <m:r>
          <w:rPr>
            <w:rFonts w:ascii="Cambria Math" w:hAnsi="Cambria Math"/>
            <w:noProof/>
          </w:rPr>
          <m:t>+k</m:t>
        </m:r>
        <m:sSub>
          <m:sSubPr>
            <m:ctrlPr>
              <w:rPr>
                <w:rFonts w:ascii="Cambria Math" w:hAnsi="Cambria Math"/>
                <w:i/>
                <w:noProof/>
              </w:rPr>
            </m:ctrlPr>
          </m:sSubPr>
          <m:e>
            <m:r>
              <w:rPr>
                <w:rFonts w:ascii="Cambria Math" w:hAnsi="Cambria Math"/>
                <w:noProof/>
              </w:rPr>
              <m:t>Z</m:t>
            </m:r>
          </m:e>
          <m:sub>
            <m:r>
              <w:rPr>
                <w:rFonts w:ascii="Cambria Math" w:hAnsi="Cambria Math"/>
                <w:noProof/>
              </w:rPr>
              <m:t>2</m:t>
            </m:r>
          </m:sub>
        </m:sSub>
        <m:r>
          <w:rPr>
            <w:rFonts w:ascii="Cambria Math" w:hAnsi="Cambria Math"/>
            <w:noProof/>
          </w:rPr>
          <m:t>+l</m:t>
        </m:r>
        <m:sSub>
          <m:sSubPr>
            <m:ctrlPr>
              <w:rPr>
                <w:rFonts w:ascii="Cambria Math" w:hAnsi="Cambria Math"/>
                <w:i/>
                <w:noProof/>
              </w:rPr>
            </m:ctrlPr>
          </m:sSubPr>
          <m:e>
            <m:r>
              <w:rPr>
                <w:rFonts w:ascii="Cambria Math" w:hAnsi="Cambria Math"/>
                <w:noProof/>
              </w:rPr>
              <m:t>Z</m:t>
            </m:r>
          </m:e>
          <m:sub>
            <m:r>
              <w:rPr>
                <w:rFonts w:ascii="Cambria Math" w:hAnsi="Cambria Math"/>
                <w:noProof/>
              </w:rPr>
              <m:t>3</m:t>
            </m:r>
          </m:sub>
        </m:sSub>
      </m:oMath>
      <w:r w:rsidRPr="0024182B">
        <w:rPr>
          <w:noProof/>
        </w:rPr>
        <w:t>)</w:t>
      </w:r>
      <w:r>
        <w:rPr>
          <w:noProof/>
        </w:rPr>
        <w:t xml:space="preserve">                  </w:t>
      </w:r>
      <w:r w:rsidRPr="0024182B">
        <w:rPr>
          <w:noProof/>
        </w:rPr>
        <w:t>(10)</w:t>
      </w:r>
    </w:p>
    <w:p w14:paraId="49D82E4B" w14:textId="094B01FA" w:rsidR="00DD65C8" w:rsidRDefault="00DD65C8" w:rsidP="00DD65C8">
      <w:pPr>
        <w:spacing w:after="120" w:line="360" w:lineRule="auto"/>
        <w:jc w:val="both"/>
        <w:rPr>
          <w:noProof/>
        </w:rPr>
      </w:pPr>
      <w:r>
        <w:rPr>
          <w:noProof/>
        </w:rPr>
        <w:t xml:space="preserve">By taking </w:t>
      </w:r>
      <w:r w:rsidRPr="00C70056">
        <w:rPr>
          <w:i/>
          <w:noProof/>
        </w:rPr>
        <w:t>eq</w:t>
      </w:r>
      <w:r>
        <w:rPr>
          <w:noProof/>
        </w:rPr>
        <w:t xml:space="preserve">.(10) as input and repeating </w:t>
      </w:r>
      <w:r w:rsidRPr="00C70056">
        <w:rPr>
          <w:i/>
          <w:noProof/>
        </w:rPr>
        <w:t>eq</w:t>
      </w:r>
      <w:r>
        <w:rPr>
          <w:noProof/>
        </w:rPr>
        <w:t xml:space="preserve">.(1)-(7), the primitive basis vector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oMath>
      <w:r>
        <w:rPr>
          <w:b/>
          <w:noProof/>
        </w:rPr>
        <w:t xml:space="preserve"> </w:t>
      </w:r>
      <w:r w:rsidRPr="0024182B">
        <w:rPr>
          <w:noProof/>
        </w:rPr>
        <w:t>and</w:t>
      </w:r>
      <w:r>
        <w:rPr>
          <w:b/>
          <w:noProof/>
        </w:rPr>
        <w:t xml:space="preserve">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oMath>
      <w:r>
        <w:rPr>
          <w:noProof/>
        </w:rPr>
        <w:t xml:space="preserve"> on </w:t>
      </w:r>
      <w:r w:rsidR="002D6024">
        <w:rPr>
          <w:noProof/>
        </w:rPr>
        <w:t xml:space="preserve">the </w:t>
      </w:r>
      <w:r>
        <w:rPr>
          <w:noProof/>
        </w:rPr>
        <w:t>(</w:t>
      </w:r>
      <m:oMath>
        <m:r>
          <w:rPr>
            <w:rFonts w:ascii="Cambria Math" w:hAnsi="Cambria Math"/>
            <w:noProof/>
          </w:rPr>
          <m:t>h k l</m:t>
        </m:r>
      </m:oMath>
      <w:r>
        <w:rPr>
          <w:noProof/>
        </w:rPr>
        <w:t xml:space="preserve">) plane can be determined. For convenience,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oMath>
      <w:r w:rsidRPr="00A91F7D">
        <w:rPr>
          <w:noProof/>
        </w:rPr>
        <w:t>(</w:t>
      </w:r>
      <m:oMath>
        <m:sSub>
          <m:sSubPr>
            <m:ctrlPr>
              <w:rPr>
                <w:rFonts w:ascii="Cambria Math" w:hAnsi="Cambria Math"/>
                <w:i/>
                <w:noProof/>
              </w:rPr>
            </m:ctrlPr>
          </m:sSubPr>
          <m:e>
            <m:r>
              <w:rPr>
                <w:rFonts w:ascii="Cambria Math" w:hAnsi="Cambria Math"/>
                <w:noProof/>
              </w:rPr>
              <m:t>u</m:t>
            </m:r>
          </m:e>
          <m:sub>
            <m:r>
              <w:rPr>
                <w:rFonts w:ascii="Cambria Math" w:hAnsi="Cambria Math"/>
                <w:noProof/>
              </w:rPr>
              <m:t>1</m:t>
            </m:r>
          </m:sub>
        </m:sSub>
        <m:r>
          <w:rPr>
            <w:rFonts w:ascii="Cambria Math" w:hAnsi="Cambria Math"/>
            <w:noProof/>
          </w:rPr>
          <m:t>,</m:t>
        </m:r>
        <m:sSub>
          <m:sSubPr>
            <m:ctrlPr>
              <w:rPr>
                <w:rFonts w:ascii="Cambria Math" w:hAnsi="Cambria Math"/>
                <w:i/>
                <w:noProof/>
              </w:rPr>
            </m:ctrlPr>
          </m:sSubPr>
          <m:e>
            <m:r>
              <w:rPr>
                <w:rFonts w:ascii="Cambria Math" w:hAnsi="Cambria Math"/>
                <w:noProof/>
              </w:rPr>
              <m:t>v</m:t>
            </m:r>
          </m:e>
          <m:sub>
            <m:r>
              <w:rPr>
                <w:rFonts w:ascii="Cambria Math" w:hAnsi="Cambria Math"/>
                <w:noProof/>
              </w:rPr>
              <m:t>1</m:t>
            </m:r>
          </m:sub>
        </m:sSub>
        <m:r>
          <w:rPr>
            <w:rFonts w:ascii="Cambria Math" w:hAnsi="Cambria Math"/>
            <w:noProof/>
          </w:rPr>
          <m:t>,</m:t>
        </m:r>
        <m:sSub>
          <m:sSubPr>
            <m:ctrlPr>
              <w:rPr>
                <w:rFonts w:ascii="Cambria Math" w:hAnsi="Cambria Math"/>
                <w:i/>
                <w:noProof/>
              </w:rPr>
            </m:ctrlPr>
          </m:sSubPr>
          <m:e>
            <m:r>
              <w:rPr>
                <w:rFonts w:ascii="Cambria Math" w:hAnsi="Cambria Math"/>
                <w:noProof/>
              </w:rPr>
              <m:t>w</m:t>
            </m:r>
          </m:e>
          <m:sub>
            <m:r>
              <w:rPr>
                <w:rFonts w:ascii="Cambria Math" w:hAnsi="Cambria Math"/>
                <w:noProof/>
              </w:rPr>
              <m:t>1</m:t>
            </m:r>
          </m:sub>
        </m:sSub>
      </m:oMath>
      <w:r w:rsidRPr="00A91F7D">
        <w:rPr>
          <w:noProof/>
        </w:rPr>
        <w:t>)</w:t>
      </w:r>
      <w:r>
        <w:rPr>
          <w:b/>
          <w:noProof/>
        </w:rPr>
        <w:t xml:space="preserve"> </w:t>
      </w:r>
      <w:r w:rsidRPr="0024182B">
        <w:rPr>
          <w:noProof/>
        </w:rPr>
        <w:t>and</w:t>
      </w:r>
      <w:r>
        <w:rPr>
          <w:b/>
          <w:noProof/>
        </w:rPr>
        <w:t xml:space="preserve">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oMath>
      <w:r w:rsidRPr="00A91F7D">
        <w:rPr>
          <w:noProof/>
        </w:rPr>
        <w:t>(</w:t>
      </w:r>
      <m:oMath>
        <m:sSub>
          <m:sSubPr>
            <m:ctrlPr>
              <w:rPr>
                <w:rFonts w:ascii="Cambria Math" w:hAnsi="Cambria Math"/>
                <w:i/>
                <w:noProof/>
              </w:rPr>
            </m:ctrlPr>
          </m:sSubPr>
          <m:e>
            <m:r>
              <w:rPr>
                <w:rFonts w:ascii="Cambria Math" w:hAnsi="Cambria Math"/>
                <w:noProof/>
              </w:rPr>
              <m:t>u</m:t>
            </m:r>
          </m:e>
          <m:sub>
            <m:r>
              <w:rPr>
                <w:rFonts w:ascii="Cambria Math" w:hAnsi="Cambria Math"/>
                <w:noProof/>
              </w:rPr>
              <m:t>2</m:t>
            </m:r>
          </m:sub>
        </m:sSub>
        <m:r>
          <w:rPr>
            <w:rFonts w:ascii="Cambria Math" w:hAnsi="Cambria Math"/>
            <w:noProof/>
          </w:rPr>
          <m:t>,</m:t>
        </m:r>
        <m:sSub>
          <m:sSubPr>
            <m:ctrlPr>
              <w:rPr>
                <w:rFonts w:ascii="Cambria Math" w:hAnsi="Cambria Math"/>
                <w:i/>
                <w:noProof/>
              </w:rPr>
            </m:ctrlPr>
          </m:sSubPr>
          <m:e>
            <m:r>
              <w:rPr>
                <w:rFonts w:ascii="Cambria Math" w:hAnsi="Cambria Math"/>
                <w:noProof/>
              </w:rPr>
              <m:t>v</m:t>
            </m:r>
          </m:e>
          <m:sub>
            <m:r>
              <w:rPr>
                <w:rFonts w:ascii="Cambria Math" w:hAnsi="Cambria Math"/>
                <w:noProof/>
              </w:rPr>
              <m:t>2</m:t>
            </m:r>
          </m:sub>
        </m:sSub>
        <m:r>
          <w:rPr>
            <w:rFonts w:ascii="Cambria Math" w:hAnsi="Cambria Math"/>
            <w:noProof/>
          </w:rPr>
          <m:t>,</m:t>
        </m:r>
        <m:sSub>
          <m:sSubPr>
            <m:ctrlPr>
              <w:rPr>
                <w:rFonts w:ascii="Cambria Math" w:hAnsi="Cambria Math"/>
                <w:i/>
                <w:noProof/>
              </w:rPr>
            </m:ctrlPr>
          </m:sSubPr>
          <m:e>
            <m:r>
              <w:rPr>
                <w:rFonts w:ascii="Cambria Math" w:hAnsi="Cambria Math"/>
                <w:noProof/>
              </w:rPr>
              <m:t>w</m:t>
            </m:r>
          </m:e>
          <m:sub>
            <m:r>
              <w:rPr>
                <w:rFonts w:ascii="Cambria Math" w:hAnsi="Cambria Math"/>
                <w:noProof/>
              </w:rPr>
              <m:t>2</m:t>
            </m:r>
          </m:sub>
        </m:sSub>
      </m:oMath>
      <w:r>
        <w:rPr>
          <w:noProof/>
        </w:rPr>
        <w:t xml:space="preserve">) </w:t>
      </w:r>
      <w:r w:rsidRPr="00A91F7D">
        <w:rPr>
          <w:noProof/>
        </w:rPr>
        <w:t xml:space="preserve">can </w:t>
      </w:r>
      <w:r>
        <w:rPr>
          <w:noProof/>
        </w:rPr>
        <w:t xml:space="preserve">always be represented by Bravais lattice basis vector </w:t>
      </w:r>
      <m:oMath>
        <m:r>
          <m:rPr>
            <m:sty m:val="bi"/>
          </m:rPr>
          <w:rPr>
            <w:rFonts w:ascii="Cambria Math" w:hAnsi="Cambria Math"/>
            <w:noProof/>
          </w:rPr>
          <m:t>a b c</m:t>
        </m:r>
      </m:oMath>
      <w:r>
        <w:rPr>
          <w:b/>
          <w:noProof/>
        </w:rPr>
        <w:t xml:space="preserve"> </w:t>
      </w:r>
      <w:r w:rsidRPr="00A91F7D">
        <w:rPr>
          <w:noProof/>
        </w:rPr>
        <w:t>by subsititut</w:t>
      </w:r>
      <w:r>
        <w:rPr>
          <w:noProof/>
        </w:rPr>
        <w:t>ing</w:t>
      </w:r>
      <w:r w:rsidRPr="00A91F7D">
        <w:rPr>
          <w:noProof/>
        </w:rPr>
        <w:t xml:space="preserve"> </w:t>
      </w:r>
      <w:r w:rsidRPr="00C70056">
        <w:rPr>
          <w:i/>
          <w:noProof/>
        </w:rPr>
        <w:t>eq</w:t>
      </w:r>
      <w:r w:rsidRPr="00A91F7D">
        <w:rPr>
          <w:noProof/>
        </w:rPr>
        <w:t>.(8)</w:t>
      </w:r>
      <w:r>
        <w:rPr>
          <w:b/>
          <w:noProof/>
        </w:rPr>
        <w:t xml:space="preserve"> </w:t>
      </w:r>
      <w:r>
        <w:rPr>
          <w:noProof/>
        </w:rPr>
        <w:t>as:</w:t>
      </w:r>
    </w:p>
    <w:p w14:paraId="0574C91E" w14:textId="1173B569" w:rsidR="00DD65C8" w:rsidRDefault="00077961" w:rsidP="00DD65C8">
      <w:pPr>
        <w:spacing w:after="120" w:line="360" w:lineRule="auto"/>
        <w:jc w:val="right"/>
        <w:rPr>
          <w:noProof/>
        </w:rPr>
      </w:pPr>
      <m:oMath>
        <m:d>
          <m:dPr>
            <m:begChr m:val="{"/>
            <m:endChr m:val=""/>
            <m:ctrlPr>
              <w:rPr>
                <w:rFonts w:ascii="Cambria Math" w:hAnsi="Cambria Math"/>
                <w:i/>
                <w:noProof/>
              </w:rPr>
            </m:ctrlPr>
          </m:dPr>
          <m:e>
            <m:eqArr>
              <m:eqArrPr>
                <m:ctrlPr>
                  <w:rPr>
                    <w:rFonts w:ascii="Cambria Math" w:hAnsi="Cambria Math"/>
                    <w:i/>
                    <w:noProof/>
                  </w:rPr>
                </m:ctrlPr>
              </m:eqArrPr>
              <m:e>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r>
                  <m:rPr>
                    <m:sty m:val="p"/>
                  </m:rPr>
                  <w:rPr>
                    <w:rFonts w:ascii="Cambria Math" w:hAnsi="Cambria Math"/>
                    <w:noProof/>
                  </w:rPr>
                  <m:t>(</m:t>
                </m:r>
                <m:sSub>
                  <m:sSubPr>
                    <m:ctrlPr>
                      <w:rPr>
                        <w:rFonts w:ascii="Cambria Math" w:hAnsi="Cambria Math"/>
                        <w:i/>
                        <w:noProof/>
                      </w:rPr>
                    </m:ctrlPr>
                  </m:sSubPr>
                  <m:e>
                    <m:r>
                      <w:rPr>
                        <w:rFonts w:ascii="Cambria Math" w:hAnsi="Cambria Math"/>
                        <w:noProof/>
                      </w:rPr>
                      <m:t>u</m:t>
                    </m:r>
                  </m:e>
                  <m:sub>
                    <m:r>
                      <w:rPr>
                        <w:rFonts w:ascii="Cambria Math" w:hAnsi="Cambria Math"/>
                        <w:noProof/>
                      </w:rPr>
                      <m:t>1</m:t>
                    </m:r>
                  </m:sub>
                </m:sSub>
                <m:sSub>
                  <m:sSubPr>
                    <m:ctrlPr>
                      <w:rPr>
                        <w:rFonts w:ascii="Cambria Math" w:hAnsi="Cambria Math"/>
                        <w:i/>
                        <w:noProof/>
                      </w:rPr>
                    </m:ctrlPr>
                  </m:sSubPr>
                  <m:e>
                    <m:r>
                      <w:rPr>
                        <w:rFonts w:ascii="Cambria Math" w:hAnsi="Cambria Math"/>
                        <w:noProof/>
                      </w:rPr>
                      <m:t>x</m:t>
                    </m:r>
                  </m:e>
                  <m:sub>
                    <m:r>
                      <w:rPr>
                        <w:rFonts w:ascii="Cambria Math" w:hAnsi="Cambria Math"/>
                        <w:noProof/>
                      </w:rPr>
                      <m:t>1</m:t>
                    </m:r>
                  </m:sub>
                </m:sSub>
                <m:r>
                  <w:rPr>
                    <w:rFonts w:ascii="Cambria Math" w:hAnsi="Cambria Math"/>
                    <w:noProof/>
                  </w:rPr>
                  <m:t>+</m:t>
                </m:r>
                <m:sSub>
                  <m:sSubPr>
                    <m:ctrlPr>
                      <w:rPr>
                        <w:rFonts w:ascii="Cambria Math" w:hAnsi="Cambria Math"/>
                        <w:i/>
                        <w:noProof/>
                      </w:rPr>
                    </m:ctrlPr>
                  </m:sSubPr>
                  <m:e>
                    <m:r>
                      <w:rPr>
                        <w:rFonts w:ascii="Cambria Math" w:hAnsi="Cambria Math"/>
                        <w:noProof/>
                      </w:rPr>
                      <m:t>v</m:t>
                    </m:r>
                  </m:e>
                  <m:sub>
                    <m:r>
                      <w:rPr>
                        <w:rFonts w:ascii="Cambria Math" w:hAnsi="Cambria Math"/>
                        <w:noProof/>
                      </w:rPr>
                      <m:t>1</m:t>
                    </m:r>
                  </m:sub>
                </m:sSub>
                <m:sSub>
                  <m:sSubPr>
                    <m:ctrlPr>
                      <w:rPr>
                        <w:rFonts w:ascii="Cambria Math" w:hAnsi="Cambria Math"/>
                        <w:i/>
                        <w:noProof/>
                      </w:rPr>
                    </m:ctrlPr>
                  </m:sSubPr>
                  <m:e>
                    <m:r>
                      <w:rPr>
                        <w:rFonts w:ascii="Cambria Math" w:hAnsi="Cambria Math"/>
                        <w:noProof/>
                      </w:rPr>
                      <m:t>x</m:t>
                    </m:r>
                  </m:e>
                  <m:sub>
                    <m:r>
                      <w:rPr>
                        <w:rFonts w:ascii="Cambria Math" w:hAnsi="Cambria Math"/>
                        <w:noProof/>
                      </w:rPr>
                      <m:t>2</m:t>
                    </m:r>
                  </m:sub>
                </m:sSub>
                <m:r>
                  <w:rPr>
                    <w:rFonts w:ascii="Cambria Math" w:hAnsi="Cambria Math"/>
                    <w:noProof/>
                  </w:rPr>
                  <m:t>+</m:t>
                </m:r>
                <m:sSub>
                  <m:sSubPr>
                    <m:ctrlPr>
                      <w:rPr>
                        <w:rFonts w:ascii="Cambria Math" w:hAnsi="Cambria Math"/>
                        <w:i/>
                        <w:noProof/>
                      </w:rPr>
                    </m:ctrlPr>
                  </m:sSubPr>
                  <m:e>
                    <m:r>
                      <w:rPr>
                        <w:rFonts w:ascii="Cambria Math" w:hAnsi="Cambria Math"/>
                        <w:noProof/>
                      </w:rPr>
                      <m:t>w</m:t>
                    </m:r>
                  </m:e>
                  <m:sub>
                    <m:r>
                      <w:rPr>
                        <w:rFonts w:ascii="Cambria Math" w:hAnsi="Cambria Math"/>
                        <w:noProof/>
                      </w:rPr>
                      <m:t>1</m:t>
                    </m:r>
                  </m:sub>
                </m:sSub>
                <m:sSub>
                  <m:sSubPr>
                    <m:ctrlPr>
                      <w:rPr>
                        <w:rFonts w:ascii="Cambria Math" w:hAnsi="Cambria Math"/>
                        <w:i/>
                        <w:noProof/>
                      </w:rPr>
                    </m:ctrlPr>
                  </m:sSubPr>
                  <m:e>
                    <m:r>
                      <w:rPr>
                        <w:rFonts w:ascii="Cambria Math" w:hAnsi="Cambria Math"/>
                        <w:noProof/>
                      </w:rPr>
                      <m:t>x</m:t>
                    </m:r>
                  </m:e>
                  <m:sub>
                    <m:r>
                      <w:rPr>
                        <w:rFonts w:ascii="Cambria Math" w:hAnsi="Cambria Math"/>
                        <w:noProof/>
                      </w:rPr>
                      <m:t>3</m:t>
                    </m:r>
                  </m:sub>
                </m:sSub>
                <m:r>
                  <w:rPr>
                    <w:rFonts w:ascii="Cambria Math" w:hAnsi="Cambria Math"/>
                    <w:noProof/>
                  </w:rPr>
                  <m:t>,</m:t>
                </m:r>
                <m:sSub>
                  <m:sSubPr>
                    <m:ctrlPr>
                      <w:rPr>
                        <w:rFonts w:ascii="Cambria Math" w:hAnsi="Cambria Math"/>
                        <w:i/>
                        <w:noProof/>
                      </w:rPr>
                    </m:ctrlPr>
                  </m:sSubPr>
                  <m:e>
                    <m:r>
                      <w:rPr>
                        <w:rFonts w:ascii="Cambria Math" w:hAnsi="Cambria Math"/>
                        <w:noProof/>
                      </w:rPr>
                      <m:t>u</m:t>
                    </m:r>
                  </m:e>
                  <m:sub>
                    <m:r>
                      <w:rPr>
                        <w:rFonts w:ascii="Cambria Math" w:hAnsi="Cambria Math"/>
                        <w:noProof/>
                      </w:rPr>
                      <m:t>1</m:t>
                    </m:r>
                  </m:sub>
                </m:sSub>
                <m:sSub>
                  <m:sSubPr>
                    <m:ctrlPr>
                      <w:rPr>
                        <w:rFonts w:ascii="Cambria Math" w:hAnsi="Cambria Math"/>
                        <w:i/>
                        <w:noProof/>
                      </w:rPr>
                    </m:ctrlPr>
                  </m:sSubPr>
                  <m:e>
                    <m:r>
                      <w:rPr>
                        <w:rFonts w:ascii="Cambria Math" w:hAnsi="Cambria Math"/>
                        <w:noProof/>
                      </w:rPr>
                      <m:t>y</m:t>
                    </m:r>
                  </m:e>
                  <m:sub>
                    <m:r>
                      <w:rPr>
                        <w:rFonts w:ascii="Cambria Math" w:hAnsi="Cambria Math"/>
                        <w:noProof/>
                      </w:rPr>
                      <m:t>1</m:t>
                    </m:r>
                  </m:sub>
                </m:sSub>
                <m:r>
                  <w:rPr>
                    <w:rFonts w:ascii="Cambria Math" w:hAnsi="Cambria Math"/>
                    <w:noProof/>
                  </w:rPr>
                  <m:t>+</m:t>
                </m:r>
                <m:sSub>
                  <m:sSubPr>
                    <m:ctrlPr>
                      <w:rPr>
                        <w:rFonts w:ascii="Cambria Math" w:hAnsi="Cambria Math"/>
                        <w:i/>
                        <w:noProof/>
                      </w:rPr>
                    </m:ctrlPr>
                  </m:sSubPr>
                  <m:e>
                    <m:r>
                      <w:rPr>
                        <w:rFonts w:ascii="Cambria Math" w:hAnsi="Cambria Math"/>
                        <w:noProof/>
                      </w:rPr>
                      <m:t>v</m:t>
                    </m:r>
                  </m:e>
                  <m:sub>
                    <m:r>
                      <w:rPr>
                        <w:rFonts w:ascii="Cambria Math" w:hAnsi="Cambria Math"/>
                        <w:noProof/>
                      </w:rPr>
                      <m:t>1</m:t>
                    </m:r>
                  </m:sub>
                </m:sSub>
                <m:sSub>
                  <m:sSubPr>
                    <m:ctrlPr>
                      <w:rPr>
                        <w:rFonts w:ascii="Cambria Math" w:hAnsi="Cambria Math"/>
                        <w:i/>
                        <w:noProof/>
                      </w:rPr>
                    </m:ctrlPr>
                  </m:sSubPr>
                  <m:e>
                    <m:r>
                      <w:rPr>
                        <w:rFonts w:ascii="Cambria Math" w:hAnsi="Cambria Math"/>
                        <w:noProof/>
                      </w:rPr>
                      <m:t>y</m:t>
                    </m:r>
                  </m:e>
                  <m:sub>
                    <m:r>
                      <w:rPr>
                        <w:rFonts w:ascii="Cambria Math" w:hAnsi="Cambria Math"/>
                        <w:noProof/>
                      </w:rPr>
                      <m:t>2</m:t>
                    </m:r>
                  </m:sub>
                </m:sSub>
                <m:r>
                  <w:rPr>
                    <w:rFonts w:ascii="Cambria Math" w:hAnsi="Cambria Math"/>
                    <w:noProof/>
                  </w:rPr>
                  <m:t>+</m:t>
                </m:r>
                <m:sSub>
                  <m:sSubPr>
                    <m:ctrlPr>
                      <w:rPr>
                        <w:rFonts w:ascii="Cambria Math" w:hAnsi="Cambria Math"/>
                        <w:i/>
                        <w:noProof/>
                      </w:rPr>
                    </m:ctrlPr>
                  </m:sSubPr>
                  <m:e>
                    <m:r>
                      <w:rPr>
                        <w:rFonts w:ascii="Cambria Math" w:hAnsi="Cambria Math"/>
                        <w:noProof/>
                      </w:rPr>
                      <m:t>w</m:t>
                    </m:r>
                  </m:e>
                  <m:sub>
                    <m:r>
                      <w:rPr>
                        <w:rFonts w:ascii="Cambria Math" w:hAnsi="Cambria Math"/>
                        <w:noProof/>
                      </w:rPr>
                      <m:t>1</m:t>
                    </m:r>
                  </m:sub>
                </m:sSub>
                <m:sSub>
                  <m:sSubPr>
                    <m:ctrlPr>
                      <w:rPr>
                        <w:rFonts w:ascii="Cambria Math" w:hAnsi="Cambria Math"/>
                        <w:i/>
                        <w:noProof/>
                      </w:rPr>
                    </m:ctrlPr>
                  </m:sSubPr>
                  <m:e>
                    <m:r>
                      <w:rPr>
                        <w:rFonts w:ascii="Cambria Math" w:hAnsi="Cambria Math"/>
                        <w:noProof/>
                      </w:rPr>
                      <m:t>y</m:t>
                    </m:r>
                  </m:e>
                  <m:sub>
                    <m:r>
                      <w:rPr>
                        <w:rFonts w:ascii="Cambria Math" w:hAnsi="Cambria Math"/>
                        <w:noProof/>
                      </w:rPr>
                      <m:t>3</m:t>
                    </m:r>
                  </m:sub>
                </m:sSub>
                <m:r>
                  <w:rPr>
                    <w:rFonts w:ascii="Cambria Math" w:hAnsi="Cambria Math"/>
                    <w:noProof/>
                  </w:rPr>
                  <m:t>,</m:t>
                </m:r>
                <m:sSub>
                  <m:sSubPr>
                    <m:ctrlPr>
                      <w:rPr>
                        <w:rFonts w:ascii="Cambria Math" w:hAnsi="Cambria Math"/>
                        <w:i/>
                        <w:noProof/>
                      </w:rPr>
                    </m:ctrlPr>
                  </m:sSubPr>
                  <m:e>
                    <m:r>
                      <w:rPr>
                        <w:rFonts w:ascii="Cambria Math" w:hAnsi="Cambria Math"/>
                        <w:noProof/>
                      </w:rPr>
                      <m:t>u</m:t>
                    </m:r>
                  </m:e>
                  <m:sub>
                    <m:r>
                      <w:rPr>
                        <w:rFonts w:ascii="Cambria Math" w:hAnsi="Cambria Math"/>
                        <w:noProof/>
                      </w:rPr>
                      <m:t>1</m:t>
                    </m:r>
                  </m:sub>
                </m:sSub>
                <m:sSub>
                  <m:sSubPr>
                    <m:ctrlPr>
                      <w:rPr>
                        <w:rFonts w:ascii="Cambria Math" w:hAnsi="Cambria Math"/>
                        <w:i/>
                        <w:noProof/>
                      </w:rPr>
                    </m:ctrlPr>
                  </m:sSubPr>
                  <m:e>
                    <m:r>
                      <w:rPr>
                        <w:rFonts w:ascii="Cambria Math" w:hAnsi="Cambria Math"/>
                        <w:noProof/>
                      </w:rPr>
                      <m:t>z</m:t>
                    </m:r>
                  </m:e>
                  <m:sub>
                    <m:r>
                      <w:rPr>
                        <w:rFonts w:ascii="Cambria Math" w:hAnsi="Cambria Math"/>
                        <w:noProof/>
                      </w:rPr>
                      <m:t>1</m:t>
                    </m:r>
                  </m:sub>
                </m:sSub>
                <m:r>
                  <w:rPr>
                    <w:rFonts w:ascii="Cambria Math" w:hAnsi="Cambria Math"/>
                    <w:noProof/>
                  </w:rPr>
                  <m:t>+</m:t>
                </m:r>
                <m:sSub>
                  <m:sSubPr>
                    <m:ctrlPr>
                      <w:rPr>
                        <w:rFonts w:ascii="Cambria Math" w:hAnsi="Cambria Math"/>
                        <w:i/>
                        <w:noProof/>
                      </w:rPr>
                    </m:ctrlPr>
                  </m:sSubPr>
                  <m:e>
                    <m:r>
                      <w:rPr>
                        <w:rFonts w:ascii="Cambria Math" w:hAnsi="Cambria Math"/>
                        <w:noProof/>
                      </w:rPr>
                      <m:t>v</m:t>
                    </m:r>
                  </m:e>
                  <m:sub>
                    <m:r>
                      <w:rPr>
                        <w:rFonts w:ascii="Cambria Math" w:hAnsi="Cambria Math"/>
                        <w:noProof/>
                      </w:rPr>
                      <m:t>1</m:t>
                    </m:r>
                  </m:sub>
                </m:sSub>
                <m:sSub>
                  <m:sSubPr>
                    <m:ctrlPr>
                      <w:rPr>
                        <w:rFonts w:ascii="Cambria Math" w:hAnsi="Cambria Math"/>
                        <w:i/>
                        <w:noProof/>
                      </w:rPr>
                    </m:ctrlPr>
                  </m:sSubPr>
                  <m:e>
                    <m:r>
                      <w:rPr>
                        <w:rFonts w:ascii="Cambria Math" w:hAnsi="Cambria Math"/>
                        <w:noProof/>
                      </w:rPr>
                      <m:t>z</m:t>
                    </m:r>
                  </m:e>
                  <m:sub>
                    <m:r>
                      <w:rPr>
                        <w:rFonts w:ascii="Cambria Math" w:hAnsi="Cambria Math"/>
                        <w:noProof/>
                      </w:rPr>
                      <m:t>2</m:t>
                    </m:r>
                  </m:sub>
                </m:sSub>
                <m:r>
                  <w:rPr>
                    <w:rFonts w:ascii="Cambria Math" w:hAnsi="Cambria Math"/>
                    <w:noProof/>
                  </w:rPr>
                  <m:t>+</m:t>
                </m:r>
                <m:sSub>
                  <m:sSubPr>
                    <m:ctrlPr>
                      <w:rPr>
                        <w:rFonts w:ascii="Cambria Math" w:hAnsi="Cambria Math"/>
                        <w:i/>
                        <w:noProof/>
                      </w:rPr>
                    </m:ctrlPr>
                  </m:sSubPr>
                  <m:e>
                    <m:r>
                      <w:rPr>
                        <w:rFonts w:ascii="Cambria Math" w:hAnsi="Cambria Math"/>
                        <w:noProof/>
                      </w:rPr>
                      <m:t>w</m:t>
                    </m:r>
                  </m:e>
                  <m:sub>
                    <m:r>
                      <w:rPr>
                        <w:rFonts w:ascii="Cambria Math" w:hAnsi="Cambria Math"/>
                        <w:noProof/>
                      </w:rPr>
                      <m:t>1</m:t>
                    </m:r>
                  </m:sub>
                </m:sSub>
                <m:sSub>
                  <m:sSubPr>
                    <m:ctrlPr>
                      <w:rPr>
                        <w:rFonts w:ascii="Cambria Math" w:hAnsi="Cambria Math"/>
                        <w:i/>
                        <w:noProof/>
                      </w:rPr>
                    </m:ctrlPr>
                  </m:sSubPr>
                  <m:e>
                    <m:r>
                      <w:rPr>
                        <w:rFonts w:ascii="Cambria Math" w:hAnsi="Cambria Math"/>
                        <w:noProof/>
                      </w:rPr>
                      <m:t>z</m:t>
                    </m:r>
                  </m:e>
                  <m:sub>
                    <m:r>
                      <w:rPr>
                        <w:rFonts w:ascii="Cambria Math" w:hAnsi="Cambria Math"/>
                        <w:noProof/>
                      </w:rPr>
                      <m:t>3</m:t>
                    </m:r>
                  </m:sub>
                </m:sSub>
                <m:r>
                  <m:rPr>
                    <m:sty m:val="p"/>
                  </m:rPr>
                  <w:rPr>
                    <w:rFonts w:ascii="Cambria Math" w:hAnsi="Cambria Math"/>
                    <w:noProof/>
                  </w:rPr>
                  <m:t>)</m:t>
                </m:r>
              </m:e>
              <m:e>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r>
                  <m:rPr>
                    <m:sty m:val="p"/>
                  </m:rPr>
                  <w:rPr>
                    <w:rFonts w:ascii="Cambria Math" w:hAnsi="Cambria Math"/>
                    <w:noProof/>
                  </w:rPr>
                  <m:t>(</m:t>
                </m:r>
                <m:sSub>
                  <m:sSubPr>
                    <m:ctrlPr>
                      <w:rPr>
                        <w:rFonts w:ascii="Cambria Math" w:hAnsi="Cambria Math"/>
                        <w:i/>
                        <w:noProof/>
                      </w:rPr>
                    </m:ctrlPr>
                  </m:sSubPr>
                  <m:e>
                    <m:r>
                      <w:rPr>
                        <w:rFonts w:ascii="Cambria Math" w:hAnsi="Cambria Math"/>
                        <w:noProof/>
                      </w:rPr>
                      <m:t>u</m:t>
                    </m:r>
                  </m:e>
                  <m:sub>
                    <m:r>
                      <w:rPr>
                        <w:rFonts w:ascii="Cambria Math" w:hAnsi="Cambria Math"/>
                        <w:noProof/>
                      </w:rPr>
                      <m:t>2</m:t>
                    </m:r>
                  </m:sub>
                </m:sSub>
                <m:sSub>
                  <m:sSubPr>
                    <m:ctrlPr>
                      <w:rPr>
                        <w:rFonts w:ascii="Cambria Math" w:hAnsi="Cambria Math"/>
                        <w:i/>
                        <w:noProof/>
                      </w:rPr>
                    </m:ctrlPr>
                  </m:sSubPr>
                  <m:e>
                    <m:r>
                      <w:rPr>
                        <w:rFonts w:ascii="Cambria Math" w:hAnsi="Cambria Math"/>
                        <w:noProof/>
                      </w:rPr>
                      <m:t>x</m:t>
                    </m:r>
                  </m:e>
                  <m:sub>
                    <m:r>
                      <w:rPr>
                        <w:rFonts w:ascii="Cambria Math" w:hAnsi="Cambria Math"/>
                        <w:noProof/>
                      </w:rPr>
                      <m:t>1</m:t>
                    </m:r>
                  </m:sub>
                </m:sSub>
                <m:r>
                  <w:rPr>
                    <w:rFonts w:ascii="Cambria Math" w:hAnsi="Cambria Math"/>
                    <w:noProof/>
                  </w:rPr>
                  <m:t>+</m:t>
                </m:r>
                <m:sSub>
                  <m:sSubPr>
                    <m:ctrlPr>
                      <w:rPr>
                        <w:rFonts w:ascii="Cambria Math" w:hAnsi="Cambria Math"/>
                        <w:i/>
                        <w:noProof/>
                      </w:rPr>
                    </m:ctrlPr>
                  </m:sSubPr>
                  <m:e>
                    <m:r>
                      <w:rPr>
                        <w:rFonts w:ascii="Cambria Math" w:hAnsi="Cambria Math"/>
                        <w:noProof/>
                      </w:rPr>
                      <m:t>v</m:t>
                    </m:r>
                  </m:e>
                  <m:sub>
                    <m:r>
                      <w:rPr>
                        <w:rFonts w:ascii="Cambria Math" w:hAnsi="Cambria Math"/>
                        <w:noProof/>
                      </w:rPr>
                      <m:t>2</m:t>
                    </m:r>
                  </m:sub>
                </m:sSub>
                <m:sSub>
                  <m:sSubPr>
                    <m:ctrlPr>
                      <w:rPr>
                        <w:rFonts w:ascii="Cambria Math" w:hAnsi="Cambria Math"/>
                        <w:i/>
                        <w:noProof/>
                      </w:rPr>
                    </m:ctrlPr>
                  </m:sSubPr>
                  <m:e>
                    <m:r>
                      <w:rPr>
                        <w:rFonts w:ascii="Cambria Math" w:hAnsi="Cambria Math"/>
                        <w:noProof/>
                      </w:rPr>
                      <m:t>x</m:t>
                    </m:r>
                  </m:e>
                  <m:sub>
                    <m:r>
                      <w:rPr>
                        <w:rFonts w:ascii="Cambria Math" w:hAnsi="Cambria Math"/>
                        <w:noProof/>
                      </w:rPr>
                      <m:t>2</m:t>
                    </m:r>
                  </m:sub>
                </m:sSub>
                <m:r>
                  <w:rPr>
                    <w:rFonts w:ascii="Cambria Math" w:hAnsi="Cambria Math"/>
                    <w:noProof/>
                  </w:rPr>
                  <m:t>+</m:t>
                </m:r>
                <m:sSub>
                  <m:sSubPr>
                    <m:ctrlPr>
                      <w:rPr>
                        <w:rFonts w:ascii="Cambria Math" w:hAnsi="Cambria Math"/>
                        <w:i/>
                        <w:noProof/>
                      </w:rPr>
                    </m:ctrlPr>
                  </m:sSubPr>
                  <m:e>
                    <m:r>
                      <w:rPr>
                        <w:rFonts w:ascii="Cambria Math" w:hAnsi="Cambria Math"/>
                        <w:noProof/>
                      </w:rPr>
                      <m:t>w</m:t>
                    </m:r>
                  </m:e>
                  <m:sub>
                    <m:r>
                      <w:rPr>
                        <w:rFonts w:ascii="Cambria Math" w:hAnsi="Cambria Math"/>
                        <w:noProof/>
                      </w:rPr>
                      <m:t>2</m:t>
                    </m:r>
                  </m:sub>
                </m:sSub>
                <m:sSub>
                  <m:sSubPr>
                    <m:ctrlPr>
                      <w:rPr>
                        <w:rFonts w:ascii="Cambria Math" w:hAnsi="Cambria Math"/>
                        <w:i/>
                        <w:noProof/>
                      </w:rPr>
                    </m:ctrlPr>
                  </m:sSubPr>
                  <m:e>
                    <m:r>
                      <w:rPr>
                        <w:rFonts w:ascii="Cambria Math" w:hAnsi="Cambria Math"/>
                        <w:noProof/>
                      </w:rPr>
                      <m:t>x</m:t>
                    </m:r>
                  </m:e>
                  <m:sub>
                    <m:r>
                      <w:rPr>
                        <w:rFonts w:ascii="Cambria Math" w:hAnsi="Cambria Math"/>
                        <w:noProof/>
                      </w:rPr>
                      <m:t>3</m:t>
                    </m:r>
                  </m:sub>
                </m:sSub>
                <m:r>
                  <w:rPr>
                    <w:rFonts w:ascii="Cambria Math" w:hAnsi="Cambria Math"/>
                    <w:noProof/>
                  </w:rPr>
                  <m:t>,</m:t>
                </m:r>
                <m:sSub>
                  <m:sSubPr>
                    <m:ctrlPr>
                      <w:rPr>
                        <w:rFonts w:ascii="Cambria Math" w:hAnsi="Cambria Math"/>
                        <w:i/>
                        <w:noProof/>
                      </w:rPr>
                    </m:ctrlPr>
                  </m:sSubPr>
                  <m:e>
                    <m:r>
                      <w:rPr>
                        <w:rFonts w:ascii="Cambria Math" w:hAnsi="Cambria Math"/>
                        <w:noProof/>
                      </w:rPr>
                      <m:t>u</m:t>
                    </m:r>
                  </m:e>
                  <m:sub>
                    <m:r>
                      <w:rPr>
                        <w:rFonts w:ascii="Cambria Math" w:hAnsi="Cambria Math"/>
                        <w:noProof/>
                      </w:rPr>
                      <m:t>2</m:t>
                    </m:r>
                  </m:sub>
                </m:sSub>
                <m:sSub>
                  <m:sSubPr>
                    <m:ctrlPr>
                      <w:rPr>
                        <w:rFonts w:ascii="Cambria Math" w:hAnsi="Cambria Math"/>
                        <w:i/>
                        <w:noProof/>
                      </w:rPr>
                    </m:ctrlPr>
                  </m:sSubPr>
                  <m:e>
                    <m:r>
                      <w:rPr>
                        <w:rFonts w:ascii="Cambria Math" w:hAnsi="Cambria Math"/>
                        <w:noProof/>
                      </w:rPr>
                      <m:t>y</m:t>
                    </m:r>
                  </m:e>
                  <m:sub>
                    <m:r>
                      <w:rPr>
                        <w:rFonts w:ascii="Cambria Math" w:hAnsi="Cambria Math"/>
                        <w:noProof/>
                      </w:rPr>
                      <m:t>1</m:t>
                    </m:r>
                  </m:sub>
                </m:sSub>
                <m:r>
                  <w:rPr>
                    <w:rFonts w:ascii="Cambria Math" w:hAnsi="Cambria Math"/>
                    <w:noProof/>
                  </w:rPr>
                  <m:t>+</m:t>
                </m:r>
                <m:sSub>
                  <m:sSubPr>
                    <m:ctrlPr>
                      <w:rPr>
                        <w:rFonts w:ascii="Cambria Math" w:hAnsi="Cambria Math"/>
                        <w:i/>
                        <w:noProof/>
                      </w:rPr>
                    </m:ctrlPr>
                  </m:sSubPr>
                  <m:e>
                    <m:r>
                      <w:rPr>
                        <w:rFonts w:ascii="Cambria Math" w:hAnsi="Cambria Math"/>
                        <w:noProof/>
                      </w:rPr>
                      <m:t>v</m:t>
                    </m:r>
                  </m:e>
                  <m:sub>
                    <m:r>
                      <w:rPr>
                        <w:rFonts w:ascii="Cambria Math" w:hAnsi="Cambria Math"/>
                        <w:noProof/>
                      </w:rPr>
                      <m:t>2</m:t>
                    </m:r>
                  </m:sub>
                </m:sSub>
                <m:sSub>
                  <m:sSubPr>
                    <m:ctrlPr>
                      <w:rPr>
                        <w:rFonts w:ascii="Cambria Math" w:hAnsi="Cambria Math"/>
                        <w:i/>
                        <w:noProof/>
                      </w:rPr>
                    </m:ctrlPr>
                  </m:sSubPr>
                  <m:e>
                    <m:r>
                      <w:rPr>
                        <w:rFonts w:ascii="Cambria Math" w:hAnsi="Cambria Math"/>
                        <w:noProof/>
                      </w:rPr>
                      <m:t>y</m:t>
                    </m:r>
                  </m:e>
                  <m:sub>
                    <m:r>
                      <w:rPr>
                        <w:rFonts w:ascii="Cambria Math" w:hAnsi="Cambria Math"/>
                        <w:noProof/>
                      </w:rPr>
                      <m:t>2</m:t>
                    </m:r>
                  </m:sub>
                </m:sSub>
                <m:r>
                  <w:rPr>
                    <w:rFonts w:ascii="Cambria Math" w:hAnsi="Cambria Math"/>
                    <w:noProof/>
                  </w:rPr>
                  <m:t>+</m:t>
                </m:r>
                <m:sSub>
                  <m:sSubPr>
                    <m:ctrlPr>
                      <w:rPr>
                        <w:rFonts w:ascii="Cambria Math" w:hAnsi="Cambria Math"/>
                        <w:i/>
                        <w:noProof/>
                      </w:rPr>
                    </m:ctrlPr>
                  </m:sSubPr>
                  <m:e>
                    <m:r>
                      <w:rPr>
                        <w:rFonts w:ascii="Cambria Math" w:hAnsi="Cambria Math"/>
                        <w:noProof/>
                      </w:rPr>
                      <m:t>w</m:t>
                    </m:r>
                  </m:e>
                  <m:sub>
                    <m:r>
                      <w:rPr>
                        <w:rFonts w:ascii="Cambria Math" w:hAnsi="Cambria Math"/>
                        <w:noProof/>
                      </w:rPr>
                      <m:t>2</m:t>
                    </m:r>
                  </m:sub>
                </m:sSub>
                <m:sSub>
                  <m:sSubPr>
                    <m:ctrlPr>
                      <w:rPr>
                        <w:rFonts w:ascii="Cambria Math" w:hAnsi="Cambria Math"/>
                        <w:i/>
                        <w:noProof/>
                      </w:rPr>
                    </m:ctrlPr>
                  </m:sSubPr>
                  <m:e>
                    <m:r>
                      <w:rPr>
                        <w:rFonts w:ascii="Cambria Math" w:hAnsi="Cambria Math"/>
                        <w:noProof/>
                      </w:rPr>
                      <m:t>y</m:t>
                    </m:r>
                  </m:e>
                  <m:sub>
                    <m:r>
                      <w:rPr>
                        <w:rFonts w:ascii="Cambria Math" w:hAnsi="Cambria Math"/>
                        <w:noProof/>
                      </w:rPr>
                      <m:t>3</m:t>
                    </m:r>
                  </m:sub>
                </m:sSub>
                <m:r>
                  <w:rPr>
                    <w:rFonts w:ascii="Cambria Math" w:hAnsi="Cambria Math"/>
                    <w:noProof/>
                  </w:rPr>
                  <m:t>,</m:t>
                </m:r>
                <m:sSub>
                  <m:sSubPr>
                    <m:ctrlPr>
                      <w:rPr>
                        <w:rFonts w:ascii="Cambria Math" w:hAnsi="Cambria Math"/>
                        <w:i/>
                        <w:noProof/>
                      </w:rPr>
                    </m:ctrlPr>
                  </m:sSubPr>
                  <m:e>
                    <m:r>
                      <w:rPr>
                        <w:rFonts w:ascii="Cambria Math" w:hAnsi="Cambria Math"/>
                        <w:noProof/>
                      </w:rPr>
                      <m:t>u</m:t>
                    </m:r>
                  </m:e>
                  <m:sub>
                    <m:r>
                      <w:rPr>
                        <w:rFonts w:ascii="Cambria Math" w:hAnsi="Cambria Math"/>
                        <w:noProof/>
                      </w:rPr>
                      <m:t>2</m:t>
                    </m:r>
                  </m:sub>
                </m:sSub>
                <m:sSub>
                  <m:sSubPr>
                    <m:ctrlPr>
                      <w:rPr>
                        <w:rFonts w:ascii="Cambria Math" w:hAnsi="Cambria Math"/>
                        <w:i/>
                        <w:noProof/>
                      </w:rPr>
                    </m:ctrlPr>
                  </m:sSubPr>
                  <m:e>
                    <m:r>
                      <w:rPr>
                        <w:rFonts w:ascii="Cambria Math" w:hAnsi="Cambria Math"/>
                        <w:noProof/>
                      </w:rPr>
                      <m:t>z</m:t>
                    </m:r>
                  </m:e>
                  <m:sub>
                    <m:r>
                      <w:rPr>
                        <w:rFonts w:ascii="Cambria Math" w:hAnsi="Cambria Math"/>
                        <w:noProof/>
                      </w:rPr>
                      <m:t>1</m:t>
                    </m:r>
                  </m:sub>
                </m:sSub>
                <m:r>
                  <w:rPr>
                    <w:rFonts w:ascii="Cambria Math" w:hAnsi="Cambria Math"/>
                    <w:noProof/>
                  </w:rPr>
                  <m:t>+</m:t>
                </m:r>
                <m:sSub>
                  <m:sSubPr>
                    <m:ctrlPr>
                      <w:rPr>
                        <w:rFonts w:ascii="Cambria Math" w:hAnsi="Cambria Math"/>
                        <w:i/>
                        <w:noProof/>
                      </w:rPr>
                    </m:ctrlPr>
                  </m:sSubPr>
                  <m:e>
                    <m:r>
                      <w:rPr>
                        <w:rFonts w:ascii="Cambria Math" w:hAnsi="Cambria Math"/>
                        <w:noProof/>
                      </w:rPr>
                      <m:t>v</m:t>
                    </m:r>
                  </m:e>
                  <m:sub>
                    <m:r>
                      <w:rPr>
                        <w:rFonts w:ascii="Cambria Math" w:hAnsi="Cambria Math"/>
                        <w:noProof/>
                      </w:rPr>
                      <m:t>2</m:t>
                    </m:r>
                  </m:sub>
                </m:sSub>
                <m:sSub>
                  <m:sSubPr>
                    <m:ctrlPr>
                      <w:rPr>
                        <w:rFonts w:ascii="Cambria Math" w:hAnsi="Cambria Math"/>
                        <w:i/>
                        <w:noProof/>
                      </w:rPr>
                    </m:ctrlPr>
                  </m:sSubPr>
                  <m:e>
                    <m:r>
                      <w:rPr>
                        <w:rFonts w:ascii="Cambria Math" w:hAnsi="Cambria Math"/>
                        <w:noProof/>
                      </w:rPr>
                      <m:t>z</m:t>
                    </m:r>
                  </m:e>
                  <m:sub>
                    <m:r>
                      <w:rPr>
                        <w:rFonts w:ascii="Cambria Math" w:hAnsi="Cambria Math"/>
                        <w:noProof/>
                      </w:rPr>
                      <m:t>2</m:t>
                    </m:r>
                  </m:sub>
                </m:sSub>
                <m:r>
                  <w:rPr>
                    <w:rFonts w:ascii="Cambria Math" w:hAnsi="Cambria Math"/>
                    <w:noProof/>
                  </w:rPr>
                  <m:t>+</m:t>
                </m:r>
                <m:sSub>
                  <m:sSubPr>
                    <m:ctrlPr>
                      <w:rPr>
                        <w:rFonts w:ascii="Cambria Math" w:hAnsi="Cambria Math"/>
                        <w:i/>
                        <w:noProof/>
                      </w:rPr>
                    </m:ctrlPr>
                  </m:sSubPr>
                  <m:e>
                    <m:r>
                      <w:rPr>
                        <w:rFonts w:ascii="Cambria Math" w:hAnsi="Cambria Math"/>
                        <w:noProof/>
                      </w:rPr>
                      <m:t>w</m:t>
                    </m:r>
                  </m:e>
                  <m:sub>
                    <m:r>
                      <w:rPr>
                        <w:rFonts w:ascii="Cambria Math" w:hAnsi="Cambria Math"/>
                        <w:noProof/>
                      </w:rPr>
                      <m:t>2</m:t>
                    </m:r>
                  </m:sub>
                </m:sSub>
                <m:sSub>
                  <m:sSubPr>
                    <m:ctrlPr>
                      <w:rPr>
                        <w:rFonts w:ascii="Cambria Math" w:hAnsi="Cambria Math"/>
                        <w:i/>
                        <w:noProof/>
                      </w:rPr>
                    </m:ctrlPr>
                  </m:sSubPr>
                  <m:e>
                    <m:r>
                      <w:rPr>
                        <w:rFonts w:ascii="Cambria Math" w:hAnsi="Cambria Math"/>
                        <w:noProof/>
                      </w:rPr>
                      <m:t>z</m:t>
                    </m:r>
                  </m:e>
                  <m:sub>
                    <m:r>
                      <w:rPr>
                        <w:rFonts w:ascii="Cambria Math" w:hAnsi="Cambria Math"/>
                        <w:noProof/>
                      </w:rPr>
                      <m:t>3</m:t>
                    </m:r>
                  </m:sub>
                </m:sSub>
                <m:r>
                  <m:rPr>
                    <m:sty m:val="p"/>
                  </m:rPr>
                  <w:rPr>
                    <w:rFonts w:ascii="Cambria Math" w:hAnsi="Cambria Math"/>
                    <w:noProof/>
                  </w:rPr>
                  <m:t>)</m:t>
                </m:r>
              </m:e>
            </m:eqArr>
          </m:e>
        </m:d>
      </m:oMath>
      <w:r w:rsidR="00DD65C8">
        <w:rPr>
          <w:noProof/>
        </w:rPr>
        <w:t xml:space="preserve">                   (11)</w:t>
      </w:r>
    </w:p>
    <w:p w14:paraId="6C543D84" w14:textId="0FCE3F74" w:rsidR="00DD65C8" w:rsidRDefault="00DD65C8" w:rsidP="00DD65C8">
      <w:pPr>
        <w:spacing w:after="120" w:line="360" w:lineRule="auto"/>
        <w:jc w:val="both"/>
        <w:rPr>
          <w:noProof/>
        </w:rPr>
      </w:pPr>
      <w:r>
        <w:rPr>
          <w:noProof/>
        </w:rPr>
        <w:t>To calculate the primitive basis vector for</w:t>
      </w:r>
      <w:r w:rsidR="002D6024">
        <w:rPr>
          <w:noProof/>
        </w:rPr>
        <w:t xml:space="preserve"> the</w:t>
      </w:r>
      <w:r>
        <w:rPr>
          <w:noProof/>
        </w:rPr>
        <w:t xml:space="preserve"> (3 5 1) plane of martensite, firstly consider the primitive cell as a face </w:t>
      </w:r>
      <w:r w:rsidRPr="007F728B">
        <w:rPr>
          <w:noProof/>
        </w:rPr>
        <w:t>centred</w:t>
      </w:r>
      <w:r>
        <w:rPr>
          <w:noProof/>
        </w:rPr>
        <w:t xml:space="preserve"> tetragonal structure. The primitive cell vector can </w:t>
      </w:r>
      <w:r w:rsidRPr="007F728B">
        <w:rPr>
          <w:noProof/>
        </w:rPr>
        <w:t>be represent</w:t>
      </w:r>
      <w:r>
        <w:rPr>
          <w:noProof/>
        </w:rPr>
        <w:t>ed by basis vector</w:t>
      </w:r>
      <w:r w:rsidR="002D6024">
        <w:rPr>
          <w:noProof/>
        </w:rPr>
        <w:t>s</w:t>
      </w:r>
      <w:r>
        <w:rPr>
          <w:noProof/>
        </w:rPr>
        <w:t xml:space="preserve"> </w:t>
      </w:r>
      <m:oMath>
        <m:r>
          <m:rPr>
            <m:sty m:val="bi"/>
          </m:rPr>
          <w:rPr>
            <w:rFonts w:ascii="Cambria Math" w:hAnsi="Cambria Math"/>
            <w:noProof/>
          </w:rPr>
          <m:t>a b c</m:t>
        </m:r>
      </m:oMath>
      <w:r>
        <w:rPr>
          <w:b/>
          <w:noProof/>
        </w:rPr>
        <w:t xml:space="preserve"> </w:t>
      </w:r>
      <w:r w:rsidRPr="00F94160">
        <w:rPr>
          <w:noProof/>
        </w:rPr>
        <w:t>as</w:t>
      </w:r>
      <w:r>
        <w:rPr>
          <w:noProof/>
        </w:rPr>
        <w:t>:</w:t>
      </w:r>
    </w:p>
    <w:p w14:paraId="76C8E4F0" w14:textId="0445F5B4" w:rsidR="00DD65C8" w:rsidRDefault="00077961" w:rsidP="00DD65C8">
      <w:pPr>
        <w:spacing w:after="120" w:line="360" w:lineRule="auto"/>
        <w:jc w:val="right"/>
        <w:rPr>
          <w:noProof/>
        </w:rPr>
      </w:pPr>
      <m:oMath>
        <m:d>
          <m:dPr>
            <m:begChr m:val="{"/>
            <m:endChr m:val=""/>
            <m:ctrlPr>
              <w:rPr>
                <w:rFonts w:ascii="Cambria Math" w:hAnsi="Cambria Math"/>
                <w:i/>
                <w:noProof/>
              </w:rPr>
            </m:ctrlPr>
          </m:dPr>
          <m:e>
            <m:eqArr>
              <m:eqArrPr>
                <m:ctrlPr>
                  <w:rPr>
                    <w:rFonts w:ascii="Cambria Math" w:hAnsi="Cambria Math"/>
                    <w:i/>
                    <w:noProof/>
                  </w:rPr>
                </m:ctrlPr>
              </m:eqArrPr>
              <m:e>
                <m:sSub>
                  <m:sSubPr>
                    <m:ctrlPr>
                      <w:rPr>
                        <w:rFonts w:ascii="Cambria Math" w:hAnsi="Cambria Math"/>
                        <w:i/>
                        <w:noProof/>
                      </w:rPr>
                    </m:ctrlPr>
                  </m:sSubPr>
                  <m:e>
                    <m:r>
                      <m:rPr>
                        <m:sty m:val="bi"/>
                      </m:rPr>
                      <w:rPr>
                        <w:rFonts w:ascii="Cambria Math" w:hAnsi="Cambria Math"/>
                        <w:noProof/>
                      </w:rPr>
                      <m:t>a</m:t>
                    </m:r>
                  </m:e>
                  <m:sub>
                    <m:r>
                      <w:rPr>
                        <w:rFonts w:ascii="Cambria Math" w:hAnsi="Cambria Math"/>
                        <w:noProof/>
                      </w:rPr>
                      <m:t>1</m:t>
                    </m:r>
                  </m:sub>
                </m:sSub>
                <m:r>
                  <w:rPr>
                    <w:rFonts w:ascii="Cambria Math" w:hAnsi="Cambria Math"/>
                    <w:noProof/>
                  </w:rPr>
                  <m:t>=1/2(</m:t>
                </m:r>
                <m:r>
                  <m:rPr>
                    <m:sty m:val="bi"/>
                  </m:rPr>
                  <w:rPr>
                    <w:rFonts w:ascii="Cambria Math" w:hAnsi="Cambria Math"/>
                    <w:noProof/>
                  </w:rPr>
                  <m:t>b+c</m:t>
                </m:r>
                <m:r>
                  <w:rPr>
                    <w:rFonts w:ascii="Cambria Math" w:hAnsi="Cambria Math"/>
                    <w:noProof/>
                  </w:rPr>
                  <m:t>)</m:t>
                </m:r>
              </m:e>
              <m:e>
                <m:sSub>
                  <m:sSubPr>
                    <m:ctrlPr>
                      <w:rPr>
                        <w:rFonts w:ascii="Cambria Math" w:hAnsi="Cambria Math"/>
                        <w:i/>
                        <w:noProof/>
                      </w:rPr>
                    </m:ctrlPr>
                  </m:sSubPr>
                  <m:e>
                    <m:r>
                      <m:rPr>
                        <m:sty m:val="bi"/>
                      </m:rPr>
                      <w:rPr>
                        <w:rFonts w:ascii="Cambria Math" w:hAnsi="Cambria Math"/>
                        <w:noProof/>
                      </w:rPr>
                      <m:t>b</m:t>
                    </m:r>
                  </m:e>
                  <m:sub>
                    <m:r>
                      <w:rPr>
                        <w:rFonts w:ascii="Cambria Math" w:hAnsi="Cambria Math"/>
                        <w:noProof/>
                      </w:rPr>
                      <m:t>1</m:t>
                    </m:r>
                  </m:sub>
                </m:sSub>
                <m:r>
                  <w:rPr>
                    <w:rFonts w:ascii="Cambria Math" w:hAnsi="Cambria Math"/>
                    <w:noProof/>
                  </w:rPr>
                  <m:t>=1/2(</m:t>
                </m:r>
                <m:r>
                  <m:rPr>
                    <m:sty m:val="bi"/>
                  </m:rPr>
                  <w:rPr>
                    <w:rFonts w:ascii="Cambria Math" w:hAnsi="Cambria Math"/>
                    <w:noProof/>
                  </w:rPr>
                  <m:t>a+c)</m:t>
                </m:r>
              </m:e>
              <m:e>
                <m:sSub>
                  <m:sSubPr>
                    <m:ctrlPr>
                      <w:rPr>
                        <w:rFonts w:ascii="Cambria Math" w:hAnsi="Cambria Math"/>
                        <w:i/>
                        <w:noProof/>
                      </w:rPr>
                    </m:ctrlPr>
                  </m:sSubPr>
                  <m:e>
                    <m:r>
                      <m:rPr>
                        <m:sty m:val="bi"/>
                      </m:rPr>
                      <w:rPr>
                        <w:rFonts w:ascii="Cambria Math" w:hAnsi="Cambria Math"/>
                        <w:noProof/>
                      </w:rPr>
                      <m:t>c</m:t>
                    </m:r>
                  </m:e>
                  <m:sub>
                    <m:r>
                      <w:rPr>
                        <w:rFonts w:ascii="Cambria Math" w:hAnsi="Cambria Math"/>
                        <w:noProof/>
                      </w:rPr>
                      <m:t>1</m:t>
                    </m:r>
                  </m:sub>
                </m:sSub>
                <m:r>
                  <w:rPr>
                    <w:rFonts w:ascii="Cambria Math" w:hAnsi="Cambria Math"/>
                    <w:noProof/>
                  </w:rPr>
                  <m:t>=1/2(</m:t>
                </m:r>
                <m:r>
                  <m:rPr>
                    <m:sty m:val="bi"/>
                  </m:rPr>
                  <w:rPr>
                    <w:rFonts w:ascii="Cambria Math" w:hAnsi="Cambria Math"/>
                    <w:noProof/>
                  </w:rPr>
                  <m:t>a+b)</m:t>
                </m:r>
              </m:e>
            </m:eqArr>
          </m:e>
        </m:d>
      </m:oMath>
      <w:r w:rsidR="00DD65C8">
        <w:rPr>
          <w:noProof/>
        </w:rPr>
        <w:t xml:space="preserve">                                                                 (12)                                                        </w:t>
      </w:r>
    </w:p>
    <w:p w14:paraId="1403D249" w14:textId="77777777" w:rsidR="00DD65C8" w:rsidRDefault="00DD65C8" w:rsidP="00DD65C8">
      <w:pPr>
        <w:spacing w:after="120" w:line="360" w:lineRule="auto"/>
        <w:rPr>
          <w:noProof/>
        </w:rPr>
      </w:pPr>
      <w:r>
        <w:rPr>
          <w:noProof/>
        </w:rPr>
        <w:t>T</w:t>
      </w:r>
      <w:r w:rsidRPr="0052426C">
        <w:rPr>
          <w:noProof/>
        </w:rPr>
        <w:t>ak</w:t>
      </w:r>
      <w:r>
        <w:rPr>
          <w:noProof/>
        </w:rPr>
        <w:t>ing</w:t>
      </w:r>
      <w:r w:rsidRPr="0052426C">
        <w:rPr>
          <w:noProof/>
        </w:rPr>
        <w:t xml:space="preserve"> </w:t>
      </w:r>
      <w:r>
        <w:rPr>
          <w:noProof/>
        </w:rPr>
        <w:t>(3 5 1) and 2|</w:t>
      </w:r>
      <m:oMath>
        <m:sSup>
          <m:sSupPr>
            <m:ctrlPr>
              <w:rPr>
                <w:rFonts w:ascii="Cambria Math" w:hAnsi="Cambria Math"/>
                <w:b/>
                <w:i/>
                <w:noProof/>
              </w:rPr>
            </m:ctrlPr>
          </m:sSupPr>
          <m:e>
            <m:r>
              <m:rPr>
                <m:sty m:val="bi"/>
              </m:rPr>
              <w:rPr>
                <w:rFonts w:ascii="Cambria Math" w:hAnsi="Cambria Math"/>
                <w:noProof/>
              </w:rPr>
              <m:t>a</m:t>
            </m:r>
          </m:e>
          <m:sup>
            <m:r>
              <m:rPr>
                <m:sty m:val="bi"/>
              </m:rPr>
              <w:rPr>
                <w:rFonts w:ascii="Cambria Math" w:hAnsi="Cambria Math"/>
                <w:noProof/>
              </w:rPr>
              <m:t>2</m:t>
            </m:r>
          </m:sup>
        </m:sSup>
        <m:r>
          <m:rPr>
            <m:sty m:val="p"/>
          </m:rPr>
          <w:rPr>
            <w:rFonts w:ascii="Cambria Math" w:hAnsi="Cambria Math"/>
            <w:noProof/>
          </w:rPr>
          <m:t>|</m:t>
        </m:r>
      </m:oMath>
      <w:r w:rsidRPr="0052426C">
        <w:rPr>
          <w:noProof/>
        </w:rPr>
        <w:t>=</w:t>
      </w:r>
      <w:r>
        <w:rPr>
          <w:noProof/>
        </w:rPr>
        <w:t>|</w:t>
      </w:r>
      <m:oMath>
        <m:sSup>
          <m:sSupPr>
            <m:ctrlPr>
              <w:rPr>
                <w:rFonts w:ascii="Cambria Math" w:hAnsi="Cambria Math"/>
                <w:b/>
                <w:i/>
                <w:noProof/>
              </w:rPr>
            </m:ctrlPr>
          </m:sSupPr>
          <m:e>
            <m:r>
              <m:rPr>
                <m:sty m:val="bi"/>
              </m:rPr>
              <w:rPr>
                <w:rFonts w:ascii="Cambria Math" w:hAnsi="Cambria Math"/>
                <w:noProof/>
              </w:rPr>
              <m:t>b</m:t>
            </m:r>
          </m:e>
          <m:sup>
            <m:r>
              <m:rPr>
                <m:sty m:val="bi"/>
              </m:rPr>
              <w:rPr>
                <w:rFonts w:ascii="Cambria Math" w:hAnsi="Cambria Math"/>
                <w:noProof/>
              </w:rPr>
              <m:t>2</m:t>
            </m:r>
          </m:sup>
        </m:sSup>
        <m:r>
          <m:rPr>
            <m:sty m:val="p"/>
          </m:rPr>
          <w:rPr>
            <w:rFonts w:ascii="Cambria Math" w:hAnsi="Cambria Math"/>
            <w:noProof/>
          </w:rPr>
          <m:t>|</m:t>
        </m:r>
      </m:oMath>
      <w:r w:rsidRPr="0052426C">
        <w:rPr>
          <w:noProof/>
        </w:rPr>
        <w:t>=</w:t>
      </w:r>
      <w:r>
        <w:rPr>
          <w:noProof/>
        </w:rPr>
        <w:t>|</w:t>
      </w:r>
      <m:oMath>
        <m:sSup>
          <m:sSupPr>
            <m:ctrlPr>
              <w:rPr>
                <w:rFonts w:ascii="Cambria Math" w:hAnsi="Cambria Math"/>
                <w:b/>
                <w:i/>
                <w:noProof/>
              </w:rPr>
            </m:ctrlPr>
          </m:sSupPr>
          <m:e>
            <m:r>
              <m:rPr>
                <m:sty m:val="bi"/>
              </m:rPr>
              <w:rPr>
                <w:rFonts w:ascii="Cambria Math" w:hAnsi="Cambria Math"/>
                <w:noProof/>
              </w:rPr>
              <m:t>c</m:t>
            </m:r>
          </m:e>
          <m:sup>
            <m:r>
              <m:rPr>
                <m:sty m:val="bi"/>
              </m:rPr>
              <w:rPr>
                <w:rFonts w:ascii="Cambria Math" w:hAnsi="Cambria Math"/>
                <w:noProof/>
              </w:rPr>
              <m:t>2</m:t>
            </m:r>
          </m:sup>
        </m:sSup>
        <m:r>
          <m:rPr>
            <m:sty m:val="p"/>
          </m:rPr>
          <w:rPr>
            <w:rFonts w:ascii="Cambria Math" w:hAnsi="Cambria Math"/>
            <w:noProof/>
          </w:rPr>
          <m:t>|</m:t>
        </m:r>
      </m:oMath>
      <w:r>
        <w:rPr>
          <w:noProof/>
        </w:rPr>
        <w:t xml:space="preserve"> as input, the solution of the primitive vector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oMath>
      <w:r>
        <w:rPr>
          <w:b/>
          <w:noProof/>
        </w:rPr>
        <w:t xml:space="preserve"> </w:t>
      </w:r>
      <w:r w:rsidRPr="0024182B">
        <w:rPr>
          <w:noProof/>
        </w:rPr>
        <w:t>and</w:t>
      </w:r>
      <w:r>
        <w:rPr>
          <w:b/>
          <w:noProof/>
        </w:rPr>
        <w:t xml:space="preserve">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oMath>
      <w:r w:rsidRPr="0052426C">
        <w:rPr>
          <w:noProof/>
        </w:rPr>
        <w:t xml:space="preserve"> is:</w:t>
      </w:r>
    </w:p>
    <w:p w14:paraId="2EE50034" w14:textId="379077CA" w:rsidR="00DD65C8" w:rsidRPr="0052426C" w:rsidRDefault="00077961" w:rsidP="002D6024">
      <w:pPr>
        <w:spacing w:after="120" w:line="360" w:lineRule="auto"/>
        <w:jc w:val="right"/>
        <w:rPr>
          <w:noProof/>
        </w:rPr>
      </w:pPr>
      <m:oMath>
        <m:d>
          <m:dPr>
            <m:begChr m:val="{"/>
            <m:endChr m:val=""/>
            <m:ctrlPr>
              <w:rPr>
                <w:rFonts w:ascii="Cambria Math" w:hAnsi="Cambria Math"/>
                <w:i/>
                <w:noProof/>
              </w:rPr>
            </m:ctrlPr>
          </m:dPr>
          <m:e>
            <m:eqArr>
              <m:eqArrPr>
                <m:ctrlPr>
                  <w:rPr>
                    <w:rFonts w:ascii="Cambria Math" w:hAnsi="Cambria Math"/>
                    <w:i/>
                    <w:noProof/>
                  </w:rPr>
                </m:ctrlPr>
              </m:eqArrPr>
              <m:e>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r>
                  <m:rPr>
                    <m:sty m:val="p"/>
                  </m:rPr>
                  <w:rPr>
                    <w:rFonts w:ascii="Cambria Math" w:hAnsi="Cambria Math"/>
                    <w:noProof/>
                  </w:rPr>
                  <m:t>(</m:t>
                </m:r>
                <m:f>
                  <m:fPr>
                    <m:ctrlPr>
                      <w:rPr>
                        <w:rFonts w:ascii="Cambria Math" w:hAnsi="Cambria Math"/>
                        <w:i/>
                        <w:noProof/>
                      </w:rPr>
                    </m:ctrlPr>
                  </m:fPr>
                  <m:num>
                    <m:r>
                      <w:rPr>
                        <w:rFonts w:ascii="Cambria Math" w:hAnsi="Cambria Math"/>
                        <w:noProof/>
                      </w:rPr>
                      <m:t>1</m:t>
                    </m:r>
                    <m:ctrlPr>
                      <w:rPr>
                        <w:rFonts w:ascii="Cambria Math" w:hAnsi="Cambria Math"/>
                        <w:noProof/>
                      </w:rPr>
                    </m:ctrlPr>
                  </m:num>
                  <m:den>
                    <m:r>
                      <w:rPr>
                        <w:rFonts w:ascii="Cambria Math" w:hAnsi="Cambria Math"/>
                        <w:noProof/>
                      </w:rPr>
                      <m:t>2</m:t>
                    </m:r>
                  </m:den>
                </m:f>
                <m:r>
                  <w:rPr>
                    <w:rFonts w:ascii="Cambria Math" w:hAnsi="Cambria Math"/>
                    <w:noProof/>
                  </w:rPr>
                  <m:t>,-</m:t>
                </m:r>
                <m:f>
                  <m:fPr>
                    <m:ctrlPr>
                      <w:rPr>
                        <w:rFonts w:ascii="Cambria Math" w:hAnsi="Cambria Math"/>
                        <w:i/>
                        <w:noProof/>
                      </w:rPr>
                    </m:ctrlPr>
                  </m:fPr>
                  <m:num>
                    <m:r>
                      <w:rPr>
                        <w:rFonts w:ascii="Cambria Math" w:hAnsi="Cambria Math"/>
                        <w:noProof/>
                      </w:rPr>
                      <m:t>1</m:t>
                    </m:r>
                  </m:num>
                  <m:den>
                    <m:r>
                      <w:rPr>
                        <w:rFonts w:ascii="Cambria Math" w:hAnsi="Cambria Math"/>
                        <w:noProof/>
                      </w:rPr>
                      <m:t>2</m:t>
                    </m:r>
                  </m:den>
                </m:f>
                <m:r>
                  <w:rPr>
                    <w:rFonts w:ascii="Cambria Math" w:hAnsi="Cambria Math"/>
                    <w:noProof/>
                  </w:rPr>
                  <m:t>,1</m:t>
                </m:r>
                <m:r>
                  <m:rPr>
                    <m:sty m:val="p"/>
                  </m:rPr>
                  <w:rPr>
                    <w:rFonts w:ascii="Cambria Math" w:hAnsi="Cambria Math"/>
                    <w:noProof/>
                  </w:rPr>
                  <m:t>)</m:t>
                </m:r>
              </m:e>
              <m:e>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r>
                  <m:rPr>
                    <m:sty m:val="p"/>
                  </m:rPr>
                  <w:rPr>
                    <w:rFonts w:ascii="Cambria Math" w:hAnsi="Cambria Math"/>
                    <w:noProof/>
                  </w:rPr>
                  <m:t>(</m:t>
                </m:r>
                <m:r>
                  <w:rPr>
                    <w:rFonts w:ascii="Cambria Math" w:hAnsi="Cambria Math"/>
                    <w:noProof/>
                  </w:rPr>
                  <m:t>1,-</m:t>
                </m:r>
                <m:f>
                  <m:fPr>
                    <m:ctrlPr>
                      <w:rPr>
                        <w:rFonts w:ascii="Cambria Math" w:hAnsi="Cambria Math"/>
                        <w:i/>
                        <w:noProof/>
                      </w:rPr>
                    </m:ctrlPr>
                  </m:fPr>
                  <m:num>
                    <m:r>
                      <w:rPr>
                        <w:rFonts w:ascii="Cambria Math" w:hAnsi="Cambria Math"/>
                        <w:noProof/>
                      </w:rPr>
                      <m:t>1</m:t>
                    </m:r>
                  </m:num>
                  <m:den>
                    <m:r>
                      <w:rPr>
                        <w:rFonts w:ascii="Cambria Math" w:hAnsi="Cambria Math"/>
                        <w:noProof/>
                      </w:rPr>
                      <m:t>2</m:t>
                    </m:r>
                  </m:den>
                </m:f>
                <m:r>
                  <w:rPr>
                    <w:rFonts w:ascii="Cambria Math" w:hAnsi="Cambria Math"/>
                    <w:noProof/>
                  </w:rPr>
                  <m:t>,-</m:t>
                </m:r>
                <m:f>
                  <m:fPr>
                    <m:ctrlPr>
                      <w:rPr>
                        <w:rFonts w:ascii="Cambria Math" w:hAnsi="Cambria Math"/>
                        <w:i/>
                        <w:noProof/>
                      </w:rPr>
                    </m:ctrlPr>
                  </m:fPr>
                  <m:num>
                    <m:r>
                      <w:rPr>
                        <w:rFonts w:ascii="Cambria Math" w:hAnsi="Cambria Math"/>
                        <w:noProof/>
                      </w:rPr>
                      <m:t>1</m:t>
                    </m:r>
                  </m:num>
                  <m:den>
                    <m:r>
                      <w:rPr>
                        <w:rFonts w:ascii="Cambria Math" w:hAnsi="Cambria Math"/>
                        <w:noProof/>
                      </w:rPr>
                      <m:t>2</m:t>
                    </m:r>
                  </m:den>
                </m:f>
                <m:r>
                  <m:rPr>
                    <m:sty m:val="p"/>
                  </m:rPr>
                  <w:rPr>
                    <w:rFonts w:ascii="Cambria Math" w:hAnsi="Cambria Math"/>
                    <w:noProof/>
                  </w:rPr>
                  <m:t>)</m:t>
                </m:r>
              </m:e>
            </m:eqArr>
          </m:e>
        </m:d>
      </m:oMath>
      <w:r w:rsidR="00DD65C8">
        <w:rPr>
          <w:noProof/>
        </w:rPr>
        <w:t xml:space="preserve">                                                                     (13)                                                            </w:t>
      </w:r>
    </w:p>
    <w:p w14:paraId="22459140" w14:textId="77777777" w:rsidR="00DD65C8" w:rsidRPr="00C71F9D" w:rsidRDefault="00DD65C8" w:rsidP="00DD65C8">
      <w:pPr>
        <w:pStyle w:val="a7"/>
        <w:numPr>
          <w:ilvl w:val="0"/>
          <w:numId w:val="15"/>
        </w:numPr>
        <w:spacing w:after="120" w:line="360" w:lineRule="auto"/>
        <w:rPr>
          <w:b/>
          <w:noProof/>
        </w:rPr>
      </w:pPr>
      <w:r>
        <w:rPr>
          <w:b/>
          <w:noProof/>
        </w:rPr>
        <w:lastRenderedPageBreak/>
        <w:t xml:space="preserve">Calculation of shear vector </w:t>
      </w:r>
      <m:oMath>
        <m:r>
          <m:rPr>
            <m:sty m:val="bi"/>
          </m:rPr>
          <w:rPr>
            <w:rFonts w:ascii="Cambria Math" w:hAnsi="Cambria Math"/>
            <w:noProof/>
            <w:sz w:val="24"/>
          </w:rPr>
          <m:t>t</m:t>
        </m:r>
      </m:oMath>
    </w:p>
    <w:p w14:paraId="61E20D3A" w14:textId="5F7B5C8A" w:rsidR="00DD65C8" w:rsidRPr="00365FE4" w:rsidRDefault="00DD65C8" w:rsidP="00DD65C8">
      <w:pPr>
        <w:spacing w:after="120" w:line="360" w:lineRule="auto"/>
        <w:jc w:val="both"/>
        <w:rPr>
          <w:noProof/>
        </w:rPr>
      </w:pPr>
      <w:r w:rsidRPr="00C71F9D">
        <w:rPr>
          <w:noProof/>
        </w:rPr>
        <w:t xml:space="preserve">Once </w:t>
      </w:r>
      <w:r w:rsidR="002D6024">
        <w:rPr>
          <w:noProof/>
        </w:rPr>
        <w:t xml:space="preserve">the </w:t>
      </w:r>
      <w:r w:rsidRPr="00365FE4">
        <w:rPr>
          <w:noProof/>
        </w:rPr>
        <w:t>basis vector</w:t>
      </w:r>
      <w:r w:rsidR="002D6024">
        <w:rPr>
          <w:noProof/>
        </w:rPr>
        <w:t>s</w:t>
      </w:r>
      <w:r w:rsidRPr="00365FE4">
        <w:rPr>
          <w:noProof/>
        </w:rPr>
        <w:t xml:space="preserve">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oMath>
      <w:r w:rsidRPr="00365FE4">
        <w:rPr>
          <w:b/>
          <w:noProof/>
        </w:rPr>
        <w:t xml:space="preserve"> </w:t>
      </w:r>
      <w:r w:rsidRPr="00365FE4">
        <w:rPr>
          <w:noProof/>
        </w:rPr>
        <w:t>and</w:t>
      </w:r>
      <w:r w:rsidRPr="00365FE4">
        <w:rPr>
          <w:b/>
          <w:noProof/>
        </w:rPr>
        <w:t xml:space="preserve"> </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oMath>
      <w:r w:rsidRPr="00365FE4">
        <w:rPr>
          <w:b/>
          <w:noProof/>
        </w:rPr>
        <w:t xml:space="preserve"> </w:t>
      </w:r>
      <w:r w:rsidRPr="00365FE4">
        <w:rPr>
          <w:noProof/>
        </w:rPr>
        <w:t>were identified</w:t>
      </w:r>
      <w:r>
        <w:rPr>
          <w:noProof/>
        </w:rPr>
        <w:t>, t</w:t>
      </w:r>
      <w:r w:rsidRPr="00365FE4">
        <w:rPr>
          <w:noProof/>
        </w:rPr>
        <w:t>o obtain the twin</w:t>
      </w:r>
      <w:r>
        <w:rPr>
          <w:noProof/>
        </w:rPr>
        <w:t>n</w:t>
      </w:r>
      <w:r w:rsidRPr="00365FE4">
        <w:rPr>
          <w:noProof/>
        </w:rPr>
        <w:t>ing direction alon</w:t>
      </w:r>
      <w:r w:rsidRPr="003769D6">
        <w:rPr>
          <w:noProof/>
        </w:rPr>
        <w:t>g the</w:t>
      </w:r>
      <w:r w:rsidRPr="00365FE4">
        <w:rPr>
          <w:noProof/>
        </w:rPr>
        <w:t xml:space="preserve"> shear direction </w:t>
      </w:r>
      <m:oMath>
        <m:r>
          <m:rPr>
            <m:sty m:val="bi"/>
          </m:rPr>
          <w:rPr>
            <w:rFonts w:ascii="Cambria Math" w:hAnsi="Cambria Math"/>
            <w:noProof/>
          </w:rPr>
          <m:t>t</m:t>
        </m:r>
      </m:oMath>
      <w:r>
        <w:rPr>
          <w:noProof/>
        </w:rPr>
        <w:t>, t</w:t>
      </w:r>
      <w:r w:rsidRPr="00365FE4">
        <w:rPr>
          <w:noProof/>
        </w:rPr>
        <w:t>he minimum shear direction which moves</w:t>
      </w:r>
      <w:r w:rsidR="002D6024">
        <w:rPr>
          <w:noProof/>
        </w:rPr>
        <w:t xml:space="preserve"> the</w:t>
      </w:r>
      <w:r w:rsidRPr="00365FE4">
        <w:rPr>
          <w:noProof/>
        </w:rPr>
        <w:t xml:space="preserve"> parent lattice to the correct twin positions can be calculated. As shown in Fig.</w:t>
      </w:r>
      <w:r>
        <w:rPr>
          <w:noProof/>
        </w:rPr>
        <w:t xml:space="preserve"> 10-2,</w:t>
      </w:r>
      <w:r w:rsidRPr="00365FE4">
        <w:rPr>
          <w:noProof/>
        </w:rPr>
        <w:t xml:space="preserve"> </w:t>
      </w:r>
      <w:r>
        <w:rPr>
          <w:noProof/>
        </w:rPr>
        <w:t>l</w:t>
      </w:r>
      <w:r w:rsidRPr="00365FE4">
        <w:rPr>
          <w:noProof/>
        </w:rPr>
        <w:t>et Plane 0 represent the invariant twinning plane K</w:t>
      </w:r>
      <w:r w:rsidRPr="00365FE4">
        <w:rPr>
          <w:noProof/>
          <w:vertAlign w:val="subscript"/>
        </w:rPr>
        <w:t>1</w:t>
      </w:r>
      <w:r w:rsidRPr="00365FE4">
        <w:rPr>
          <w:noProof/>
        </w:rPr>
        <w:t>(</w:t>
      </w:r>
      <m:oMath>
        <m:r>
          <w:rPr>
            <w:rFonts w:ascii="Cambria Math" w:hAnsi="Cambria Math"/>
            <w:noProof/>
          </w:rPr>
          <m:t>h k l</m:t>
        </m:r>
      </m:oMath>
      <w:r w:rsidRPr="00365FE4">
        <w:rPr>
          <w:noProof/>
        </w:rPr>
        <w:t>) and Plane -1 repre</w:t>
      </w:r>
      <w:r>
        <w:rPr>
          <w:noProof/>
        </w:rPr>
        <w:t>sen</w:t>
      </w:r>
      <w:r w:rsidRPr="00365FE4">
        <w:rPr>
          <w:noProof/>
        </w:rPr>
        <w:t>t one of the par</w:t>
      </w:r>
      <w:r>
        <w:rPr>
          <w:noProof/>
        </w:rPr>
        <w:t>al</w:t>
      </w:r>
      <w:r w:rsidRPr="00365FE4">
        <w:rPr>
          <w:noProof/>
        </w:rPr>
        <w:t>lel plane</w:t>
      </w:r>
      <w:r>
        <w:rPr>
          <w:noProof/>
        </w:rPr>
        <w:t>s</w:t>
      </w:r>
      <w:r w:rsidRPr="00365FE4">
        <w:rPr>
          <w:noProof/>
        </w:rPr>
        <w:t xml:space="preserve"> which satisfy the distance between Plane 0 and Plane -1 equal to n</w:t>
      </w:r>
      <m:oMath>
        <m:sSub>
          <m:sSubPr>
            <m:ctrlPr>
              <w:rPr>
                <w:rFonts w:ascii="Cambria Math" w:hAnsi="Cambria Math"/>
                <w:i/>
                <w:noProof/>
              </w:rPr>
            </m:ctrlPr>
          </m:sSubPr>
          <m:e>
            <m:r>
              <w:rPr>
                <w:rFonts w:ascii="Cambria Math" w:hAnsi="Cambria Math"/>
                <w:noProof/>
              </w:rPr>
              <m:t>d</m:t>
            </m:r>
          </m:e>
          <m:sub>
            <m:r>
              <w:rPr>
                <w:rFonts w:ascii="Cambria Math" w:hAnsi="Cambria Math"/>
                <w:noProof/>
              </w:rPr>
              <m:t>hkl</m:t>
            </m:r>
          </m:sub>
        </m:sSub>
      </m:oMath>
      <w:r w:rsidRPr="00365FE4">
        <w:rPr>
          <w:noProof/>
        </w:rPr>
        <w:t>(n=1</w:t>
      </w:r>
      <w:r>
        <w:rPr>
          <w:noProof/>
        </w:rPr>
        <w:t>-</w:t>
      </w:r>
      <w:r w:rsidRPr="00365FE4">
        <w:rPr>
          <w:noProof/>
        </w:rPr>
        <w:t>n). Plane 1 is a mirror reflect</w:t>
      </w:r>
      <w:r>
        <w:rPr>
          <w:noProof/>
        </w:rPr>
        <w:t>ion</w:t>
      </w:r>
      <w:r w:rsidRPr="00365FE4">
        <w:rPr>
          <w:noProof/>
        </w:rPr>
        <w:t xml:space="preserve"> of Plane -1 with repect to twinning plane Plane 0. </w:t>
      </w:r>
      <w:r>
        <w:rPr>
          <w:noProof/>
        </w:rPr>
        <w:t>By s</w:t>
      </w:r>
      <w:r w:rsidRPr="00365FE4">
        <w:rPr>
          <w:noProof/>
        </w:rPr>
        <w:t>elect</w:t>
      </w:r>
      <w:r>
        <w:rPr>
          <w:noProof/>
        </w:rPr>
        <w:t>ing</w:t>
      </w:r>
      <w:r w:rsidRPr="00365FE4">
        <w:rPr>
          <w:noProof/>
        </w:rPr>
        <w:t xml:space="preserve"> any lattice vector which starts from </w:t>
      </w:r>
      <m:oMath>
        <m:r>
          <w:rPr>
            <w:rFonts w:ascii="Cambria Math" w:hAnsi="Cambria Math"/>
            <w:noProof/>
          </w:rPr>
          <m:t>O</m:t>
        </m:r>
      </m:oMath>
      <w:r w:rsidRPr="00365FE4">
        <w:rPr>
          <w:noProof/>
        </w:rPr>
        <w:t xml:space="preserve"> and ends at Plane 1 at A, </w:t>
      </w:r>
      <w:r>
        <w:rPr>
          <w:noProof/>
        </w:rPr>
        <w:t>then by</w:t>
      </w:r>
      <w:r w:rsidRPr="00365FE4">
        <w:rPr>
          <w:noProof/>
        </w:rPr>
        <w:t xml:space="preserve"> substitut</w:t>
      </w:r>
      <w:r>
        <w:rPr>
          <w:noProof/>
        </w:rPr>
        <w:t>ing</w:t>
      </w:r>
      <w:r w:rsidRPr="00365FE4">
        <w:rPr>
          <w:noProof/>
        </w:rPr>
        <w:t xml:space="preserve"> the position of A</w:t>
      </w:r>
      <w:r>
        <w:rPr>
          <w:noProof/>
        </w:rPr>
        <w:t>,</w:t>
      </w:r>
      <w:r w:rsidRPr="00365FE4">
        <w:rPr>
          <w:noProof/>
        </w:rPr>
        <w:t xml:space="preserve"> a set of parent lattice positions were det</w:t>
      </w:r>
      <w:r>
        <w:rPr>
          <w:noProof/>
        </w:rPr>
        <w:t>e</w:t>
      </w:r>
      <w:r w:rsidRPr="00365FE4">
        <w:rPr>
          <w:noProof/>
        </w:rPr>
        <w:t xml:space="preserve">rmined. </w:t>
      </w:r>
      <w:r>
        <w:rPr>
          <w:noProof/>
        </w:rPr>
        <w:t>If</w:t>
      </w:r>
      <w:r w:rsidRPr="00365FE4">
        <w:rPr>
          <w:noProof/>
        </w:rPr>
        <w:t xml:space="preserve"> Plane 1//Plane 0//Plane -1, the vector which start</w:t>
      </w:r>
      <w:r>
        <w:rPr>
          <w:noProof/>
        </w:rPr>
        <w:t>s</w:t>
      </w:r>
      <w:r w:rsidRPr="00365FE4">
        <w:rPr>
          <w:noProof/>
        </w:rPr>
        <w:t xml:space="preserve"> at </w:t>
      </w:r>
      <m:oMath>
        <m:r>
          <w:rPr>
            <w:rFonts w:ascii="Cambria Math" w:hAnsi="Cambria Math"/>
            <w:noProof/>
          </w:rPr>
          <m:t>O</m:t>
        </m:r>
      </m:oMath>
      <w:r w:rsidRPr="00365FE4">
        <w:rPr>
          <w:noProof/>
        </w:rPr>
        <w:t xml:space="preserve"> and ends at the mirror reflect</w:t>
      </w:r>
      <w:r>
        <w:rPr>
          <w:noProof/>
        </w:rPr>
        <w:t>ion</w:t>
      </w:r>
      <w:r w:rsidRPr="00365FE4">
        <w:rPr>
          <w:noProof/>
        </w:rPr>
        <w:t xml:space="preserve"> of </w:t>
      </w:r>
      <m:oMath>
        <m:r>
          <w:rPr>
            <w:rFonts w:ascii="Cambria Math" w:hAnsi="Cambria Math"/>
            <w:noProof/>
          </w:rPr>
          <m:t>O</m:t>
        </m:r>
      </m:oMath>
      <w:r w:rsidRPr="00365FE4">
        <w:rPr>
          <w:noProof/>
        </w:rPr>
        <w:t xml:space="preserve"> on Plane -1 on </w:t>
      </w:r>
      <m:oMath>
        <m:r>
          <w:rPr>
            <w:rFonts w:ascii="Cambria Math" w:hAnsi="Cambria Math"/>
            <w:noProof/>
          </w:rPr>
          <m:t>O</m:t>
        </m:r>
      </m:oMath>
      <w:r w:rsidRPr="00365FE4">
        <w:rPr>
          <w:noProof/>
        </w:rPr>
        <w:t xml:space="preserve">’ </w:t>
      </w:r>
      <w:r>
        <w:rPr>
          <w:noProof/>
        </w:rPr>
        <w:t xml:space="preserve">which </w:t>
      </w:r>
      <w:r w:rsidRPr="00365FE4">
        <w:rPr>
          <w:noProof/>
        </w:rPr>
        <w:t>is perpendicular to K</w:t>
      </w:r>
      <w:r w:rsidRPr="00365FE4">
        <w:rPr>
          <w:noProof/>
          <w:vertAlign w:val="subscript"/>
        </w:rPr>
        <w:t>1</w:t>
      </w:r>
      <w:r w:rsidRPr="00365FE4">
        <w:rPr>
          <w:noProof/>
        </w:rPr>
        <w:t>. Thus</w:t>
      </w:r>
      <w:r>
        <w:rPr>
          <w:noProof/>
        </w:rPr>
        <w:t>,</w:t>
      </w:r>
      <w:r w:rsidRPr="00365FE4">
        <w:rPr>
          <w:noProof/>
        </w:rPr>
        <w:t xml:space="preserve"> according to the definition of twinning</w:t>
      </w:r>
      <w:r>
        <w:rPr>
          <w:noProof/>
        </w:rPr>
        <w:t>,</w:t>
      </w:r>
      <w:r w:rsidRPr="00365FE4">
        <w:rPr>
          <w:noProof/>
        </w:rPr>
        <w:t xml:space="preserve"> by substitut</w:t>
      </w:r>
      <w:r>
        <w:rPr>
          <w:noProof/>
        </w:rPr>
        <w:t>ing</w:t>
      </w:r>
      <w:r w:rsidRPr="00365FE4">
        <w:rPr>
          <w:noProof/>
        </w:rPr>
        <w:t xml:space="preserve"> the position of </w:t>
      </w:r>
      <m:oMath>
        <m:r>
          <w:rPr>
            <w:rFonts w:ascii="Cambria Math" w:hAnsi="Cambria Math"/>
            <w:noProof/>
          </w:rPr>
          <m:t>O</m:t>
        </m:r>
      </m:oMath>
      <w:r w:rsidRPr="00365FE4">
        <w:rPr>
          <w:noProof/>
        </w:rPr>
        <w:t>’ and reduced basis vectors</w:t>
      </w:r>
      <w:r>
        <w:rPr>
          <w:noProof/>
        </w:rPr>
        <w:t>,</w:t>
      </w:r>
      <w:r w:rsidRPr="00365FE4">
        <w:rPr>
          <w:noProof/>
        </w:rPr>
        <w:t xml:space="preserve"> </w:t>
      </w:r>
      <w:r>
        <w:rPr>
          <w:noProof/>
        </w:rPr>
        <w:t>t</w:t>
      </w:r>
      <w:r w:rsidRPr="00365FE4">
        <w:rPr>
          <w:noProof/>
        </w:rPr>
        <w:t xml:space="preserve">he twin lattice position can be identified. </w:t>
      </w:r>
      <w:r>
        <w:rPr>
          <w:noProof/>
        </w:rPr>
        <w:t>T</w:t>
      </w:r>
      <w:r w:rsidRPr="00365FE4">
        <w:rPr>
          <w:noProof/>
        </w:rPr>
        <w:t xml:space="preserve">he minimum shear vector is </w:t>
      </w:r>
      <w:r>
        <w:rPr>
          <w:noProof/>
        </w:rPr>
        <w:t>that which</w:t>
      </w:r>
      <w:r w:rsidRPr="00365FE4">
        <w:rPr>
          <w:noProof/>
        </w:rPr>
        <w:t xml:space="preserve"> joins </w:t>
      </w:r>
      <m:oMath>
        <m:r>
          <w:rPr>
            <w:rFonts w:ascii="Cambria Math" w:hAnsi="Cambria Math"/>
            <w:noProof/>
          </w:rPr>
          <m:t>O</m:t>
        </m:r>
      </m:oMath>
      <w:r w:rsidRPr="00365FE4">
        <w:rPr>
          <w:noProof/>
        </w:rPr>
        <w:t>’ to the near</w:t>
      </w:r>
      <w:r>
        <w:rPr>
          <w:noProof/>
        </w:rPr>
        <w:t>e</w:t>
      </w:r>
      <w:r w:rsidRPr="00365FE4">
        <w:rPr>
          <w:noProof/>
        </w:rPr>
        <w:t xml:space="preserve">st parent lattice point N on Plane 1.   </w:t>
      </w:r>
    </w:p>
    <w:p w14:paraId="38226720" w14:textId="77777777" w:rsidR="00DD65C8" w:rsidRDefault="00DD65C8" w:rsidP="00DD65C8">
      <w:pPr>
        <w:spacing w:after="120" w:line="360" w:lineRule="auto"/>
        <w:jc w:val="both"/>
        <w:rPr>
          <w:noProof/>
        </w:rPr>
      </w:pPr>
      <w:r>
        <w:rPr>
          <w:noProof/>
        </w:rPr>
        <w:t xml:space="preserve">To calculate the shear vector on a base </w:t>
      </w:r>
      <w:r w:rsidRPr="007F728B">
        <w:rPr>
          <w:noProof/>
        </w:rPr>
        <w:t>centred</w:t>
      </w:r>
      <w:r>
        <w:rPr>
          <w:noProof/>
        </w:rPr>
        <w:t xml:space="preserve"> tetragonal structure (</w:t>
      </w:r>
      <m:oMath>
        <m:r>
          <w:rPr>
            <w:rFonts w:ascii="Cambria Math" w:hAnsi="Cambria Math"/>
            <w:noProof/>
          </w:rPr>
          <m:t>h k l</m:t>
        </m:r>
      </m:oMath>
      <w:r>
        <w:rPr>
          <w:noProof/>
        </w:rPr>
        <w:t>) plane, the vector</w:t>
      </w:r>
      <w:r w:rsidRPr="0055710B">
        <w:rPr>
          <w:noProof/>
        </w:rPr>
        <w:t xml:space="preserve"> </w:t>
      </w:r>
      <m:oMath>
        <m:r>
          <m:rPr>
            <m:sty m:val="bi"/>
          </m:rPr>
          <w:rPr>
            <w:rFonts w:ascii="Cambria Math" w:hAnsi="Cambria Math"/>
            <w:noProof/>
          </w:rPr>
          <m:t>OA</m:t>
        </m:r>
      </m:oMath>
      <w:r w:rsidRPr="006E7D6E">
        <w:rPr>
          <w:noProof/>
        </w:rPr>
        <w:t xml:space="preserve"> </w:t>
      </w:r>
      <w:r>
        <w:rPr>
          <w:noProof/>
        </w:rPr>
        <w:t>must first be determined</w:t>
      </w:r>
      <w:r w:rsidRPr="0055710B">
        <w:rPr>
          <w:noProof/>
        </w:rPr>
        <w:t xml:space="preserve">. </w:t>
      </w:r>
      <w:r w:rsidRPr="007F728B">
        <w:rPr>
          <w:noProof/>
        </w:rPr>
        <w:t xml:space="preserve">By </w:t>
      </w:r>
      <w:r>
        <w:rPr>
          <w:noProof/>
        </w:rPr>
        <w:t xml:space="preserve">defining </w:t>
      </w:r>
      <m:oMath>
        <m:r>
          <w:rPr>
            <w:rFonts w:ascii="Cambria Math" w:hAnsi="Cambria Math"/>
            <w:noProof/>
          </w:rPr>
          <m:t>O</m:t>
        </m:r>
      </m:oMath>
      <w:r w:rsidRPr="0055710B">
        <w:rPr>
          <w:noProof/>
        </w:rPr>
        <w:t xml:space="preserve"> </w:t>
      </w:r>
      <w:r w:rsidRPr="007F728B">
        <w:rPr>
          <w:noProof/>
        </w:rPr>
        <w:t xml:space="preserve">as </w:t>
      </w:r>
      <w:r>
        <w:rPr>
          <w:noProof/>
        </w:rPr>
        <w:t>origin, a point on {</w:t>
      </w:r>
      <m:oMath>
        <m:r>
          <w:rPr>
            <w:rFonts w:ascii="Cambria Math" w:hAnsi="Cambria Math"/>
            <w:noProof/>
          </w:rPr>
          <m:t>h k l</m:t>
        </m:r>
      </m:oMath>
      <w:r>
        <w:rPr>
          <w:noProof/>
        </w:rPr>
        <w:t>} plane can be found:</w:t>
      </w:r>
    </w:p>
    <w:p w14:paraId="1ADB1689" w14:textId="2BD84CE0" w:rsidR="00DD65C8" w:rsidRPr="00365FE4" w:rsidRDefault="00DD65C8" w:rsidP="00DD65C8">
      <w:pPr>
        <w:spacing w:after="120" w:line="360" w:lineRule="auto"/>
        <w:jc w:val="right"/>
        <w:rPr>
          <w:noProof/>
        </w:rPr>
      </w:pPr>
      <w:r>
        <w:rPr>
          <w:i/>
          <w:noProof/>
        </w:rPr>
        <w:t>M=</w:t>
      </w:r>
      <w:r>
        <w:rPr>
          <w:rFonts w:ascii="Cambria Math" w:hAnsi="Cambria Math"/>
          <w:noProof/>
        </w:rPr>
        <w:t>(</w:t>
      </w:r>
      <m:oMath>
        <m:r>
          <w:rPr>
            <w:rFonts w:ascii="Cambria Math" w:hAnsi="Cambria Math"/>
            <w:noProof/>
          </w:rPr>
          <m:t>kl,0, 0</m:t>
        </m:r>
      </m:oMath>
      <w:r w:rsidRPr="00365FE4">
        <w:rPr>
          <w:noProof/>
        </w:rPr>
        <w:t>)</w:t>
      </w:r>
      <w:r>
        <w:rPr>
          <w:noProof/>
        </w:rPr>
        <w:t xml:space="preserve"> or </w:t>
      </w:r>
      <w:r w:rsidRPr="00365FE4">
        <w:rPr>
          <w:noProof/>
        </w:rPr>
        <w:t>(</w:t>
      </w:r>
      <m:oMath>
        <m:r>
          <w:rPr>
            <w:rFonts w:ascii="Cambria Math" w:hAnsi="Cambria Math"/>
            <w:noProof/>
          </w:rPr>
          <m:t>0,</m:t>
        </m:r>
        <m:r>
          <w:rPr>
            <w:rFonts w:ascii="Cambria Math" w:hAnsi="Cambria Math"/>
            <w:noProof/>
          </w:rPr>
          <m:t>hl,0</m:t>
        </m:r>
      </m:oMath>
      <w:r w:rsidRPr="00365FE4">
        <w:rPr>
          <w:noProof/>
        </w:rPr>
        <w:t>)</w:t>
      </w:r>
      <w:r w:rsidRPr="006D68AA">
        <w:t xml:space="preserve"> </w:t>
      </w:r>
      <w:r w:rsidRPr="006D68AA">
        <w:rPr>
          <w:noProof/>
        </w:rPr>
        <w:t>or</w:t>
      </w:r>
      <w:r>
        <w:rPr>
          <w:noProof/>
        </w:rPr>
        <w:t xml:space="preserve"> </w:t>
      </w:r>
      <w:r w:rsidRPr="00365FE4">
        <w:rPr>
          <w:noProof/>
        </w:rPr>
        <w:t>(</w:t>
      </w:r>
      <m:oMath>
        <m:r>
          <w:rPr>
            <w:rFonts w:ascii="Cambria Math" w:hAnsi="Cambria Math"/>
            <w:noProof/>
          </w:rPr>
          <m:t>0,0,</m:t>
        </m:r>
        <m:r>
          <w:rPr>
            <w:rFonts w:ascii="Cambria Math" w:hAnsi="Cambria Math"/>
            <w:noProof/>
          </w:rPr>
          <m:t>hk</m:t>
        </m:r>
      </m:oMath>
      <w:r w:rsidRPr="00365FE4">
        <w:rPr>
          <w:noProof/>
        </w:rPr>
        <w:t>)</w:t>
      </w:r>
      <w:r>
        <w:rPr>
          <w:rFonts w:ascii="Cambria Math" w:hAnsi="Cambria Math"/>
          <w:noProof/>
        </w:rPr>
        <w:t xml:space="preserve">                                                   </w:t>
      </w:r>
      <w:r w:rsidRPr="00365FE4">
        <w:rPr>
          <w:noProof/>
        </w:rPr>
        <w:t>(14)</w:t>
      </w:r>
      <w:r>
        <w:rPr>
          <w:rFonts w:ascii="Cambria Math" w:hAnsi="Cambria Math"/>
          <w:noProof/>
        </w:rPr>
        <w:t xml:space="preserve">                                           </w:t>
      </w:r>
    </w:p>
    <w:p w14:paraId="61FC4C6D" w14:textId="77777777" w:rsidR="00DD65C8" w:rsidRPr="006E7D6E" w:rsidRDefault="00DD65C8" w:rsidP="00DD65C8">
      <w:pPr>
        <w:spacing w:after="120" w:line="360" w:lineRule="auto"/>
        <w:rPr>
          <w:noProof/>
        </w:rPr>
      </w:pPr>
      <w:r>
        <w:rPr>
          <w:noProof/>
        </w:rPr>
        <w:t>Taking</w:t>
      </w:r>
      <w:r w:rsidRPr="00C566EB">
        <w:rPr>
          <w:i/>
          <w:noProof/>
        </w:rPr>
        <w:t xml:space="preserve"> </w:t>
      </w:r>
      <w:r>
        <w:rPr>
          <w:i/>
          <w:noProof/>
        </w:rPr>
        <w:t>M</w:t>
      </w:r>
      <w:r w:rsidRPr="00950DE6">
        <w:rPr>
          <w:noProof/>
        </w:rPr>
        <w:t xml:space="preserve"> as</w:t>
      </w:r>
      <w:r>
        <w:rPr>
          <w:noProof/>
        </w:rPr>
        <w:t xml:space="preserve"> the intersect point of </w:t>
      </w:r>
      <m:oMath>
        <m:r>
          <m:rPr>
            <m:sty m:val="bi"/>
          </m:rPr>
          <w:rPr>
            <w:rFonts w:ascii="Cambria Math" w:hAnsi="Cambria Math"/>
            <w:noProof/>
          </w:rPr>
          <m:t>OA</m:t>
        </m:r>
      </m:oMath>
      <w:r w:rsidRPr="006E7D6E">
        <w:rPr>
          <w:b/>
          <w:noProof/>
        </w:rPr>
        <w:t xml:space="preserve"> </w:t>
      </w:r>
      <w:r w:rsidRPr="006E7D6E">
        <w:rPr>
          <w:noProof/>
        </w:rPr>
        <w:t>with Plane</w:t>
      </w:r>
      <w:r w:rsidRPr="006E7D6E">
        <w:rPr>
          <w:b/>
          <w:noProof/>
        </w:rPr>
        <w:t xml:space="preserve"> </w:t>
      </w:r>
      <w:r w:rsidRPr="006E7D6E">
        <w:rPr>
          <w:noProof/>
        </w:rPr>
        <w:t xml:space="preserve">0, </w:t>
      </w:r>
      <w:r>
        <w:rPr>
          <w:noProof/>
        </w:rPr>
        <w:t>then</w:t>
      </w:r>
      <w:r w:rsidRPr="006E7D6E">
        <w:rPr>
          <w:noProof/>
        </w:rPr>
        <w:t xml:space="preserve"> </w:t>
      </w:r>
      <m:oMath>
        <m:r>
          <m:rPr>
            <m:sty m:val="bi"/>
          </m:rPr>
          <w:rPr>
            <w:rFonts w:ascii="Cambria Math" w:hAnsi="Cambria Math"/>
            <w:noProof/>
          </w:rPr>
          <m:t>OA=</m:t>
        </m:r>
        <m:r>
          <w:rPr>
            <w:rFonts w:ascii="Cambria Math" w:hAnsi="Cambria Math"/>
            <w:noProof/>
          </w:rPr>
          <m:t>2</m:t>
        </m:r>
        <m:r>
          <m:rPr>
            <m:sty m:val="bi"/>
          </m:rPr>
          <w:rPr>
            <w:rFonts w:ascii="Cambria Math" w:hAnsi="Cambria Math"/>
            <w:noProof/>
          </w:rPr>
          <m:t>OM</m:t>
        </m:r>
      </m:oMath>
      <w:r w:rsidRPr="006E7D6E">
        <w:rPr>
          <w:noProof/>
        </w:rPr>
        <w:t>.</w:t>
      </w:r>
    </w:p>
    <w:p w14:paraId="270CD674" w14:textId="77777777" w:rsidR="00DD65C8" w:rsidRPr="0043775E" w:rsidRDefault="00DD65C8" w:rsidP="00DD65C8">
      <w:pPr>
        <w:spacing w:after="120" w:line="360" w:lineRule="auto"/>
        <w:jc w:val="both"/>
        <w:rPr>
          <w:noProof/>
        </w:rPr>
      </w:pPr>
      <w:r>
        <w:rPr>
          <w:noProof/>
        </w:rPr>
        <w:t>Considering</w:t>
      </w:r>
      <m:oMath>
        <m:r>
          <w:rPr>
            <w:rFonts w:ascii="Cambria Math" w:hAnsi="Cambria Math"/>
            <w:noProof/>
          </w:rPr>
          <m:t xml:space="preserve"> O'</m:t>
        </m:r>
      </m:oMath>
      <w:r>
        <w:rPr>
          <w:noProof/>
        </w:rPr>
        <w:t xml:space="preserve"> is a mirror projection of origin </w:t>
      </w:r>
      <m:oMath>
        <m:r>
          <w:rPr>
            <w:rFonts w:ascii="Cambria Math" w:hAnsi="Cambria Math"/>
            <w:noProof/>
          </w:rPr>
          <m:t>O</m:t>
        </m:r>
      </m:oMath>
      <w:r>
        <w:rPr>
          <w:noProof/>
        </w:rPr>
        <w:t xml:space="preserve"> with respect to Plane 0, the coordinate of </w:t>
      </w:r>
      <m:oMath>
        <m:r>
          <w:rPr>
            <w:rFonts w:ascii="Cambria Math" w:hAnsi="Cambria Math"/>
            <w:noProof/>
          </w:rPr>
          <m:t>O'</m:t>
        </m:r>
      </m:oMath>
      <w:r>
        <w:rPr>
          <w:noProof/>
        </w:rPr>
        <w:t xml:space="preserve"> can be found. From the discussion previously described, on Plane 1, </w:t>
      </w:r>
      <m:oMath>
        <m:r>
          <w:rPr>
            <w:rFonts w:ascii="Cambria Math" w:hAnsi="Cambria Math"/>
            <w:noProof/>
          </w:rPr>
          <m:t>O</m:t>
        </m:r>
        <m:r>
          <m:rPr>
            <m:sty m:val="p"/>
          </m:rPr>
          <w:rPr>
            <w:rFonts w:ascii="Cambria Math" w:hAnsi="Cambria Math"/>
            <w:noProof/>
          </w:rPr>
          <m:t>'</m:t>
        </m:r>
      </m:oMath>
      <w:r>
        <w:rPr>
          <w:noProof/>
        </w:rPr>
        <w:t xml:space="preserve"> is surrounded by four points </w:t>
      </w:r>
      <w:r w:rsidRPr="006E7D6E">
        <w:rPr>
          <w:b/>
          <w:i/>
          <w:noProof/>
        </w:rPr>
        <w:t>N P Q R</w:t>
      </w:r>
      <w:r w:rsidRPr="006E7D6E">
        <w:rPr>
          <w:rFonts w:ascii="Cambria Math" w:hAnsi="Cambria Math"/>
          <w:i/>
          <w:noProof/>
        </w:rPr>
        <w:t>.</w:t>
      </w:r>
      <w:r>
        <w:rPr>
          <w:rFonts w:ascii="Cambria Math" w:hAnsi="Cambria Math"/>
          <w:b/>
          <w:i/>
          <w:noProof/>
        </w:rPr>
        <w:t xml:space="preserve"> </w:t>
      </w:r>
      <w:r w:rsidRPr="006E7D6E">
        <w:rPr>
          <w:noProof/>
        </w:rPr>
        <w:t>While</w:t>
      </w:r>
      <w:r w:rsidRPr="006E7D6E">
        <w:rPr>
          <w:b/>
          <w:i/>
          <w:noProof/>
        </w:rPr>
        <w:t xml:space="preserve"> </w:t>
      </w:r>
      <w:r>
        <w:rPr>
          <w:b/>
          <w:i/>
          <w:noProof/>
        </w:rPr>
        <w:t>A</w:t>
      </w:r>
      <w:r w:rsidRPr="006E7D6E">
        <w:rPr>
          <w:b/>
          <w:i/>
          <w:noProof/>
        </w:rPr>
        <w:t>N</w:t>
      </w:r>
      <w:r>
        <w:rPr>
          <w:noProof/>
        </w:rPr>
        <w:t>=α</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oMath>
      <w:r>
        <w:rPr>
          <w:b/>
          <w:noProof/>
        </w:rPr>
        <w:t>+</w:t>
      </w:r>
      <w:r>
        <w:rPr>
          <w:noProof/>
        </w:rPr>
        <w:t>β</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oMath>
      <w:r>
        <w:rPr>
          <w:noProof/>
        </w:rPr>
        <w:t xml:space="preserve">, </w:t>
      </w:r>
      <w:r w:rsidRPr="006E7D6E">
        <w:rPr>
          <w:b/>
          <w:i/>
          <w:noProof/>
        </w:rPr>
        <w:t>NP</w:t>
      </w:r>
      <w:r>
        <w:rPr>
          <w:noProof/>
        </w:rPr>
        <w:t>=</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oMath>
      <w:r>
        <w:rPr>
          <w:noProof/>
        </w:rPr>
        <w:t>,</w:t>
      </w:r>
      <w:r w:rsidRPr="006E7D6E">
        <w:rPr>
          <w:b/>
          <w:i/>
          <w:noProof/>
        </w:rPr>
        <w:t xml:space="preserve"> </w:t>
      </w:r>
      <w:r>
        <w:rPr>
          <w:b/>
          <w:i/>
          <w:noProof/>
        </w:rPr>
        <w:t>N</w:t>
      </w:r>
      <w:r w:rsidRPr="006E7D6E">
        <w:rPr>
          <w:b/>
          <w:i/>
          <w:noProof/>
        </w:rPr>
        <w:t>Q</w:t>
      </w:r>
      <w:r>
        <w:rPr>
          <w:noProof/>
        </w:rPr>
        <w:t>=</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oMath>
      <w:r>
        <w:rPr>
          <w:noProof/>
        </w:rPr>
        <w:t>,</w:t>
      </w:r>
      <w:r w:rsidRPr="00332EE3">
        <w:rPr>
          <w:noProof/>
        </w:rPr>
        <w:t xml:space="preserve"> </w:t>
      </w:r>
      <w:r>
        <w:rPr>
          <w:b/>
          <w:i/>
          <w:noProof/>
        </w:rPr>
        <w:t>N</w:t>
      </w:r>
      <w:r w:rsidRPr="006E7D6E">
        <w:rPr>
          <w:b/>
          <w:i/>
          <w:noProof/>
        </w:rPr>
        <w:t>R</w:t>
      </w:r>
      <w:r>
        <w:rPr>
          <w:noProof/>
        </w:rPr>
        <w:t>=</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1</m:t>
            </m:r>
          </m:sub>
        </m:sSub>
      </m:oMath>
      <w:r>
        <w:rPr>
          <w:b/>
          <w:noProof/>
        </w:rPr>
        <w:t>+</w:t>
      </w:r>
      <m:oMath>
        <m:sSub>
          <m:sSubPr>
            <m:ctrlPr>
              <w:rPr>
                <w:rFonts w:ascii="Cambria Math" w:hAnsi="Cambria Math"/>
                <w:b/>
                <w:i/>
                <w:noProof/>
              </w:rPr>
            </m:ctrlPr>
          </m:sSubPr>
          <m:e>
            <m:r>
              <m:rPr>
                <m:sty m:val="bi"/>
              </m:rPr>
              <w:rPr>
                <w:rFonts w:ascii="Cambria Math" w:hAnsi="Cambria Math"/>
                <w:noProof/>
              </w:rPr>
              <m:t>e</m:t>
            </m:r>
          </m:e>
          <m:sub>
            <m:r>
              <m:rPr>
                <m:sty m:val="bi"/>
              </m:rPr>
              <w:rPr>
                <w:rFonts w:ascii="Cambria Math" w:hAnsi="Cambria Math"/>
                <w:noProof/>
              </w:rPr>
              <m:t>2</m:t>
            </m:r>
          </m:sub>
        </m:sSub>
      </m:oMath>
      <w:r>
        <w:rPr>
          <w:b/>
          <w:noProof/>
        </w:rPr>
        <w:t xml:space="preserve"> </w:t>
      </w:r>
      <w:r w:rsidRPr="001249FF">
        <w:rPr>
          <w:noProof/>
        </w:rPr>
        <w:t>(</w:t>
      </w:r>
      <w:r>
        <w:rPr>
          <w:noProof/>
        </w:rPr>
        <w:t>α&amp;β</w:t>
      </w:r>
      <m:oMath>
        <m:r>
          <w:rPr>
            <w:rFonts w:ascii="Cambria Math" w:hAnsi="Cambria Math"/>
            <w:noProof/>
          </w:rPr>
          <m:t>∈Z</m:t>
        </m:r>
      </m:oMath>
      <w:r>
        <w:rPr>
          <w:noProof/>
        </w:rPr>
        <w:t xml:space="preserve">). Comparing the length of </w:t>
      </w:r>
      <w:r w:rsidRPr="006E7D6E">
        <w:rPr>
          <w:b/>
          <w:i/>
          <w:noProof/>
        </w:rPr>
        <w:t>N</w:t>
      </w:r>
      <w:r>
        <w:rPr>
          <w:b/>
          <w:i/>
          <w:noProof/>
        </w:rPr>
        <w:t>O’ PO’ QO’ RO’</w:t>
      </w:r>
      <w:r>
        <w:rPr>
          <w:noProof/>
        </w:rPr>
        <w:t xml:space="preserve">, the minimum length vector is shear vector </w:t>
      </w:r>
      <m:oMath>
        <m:r>
          <m:rPr>
            <m:sty m:val="bi"/>
          </m:rPr>
          <w:rPr>
            <w:rFonts w:ascii="Cambria Math" w:hAnsi="Cambria Math"/>
            <w:noProof/>
            <w:sz w:val="24"/>
          </w:rPr>
          <m:t>t</m:t>
        </m:r>
      </m:oMath>
      <w:r w:rsidRPr="001249FF">
        <w:rPr>
          <w:noProof/>
          <w:sz w:val="24"/>
        </w:rPr>
        <w:t>.</w:t>
      </w:r>
    </w:p>
    <w:p w14:paraId="328BE659" w14:textId="77777777" w:rsidR="00DD65C8" w:rsidRDefault="00DD65C8" w:rsidP="00DD65C8">
      <w:pPr>
        <w:spacing w:after="120" w:line="360" w:lineRule="auto"/>
        <w:rPr>
          <w:noProof/>
        </w:rPr>
      </w:pPr>
      <w:bookmarkStart w:id="364" w:name="_Hlk7364486"/>
      <w:r>
        <w:rPr>
          <w:noProof/>
          <w:lang w:val="en-US" w:eastAsia="en-US"/>
        </w:rPr>
        <w:lastRenderedPageBreak/>
        <w:drawing>
          <wp:inline distT="0" distB="0" distL="0" distR="0" wp14:anchorId="133271A5" wp14:editId="113E8489">
            <wp:extent cx="5274310" cy="3816350"/>
            <wp:effectExtent l="0" t="0" r="2540" b="0"/>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4310" cy="3816350"/>
                    </a:xfrm>
                    <a:prstGeom prst="rect">
                      <a:avLst/>
                    </a:prstGeom>
                  </pic:spPr>
                </pic:pic>
              </a:graphicData>
            </a:graphic>
          </wp:inline>
        </w:drawing>
      </w:r>
      <w:r>
        <w:rPr>
          <w:noProof/>
        </w:rPr>
        <w:t xml:space="preserve">    </w:t>
      </w:r>
    </w:p>
    <w:p w14:paraId="3C10C5BD" w14:textId="1330AE41" w:rsidR="00DD65C8" w:rsidRPr="00A70567" w:rsidRDefault="00DD65C8" w:rsidP="00DD65C8">
      <w:pPr>
        <w:spacing w:after="120" w:line="360" w:lineRule="auto"/>
        <w:jc w:val="both"/>
        <w:rPr>
          <w:noProof/>
          <w:sz w:val="20"/>
        </w:rPr>
      </w:pPr>
      <w:bookmarkStart w:id="365" w:name="_Toc7364624"/>
      <w:bookmarkStart w:id="366" w:name="_Toc39312738"/>
      <w:bookmarkEnd w:id="364"/>
      <w:r w:rsidRPr="00A70567">
        <w:rPr>
          <w:b/>
          <w:noProof/>
          <w:sz w:val="20"/>
        </w:rPr>
        <w:t>Figure 10-</w:t>
      </w:r>
      <w:r w:rsidRPr="00A70567">
        <w:rPr>
          <w:b/>
          <w:sz w:val="20"/>
        </w:rPr>
        <w:fldChar w:fldCharType="begin"/>
      </w:r>
      <w:r w:rsidRPr="00A70567">
        <w:rPr>
          <w:b/>
          <w:sz w:val="20"/>
        </w:rPr>
        <w:instrText xml:space="preserve"> SEQ Figure \* ARABIC </w:instrText>
      </w:r>
      <w:r w:rsidRPr="00A70567">
        <w:rPr>
          <w:b/>
          <w:sz w:val="20"/>
        </w:rPr>
        <w:fldChar w:fldCharType="separate"/>
      </w:r>
      <w:r w:rsidRPr="00A70567">
        <w:rPr>
          <w:b/>
          <w:noProof/>
          <w:sz w:val="20"/>
        </w:rPr>
        <w:t>2</w:t>
      </w:r>
      <w:r w:rsidRPr="00A70567">
        <w:rPr>
          <w:b/>
          <w:sz w:val="20"/>
        </w:rPr>
        <w:fldChar w:fldCharType="end"/>
      </w:r>
      <w:r w:rsidRPr="00A70567">
        <w:rPr>
          <w:b/>
          <w:noProof/>
          <w:sz w:val="18"/>
        </w:rPr>
        <w:t xml:space="preserve"> </w:t>
      </w:r>
      <w:r w:rsidRPr="00A70567">
        <w:rPr>
          <w:b/>
          <w:noProof/>
          <w:sz w:val="20"/>
        </w:rPr>
        <w:t xml:space="preserve">A </w:t>
      </w:r>
      <w:r>
        <w:rPr>
          <w:b/>
          <w:noProof/>
          <w:sz w:val="20"/>
        </w:rPr>
        <w:t>schematic</w:t>
      </w:r>
      <w:r w:rsidRPr="00A70567">
        <w:rPr>
          <w:b/>
          <w:noProof/>
          <w:sz w:val="20"/>
        </w:rPr>
        <w:t xml:space="preserve"> of three parallel lattice planes</w:t>
      </w:r>
      <w:r w:rsidRPr="00A70567">
        <w:rPr>
          <w:noProof/>
          <w:sz w:val="20"/>
        </w:rPr>
        <w:t>. Plane 1 the mirror reflection of parent lattice Plane -1 with respect to the twinning Plane 0. Black points denote parents lattice on Plane 1 and Plane -1 while hollow blue points on Plane 0 and Plane 1 represent</w:t>
      </w:r>
      <w:r w:rsidR="002D6024">
        <w:rPr>
          <w:noProof/>
          <w:sz w:val="20"/>
        </w:rPr>
        <w:t xml:space="preserve"> the</w:t>
      </w:r>
      <w:r w:rsidRPr="00A70567">
        <w:rPr>
          <w:noProof/>
          <w:sz w:val="20"/>
        </w:rPr>
        <w:t xml:space="preserve"> invariant lattice and twin lattice respectively.</w:t>
      </w:r>
      <w:bookmarkEnd w:id="365"/>
      <w:bookmarkEnd w:id="366"/>
      <w:r w:rsidRPr="00A70567">
        <w:rPr>
          <w:noProof/>
          <w:sz w:val="20"/>
        </w:rPr>
        <w:t xml:space="preserve">  </w:t>
      </w:r>
    </w:p>
    <w:p w14:paraId="6A7EC298" w14:textId="77777777" w:rsidR="00DD65C8" w:rsidRPr="00371F76" w:rsidRDefault="00DD65C8" w:rsidP="00DD65C8">
      <w:pPr>
        <w:pStyle w:val="a7"/>
        <w:numPr>
          <w:ilvl w:val="0"/>
          <w:numId w:val="15"/>
        </w:numPr>
        <w:spacing w:after="120" w:line="360" w:lineRule="auto"/>
        <w:rPr>
          <w:b/>
        </w:rPr>
      </w:pPr>
      <w:r w:rsidRPr="00371F76">
        <w:rPr>
          <w:b/>
        </w:rPr>
        <w:t xml:space="preserve">Calculation of twinning element </w:t>
      </w:r>
      <m:oMath>
        <m:sSub>
          <m:sSubPr>
            <m:ctrlPr>
              <w:rPr>
                <w:rFonts w:ascii="Cambria Math" w:hAnsi="Cambria Math"/>
                <w:b/>
                <w:i/>
              </w:rPr>
            </m:ctrlPr>
          </m:sSubPr>
          <m:e>
            <m:r>
              <m:rPr>
                <m:sty m:val="bi"/>
              </m:rPr>
              <w:rPr>
                <w:rFonts w:ascii="Cambria Math" w:hAnsi="Cambria Math"/>
              </w:rPr>
              <m:t>K</m:t>
            </m:r>
          </m:e>
          <m:sub>
            <m:r>
              <m:rPr>
                <m:sty m:val="bi"/>
              </m:rPr>
              <w:rPr>
                <w:rFonts w:ascii="Cambria Math" w:hAnsi="Cambria Math"/>
              </w:rPr>
              <m:t>2</m:t>
            </m:r>
          </m:sub>
        </m:sSub>
      </m:oMath>
      <w:r w:rsidRPr="00371F76">
        <w:rPr>
          <w:b/>
        </w:rPr>
        <w:t xml:space="preserve"> and </w:t>
      </w:r>
      <m:oMath>
        <m:sSub>
          <m:sSubPr>
            <m:ctrlPr>
              <w:rPr>
                <w:rFonts w:ascii="Cambria Math" w:hAnsi="Cambria Math"/>
                <w:b/>
                <w:i/>
              </w:rPr>
            </m:ctrlPr>
          </m:sSubPr>
          <m:e>
            <m:r>
              <m:rPr>
                <m:sty m:val="bi"/>
              </m:rPr>
              <w:rPr>
                <w:rFonts w:ascii="Cambria Math" w:hAnsi="Cambria Math"/>
              </w:rPr>
              <m:t>η</m:t>
            </m:r>
          </m:e>
          <m:sub>
            <m:r>
              <m:rPr>
                <m:sty m:val="bi"/>
              </m:rPr>
              <w:rPr>
                <w:rFonts w:ascii="Cambria Math" w:hAnsi="Cambria Math"/>
              </w:rPr>
              <m:t>2</m:t>
            </m:r>
          </m:sub>
        </m:sSub>
      </m:oMath>
    </w:p>
    <w:p w14:paraId="1BFC2061" w14:textId="77777777" w:rsidR="00DD65C8" w:rsidRPr="00E40B2A" w:rsidRDefault="00DD65C8" w:rsidP="00DD65C8">
      <w:pPr>
        <w:spacing w:after="120" w:line="360" w:lineRule="auto"/>
        <w:rPr>
          <w:rFonts w:cs="Arial"/>
          <w:color w:val="222222"/>
          <w:shd w:val="clear" w:color="auto" w:fill="FFFFFF"/>
        </w:rPr>
      </w:pPr>
      <w:r w:rsidRPr="00E40B2A">
        <w:t xml:space="preserve">With </w:t>
      </w:r>
      <m:oMath>
        <m:sSub>
          <m:sSubPr>
            <m:ctrlPr>
              <w:rPr>
                <w:rFonts w:ascii="Cambria Math" w:hAnsi="Cambria Math"/>
                <w:i/>
              </w:rPr>
            </m:ctrlPr>
          </m:sSubPr>
          <m:e>
            <m:r>
              <w:rPr>
                <w:rFonts w:ascii="Cambria Math" w:hAnsi="Cambria Math"/>
              </w:rPr>
              <m:t>K</m:t>
            </m:r>
          </m:e>
          <m:sub>
            <m:r>
              <w:rPr>
                <w:rFonts w:ascii="Cambria Math" w:hAnsi="Cambria Math"/>
              </w:rPr>
              <m:t>1</m:t>
            </m:r>
          </m:sub>
        </m:sSub>
      </m:oMath>
      <w:r w:rsidRPr="00E40B2A">
        <w:t xml:space="preserve"> and </w:t>
      </w:r>
      <m:oMath>
        <m:sSub>
          <m:sSubPr>
            <m:ctrlPr>
              <w:rPr>
                <w:rFonts w:ascii="Cambria Math" w:hAnsi="Cambria Math"/>
                <w:i/>
              </w:rPr>
            </m:ctrlPr>
          </m:sSubPr>
          <m:e>
            <m:r>
              <w:rPr>
                <w:rFonts w:ascii="Cambria Math" w:hAnsi="Cambria Math"/>
              </w:rPr>
              <m:t>η</m:t>
            </m:r>
          </m:e>
          <m:sub>
            <m:r>
              <w:rPr>
                <w:rFonts w:ascii="Cambria Math" w:hAnsi="Cambria Math"/>
              </w:rPr>
              <m:t>1</m:t>
            </m:r>
          </m:sub>
        </m:sSub>
      </m:oMath>
      <w:r w:rsidRPr="00E40B2A">
        <w:t xml:space="preserve"> determi</w:t>
      </w:r>
      <w:r>
        <w:t>n</w:t>
      </w:r>
      <w:r w:rsidRPr="00E40B2A">
        <w:t>ed</w:t>
      </w:r>
      <w:r>
        <w:t>,</w:t>
      </w:r>
      <w:r w:rsidRPr="00E40B2A">
        <w:t xml:space="preserve">  </w:t>
      </w:r>
      <m:oMath>
        <m:sSub>
          <m:sSubPr>
            <m:ctrlPr>
              <w:rPr>
                <w:rFonts w:ascii="Cambria Math" w:hAnsi="Cambria Math"/>
                <w:i/>
              </w:rPr>
            </m:ctrlPr>
          </m:sSubPr>
          <m:e>
            <m:r>
              <w:rPr>
                <w:rFonts w:ascii="Cambria Math" w:hAnsi="Cambria Math"/>
              </w:rPr>
              <m:t>K</m:t>
            </m:r>
          </m:e>
          <m:sub>
            <m:r>
              <w:rPr>
                <w:rFonts w:ascii="Cambria Math" w:hAnsi="Cambria Math"/>
              </w:rPr>
              <m:t>2</m:t>
            </m:r>
          </m:sub>
        </m:sSub>
      </m:oMath>
      <w:r w:rsidRPr="00E40B2A">
        <w:t xml:space="preserve"> and </w:t>
      </w:r>
      <m:oMath>
        <m:sSub>
          <m:sSubPr>
            <m:ctrlPr>
              <w:rPr>
                <w:rFonts w:ascii="Cambria Math" w:hAnsi="Cambria Math"/>
                <w:i/>
              </w:rPr>
            </m:ctrlPr>
          </m:sSubPr>
          <m:e>
            <m:r>
              <w:rPr>
                <w:rFonts w:ascii="Cambria Math" w:hAnsi="Cambria Math"/>
              </w:rPr>
              <m:t>η</m:t>
            </m:r>
          </m:e>
          <m:sub>
            <m:r>
              <w:rPr>
                <w:rFonts w:ascii="Cambria Math" w:hAnsi="Cambria Math"/>
              </w:rPr>
              <m:t>2</m:t>
            </m:r>
          </m:sub>
        </m:sSub>
      </m:oMath>
      <w:r w:rsidRPr="00E40B2A">
        <w:t xml:space="preserve"> </w:t>
      </w:r>
      <w:r>
        <w:t>may be calculated</w:t>
      </w:r>
      <w:r w:rsidRPr="00E40B2A">
        <w:t xml:space="preserve">by using </w:t>
      </w:r>
      <w:r>
        <w:rPr>
          <w:rFonts w:cs="Arial"/>
          <w:color w:val="222222"/>
          <w:shd w:val="clear" w:color="auto" w:fill="FFFFFF"/>
        </w:rPr>
        <w:t xml:space="preserve">according to </w:t>
      </w:r>
      <w:r>
        <w:rPr>
          <w:rFonts w:cs="Arial"/>
          <w:color w:val="222222"/>
          <w:shd w:val="clear" w:color="auto" w:fill="FFFFFF"/>
        </w:rPr>
        <w:fldChar w:fldCharType="begin" w:fldLock="1"/>
      </w:r>
      <w:r>
        <w:rPr>
          <w:rFonts w:cs="Arial"/>
          <w:color w:val="222222"/>
          <w:shd w:val="clear" w:color="auto" w:fill="FFFFFF"/>
        </w:rPr>
        <w:instrText>ADDIN CSL_CITATION {"citationItems":[{"id":"ITEM-1","itemData":{"DOI":"10.1098/rspa.1965.0216","ISBN":"00804630","ISSN":"1364-5021","abstract":"The crystallographic characteristics of deformation twinning are derived by considering the atomic movements which occur at the moving interface as a twin propagates. This is facilitated by making use of the notation of the tensor calculus, and general expressions, valid for all crystal structures, are obtained giving the magnitude of the twinning shear and relating the twinning elements for both type I and type II twinning. The atomic shuffles, which in general must accompany the twinning shear in both single and multiple lattice structures, are examined in detail and expressions are derived for their magnitudes and directions for the cases of the four classical orientation relationships associated with deformation twinning. The use of these expressions in predicting operative twinning modes is described and the relations between this theory and other recent theories of the crystallography of deformation twinning are discussed.","author":[{"dropping-particle":"","family":"Bilby","given":"B. A.","non-dropping-particle":"","parse-names":false,"suffix":""},{"dropping-particle":"","family":"Crocker","given":"A. G.","non-dropping-particle":"","parse-names":false,"suffix":""}],"container-title":"Proceedings of the Royal Society A: Mathematical, Physical and Engineering Sciences","id":"ITEM-1","issued":{"date-parts":[["1965"]]},"title":"The Theory of the Crystallography of Deformation Twinning","type":"article-journal"},"uris":["http://www.mendeley.com/documents/?uuid=ca3bf999-34b5-458f-a1e3-c8bdfdffaa12"]}],"mendeley":{"formattedCitation":"[2]","plainTextFormattedCitation":"[2]","previouslyFormattedCitation":"[2]"},"properties":{"noteIndex":0},"schema":"https://github.com/citation-style-language/schema/raw/master/csl-citation.json"}</w:instrText>
      </w:r>
      <w:r>
        <w:rPr>
          <w:rFonts w:cs="Arial"/>
          <w:color w:val="222222"/>
          <w:shd w:val="clear" w:color="auto" w:fill="FFFFFF"/>
        </w:rPr>
        <w:fldChar w:fldCharType="separate"/>
      </w:r>
      <w:r w:rsidRPr="00C73EF3">
        <w:rPr>
          <w:rFonts w:cs="Arial"/>
          <w:noProof/>
          <w:color w:val="222222"/>
          <w:shd w:val="clear" w:color="auto" w:fill="FFFFFF"/>
        </w:rPr>
        <w:t>[2]</w:t>
      </w:r>
      <w:r>
        <w:rPr>
          <w:rFonts w:cs="Arial"/>
          <w:color w:val="222222"/>
          <w:shd w:val="clear" w:color="auto" w:fill="FFFFFF"/>
        </w:rPr>
        <w:fldChar w:fldCharType="end"/>
      </w:r>
      <w:r>
        <w:rPr>
          <w:rFonts w:cs="Arial"/>
          <w:color w:val="222222"/>
          <w:shd w:val="clear" w:color="auto" w:fill="FFFFFF"/>
        </w:rPr>
        <w:t>, where</w:t>
      </w:r>
      <w:r w:rsidRPr="00E40B2A">
        <w:rPr>
          <w:rFonts w:cs="Arial"/>
          <w:color w:val="222222"/>
          <w:shd w:val="clear" w:color="auto" w:fill="FFFFFF"/>
        </w:rPr>
        <w:t xml:space="preserve"> </w:t>
      </w:r>
      <m:oMath>
        <m:sSub>
          <m:sSubPr>
            <m:ctrlPr>
              <w:rPr>
                <w:rFonts w:ascii="Cambria Math" w:hAnsi="Cambria Math"/>
                <w:i/>
              </w:rPr>
            </m:ctrlPr>
          </m:sSubPr>
          <m:e>
            <m:r>
              <w:rPr>
                <w:rFonts w:ascii="Cambria Math" w:hAnsi="Cambria Math"/>
              </w:rPr>
              <m:t>K</m:t>
            </m:r>
          </m:e>
          <m:sub>
            <m:r>
              <w:rPr>
                <w:rFonts w:ascii="Cambria Math" w:hAnsi="Cambria Math"/>
              </w:rPr>
              <m:t>1</m:t>
            </m:r>
          </m:sub>
        </m:sSub>
      </m:oMath>
      <w:r w:rsidRPr="00E40B2A">
        <w:t xml:space="preserve"> (351) and </w:t>
      </w:r>
      <m:oMath>
        <m:sSub>
          <m:sSubPr>
            <m:ctrlPr>
              <w:rPr>
                <w:rFonts w:ascii="Cambria Math" w:hAnsi="Cambria Math"/>
                <w:i/>
              </w:rPr>
            </m:ctrlPr>
          </m:sSubPr>
          <m:e>
            <m:r>
              <w:rPr>
                <w:rFonts w:ascii="Cambria Math" w:hAnsi="Cambria Math"/>
              </w:rPr>
              <m:t>η</m:t>
            </m:r>
          </m:e>
          <m:sub>
            <m:r>
              <w:rPr>
                <w:rFonts w:ascii="Cambria Math" w:hAnsi="Cambria Math"/>
              </w:rPr>
              <m:t>1</m:t>
            </m:r>
          </m:sub>
        </m:sSub>
      </m:oMath>
      <w:r w:rsidRPr="00E40B2A">
        <w:t xml:space="preserve">(1-12), </w:t>
      </w:r>
      <m:oMath>
        <m:sSub>
          <m:sSubPr>
            <m:ctrlPr>
              <w:rPr>
                <w:rFonts w:ascii="Cambria Math" w:hAnsi="Cambria Math"/>
                <w:i/>
              </w:rPr>
            </m:ctrlPr>
          </m:sSubPr>
          <m:e>
            <m:r>
              <w:rPr>
                <w:rFonts w:ascii="Cambria Math" w:hAnsi="Cambria Math"/>
              </w:rPr>
              <m:t>K</m:t>
            </m:r>
          </m:e>
          <m:sub>
            <m:r>
              <w:rPr>
                <w:rFonts w:ascii="Cambria Math" w:hAnsi="Cambria Math"/>
              </w:rPr>
              <m:t>2</m:t>
            </m:r>
          </m:sub>
        </m:sSub>
      </m:oMath>
      <w:r w:rsidRPr="00E40B2A">
        <w:t xml:space="preserve">= (1-13)  </w:t>
      </w:r>
      <m:oMath>
        <m:sSub>
          <m:sSubPr>
            <m:ctrlPr>
              <w:rPr>
                <w:rFonts w:ascii="Cambria Math" w:hAnsi="Cambria Math"/>
                <w:i/>
              </w:rPr>
            </m:ctrlPr>
          </m:sSubPr>
          <m:e>
            <m:r>
              <w:rPr>
                <w:rFonts w:ascii="Cambria Math" w:hAnsi="Cambria Math"/>
              </w:rPr>
              <m:t>η</m:t>
            </m:r>
          </m:e>
          <m:sub>
            <m:r>
              <w:rPr>
                <w:rFonts w:ascii="Cambria Math" w:hAnsi="Cambria Math"/>
              </w:rPr>
              <m:t>2</m:t>
            </m:r>
          </m:sub>
        </m:sSub>
      </m:oMath>
      <w:r w:rsidRPr="00E40B2A">
        <w:t xml:space="preserve">(110) </w:t>
      </w:r>
      <w:r>
        <w:t>is</w:t>
      </w:r>
      <w:r w:rsidRPr="00E40B2A">
        <w:t xml:space="preserve"> shown in Fig.</w:t>
      </w:r>
      <w:r>
        <w:t xml:space="preserve"> 10-</w:t>
      </w:r>
      <w:r w:rsidRPr="00E40B2A">
        <w:t>3</w:t>
      </w:r>
      <w:r>
        <w:t>.</w:t>
      </w:r>
    </w:p>
    <w:p w14:paraId="3272F6F1" w14:textId="77777777" w:rsidR="00DD65C8" w:rsidRDefault="00DD65C8" w:rsidP="00DD65C8">
      <w:pPr>
        <w:spacing w:after="120" w:line="360" w:lineRule="auto"/>
        <w:jc w:val="center"/>
      </w:pPr>
      <w:bookmarkStart w:id="367" w:name="_Hlk7364521"/>
      <w:r>
        <w:rPr>
          <w:noProof/>
          <w:lang w:val="en-US" w:eastAsia="en-US"/>
        </w:rPr>
        <w:lastRenderedPageBreak/>
        <w:drawing>
          <wp:inline distT="0" distB="0" distL="0" distR="0" wp14:anchorId="266F3B16" wp14:editId="143A8121">
            <wp:extent cx="4059936" cy="2813996"/>
            <wp:effectExtent l="0" t="0" r="0" b="5715"/>
            <wp:docPr id="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059936" cy="2813996"/>
                    </a:xfrm>
                    <a:prstGeom prst="rect">
                      <a:avLst/>
                    </a:prstGeom>
                  </pic:spPr>
                </pic:pic>
              </a:graphicData>
            </a:graphic>
          </wp:inline>
        </w:drawing>
      </w:r>
    </w:p>
    <w:p w14:paraId="7F783CE2" w14:textId="64118380" w:rsidR="00DD65C8" w:rsidRDefault="00DD65C8" w:rsidP="00DD65C8">
      <w:pPr>
        <w:spacing w:after="120" w:line="360" w:lineRule="auto"/>
        <w:rPr>
          <w:sz w:val="20"/>
        </w:rPr>
      </w:pPr>
      <w:bookmarkStart w:id="368" w:name="_Toc7364625"/>
      <w:bookmarkStart w:id="369" w:name="_Toc39312739"/>
      <w:bookmarkEnd w:id="367"/>
      <w:r w:rsidRPr="00C73EF3">
        <w:rPr>
          <w:b/>
          <w:noProof/>
          <w:sz w:val="20"/>
        </w:rPr>
        <w:t>Figure 10-</w:t>
      </w:r>
      <w:r w:rsidRPr="00D77CA4">
        <w:rPr>
          <w:b/>
          <w:sz w:val="20"/>
        </w:rPr>
        <w:fldChar w:fldCharType="begin"/>
      </w:r>
      <w:r w:rsidRPr="00D77CA4">
        <w:rPr>
          <w:b/>
          <w:sz w:val="20"/>
        </w:rPr>
        <w:instrText xml:space="preserve"> SEQ Figure \* ARABIC </w:instrText>
      </w:r>
      <w:r w:rsidRPr="00D77CA4">
        <w:rPr>
          <w:b/>
          <w:sz w:val="20"/>
        </w:rPr>
        <w:fldChar w:fldCharType="separate"/>
      </w:r>
      <w:r w:rsidRPr="00D77CA4">
        <w:rPr>
          <w:b/>
          <w:noProof/>
          <w:sz w:val="20"/>
        </w:rPr>
        <w:t>3</w:t>
      </w:r>
      <w:r w:rsidRPr="00D77CA4">
        <w:rPr>
          <w:b/>
          <w:sz w:val="20"/>
        </w:rPr>
        <w:fldChar w:fldCharType="end"/>
      </w:r>
      <w:r w:rsidRPr="00C73EF3">
        <w:rPr>
          <w:b/>
          <w:noProof/>
          <w:sz w:val="20"/>
        </w:rPr>
        <w:t xml:space="preserve"> </w:t>
      </w:r>
      <w:r w:rsidRPr="00C73EF3">
        <w:rPr>
          <w:b/>
          <w:sz w:val="20"/>
        </w:rPr>
        <w:t>Schematic of the (351) martensite twin.</w:t>
      </w:r>
      <w:r w:rsidRPr="00C73EF3">
        <w:rPr>
          <w:sz w:val="20"/>
        </w:rPr>
        <w:t xml:space="preserve"> </w:t>
      </w:r>
      <w:r>
        <w:rPr>
          <w:sz w:val="20"/>
        </w:rPr>
        <w:t>The a</w:t>
      </w:r>
      <w:r w:rsidRPr="00C73EF3">
        <w:rPr>
          <w:sz w:val="20"/>
        </w:rPr>
        <w:t xml:space="preserve">tomic model of the twinned crystal structures. The solid circles indicate the atoms </w:t>
      </w:r>
      <w:r w:rsidR="00A25621">
        <w:rPr>
          <w:sz w:val="20"/>
        </w:rPr>
        <w:t>in the</w:t>
      </w:r>
      <w:r w:rsidR="00A25621" w:rsidRPr="00C73EF3">
        <w:rPr>
          <w:sz w:val="20"/>
        </w:rPr>
        <w:t xml:space="preserve"> </w:t>
      </w:r>
      <w:r w:rsidRPr="00C73EF3">
        <w:rPr>
          <w:sz w:val="20"/>
        </w:rPr>
        <w:t>plane of</w:t>
      </w:r>
      <w:r w:rsidR="00A25621">
        <w:rPr>
          <w:sz w:val="20"/>
        </w:rPr>
        <w:t xml:space="preserve"> the</w:t>
      </w:r>
      <w:r w:rsidRPr="00C73EF3">
        <w:rPr>
          <w:sz w:val="20"/>
        </w:rPr>
        <w:t xml:space="preserve"> figure, while the open circles</w:t>
      </w:r>
      <w:r>
        <w:rPr>
          <w:sz w:val="20"/>
        </w:rPr>
        <w:t xml:space="preserve"> show</w:t>
      </w:r>
      <w:r w:rsidRPr="00C73EF3">
        <w:rPr>
          <w:sz w:val="20"/>
        </w:rPr>
        <w:t xml:space="preserve"> the atoms below</w:t>
      </w:r>
      <w:r w:rsidR="00A25621">
        <w:rPr>
          <w:sz w:val="20"/>
        </w:rPr>
        <w:t xml:space="preserve"> the</w:t>
      </w:r>
      <w:r w:rsidRPr="00C73EF3">
        <w:rPr>
          <w:sz w:val="20"/>
        </w:rPr>
        <w:t xml:space="preserve"> plane of figure</w:t>
      </w:r>
      <w:bookmarkEnd w:id="368"/>
      <w:r>
        <w:rPr>
          <w:sz w:val="20"/>
        </w:rPr>
        <w:t>.</w:t>
      </w:r>
      <w:bookmarkEnd w:id="369"/>
    </w:p>
    <w:p w14:paraId="42C4B94A" w14:textId="77777777" w:rsidR="00DD65C8" w:rsidRDefault="00DD65C8" w:rsidP="00DD65C8">
      <w:pPr>
        <w:spacing w:after="120" w:line="360" w:lineRule="auto"/>
        <w:rPr>
          <w:sz w:val="20"/>
        </w:rPr>
      </w:pPr>
    </w:p>
    <w:p w14:paraId="10052A39" w14:textId="77777777" w:rsidR="00DD65C8" w:rsidRDefault="00DD65C8" w:rsidP="00DD65C8">
      <w:pPr>
        <w:spacing w:after="120" w:line="360" w:lineRule="auto"/>
        <w:rPr>
          <w:sz w:val="20"/>
        </w:rPr>
      </w:pPr>
    </w:p>
    <w:p w14:paraId="3131741F" w14:textId="77777777" w:rsidR="00DD65C8" w:rsidRPr="000333A4" w:rsidRDefault="00DD65C8" w:rsidP="00DD65C8">
      <w:pPr>
        <w:spacing w:after="120" w:line="360" w:lineRule="auto"/>
        <w:rPr>
          <w:sz w:val="20"/>
        </w:rPr>
      </w:pPr>
    </w:p>
    <w:p w14:paraId="51409191" w14:textId="77777777" w:rsidR="00DD65C8" w:rsidRPr="00B67DE4" w:rsidRDefault="00DD65C8" w:rsidP="00DD65C8">
      <w:pPr>
        <w:pStyle w:val="2"/>
        <w:spacing w:before="0" w:after="120" w:line="360" w:lineRule="auto"/>
        <w:rPr>
          <w:rFonts w:asciiTheme="minorHAnsi" w:hAnsiTheme="minorHAnsi"/>
          <w:b/>
          <w:noProof/>
          <w:color w:val="auto"/>
          <w:sz w:val="32"/>
          <w:szCs w:val="32"/>
        </w:rPr>
      </w:pPr>
      <w:bookmarkStart w:id="370" w:name="_Toc5959227"/>
      <w:bookmarkStart w:id="371" w:name="_Toc22052567"/>
      <w:r w:rsidRPr="00B67DE4">
        <w:rPr>
          <w:rFonts w:asciiTheme="minorHAnsi" w:hAnsiTheme="minorHAnsi"/>
          <w:b/>
          <w:noProof/>
          <w:color w:val="auto"/>
          <w:sz w:val="32"/>
          <w:szCs w:val="32"/>
        </w:rPr>
        <w:t>Reference</w:t>
      </w:r>
      <w:r>
        <w:rPr>
          <w:rFonts w:asciiTheme="minorHAnsi" w:hAnsiTheme="minorHAnsi"/>
          <w:b/>
          <w:noProof/>
          <w:color w:val="auto"/>
          <w:sz w:val="32"/>
          <w:szCs w:val="32"/>
        </w:rPr>
        <w:t>s</w:t>
      </w:r>
      <w:bookmarkEnd w:id="370"/>
      <w:bookmarkEnd w:id="371"/>
    </w:p>
    <w:p w14:paraId="351D4C61" w14:textId="77777777" w:rsidR="00DD65C8" w:rsidRPr="00C73EF3" w:rsidRDefault="00DD65C8" w:rsidP="00DD65C8">
      <w:pPr>
        <w:widowControl w:val="0"/>
        <w:autoSpaceDE w:val="0"/>
        <w:autoSpaceDN w:val="0"/>
        <w:adjustRightInd w:val="0"/>
        <w:spacing w:line="240" w:lineRule="auto"/>
        <w:ind w:left="640" w:hanging="640"/>
        <w:rPr>
          <w:rFonts w:ascii="Calibri" w:hAnsi="Calibri" w:cs="Times New Roman"/>
          <w:noProof/>
          <w:szCs w:val="24"/>
        </w:rPr>
      </w:pPr>
      <w:r>
        <w:fldChar w:fldCharType="begin" w:fldLock="1"/>
      </w:r>
      <w:r>
        <w:instrText xml:space="preserve">ADDIN Mendeley Bibliography CSL_BIBLIOGRAPHY </w:instrText>
      </w:r>
      <w:r>
        <w:fldChar w:fldCharType="separate"/>
      </w:r>
      <w:r w:rsidRPr="00C73EF3">
        <w:rPr>
          <w:rFonts w:ascii="Calibri" w:hAnsi="Calibri" w:cs="Times New Roman"/>
          <w:noProof/>
          <w:szCs w:val="24"/>
        </w:rPr>
        <w:t>[1]</w:t>
      </w:r>
      <w:r w:rsidRPr="00C73EF3">
        <w:rPr>
          <w:rFonts w:ascii="Calibri" w:hAnsi="Calibri" w:cs="Times New Roman"/>
          <w:noProof/>
          <w:szCs w:val="24"/>
        </w:rPr>
        <w:tab/>
        <w:t xml:space="preserve">L. Zuo, J. Muller, M. </w:t>
      </w:r>
      <w:r w:rsidRPr="00C73EF3">
        <w:rPr>
          <w:rFonts w:ascii="Calibri" w:hAnsi="Calibri" w:cs="Cambria Math"/>
          <w:noProof/>
          <w:szCs w:val="24"/>
        </w:rPr>
        <w:t>‐</w:t>
      </w:r>
      <w:r w:rsidRPr="00C73EF3">
        <w:rPr>
          <w:rFonts w:ascii="Calibri" w:hAnsi="Calibri" w:cs="Times New Roman"/>
          <w:noProof/>
          <w:szCs w:val="24"/>
        </w:rPr>
        <w:t>J Philippe, C. Esling, A refined algorithm for the reduced</w:t>
      </w:r>
      <w:r w:rsidRPr="00C73EF3">
        <w:rPr>
          <w:rFonts w:ascii="Calibri" w:hAnsi="Calibri" w:cs="Cambria Math"/>
          <w:noProof/>
          <w:szCs w:val="24"/>
        </w:rPr>
        <w:t>‐</w:t>
      </w:r>
      <w:r w:rsidRPr="00C73EF3">
        <w:rPr>
          <w:rFonts w:ascii="Calibri" w:hAnsi="Calibri" w:cs="Times New Roman"/>
          <w:noProof/>
          <w:szCs w:val="24"/>
        </w:rPr>
        <w:t>cell determination, Acta Crystallogr. Sect. A. (1995). doi:10.1107/S0108767395006672.</w:t>
      </w:r>
    </w:p>
    <w:p w14:paraId="400803DF" w14:textId="77777777" w:rsidR="00DD65C8" w:rsidRPr="00C73EF3" w:rsidRDefault="00DD65C8" w:rsidP="00DD65C8">
      <w:pPr>
        <w:widowControl w:val="0"/>
        <w:autoSpaceDE w:val="0"/>
        <w:autoSpaceDN w:val="0"/>
        <w:adjustRightInd w:val="0"/>
        <w:spacing w:line="240" w:lineRule="auto"/>
        <w:ind w:left="640" w:hanging="640"/>
        <w:rPr>
          <w:rFonts w:ascii="Calibri" w:hAnsi="Calibri"/>
          <w:noProof/>
        </w:rPr>
      </w:pPr>
      <w:r w:rsidRPr="00C73EF3">
        <w:rPr>
          <w:rFonts w:ascii="Calibri" w:hAnsi="Calibri" w:cs="Times New Roman"/>
          <w:noProof/>
          <w:szCs w:val="24"/>
        </w:rPr>
        <w:t>[2]</w:t>
      </w:r>
      <w:r w:rsidRPr="00C73EF3">
        <w:rPr>
          <w:rFonts w:ascii="Calibri" w:hAnsi="Calibri" w:cs="Times New Roman"/>
          <w:noProof/>
          <w:szCs w:val="24"/>
        </w:rPr>
        <w:tab/>
        <w:t>B.A. Bilby, A.G. Crocker, The Theory of the Crystallography of Deformation Twinning, Proc. R. Soc. A Math. Phys. Eng. Sci. (1965). doi:10.1098/rspa.1965.0216.</w:t>
      </w:r>
    </w:p>
    <w:p w14:paraId="3FBA0699" w14:textId="0E896BAA" w:rsidR="00DA36DD" w:rsidRDefault="00DD65C8" w:rsidP="00DD65C8">
      <w:r>
        <w:fldChar w:fldCharType="end"/>
      </w:r>
    </w:p>
    <w:p w14:paraId="5E9BE490" w14:textId="77777777" w:rsidR="00E40B2A" w:rsidRDefault="00E40B2A" w:rsidP="00E40B2A">
      <w:pPr>
        <w:spacing w:after="120" w:line="360" w:lineRule="auto"/>
      </w:pPr>
    </w:p>
    <w:sectPr w:rsidR="00E40B2A" w:rsidSect="00C04BA5">
      <w:headerReference w:type="default" r:id="rId85"/>
      <w:footerReference w:type="default" r:id="rId86"/>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B7A0C9" w14:textId="77777777" w:rsidR="00077961" w:rsidRDefault="00077961" w:rsidP="0011227A">
      <w:pPr>
        <w:spacing w:after="0" w:line="240" w:lineRule="auto"/>
      </w:pPr>
      <w:r>
        <w:separator/>
      </w:r>
    </w:p>
  </w:endnote>
  <w:endnote w:type="continuationSeparator" w:id="0">
    <w:p w14:paraId="17E96178" w14:textId="77777777" w:rsidR="00077961" w:rsidRDefault="00077961" w:rsidP="001122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Liberation Serif">
    <w:altName w:val="Times New Roman"/>
    <w:charset w:val="01"/>
    <w:family w:val="roman"/>
    <w:pitch w:val="variable"/>
  </w:font>
  <w:font w:name="Droid Sans Fallback">
    <w:altName w:val="Times New Roman"/>
    <w:panose1 w:val="00000000000000000000"/>
    <w:charset w:val="00"/>
    <w:family w:val="roman"/>
    <w:notTrueType/>
    <w:pitch w:val="default"/>
  </w:font>
  <w:font w:name="Microsoft YaHei UI">
    <w:altName w:val="Microsoft YaHei"/>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CIDFont+F9">
    <w:altName w:val="Yu Gothic"/>
    <w:panose1 w:val="00000000000000000000"/>
    <w:charset w:val="80"/>
    <w:family w:val="auto"/>
    <w:notTrueType/>
    <w:pitch w:val="default"/>
    <w:sig w:usb0="00000001" w:usb1="08070000" w:usb2="00000010" w:usb3="00000000" w:csb0="00020000" w:csb1="00000000"/>
  </w:font>
  <w:font w:name="GreekC">
    <w:panose1 w:val="00000400000000000000"/>
    <w:charset w:val="00"/>
    <w:family w:val="auto"/>
    <w:pitch w:val="variable"/>
    <w:sig w:usb0="20002A87" w:usb1="00000000" w:usb2="00000000"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397B70" w14:textId="77777777" w:rsidR="00BB7407" w:rsidRDefault="00BB7407">
    <w:pPr>
      <w:pStyle w:val="a5"/>
      <w:jc w:val="center"/>
    </w:pPr>
  </w:p>
  <w:p w14:paraId="39415D11" w14:textId="77777777" w:rsidR="00BB7407" w:rsidRDefault="00BB7407">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00127555"/>
      <w:docPartObj>
        <w:docPartGallery w:val="Page Numbers (Bottom of Page)"/>
        <w:docPartUnique/>
      </w:docPartObj>
    </w:sdtPr>
    <w:sdtEndPr/>
    <w:sdtContent>
      <w:p w14:paraId="3D2477E9" w14:textId="77777777" w:rsidR="00BB7407" w:rsidRDefault="00BB7407">
        <w:pPr>
          <w:pStyle w:val="a5"/>
          <w:jc w:val="center"/>
        </w:pPr>
        <w:r>
          <w:fldChar w:fldCharType="begin"/>
        </w:r>
        <w:r>
          <w:instrText>PAGE   \* MERGEFORMAT</w:instrText>
        </w:r>
        <w:r>
          <w:fldChar w:fldCharType="separate"/>
        </w:r>
        <w:r>
          <w:rPr>
            <w:lang w:val="zh-CN"/>
          </w:rPr>
          <w:t>2</w:t>
        </w:r>
        <w:r>
          <w:fldChar w:fldCharType="end"/>
        </w:r>
      </w:p>
    </w:sdtContent>
  </w:sdt>
  <w:p w14:paraId="3B18F299" w14:textId="77777777" w:rsidR="00BB7407" w:rsidRDefault="00BB7407">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39797707"/>
      <w:docPartObj>
        <w:docPartGallery w:val="Page Numbers (Bottom of Page)"/>
        <w:docPartUnique/>
      </w:docPartObj>
    </w:sdtPr>
    <w:sdtEndPr/>
    <w:sdtContent>
      <w:p w14:paraId="3D0F5106" w14:textId="77777777" w:rsidR="00BB7407" w:rsidRDefault="00BB7407">
        <w:pPr>
          <w:pStyle w:val="a5"/>
          <w:jc w:val="center"/>
        </w:pPr>
        <w:r>
          <w:fldChar w:fldCharType="begin"/>
        </w:r>
        <w:r>
          <w:instrText>PAGE   \* MERGEFORMAT</w:instrText>
        </w:r>
        <w:r>
          <w:fldChar w:fldCharType="separate"/>
        </w:r>
        <w:r w:rsidRPr="002F7D29">
          <w:rPr>
            <w:noProof/>
            <w:lang w:val="zh-CN"/>
          </w:rPr>
          <w:t>55</w:t>
        </w:r>
        <w:r>
          <w:fldChar w:fldCharType="end"/>
        </w:r>
      </w:p>
    </w:sdtContent>
  </w:sdt>
  <w:p w14:paraId="0FA422E8" w14:textId="77777777" w:rsidR="00BB7407" w:rsidRDefault="00BB7407">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09673376"/>
      <w:docPartObj>
        <w:docPartGallery w:val="Page Numbers (Bottom of Page)"/>
        <w:docPartUnique/>
      </w:docPartObj>
    </w:sdtPr>
    <w:sdtEndPr/>
    <w:sdtContent>
      <w:p w14:paraId="16042094" w14:textId="77777777" w:rsidR="00BB7407" w:rsidRDefault="00BB7407">
        <w:pPr>
          <w:pStyle w:val="a5"/>
          <w:jc w:val="center"/>
        </w:pPr>
        <w:r>
          <w:fldChar w:fldCharType="begin"/>
        </w:r>
        <w:r>
          <w:instrText>PAGE   \* MERGEFORMAT</w:instrText>
        </w:r>
        <w:r>
          <w:fldChar w:fldCharType="separate"/>
        </w:r>
        <w:r>
          <w:rPr>
            <w:lang w:val="zh-CN"/>
          </w:rPr>
          <w:t>2</w:t>
        </w:r>
        <w:r>
          <w:fldChar w:fldCharType="end"/>
        </w:r>
      </w:p>
    </w:sdtContent>
  </w:sdt>
  <w:p w14:paraId="37627C86" w14:textId="77777777" w:rsidR="00BB7407" w:rsidRDefault="00BB7407">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FADBFD2" w14:textId="77777777" w:rsidR="00077961" w:rsidRDefault="00077961" w:rsidP="0011227A">
      <w:pPr>
        <w:spacing w:after="0" w:line="240" w:lineRule="auto"/>
      </w:pPr>
      <w:r>
        <w:separator/>
      </w:r>
    </w:p>
  </w:footnote>
  <w:footnote w:type="continuationSeparator" w:id="0">
    <w:p w14:paraId="75D9783E" w14:textId="77777777" w:rsidR="00077961" w:rsidRDefault="00077961" w:rsidP="0011227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BFFE67" w14:textId="7798CF4D" w:rsidR="00BB7407" w:rsidRDefault="00BB7407" w:rsidP="005F6FF5">
    <w:pPr>
      <w:pStyle w:val="a3"/>
      <w:pBdr>
        <w:bottom w:val="single" w:sz="4" w:space="1" w:color="auto"/>
      </w:pBdr>
    </w:pPr>
    <w:r>
      <w:rPr>
        <w:b/>
      </w:rPr>
      <w:fldChar w:fldCharType="begin"/>
    </w:r>
    <w:r>
      <w:rPr>
        <w:b/>
      </w:rPr>
      <w:instrText xml:space="preserve"> STYLEREF  "</w:instrText>
    </w:r>
    <w:r>
      <w:rPr>
        <w:b/>
      </w:rPr>
      <w:instrText>标题</w:instrText>
    </w:r>
    <w:r>
      <w:rPr>
        <w:b/>
      </w:rPr>
      <w:instrText xml:space="preserve"> 1"  \* MERGEFORMAT </w:instrText>
    </w:r>
    <w:r>
      <w:rPr>
        <w:b/>
      </w:rPr>
      <w:fldChar w:fldCharType="separate"/>
    </w:r>
    <w:r w:rsidR="00401E54">
      <w:rPr>
        <w:b/>
        <w:noProof/>
      </w:rPr>
      <w:t>Acknowledgement</w:t>
    </w:r>
    <w:r>
      <w:rPr>
        <w:b/>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3CCB32" w14:textId="281718EA" w:rsidR="00BB7407" w:rsidRPr="00572BE8" w:rsidRDefault="00BB7407" w:rsidP="00B145BE">
    <w:pPr>
      <w:pStyle w:val="a3"/>
      <w:pBdr>
        <w:bottom w:val="single" w:sz="4" w:space="1" w:color="auto"/>
      </w:pBdr>
      <w:rPr>
        <w:bCs/>
      </w:rPr>
    </w:pPr>
    <w:r w:rsidRPr="00572BE8">
      <w:rPr>
        <w:bCs/>
      </w:rPr>
      <w:fldChar w:fldCharType="begin"/>
    </w:r>
    <w:r w:rsidRPr="00572BE8">
      <w:rPr>
        <w:bCs/>
      </w:rPr>
      <w:instrText xml:space="preserve"> STYLEREF  "</w:instrText>
    </w:r>
    <w:r w:rsidRPr="00572BE8">
      <w:rPr>
        <w:bCs/>
      </w:rPr>
      <w:instrText>标题</w:instrText>
    </w:r>
    <w:r w:rsidRPr="00572BE8">
      <w:rPr>
        <w:bCs/>
      </w:rPr>
      <w:instrText xml:space="preserve"> 1"  \* MERGEFORMAT </w:instrText>
    </w:r>
    <w:r w:rsidRPr="00572BE8">
      <w:rPr>
        <w:bCs/>
      </w:rPr>
      <w:fldChar w:fldCharType="separate"/>
    </w:r>
    <w:r>
      <w:rPr>
        <w:bCs/>
        <w:noProof/>
      </w:rPr>
      <w:t>List of Tables</w:t>
    </w:r>
    <w:r w:rsidRPr="00572BE8">
      <w:rPr>
        <w:bC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55B37A" w14:textId="2FB7CB79" w:rsidR="00BB7407" w:rsidRPr="00572BE8" w:rsidRDefault="00BB7407" w:rsidP="00B145BE">
    <w:pPr>
      <w:pStyle w:val="a3"/>
      <w:pBdr>
        <w:bottom w:val="single" w:sz="4" w:space="1" w:color="auto"/>
      </w:pBdr>
      <w:rPr>
        <w:bCs/>
      </w:rPr>
    </w:pPr>
    <w:r w:rsidRPr="00572BE8">
      <w:rPr>
        <w:bCs/>
      </w:rPr>
      <w:fldChar w:fldCharType="begin"/>
    </w:r>
    <w:r w:rsidRPr="00572BE8">
      <w:rPr>
        <w:bCs/>
      </w:rPr>
      <w:instrText xml:space="preserve"> STYLEREF  "</w:instrText>
    </w:r>
    <w:r w:rsidRPr="00572BE8">
      <w:rPr>
        <w:bCs/>
      </w:rPr>
      <w:instrText>标题</w:instrText>
    </w:r>
    <w:r w:rsidRPr="00572BE8">
      <w:rPr>
        <w:bCs/>
      </w:rPr>
      <w:instrText xml:space="preserve"> 1"  \* MERGEFORMAT </w:instrText>
    </w:r>
    <w:r w:rsidRPr="00572BE8">
      <w:rPr>
        <w:bCs/>
      </w:rPr>
      <w:fldChar w:fldCharType="separate"/>
    </w:r>
    <w:r w:rsidR="00401E54">
      <w:rPr>
        <w:bCs/>
        <w:noProof/>
      </w:rPr>
      <w:t>Chapter 1 Introduction</w:t>
    </w:r>
    <w:r w:rsidRPr="00572BE8">
      <w:rPr>
        <w:bC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766B16"/>
    <w:multiLevelType w:val="hybridMultilevel"/>
    <w:tmpl w:val="E228DC92"/>
    <w:lvl w:ilvl="0" w:tplc="FD7C1B3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7DF2E55"/>
    <w:multiLevelType w:val="hybridMultilevel"/>
    <w:tmpl w:val="4E74386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A92452F"/>
    <w:multiLevelType w:val="hybridMultilevel"/>
    <w:tmpl w:val="DB6AF5EE"/>
    <w:lvl w:ilvl="0" w:tplc="42DEAA20">
      <w:start w:val="1"/>
      <w:numFmt w:val="decimal"/>
      <w:lvlText w:val="%1"/>
      <w:lvlJc w:val="left"/>
      <w:pPr>
        <w:ind w:left="1690" w:firstLine="0"/>
      </w:pPr>
      <w:rPr>
        <w:rFonts w:ascii="Cambria Math" w:eastAsia="Cambria Math" w:hAnsi="Cambria Math" w:cs="Cambria Math"/>
        <w:b w:val="0"/>
        <w:i w:val="0"/>
        <w:strike w:val="0"/>
        <w:dstrike w:val="0"/>
        <w:color w:val="000000"/>
        <w:sz w:val="22"/>
        <w:szCs w:val="22"/>
        <w:u w:val="none" w:color="000000"/>
        <w:effect w:val="none"/>
        <w:bdr w:val="none" w:sz="0" w:space="0" w:color="auto" w:frame="1"/>
        <w:vertAlign w:val="baseline"/>
      </w:rPr>
    </w:lvl>
    <w:lvl w:ilvl="1" w:tplc="4198D642">
      <w:start w:val="1"/>
      <w:numFmt w:val="lowerLetter"/>
      <w:lvlText w:val="%2"/>
      <w:lvlJc w:val="left"/>
      <w:pPr>
        <w:ind w:left="3298" w:firstLine="0"/>
      </w:pPr>
      <w:rPr>
        <w:rFonts w:ascii="Cambria Math" w:eastAsia="Cambria Math" w:hAnsi="Cambria Math" w:cs="Cambria Math"/>
        <w:b w:val="0"/>
        <w:i w:val="0"/>
        <w:strike w:val="0"/>
        <w:dstrike w:val="0"/>
        <w:color w:val="000000"/>
        <w:sz w:val="22"/>
        <w:szCs w:val="22"/>
        <w:u w:val="none" w:color="000000"/>
        <w:effect w:val="none"/>
        <w:bdr w:val="none" w:sz="0" w:space="0" w:color="auto" w:frame="1"/>
        <w:vertAlign w:val="baseline"/>
      </w:rPr>
    </w:lvl>
    <w:lvl w:ilvl="2" w:tplc="41DC2306">
      <w:start w:val="1"/>
      <w:numFmt w:val="lowerRoman"/>
      <w:lvlText w:val="%3"/>
      <w:lvlJc w:val="left"/>
      <w:pPr>
        <w:ind w:left="4018" w:firstLine="0"/>
      </w:pPr>
      <w:rPr>
        <w:rFonts w:ascii="Cambria Math" w:eastAsia="Cambria Math" w:hAnsi="Cambria Math" w:cs="Cambria Math"/>
        <w:b w:val="0"/>
        <w:i w:val="0"/>
        <w:strike w:val="0"/>
        <w:dstrike w:val="0"/>
        <w:color w:val="000000"/>
        <w:sz w:val="22"/>
        <w:szCs w:val="22"/>
        <w:u w:val="none" w:color="000000"/>
        <w:effect w:val="none"/>
        <w:bdr w:val="none" w:sz="0" w:space="0" w:color="auto" w:frame="1"/>
        <w:vertAlign w:val="baseline"/>
      </w:rPr>
    </w:lvl>
    <w:lvl w:ilvl="3" w:tplc="226CF6AA">
      <w:start w:val="1"/>
      <w:numFmt w:val="decimal"/>
      <w:lvlText w:val="%4"/>
      <w:lvlJc w:val="left"/>
      <w:pPr>
        <w:ind w:left="4738" w:firstLine="0"/>
      </w:pPr>
      <w:rPr>
        <w:rFonts w:ascii="Cambria Math" w:eastAsia="Cambria Math" w:hAnsi="Cambria Math" w:cs="Cambria Math"/>
        <w:b w:val="0"/>
        <w:i w:val="0"/>
        <w:strike w:val="0"/>
        <w:dstrike w:val="0"/>
        <w:color w:val="000000"/>
        <w:sz w:val="22"/>
        <w:szCs w:val="22"/>
        <w:u w:val="none" w:color="000000"/>
        <w:effect w:val="none"/>
        <w:bdr w:val="none" w:sz="0" w:space="0" w:color="auto" w:frame="1"/>
        <w:vertAlign w:val="baseline"/>
      </w:rPr>
    </w:lvl>
    <w:lvl w:ilvl="4" w:tplc="66E4D758">
      <w:start w:val="1"/>
      <w:numFmt w:val="lowerLetter"/>
      <w:lvlText w:val="%5"/>
      <w:lvlJc w:val="left"/>
      <w:pPr>
        <w:ind w:left="5458" w:firstLine="0"/>
      </w:pPr>
      <w:rPr>
        <w:rFonts w:ascii="Cambria Math" w:eastAsia="Cambria Math" w:hAnsi="Cambria Math" w:cs="Cambria Math"/>
        <w:b w:val="0"/>
        <w:i w:val="0"/>
        <w:strike w:val="0"/>
        <w:dstrike w:val="0"/>
        <w:color w:val="000000"/>
        <w:sz w:val="22"/>
        <w:szCs w:val="22"/>
        <w:u w:val="none" w:color="000000"/>
        <w:effect w:val="none"/>
        <w:bdr w:val="none" w:sz="0" w:space="0" w:color="auto" w:frame="1"/>
        <w:vertAlign w:val="baseline"/>
      </w:rPr>
    </w:lvl>
    <w:lvl w:ilvl="5" w:tplc="03345224">
      <w:start w:val="1"/>
      <w:numFmt w:val="lowerRoman"/>
      <w:lvlText w:val="%6"/>
      <w:lvlJc w:val="left"/>
      <w:pPr>
        <w:ind w:left="6178" w:firstLine="0"/>
      </w:pPr>
      <w:rPr>
        <w:rFonts w:ascii="Cambria Math" w:eastAsia="Cambria Math" w:hAnsi="Cambria Math" w:cs="Cambria Math"/>
        <w:b w:val="0"/>
        <w:i w:val="0"/>
        <w:strike w:val="0"/>
        <w:dstrike w:val="0"/>
        <w:color w:val="000000"/>
        <w:sz w:val="22"/>
        <w:szCs w:val="22"/>
        <w:u w:val="none" w:color="000000"/>
        <w:effect w:val="none"/>
        <w:bdr w:val="none" w:sz="0" w:space="0" w:color="auto" w:frame="1"/>
        <w:vertAlign w:val="baseline"/>
      </w:rPr>
    </w:lvl>
    <w:lvl w:ilvl="6" w:tplc="B3EA884C">
      <w:start w:val="1"/>
      <w:numFmt w:val="decimal"/>
      <w:lvlText w:val="%7"/>
      <w:lvlJc w:val="left"/>
      <w:pPr>
        <w:ind w:left="6898" w:firstLine="0"/>
      </w:pPr>
      <w:rPr>
        <w:rFonts w:ascii="Cambria Math" w:eastAsia="Cambria Math" w:hAnsi="Cambria Math" w:cs="Cambria Math"/>
        <w:b w:val="0"/>
        <w:i w:val="0"/>
        <w:strike w:val="0"/>
        <w:dstrike w:val="0"/>
        <w:color w:val="000000"/>
        <w:sz w:val="22"/>
        <w:szCs w:val="22"/>
        <w:u w:val="none" w:color="000000"/>
        <w:effect w:val="none"/>
        <w:bdr w:val="none" w:sz="0" w:space="0" w:color="auto" w:frame="1"/>
        <w:vertAlign w:val="baseline"/>
      </w:rPr>
    </w:lvl>
    <w:lvl w:ilvl="7" w:tplc="463828C2">
      <w:start w:val="1"/>
      <w:numFmt w:val="lowerLetter"/>
      <w:lvlText w:val="%8"/>
      <w:lvlJc w:val="left"/>
      <w:pPr>
        <w:ind w:left="7618" w:firstLine="0"/>
      </w:pPr>
      <w:rPr>
        <w:rFonts w:ascii="Cambria Math" w:eastAsia="Cambria Math" w:hAnsi="Cambria Math" w:cs="Cambria Math"/>
        <w:b w:val="0"/>
        <w:i w:val="0"/>
        <w:strike w:val="0"/>
        <w:dstrike w:val="0"/>
        <w:color w:val="000000"/>
        <w:sz w:val="22"/>
        <w:szCs w:val="22"/>
        <w:u w:val="none" w:color="000000"/>
        <w:effect w:val="none"/>
        <w:bdr w:val="none" w:sz="0" w:space="0" w:color="auto" w:frame="1"/>
        <w:vertAlign w:val="baseline"/>
      </w:rPr>
    </w:lvl>
    <w:lvl w:ilvl="8" w:tplc="1DE8B5C0">
      <w:start w:val="1"/>
      <w:numFmt w:val="lowerRoman"/>
      <w:lvlText w:val="%9"/>
      <w:lvlJc w:val="left"/>
      <w:pPr>
        <w:ind w:left="8338" w:firstLine="0"/>
      </w:pPr>
      <w:rPr>
        <w:rFonts w:ascii="Cambria Math" w:eastAsia="Cambria Math" w:hAnsi="Cambria Math" w:cs="Cambria Math"/>
        <w:b w:val="0"/>
        <w:i w:val="0"/>
        <w:strike w:val="0"/>
        <w:dstrike w:val="0"/>
        <w:color w:val="000000"/>
        <w:sz w:val="22"/>
        <w:szCs w:val="22"/>
        <w:u w:val="none" w:color="000000"/>
        <w:effect w:val="none"/>
        <w:bdr w:val="none" w:sz="0" w:space="0" w:color="auto" w:frame="1"/>
        <w:vertAlign w:val="baseline"/>
      </w:rPr>
    </w:lvl>
  </w:abstractNum>
  <w:abstractNum w:abstractNumId="3" w15:restartNumberingAfterBreak="0">
    <w:nsid w:val="13FE18F6"/>
    <w:multiLevelType w:val="hybridMultilevel"/>
    <w:tmpl w:val="A45E538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15AC2F13"/>
    <w:multiLevelType w:val="hybridMultilevel"/>
    <w:tmpl w:val="385207BE"/>
    <w:lvl w:ilvl="0" w:tplc="BEB6C884">
      <w:start w:val="1"/>
      <w:numFmt w:val="upperRoman"/>
      <w:lvlText w:val="%1."/>
      <w:lvlJc w:val="left"/>
      <w:pPr>
        <w:ind w:left="862" w:hanging="72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BB80C63"/>
    <w:multiLevelType w:val="hybridMultilevel"/>
    <w:tmpl w:val="30E087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3EF35E1"/>
    <w:multiLevelType w:val="hybridMultilevel"/>
    <w:tmpl w:val="9C3AC6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A4E2FC8"/>
    <w:multiLevelType w:val="multilevel"/>
    <w:tmpl w:val="A1DCEA44"/>
    <w:lvl w:ilvl="0">
      <w:start w:val="1"/>
      <w:numFmt w:val="bullet"/>
      <w:lvlText w:val="•"/>
      <w:lvlJc w:val="left"/>
      <w:pPr>
        <w:tabs>
          <w:tab w:val="num" w:pos="720"/>
        </w:tabs>
        <w:ind w:left="720" w:hanging="360"/>
      </w:pPr>
      <w:rPr>
        <w:rFonts w:ascii="Arial" w:hAnsi="Arial" w:cs="Arial" w:hint="default"/>
      </w:rPr>
    </w:lvl>
    <w:lvl w:ilvl="1">
      <w:start w:val="1"/>
      <w:numFmt w:val="bullet"/>
      <w:lvlText w:val="•"/>
      <w:lvlJc w:val="left"/>
      <w:pPr>
        <w:tabs>
          <w:tab w:val="num" w:pos="1440"/>
        </w:tabs>
        <w:ind w:left="1440" w:hanging="360"/>
      </w:pPr>
      <w:rPr>
        <w:rFonts w:ascii="Arial" w:hAnsi="Arial" w:cs="Arial"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8" w15:restartNumberingAfterBreak="0">
    <w:nsid w:val="2C5271E8"/>
    <w:multiLevelType w:val="hybridMultilevel"/>
    <w:tmpl w:val="37E4A68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39D43E52"/>
    <w:multiLevelType w:val="hybridMultilevel"/>
    <w:tmpl w:val="0722140C"/>
    <w:lvl w:ilvl="0" w:tplc="89261822">
      <w:start w:val="1"/>
      <w:numFmt w:val="decimal"/>
      <w:lvlText w:val="%1"/>
      <w:lvlJc w:val="left"/>
      <w:pPr>
        <w:ind w:left="360" w:firstLine="0"/>
      </w:pPr>
      <w:rPr>
        <w:rFonts w:ascii="Cambria Math" w:eastAsia="Cambria Math" w:hAnsi="Cambria Math" w:cs="Cambria Math"/>
        <w:b w:val="0"/>
        <w:i w:val="0"/>
        <w:strike w:val="0"/>
        <w:dstrike w:val="0"/>
        <w:color w:val="000000"/>
        <w:sz w:val="22"/>
        <w:szCs w:val="22"/>
        <w:u w:val="none" w:color="000000"/>
        <w:effect w:val="none"/>
        <w:bdr w:val="none" w:sz="0" w:space="0" w:color="auto" w:frame="1"/>
        <w:vertAlign w:val="baseline"/>
      </w:rPr>
    </w:lvl>
    <w:lvl w:ilvl="1" w:tplc="519C3498">
      <w:numFmt w:val="decimal"/>
      <w:lvlRestart w:val="0"/>
      <w:lvlText w:val="%2"/>
      <w:lvlJc w:val="left"/>
      <w:pPr>
        <w:ind w:left="3459" w:firstLine="0"/>
      </w:pPr>
      <w:rPr>
        <w:rFonts w:ascii="Cambria Math" w:eastAsia="Cambria Math" w:hAnsi="Cambria Math" w:cs="Cambria Math"/>
        <w:b w:val="0"/>
        <w:i w:val="0"/>
        <w:strike w:val="0"/>
        <w:dstrike w:val="0"/>
        <w:color w:val="000000"/>
        <w:sz w:val="22"/>
        <w:szCs w:val="22"/>
        <w:u w:val="none" w:color="000000"/>
        <w:effect w:val="none"/>
        <w:bdr w:val="none" w:sz="0" w:space="0" w:color="auto" w:frame="1"/>
        <w:vertAlign w:val="baseline"/>
      </w:rPr>
    </w:lvl>
    <w:lvl w:ilvl="2" w:tplc="32FEAC46">
      <w:start w:val="1"/>
      <w:numFmt w:val="lowerRoman"/>
      <w:lvlText w:val="%3"/>
      <w:lvlJc w:val="left"/>
      <w:pPr>
        <w:ind w:left="5916" w:firstLine="0"/>
      </w:pPr>
      <w:rPr>
        <w:rFonts w:ascii="Cambria Math" w:eastAsia="Cambria Math" w:hAnsi="Cambria Math" w:cs="Cambria Math"/>
        <w:b w:val="0"/>
        <w:i w:val="0"/>
        <w:strike w:val="0"/>
        <w:dstrike w:val="0"/>
        <w:color w:val="000000"/>
        <w:sz w:val="22"/>
        <w:szCs w:val="22"/>
        <w:u w:val="none" w:color="000000"/>
        <w:effect w:val="none"/>
        <w:bdr w:val="none" w:sz="0" w:space="0" w:color="auto" w:frame="1"/>
        <w:vertAlign w:val="baseline"/>
      </w:rPr>
    </w:lvl>
    <w:lvl w:ilvl="3" w:tplc="82CA04CC">
      <w:start w:val="1"/>
      <w:numFmt w:val="decimal"/>
      <w:lvlText w:val="%4"/>
      <w:lvlJc w:val="left"/>
      <w:pPr>
        <w:ind w:left="6636" w:firstLine="0"/>
      </w:pPr>
      <w:rPr>
        <w:rFonts w:ascii="Cambria Math" w:eastAsia="Cambria Math" w:hAnsi="Cambria Math" w:cs="Cambria Math"/>
        <w:b w:val="0"/>
        <w:i w:val="0"/>
        <w:strike w:val="0"/>
        <w:dstrike w:val="0"/>
        <w:color w:val="000000"/>
        <w:sz w:val="22"/>
        <w:szCs w:val="22"/>
        <w:u w:val="none" w:color="000000"/>
        <w:effect w:val="none"/>
        <w:bdr w:val="none" w:sz="0" w:space="0" w:color="auto" w:frame="1"/>
        <w:vertAlign w:val="baseline"/>
      </w:rPr>
    </w:lvl>
    <w:lvl w:ilvl="4" w:tplc="3DDECBB8">
      <w:start w:val="1"/>
      <w:numFmt w:val="lowerLetter"/>
      <w:lvlText w:val="%5"/>
      <w:lvlJc w:val="left"/>
      <w:pPr>
        <w:ind w:left="7356" w:firstLine="0"/>
      </w:pPr>
      <w:rPr>
        <w:rFonts w:ascii="Cambria Math" w:eastAsia="Cambria Math" w:hAnsi="Cambria Math" w:cs="Cambria Math"/>
        <w:b w:val="0"/>
        <w:i w:val="0"/>
        <w:strike w:val="0"/>
        <w:dstrike w:val="0"/>
        <w:color w:val="000000"/>
        <w:sz w:val="22"/>
        <w:szCs w:val="22"/>
        <w:u w:val="none" w:color="000000"/>
        <w:effect w:val="none"/>
        <w:bdr w:val="none" w:sz="0" w:space="0" w:color="auto" w:frame="1"/>
        <w:vertAlign w:val="baseline"/>
      </w:rPr>
    </w:lvl>
    <w:lvl w:ilvl="5" w:tplc="08A62D9E">
      <w:start w:val="1"/>
      <w:numFmt w:val="lowerRoman"/>
      <w:lvlText w:val="%6"/>
      <w:lvlJc w:val="left"/>
      <w:pPr>
        <w:ind w:left="8076" w:firstLine="0"/>
      </w:pPr>
      <w:rPr>
        <w:rFonts w:ascii="Cambria Math" w:eastAsia="Cambria Math" w:hAnsi="Cambria Math" w:cs="Cambria Math"/>
        <w:b w:val="0"/>
        <w:i w:val="0"/>
        <w:strike w:val="0"/>
        <w:dstrike w:val="0"/>
        <w:color w:val="000000"/>
        <w:sz w:val="22"/>
        <w:szCs w:val="22"/>
        <w:u w:val="none" w:color="000000"/>
        <w:effect w:val="none"/>
        <w:bdr w:val="none" w:sz="0" w:space="0" w:color="auto" w:frame="1"/>
        <w:vertAlign w:val="baseline"/>
      </w:rPr>
    </w:lvl>
    <w:lvl w:ilvl="6" w:tplc="765643D6">
      <w:start w:val="1"/>
      <w:numFmt w:val="decimal"/>
      <w:lvlText w:val="%7"/>
      <w:lvlJc w:val="left"/>
      <w:pPr>
        <w:ind w:left="8796" w:firstLine="0"/>
      </w:pPr>
      <w:rPr>
        <w:rFonts w:ascii="Cambria Math" w:eastAsia="Cambria Math" w:hAnsi="Cambria Math" w:cs="Cambria Math"/>
        <w:b w:val="0"/>
        <w:i w:val="0"/>
        <w:strike w:val="0"/>
        <w:dstrike w:val="0"/>
        <w:color w:val="000000"/>
        <w:sz w:val="22"/>
        <w:szCs w:val="22"/>
        <w:u w:val="none" w:color="000000"/>
        <w:effect w:val="none"/>
        <w:bdr w:val="none" w:sz="0" w:space="0" w:color="auto" w:frame="1"/>
        <w:vertAlign w:val="baseline"/>
      </w:rPr>
    </w:lvl>
    <w:lvl w:ilvl="7" w:tplc="B9989EF0">
      <w:start w:val="1"/>
      <w:numFmt w:val="lowerLetter"/>
      <w:lvlText w:val="%8"/>
      <w:lvlJc w:val="left"/>
      <w:pPr>
        <w:ind w:left="9516" w:firstLine="0"/>
      </w:pPr>
      <w:rPr>
        <w:rFonts w:ascii="Cambria Math" w:eastAsia="Cambria Math" w:hAnsi="Cambria Math" w:cs="Cambria Math"/>
        <w:b w:val="0"/>
        <w:i w:val="0"/>
        <w:strike w:val="0"/>
        <w:dstrike w:val="0"/>
        <w:color w:val="000000"/>
        <w:sz w:val="22"/>
        <w:szCs w:val="22"/>
        <w:u w:val="none" w:color="000000"/>
        <w:effect w:val="none"/>
        <w:bdr w:val="none" w:sz="0" w:space="0" w:color="auto" w:frame="1"/>
        <w:vertAlign w:val="baseline"/>
      </w:rPr>
    </w:lvl>
    <w:lvl w:ilvl="8" w:tplc="E88CF066">
      <w:start w:val="1"/>
      <w:numFmt w:val="lowerRoman"/>
      <w:lvlText w:val="%9"/>
      <w:lvlJc w:val="left"/>
      <w:pPr>
        <w:ind w:left="10236" w:firstLine="0"/>
      </w:pPr>
      <w:rPr>
        <w:rFonts w:ascii="Cambria Math" w:eastAsia="Cambria Math" w:hAnsi="Cambria Math" w:cs="Cambria Math"/>
        <w:b w:val="0"/>
        <w:i w:val="0"/>
        <w:strike w:val="0"/>
        <w:dstrike w:val="0"/>
        <w:color w:val="000000"/>
        <w:sz w:val="22"/>
        <w:szCs w:val="22"/>
        <w:u w:val="none" w:color="000000"/>
        <w:effect w:val="none"/>
        <w:bdr w:val="none" w:sz="0" w:space="0" w:color="auto" w:frame="1"/>
        <w:vertAlign w:val="baseline"/>
      </w:rPr>
    </w:lvl>
  </w:abstractNum>
  <w:abstractNum w:abstractNumId="10" w15:restartNumberingAfterBreak="0">
    <w:nsid w:val="3CFF4342"/>
    <w:multiLevelType w:val="hybridMultilevel"/>
    <w:tmpl w:val="164E1C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EB56035"/>
    <w:multiLevelType w:val="hybridMultilevel"/>
    <w:tmpl w:val="2D243BE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A393DDB"/>
    <w:multiLevelType w:val="multilevel"/>
    <w:tmpl w:val="481A768C"/>
    <w:lvl w:ilvl="0">
      <w:start w:val="1"/>
      <w:numFmt w:val="upperRoman"/>
      <w:lvlText w:val="%1."/>
      <w:lvlJc w:val="left"/>
      <w:pPr>
        <w:ind w:left="720" w:hanging="720"/>
      </w:pPr>
      <w:rPr>
        <w:rFonts w:hint="default"/>
      </w:rPr>
    </w:lvl>
    <w:lvl w:ilvl="1">
      <w:start w:val="3"/>
      <w:numFmt w:val="decimal"/>
      <w:isLgl/>
      <w:lvlText w:val="%1.%2"/>
      <w:lvlJc w:val="left"/>
      <w:pPr>
        <w:ind w:left="972" w:hanging="972"/>
      </w:pPr>
      <w:rPr>
        <w:rFonts w:hint="default"/>
      </w:rPr>
    </w:lvl>
    <w:lvl w:ilvl="2">
      <w:start w:val="3"/>
      <w:numFmt w:val="decimal"/>
      <w:isLgl/>
      <w:lvlText w:val="%1.%2.%3"/>
      <w:lvlJc w:val="left"/>
      <w:pPr>
        <w:ind w:left="972" w:hanging="972"/>
      </w:pPr>
      <w:rPr>
        <w:rFonts w:hint="default"/>
      </w:rPr>
    </w:lvl>
    <w:lvl w:ilvl="3">
      <w:start w:val="2"/>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13" w15:restartNumberingAfterBreak="0">
    <w:nsid w:val="4A7476DA"/>
    <w:multiLevelType w:val="hybridMultilevel"/>
    <w:tmpl w:val="D24A09C6"/>
    <w:lvl w:ilvl="0" w:tplc="BEB6C884">
      <w:start w:val="1"/>
      <w:numFmt w:val="upperRoman"/>
      <w:lvlText w:val="%1."/>
      <w:lvlJc w:val="left"/>
      <w:pPr>
        <w:ind w:left="862" w:hanging="72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E2E03BF"/>
    <w:multiLevelType w:val="hybridMultilevel"/>
    <w:tmpl w:val="DFA09A68"/>
    <w:lvl w:ilvl="0" w:tplc="BEB6C884">
      <w:start w:val="1"/>
      <w:numFmt w:val="upperRoman"/>
      <w:lvlText w:val="%1."/>
      <w:lvlJc w:val="left"/>
      <w:pPr>
        <w:ind w:left="862" w:hanging="72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FC32FEA"/>
    <w:multiLevelType w:val="hybridMultilevel"/>
    <w:tmpl w:val="7974C2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416281E"/>
    <w:multiLevelType w:val="hybridMultilevel"/>
    <w:tmpl w:val="8842B30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57093BE9"/>
    <w:multiLevelType w:val="hybridMultilevel"/>
    <w:tmpl w:val="362C9B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5C422320"/>
    <w:multiLevelType w:val="hybridMultilevel"/>
    <w:tmpl w:val="214821BA"/>
    <w:lvl w:ilvl="0" w:tplc="4DD07DF6">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C894D64"/>
    <w:multiLevelType w:val="hybridMultilevel"/>
    <w:tmpl w:val="214821BA"/>
    <w:lvl w:ilvl="0" w:tplc="4DD07DF6">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DDF7B7C"/>
    <w:multiLevelType w:val="hybridMultilevel"/>
    <w:tmpl w:val="362C9B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72295010"/>
    <w:multiLevelType w:val="hybridMultilevel"/>
    <w:tmpl w:val="81947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2B739B9"/>
    <w:multiLevelType w:val="hybridMultilevel"/>
    <w:tmpl w:val="3BCC92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6D05428"/>
    <w:multiLevelType w:val="hybridMultilevel"/>
    <w:tmpl w:val="8F0E730C"/>
    <w:lvl w:ilvl="0" w:tplc="4DD07DF6">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9EB102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7C174027"/>
    <w:multiLevelType w:val="hybridMultilevel"/>
    <w:tmpl w:val="CEF648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7EBC49B8"/>
    <w:multiLevelType w:val="hybridMultilevel"/>
    <w:tmpl w:val="04E6442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6"/>
  </w:num>
  <w:num w:numId="2">
    <w:abstractNumId w:val="12"/>
  </w:num>
  <w:num w:numId="3">
    <w:abstractNumId w:val="7"/>
  </w:num>
  <w:num w:numId="4">
    <w:abstractNumId w:val="3"/>
  </w:num>
  <w:num w:numId="5">
    <w:abstractNumId w:val="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num>
  <w:num w:numId="8">
    <w:abstractNumId w:val="15"/>
  </w:num>
  <w:num w:numId="9">
    <w:abstractNumId w:val="22"/>
  </w:num>
  <w:num w:numId="10">
    <w:abstractNumId w:val="26"/>
  </w:num>
  <w:num w:numId="11">
    <w:abstractNumId w:val="5"/>
  </w:num>
  <w:num w:numId="12">
    <w:abstractNumId w:val="18"/>
  </w:num>
  <w:num w:numId="13">
    <w:abstractNumId w:val="19"/>
  </w:num>
  <w:num w:numId="14">
    <w:abstractNumId w:val="23"/>
  </w:num>
  <w:num w:numId="15">
    <w:abstractNumId w:val="4"/>
  </w:num>
  <w:num w:numId="16">
    <w:abstractNumId w:val="10"/>
  </w:num>
  <w:num w:numId="17">
    <w:abstractNumId w:val="8"/>
  </w:num>
  <w:num w:numId="18">
    <w:abstractNumId w:val="0"/>
  </w:num>
  <w:num w:numId="19">
    <w:abstractNumId w:val="13"/>
  </w:num>
  <w:num w:numId="20">
    <w:abstractNumId w:val="14"/>
  </w:num>
  <w:num w:numId="21">
    <w:abstractNumId w:val="16"/>
  </w:num>
  <w:num w:numId="22">
    <w:abstractNumId w:val="20"/>
  </w:num>
  <w:num w:numId="23">
    <w:abstractNumId w:val="21"/>
  </w:num>
  <w:num w:numId="24">
    <w:abstractNumId w:val="25"/>
  </w:num>
  <w:num w:numId="25">
    <w:abstractNumId w:val="1"/>
  </w:num>
  <w:num w:numId="26">
    <w:abstractNumId w:val="24"/>
  </w:num>
  <w:num w:numId="2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tDQxMTcxNTQ2sjA0NbBU0lEKTi0uzszPAykwMqgFAKCdb9ctAAAA"/>
  </w:docVars>
  <w:rsids>
    <w:rsidRoot w:val="00B4459B"/>
    <w:rsid w:val="0000043C"/>
    <w:rsid w:val="00001498"/>
    <w:rsid w:val="00002F6A"/>
    <w:rsid w:val="00003855"/>
    <w:rsid w:val="000148AE"/>
    <w:rsid w:val="0001676C"/>
    <w:rsid w:val="00032795"/>
    <w:rsid w:val="000442F5"/>
    <w:rsid w:val="00051D00"/>
    <w:rsid w:val="00066033"/>
    <w:rsid w:val="000673A6"/>
    <w:rsid w:val="00077961"/>
    <w:rsid w:val="00081AED"/>
    <w:rsid w:val="000968A9"/>
    <w:rsid w:val="000A2EC6"/>
    <w:rsid w:val="000A5412"/>
    <w:rsid w:val="000A554A"/>
    <w:rsid w:val="000B2FC4"/>
    <w:rsid w:val="000B5C25"/>
    <w:rsid w:val="000B5E98"/>
    <w:rsid w:val="000C1AD5"/>
    <w:rsid w:val="000D12D9"/>
    <w:rsid w:val="000E7230"/>
    <w:rsid w:val="00101546"/>
    <w:rsid w:val="001051B0"/>
    <w:rsid w:val="0010724C"/>
    <w:rsid w:val="0010755E"/>
    <w:rsid w:val="001101FC"/>
    <w:rsid w:val="0011227A"/>
    <w:rsid w:val="00152DB6"/>
    <w:rsid w:val="00187D1A"/>
    <w:rsid w:val="001C4471"/>
    <w:rsid w:val="001C513B"/>
    <w:rsid w:val="001C7E8E"/>
    <w:rsid w:val="001D1886"/>
    <w:rsid w:val="001D2966"/>
    <w:rsid w:val="001E3029"/>
    <w:rsid w:val="001F4055"/>
    <w:rsid w:val="001F7862"/>
    <w:rsid w:val="00205DE5"/>
    <w:rsid w:val="00210813"/>
    <w:rsid w:val="00220777"/>
    <w:rsid w:val="002305E1"/>
    <w:rsid w:val="00230AF2"/>
    <w:rsid w:val="002449AF"/>
    <w:rsid w:val="00255D5E"/>
    <w:rsid w:val="00290CE1"/>
    <w:rsid w:val="00290DE8"/>
    <w:rsid w:val="002952C4"/>
    <w:rsid w:val="002A2662"/>
    <w:rsid w:val="002A5C76"/>
    <w:rsid w:val="002B2263"/>
    <w:rsid w:val="002B6144"/>
    <w:rsid w:val="002B6A3F"/>
    <w:rsid w:val="002D04F2"/>
    <w:rsid w:val="002D209C"/>
    <w:rsid w:val="002D3265"/>
    <w:rsid w:val="002D5DF8"/>
    <w:rsid w:val="002D6024"/>
    <w:rsid w:val="002E6289"/>
    <w:rsid w:val="002F1C61"/>
    <w:rsid w:val="002F3A48"/>
    <w:rsid w:val="00331FE9"/>
    <w:rsid w:val="00335886"/>
    <w:rsid w:val="00340ABD"/>
    <w:rsid w:val="00342641"/>
    <w:rsid w:val="003563E8"/>
    <w:rsid w:val="00357333"/>
    <w:rsid w:val="00357E16"/>
    <w:rsid w:val="003611E3"/>
    <w:rsid w:val="00364290"/>
    <w:rsid w:val="00370B61"/>
    <w:rsid w:val="0037784D"/>
    <w:rsid w:val="00383741"/>
    <w:rsid w:val="00397E4C"/>
    <w:rsid w:val="003A2C52"/>
    <w:rsid w:val="003B22A4"/>
    <w:rsid w:val="003B70CC"/>
    <w:rsid w:val="003C0D45"/>
    <w:rsid w:val="003D6AE9"/>
    <w:rsid w:val="003E0EE4"/>
    <w:rsid w:val="003E4BC5"/>
    <w:rsid w:val="003E6655"/>
    <w:rsid w:val="00400722"/>
    <w:rsid w:val="00401E54"/>
    <w:rsid w:val="0040622F"/>
    <w:rsid w:val="00414F22"/>
    <w:rsid w:val="00420117"/>
    <w:rsid w:val="0042250B"/>
    <w:rsid w:val="00425487"/>
    <w:rsid w:val="0045524B"/>
    <w:rsid w:val="0046449A"/>
    <w:rsid w:val="004A2B25"/>
    <w:rsid w:val="004B790E"/>
    <w:rsid w:val="004C76B3"/>
    <w:rsid w:val="004F3B99"/>
    <w:rsid w:val="004F7EF4"/>
    <w:rsid w:val="00504B8E"/>
    <w:rsid w:val="00505AEE"/>
    <w:rsid w:val="005156F8"/>
    <w:rsid w:val="00523A95"/>
    <w:rsid w:val="00531EDA"/>
    <w:rsid w:val="00552365"/>
    <w:rsid w:val="0055347F"/>
    <w:rsid w:val="00562D1E"/>
    <w:rsid w:val="005650EE"/>
    <w:rsid w:val="005656CF"/>
    <w:rsid w:val="0057477F"/>
    <w:rsid w:val="00574B8E"/>
    <w:rsid w:val="00577D1F"/>
    <w:rsid w:val="00581CD3"/>
    <w:rsid w:val="005918C3"/>
    <w:rsid w:val="00592D7B"/>
    <w:rsid w:val="00593E3D"/>
    <w:rsid w:val="00597B5F"/>
    <w:rsid w:val="005B2FB0"/>
    <w:rsid w:val="005B532D"/>
    <w:rsid w:val="005B58A0"/>
    <w:rsid w:val="005E0251"/>
    <w:rsid w:val="005E5580"/>
    <w:rsid w:val="005F5862"/>
    <w:rsid w:val="005F6FF5"/>
    <w:rsid w:val="00604B71"/>
    <w:rsid w:val="00606E92"/>
    <w:rsid w:val="00610FB3"/>
    <w:rsid w:val="006164C9"/>
    <w:rsid w:val="00624970"/>
    <w:rsid w:val="00632667"/>
    <w:rsid w:val="00640DD1"/>
    <w:rsid w:val="00656DE6"/>
    <w:rsid w:val="006573E8"/>
    <w:rsid w:val="0066291C"/>
    <w:rsid w:val="00686B8D"/>
    <w:rsid w:val="0069051E"/>
    <w:rsid w:val="00690E50"/>
    <w:rsid w:val="006A2A41"/>
    <w:rsid w:val="006A5508"/>
    <w:rsid w:val="006A652A"/>
    <w:rsid w:val="006C005E"/>
    <w:rsid w:val="006C2250"/>
    <w:rsid w:val="006D44E2"/>
    <w:rsid w:val="006D7254"/>
    <w:rsid w:val="006F3327"/>
    <w:rsid w:val="006F4330"/>
    <w:rsid w:val="00701082"/>
    <w:rsid w:val="0071644E"/>
    <w:rsid w:val="007328E9"/>
    <w:rsid w:val="00744C13"/>
    <w:rsid w:val="00746E49"/>
    <w:rsid w:val="00753668"/>
    <w:rsid w:val="00770626"/>
    <w:rsid w:val="0077254A"/>
    <w:rsid w:val="0077714C"/>
    <w:rsid w:val="007812E4"/>
    <w:rsid w:val="00785D84"/>
    <w:rsid w:val="007A63EC"/>
    <w:rsid w:val="007B2A75"/>
    <w:rsid w:val="007C4E28"/>
    <w:rsid w:val="007C69C8"/>
    <w:rsid w:val="007C71F9"/>
    <w:rsid w:val="007D04B9"/>
    <w:rsid w:val="007D69A3"/>
    <w:rsid w:val="007E7294"/>
    <w:rsid w:val="007F1182"/>
    <w:rsid w:val="007F1F94"/>
    <w:rsid w:val="007F2975"/>
    <w:rsid w:val="007F33AC"/>
    <w:rsid w:val="007F5089"/>
    <w:rsid w:val="00801A46"/>
    <w:rsid w:val="008030C3"/>
    <w:rsid w:val="008307F8"/>
    <w:rsid w:val="00832DBC"/>
    <w:rsid w:val="00841ACC"/>
    <w:rsid w:val="00843FC5"/>
    <w:rsid w:val="00854A0C"/>
    <w:rsid w:val="00857918"/>
    <w:rsid w:val="008638E1"/>
    <w:rsid w:val="00887475"/>
    <w:rsid w:val="008915E4"/>
    <w:rsid w:val="008B2E05"/>
    <w:rsid w:val="008B401A"/>
    <w:rsid w:val="008C3D44"/>
    <w:rsid w:val="008C71F2"/>
    <w:rsid w:val="008E631A"/>
    <w:rsid w:val="008F6B4C"/>
    <w:rsid w:val="0091495A"/>
    <w:rsid w:val="00914C4B"/>
    <w:rsid w:val="00915153"/>
    <w:rsid w:val="0092554D"/>
    <w:rsid w:val="009268FC"/>
    <w:rsid w:val="009361E0"/>
    <w:rsid w:val="00940DE7"/>
    <w:rsid w:val="0094184B"/>
    <w:rsid w:val="009426CA"/>
    <w:rsid w:val="009469BE"/>
    <w:rsid w:val="00947DFF"/>
    <w:rsid w:val="009531EB"/>
    <w:rsid w:val="00956197"/>
    <w:rsid w:val="009604DC"/>
    <w:rsid w:val="00963D94"/>
    <w:rsid w:val="00974B88"/>
    <w:rsid w:val="00977299"/>
    <w:rsid w:val="0098252C"/>
    <w:rsid w:val="00986560"/>
    <w:rsid w:val="00991427"/>
    <w:rsid w:val="00996005"/>
    <w:rsid w:val="009A464F"/>
    <w:rsid w:val="009B2183"/>
    <w:rsid w:val="009C682E"/>
    <w:rsid w:val="009D14BA"/>
    <w:rsid w:val="009D200F"/>
    <w:rsid w:val="009D4D27"/>
    <w:rsid w:val="009D4FD7"/>
    <w:rsid w:val="009D5EF8"/>
    <w:rsid w:val="009E1CED"/>
    <w:rsid w:val="009E756F"/>
    <w:rsid w:val="009F3B54"/>
    <w:rsid w:val="009F4A91"/>
    <w:rsid w:val="009F5163"/>
    <w:rsid w:val="009F5FB9"/>
    <w:rsid w:val="00A2064A"/>
    <w:rsid w:val="00A211F1"/>
    <w:rsid w:val="00A25621"/>
    <w:rsid w:val="00A50C5F"/>
    <w:rsid w:val="00A51E10"/>
    <w:rsid w:val="00A5251D"/>
    <w:rsid w:val="00A646BA"/>
    <w:rsid w:val="00A656D4"/>
    <w:rsid w:val="00A81DE0"/>
    <w:rsid w:val="00A94FC6"/>
    <w:rsid w:val="00A96CF8"/>
    <w:rsid w:val="00AB0194"/>
    <w:rsid w:val="00AB2332"/>
    <w:rsid w:val="00AF043E"/>
    <w:rsid w:val="00B01787"/>
    <w:rsid w:val="00B145BE"/>
    <w:rsid w:val="00B17691"/>
    <w:rsid w:val="00B4364C"/>
    <w:rsid w:val="00B4459B"/>
    <w:rsid w:val="00B52DAB"/>
    <w:rsid w:val="00B53569"/>
    <w:rsid w:val="00B5794E"/>
    <w:rsid w:val="00B67DE4"/>
    <w:rsid w:val="00B7174D"/>
    <w:rsid w:val="00B73372"/>
    <w:rsid w:val="00B870FF"/>
    <w:rsid w:val="00BA0168"/>
    <w:rsid w:val="00BA4F4E"/>
    <w:rsid w:val="00BB7407"/>
    <w:rsid w:val="00BE49FB"/>
    <w:rsid w:val="00BE74AD"/>
    <w:rsid w:val="00C015F4"/>
    <w:rsid w:val="00C04BA5"/>
    <w:rsid w:val="00C1647E"/>
    <w:rsid w:val="00C24D9B"/>
    <w:rsid w:val="00C3021B"/>
    <w:rsid w:val="00C35785"/>
    <w:rsid w:val="00C50FC6"/>
    <w:rsid w:val="00C52B33"/>
    <w:rsid w:val="00C52D30"/>
    <w:rsid w:val="00C53823"/>
    <w:rsid w:val="00C53EAA"/>
    <w:rsid w:val="00C556D1"/>
    <w:rsid w:val="00C673D0"/>
    <w:rsid w:val="00C84C3F"/>
    <w:rsid w:val="00C85374"/>
    <w:rsid w:val="00C8600B"/>
    <w:rsid w:val="00C91E61"/>
    <w:rsid w:val="00C942C9"/>
    <w:rsid w:val="00C960C3"/>
    <w:rsid w:val="00C96D43"/>
    <w:rsid w:val="00CA7DCD"/>
    <w:rsid w:val="00CB3C7A"/>
    <w:rsid w:val="00CB4E3C"/>
    <w:rsid w:val="00CB73D8"/>
    <w:rsid w:val="00CD4365"/>
    <w:rsid w:val="00CE2756"/>
    <w:rsid w:val="00D00AF1"/>
    <w:rsid w:val="00D0739C"/>
    <w:rsid w:val="00D10FA6"/>
    <w:rsid w:val="00D21B63"/>
    <w:rsid w:val="00D22046"/>
    <w:rsid w:val="00D37B05"/>
    <w:rsid w:val="00D42B05"/>
    <w:rsid w:val="00D442D9"/>
    <w:rsid w:val="00D6476D"/>
    <w:rsid w:val="00D64D82"/>
    <w:rsid w:val="00D74534"/>
    <w:rsid w:val="00D745B9"/>
    <w:rsid w:val="00D76ACA"/>
    <w:rsid w:val="00D77E53"/>
    <w:rsid w:val="00D83DBA"/>
    <w:rsid w:val="00D97C9A"/>
    <w:rsid w:val="00D97ED7"/>
    <w:rsid w:val="00DA36DD"/>
    <w:rsid w:val="00DA44DA"/>
    <w:rsid w:val="00DC4311"/>
    <w:rsid w:val="00DD0EF9"/>
    <w:rsid w:val="00DD65C8"/>
    <w:rsid w:val="00DD756B"/>
    <w:rsid w:val="00DE7365"/>
    <w:rsid w:val="00DF4A55"/>
    <w:rsid w:val="00E04705"/>
    <w:rsid w:val="00E0624A"/>
    <w:rsid w:val="00E06922"/>
    <w:rsid w:val="00E12D4D"/>
    <w:rsid w:val="00E13D9B"/>
    <w:rsid w:val="00E246C7"/>
    <w:rsid w:val="00E35996"/>
    <w:rsid w:val="00E40B2A"/>
    <w:rsid w:val="00E43D2D"/>
    <w:rsid w:val="00E44DB1"/>
    <w:rsid w:val="00E53AF0"/>
    <w:rsid w:val="00E55F2B"/>
    <w:rsid w:val="00E5609A"/>
    <w:rsid w:val="00E612A3"/>
    <w:rsid w:val="00E62257"/>
    <w:rsid w:val="00E63D29"/>
    <w:rsid w:val="00E64F09"/>
    <w:rsid w:val="00E67560"/>
    <w:rsid w:val="00E726EF"/>
    <w:rsid w:val="00E7337B"/>
    <w:rsid w:val="00E87D37"/>
    <w:rsid w:val="00E91267"/>
    <w:rsid w:val="00E91B00"/>
    <w:rsid w:val="00EA0E0B"/>
    <w:rsid w:val="00EA4783"/>
    <w:rsid w:val="00EA5185"/>
    <w:rsid w:val="00EC53A0"/>
    <w:rsid w:val="00ED22D0"/>
    <w:rsid w:val="00EF4B62"/>
    <w:rsid w:val="00EF5D31"/>
    <w:rsid w:val="00EF6368"/>
    <w:rsid w:val="00F02159"/>
    <w:rsid w:val="00F06900"/>
    <w:rsid w:val="00F133A4"/>
    <w:rsid w:val="00F13C7E"/>
    <w:rsid w:val="00F143E1"/>
    <w:rsid w:val="00F15943"/>
    <w:rsid w:val="00F20A86"/>
    <w:rsid w:val="00F2589F"/>
    <w:rsid w:val="00F27EF9"/>
    <w:rsid w:val="00F35F2D"/>
    <w:rsid w:val="00F43EE4"/>
    <w:rsid w:val="00F458DA"/>
    <w:rsid w:val="00F51B88"/>
    <w:rsid w:val="00F56D92"/>
    <w:rsid w:val="00F62D4B"/>
    <w:rsid w:val="00F74B40"/>
    <w:rsid w:val="00FA3867"/>
    <w:rsid w:val="00FA4814"/>
    <w:rsid w:val="00FA5311"/>
    <w:rsid w:val="00FB056D"/>
    <w:rsid w:val="00FB5346"/>
    <w:rsid w:val="00FC2A71"/>
    <w:rsid w:val="00FC58F8"/>
    <w:rsid w:val="00FC7323"/>
    <w:rsid w:val="00FD113E"/>
    <w:rsid w:val="00FD58F3"/>
    <w:rsid w:val="00FD63D5"/>
    <w:rsid w:val="00FD7A4C"/>
    <w:rsid w:val="00FE512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B8FC59"/>
  <w15:chartTrackingRefBased/>
  <w15:docId w15:val="{EA195D9B-FEFC-4076-B622-C429B73B49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4459B"/>
    <w:pPr>
      <w:spacing w:line="256" w:lineRule="auto"/>
    </w:pPr>
    <w:rPr>
      <w:lang w:val="en-GB"/>
    </w:rPr>
  </w:style>
  <w:style w:type="paragraph" w:styleId="1">
    <w:name w:val="heading 1"/>
    <w:basedOn w:val="a"/>
    <w:next w:val="a"/>
    <w:link w:val="10"/>
    <w:uiPriority w:val="9"/>
    <w:qFormat/>
    <w:rsid w:val="00B4459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1C513B"/>
    <w:pPr>
      <w:keepNext/>
      <w:keepLines/>
      <w:spacing w:before="40" w:after="0" w:line="259" w:lineRule="auto"/>
      <w:outlineLvl w:val="1"/>
    </w:pPr>
    <w:rPr>
      <w:rFonts w:asciiTheme="majorHAnsi" w:eastAsiaTheme="majorEastAsia" w:hAnsiTheme="majorHAnsi" w:cstheme="majorBidi"/>
      <w:color w:val="2F5496" w:themeColor="accent1" w:themeShade="BF"/>
      <w:sz w:val="26"/>
      <w:szCs w:val="26"/>
      <w:lang w:val="en-US"/>
    </w:rPr>
  </w:style>
  <w:style w:type="paragraph" w:styleId="3">
    <w:name w:val="heading 3"/>
    <w:basedOn w:val="a"/>
    <w:next w:val="a"/>
    <w:link w:val="30"/>
    <w:uiPriority w:val="9"/>
    <w:unhideWhenUsed/>
    <w:qFormat/>
    <w:rsid w:val="001C513B"/>
    <w:pPr>
      <w:keepNext/>
      <w:keepLines/>
      <w:spacing w:before="40" w:after="0" w:line="259" w:lineRule="auto"/>
      <w:outlineLvl w:val="2"/>
    </w:pPr>
    <w:rPr>
      <w:rFonts w:asciiTheme="majorHAnsi" w:eastAsiaTheme="majorEastAsia" w:hAnsiTheme="majorHAnsi" w:cstheme="majorBidi"/>
      <w:color w:val="1F3763" w:themeColor="accent1" w:themeShade="7F"/>
      <w:sz w:val="24"/>
      <w:szCs w:val="24"/>
      <w:lang w:val="en-US"/>
    </w:rPr>
  </w:style>
  <w:style w:type="paragraph" w:styleId="4">
    <w:name w:val="heading 4"/>
    <w:basedOn w:val="a"/>
    <w:next w:val="a"/>
    <w:link w:val="40"/>
    <w:uiPriority w:val="9"/>
    <w:unhideWhenUsed/>
    <w:qFormat/>
    <w:rsid w:val="001E3029"/>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B4459B"/>
    <w:rPr>
      <w:rFonts w:asciiTheme="majorHAnsi" w:eastAsiaTheme="majorEastAsia" w:hAnsiTheme="majorHAnsi" w:cstheme="majorBidi"/>
      <w:color w:val="2F5496" w:themeColor="accent1" w:themeShade="BF"/>
      <w:sz w:val="32"/>
      <w:szCs w:val="32"/>
      <w:lang w:val="en-GB"/>
    </w:rPr>
  </w:style>
  <w:style w:type="paragraph" w:customStyle="1" w:styleId="Normal1">
    <w:name w:val="Normal1"/>
    <w:rsid w:val="00B4459B"/>
    <w:pPr>
      <w:suppressAutoHyphens/>
      <w:spacing w:after="0" w:line="240" w:lineRule="auto"/>
    </w:pPr>
    <w:rPr>
      <w:rFonts w:ascii="Liberation Serif" w:hAnsi="Liberation Serif" w:cs="Droid Sans Fallback"/>
      <w:sz w:val="24"/>
      <w:szCs w:val="24"/>
      <w:lang w:bidi="hi-IN"/>
    </w:rPr>
  </w:style>
  <w:style w:type="character" w:customStyle="1" w:styleId="Heading1Char">
    <w:name w:val="Heading 1 Char"/>
    <w:basedOn w:val="a0"/>
    <w:link w:val="11"/>
    <w:uiPriority w:val="9"/>
    <w:semiHidden/>
    <w:locked/>
    <w:rsid w:val="00B4459B"/>
    <w:rPr>
      <w:rFonts w:ascii="Times New Roman" w:eastAsia="Times New Roman" w:hAnsi="Times New Roman" w:cs="Times New Roman"/>
      <w:b/>
      <w:bCs/>
      <w:sz w:val="48"/>
      <w:szCs w:val="48"/>
      <w:lang w:val="en-GB"/>
    </w:rPr>
  </w:style>
  <w:style w:type="paragraph" w:customStyle="1" w:styleId="11">
    <w:name w:val="标题 11"/>
    <w:basedOn w:val="Normal1"/>
    <w:link w:val="Heading1Char"/>
    <w:uiPriority w:val="9"/>
    <w:semiHidden/>
    <w:qFormat/>
    <w:rsid w:val="00B4459B"/>
    <w:pPr>
      <w:suppressAutoHyphens w:val="0"/>
      <w:spacing w:before="280" w:after="280"/>
      <w:outlineLvl w:val="0"/>
    </w:pPr>
    <w:rPr>
      <w:rFonts w:ascii="Times New Roman" w:eastAsia="Times New Roman" w:hAnsi="Times New Roman" w:cs="Times New Roman"/>
      <w:b/>
      <w:bCs/>
      <w:sz w:val="48"/>
      <w:szCs w:val="48"/>
      <w:lang w:val="en-GB" w:bidi="ar-SA"/>
    </w:rPr>
  </w:style>
  <w:style w:type="character" w:customStyle="1" w:styleId="20">
    <w:name w:val="标题 2 字符"/>
    <w:basedOn w:val="a0"/>
    <w:link w:val="2"/>
    <w:uiPriority w:val="9"/>
    <w:rsid w:val="001C513B"/>
    <w:rPr>
      <w:rFonts w:asciiTheme="majorHAnsi" w:eastAsiaTheme="majorEastAsia" w:hAnsiTheme="majorHAnsi" w:cstheme="majorBidi"/>
      <w:color w:val="2F5496" w:themeColor="accent1" w:themeShade="BF"/>
      <w:sz w:val="26"/>
      <w:szCs w:val="26"/>
    </w:rPr>
  </w:style>
  <w:style w:type="character" w:customStyle="1" w:styleId="30">
    <w:name w:val="标题 3 字符"/>
    <w:basedOn w:val="a0"/>
    <w:link w:val="3"/>
    <w:uiPriority w:val="9"/>
    <w:rsid w:val="001C513B"/>
    <w:rPr>
      <w:rFonts w:asciiTheme="majorHAnsi" w:eastAsiaTheme="majorEastAsia" w:hAnsiTheme="majorHAnsi" w:cstheme="majorBidi"/>
      <w:color w:val="1F3763" w:themeColor="accent1" w:themeShade="7F"/>
      <w:sz w:val="24"/>
      <w:szCs w:val="24"/>
    </w:rPr>
  </w:style>
  <w:style w:type="paragraph" w:styleId="a3">
    <w:name w:val="header"/>
    <w:basedOn w:val="a"/>
    <w:link w:val="a4"/>
    <w:uiPriority w:val="99"/>
    <w:unhideWhenUsed/>
    <w:rsid w:val="001C513B"/>
    <w:pPr>
      <w:tabs>
        <w:tab w:val="center" w:pos="4320"/>
        <w:tab w:val="right" w:pos="8640"/>
      </w:tabs>
      <w:spacing w:after="0" w:line="240" w:lineRule="auto"/>
    </w:pPr>
    <w:rPr>
      <w:lang w:val="en-US"/>
    </w:rPr>
  </w:style>
  <w:style w:type="character" w:customStyle="1" w:styleId="a4">
    <w:name w:val="页眉 字符"/>
    <w:basedOn w:val="a0"/>
    <w:link w:val="a3"/>
    <w:uiPriority w:val="99"/>
    <w:rsid w:val="001C513B"/>
  </w:style>
  <w:style w:type="paragraph" w:styleId="a5">
    <w:name w:val="footer"/>
    <w:basedOn w:val="a"/>
    <w:link w:val="a6"/>
    <w:uiPriority w:val="99"/>
    <w:unhideWhenUsed/>
    <w:rsid w:val="001C513B"/>
    <w:pPr>
      <w:tabs>
        <w:tab w:val="center" w:pos="4320"/>
        <w:tab w:val="right" w:pos="8640"/>
      </w:tabs>
      <w:spacing w:after="0" w:line="240" w:lineRule="auto"/>
    </w:pPr>
    <w:rPr>
      <w:lang w:val="en-US"/>
    </w:rPr>
  </w:style>
  <w:style w:type="character" w:customStyle="1" w:styleId="a6">
    <w:name w:val="页脚 字符"/>
    <w:basedOn w:val="a0"/>
    <w:link w:val="a5"/>
    <w:uiPriority w:val="99"/>
    <w:rsid w:val="001C513B"/>
  </w:style>
  <w:style w:type="paragraph" w:styleId="a7">
    <w:name w:val="List Paragraph"/>
    <w:basedOn w:val="a"/>
    <w:uiPriority w:val="34"/>
    <w:qFormat/>
    <w:rsid w:val="001C513B"/>
    <w:pPr>
      <w:spacing w:line="259" w:lineRule="auto"/>
      <w:ind w:left="720"/>
      <w:contextualSpacing/>
    </w:pPr>
    <w:rPr>
      <w:lang w:val="en-US"/>
    </w:rPr>
  </w:style>
  <w:style w:type="paragraph" w:styleId="a8">
    <w:name w:val="Date"/>
    <w:basedOn w:val="a"/>
    <w:next w:val="a"/>
    <w:link w:val="a9"/>
    <w:uiPriority w:val="99"/>
    <w:semiHidden/>
    <w:unhideWhenUsed/>
    <w:rsid w:val="001C513B"/>
    <w:pPr>
      <w:spacing w:line="259" w:lineRule="auto"/>
    </w:pPr>
    <w:rPr>
      <w:lang w:val="en-US"/>
    </w:rPr>
  </w:style>
  <w:style w:type="character" w:customStyle="1" w:styleId="a9">
    <w:name w:val="日期 字符"/>
    <w:basedOn w:val="a0"/>
    <w:link w:val="a8"/>
    <w:uiPriority w:val="99"/>
    <w:semiHidden/>
    <w:rsid w:val="001C513B"/>
  </w:style>
  <w:style w:type="character" w:styleId="aa">
    <w:name w:val="Placeholder Text"/>
    <w:basedOn w:val="a0"/>
    <w:uiPriority w:val="99"/>
    <w:semiHidden/>
    <w:rsid w:val="001C513B"/>
    <w:rPr>
      <w:color w:val="808080"/>
    </w:rPr>
  </w:style>
  <w:style w:type="character" w:styleId="ab">
    <w:name w:val="annotation reference"/>
    <w:basedOn w:val="a0"/>
    <w:uiPriority w:val="99"/>
    <w:semiHidden/>
    <w:unhideWhenUsed/>
    <w:qFormat/>
    <w:rsid w:val="001C513B"/>
    <w:rPr>
      <w:sz w:val="16"/>
      <w:szCs w:val="16"/>
    </w:rPr>
  </w:style>
  <w:style w:type="paragraph" w:styleId="ac">
    <w:name w:val="annotation text"/>
    <w:basedOn w:val="a"/>
    <w:link w:val="ad"/>
    <w:uiPriority w:val="99"/>
    <w:unhideWhenUsed/>
    <w:qFormat/>
    <w:rsid w:val="001C513B"/>
    <w:pPr>
      <w:spacing w:line="240" w:lineRule="auto"/>
    </w:pPr>
    <w:rPr>
      <w:sz w:val="20"/>
      <w:szCs w:val="20"/>
      <w:lang w:val="en-US"/>
    </w:rPr>
  </w:style>
  <w:style w:type="character" w:customStyle="1" w:styleId="ad">
    <w:name w:val="批注文字 字符"/>
    <w:basedOn w:val="a0"/>
    <w:link w:val="ac"/>
    <w:uiPriority w:val="99"/>
    <w:rsid w:val="001C513B"/>
    <w:rPr>
      <w:sz w:val="20"/>
      <w:szCs w:val="20"/>
    </w:rPr>
  </w:style>
  <w:style w:type="paragraph" w:styleId="ae">
    <w:name w:val="annotation subject"/>
    <w:basedOn w:val="ac"/>
    <w:next w:val="ac"/>
    <w:link w:val="af"/>
    <w:uiPriority w:val="99"/>
    <w:semiHidden/>
    <w:unhideWhenUsed/>
    <w:rsid w:val="001C513B"/>
    <w:rPr>
      <w:b/>
      <w:bCs/>
    </w:rPr>
  </w:style>
  <w:style w:type="character" w:customStyle="1" w:styleId="af">
    <w:name w:val="批注主题 字符"/>
    <w:basedOn w:val="ad"/>
    <w:link w:val="ae"/>
    <w:uiPriority w:val="99"/>
    <w:semiHidden/>
    <w:rsid w:val="001C513B"/>
    <w:rPr>
      <w:b/>
      <w:bCs/>
      <w:sz w:val="20"/>
      <w:szCs w:val="20"/>
    </w:rPr>
  </w:style>
  <w:style w:type="paragraph" w:styleId="af0">
    <w:name w:val="Balloon Text"/>
    <w:basedOn w:val="a"/>
    <w:link w:val="af1"/>
    <w:uiPriority w:val="99"/>
    <w:semiHidden/>
    <w:unhideWhenUsed/>
    <w:rsid w:val="001C513B"/>
    <w:pPr>
      <w:spacing w:after="0" w:line="240" w:lineRule="auto"/>
    </w:pPr>
    <w:rPr>
      <w:rFonts w:ascii="Microsoft YaHei UI" w:eastAsia="Microsoft YaHei UI"/>
      <w:sz w:val="18"/>
      <w:szCs w:val="18"/>
      <w:lang w:val="en-US"/>
    </w:rPr>
  </w:style>
  <w:style w:type="character" w:customStyle="1" w:styleId="af1">
    <w:name w:val="批注框文本 字符"/>
    <w:basedOn w:val="a0"/>
    <w:link w:val="af0"/>
    <w:uiPriority w:val="99"/>
    <w:semiHidden/>
    <w:rsid w:val="001C513B"/>
    <w:rPr>
      <w:rFonts w:ascii="Microsoft YaHei UI" w:eastAsia="Microsoft YaHei UI"/>
      <w:sz w:val="18"/>
      <w:szCs w:val="18"/>
    </w:rPr>
  </w:style>
  <w:style w:type="character" w:styleId="af2">
    <w:name w:val="Emphasis"/>
    <w:basedOn w:val="a0"/>
    <w:uiPriority w:val="20"/>
    <w:qFormat/>
    <w:rsid w:val="001C513B"/>
    <w:rPr>
      <w:i/>
      <w:iCs/>
    </w:rPr>
  </w:style>
  <w:style w:type="character" w:styleId="af3">
    <w:name w:val="Strong"/>
    <w:basedOn w:val="a0"/>
    <w:uiPriority w:val="22"/>
    <w:qFormat/>
    <w:rsid w:val="001C513B"/>
    <w:rPr>
      <w:b/>
      <w:bCs/>
    </w:rPr>
  </w:style>
  <w:style w:type="character" w:customStyle="1" w:styleId="title-text">
    <w:name w:val="title-text"/>
    <w:basedOn w:val="a0"/>
    <w:rsid w:val="001C513B"/>
  </w:style>
  <w:style w:type="character" w:customStyle="1" w:styleId="nlmarticle-title">
    <w:name w:val="nlm_article-title"/>
    <w:basedOn w:val="a0"/>
    <w:rsid w:val="001C513B"/>
  </w:style>
  <w:style w:type="paragraph" w:styleId="af4">
    <w:name w:val="Normal (Web)"/>
    <w:basedOn w:val="a"/>
    <w:uiPriority w:val="99"/>
    <w:unhideWhenUsed/>
    <w:rsid w:val="001C513B"/>
    <w:pPr>
      <w:spacing w:before="100" w:beforeAutospacing="1" w:after="100" w:afterAutospacing="1" w:line="240" w:lineRule="auto"/>
    </w:pPr>
    <w:rPr>
      <w:rFonts w:ascii="宋体" w:eastAsia="宋体" w:hAnsi="宋体" w:cs="宋体"/>
      <w:sz w:val="24"/>
      <w:szCs w:val="24"/>
      <w:lang w:val="en-US"/>
    </w:rPr>
  </w:style>
  <w:style w:type="character" w:customStyle="1" w:styleId="text">
    <w:name w:val="text"/>
    <w:basedOn w:val="a0"/>
    <w:rsid w:val="001C513B"/>
  </w:style>
  <w:style w:type="character" w:customStyle="1" w:styleId="mjxassistivemathml">
    <w:name w:val="mjx_assistive_mathml"/>
    <w:basedOn w:val="a0"/>
    <w:rsid w:val="001C513B"/>
  </w:style>
  <w:style w:type="character" w:styleId="af5">
    <w:name w:val="Hyperlink"/>
    <w:basedOn w:val="a0"/>
    <w:uiPriority w:val="99"/>
    <w:unhideWhenUsed/>
    <w:rsid w:val="001C513B"/>
    <w:rPr>
      <w:color w:val="0000FF"/>
      <w:u w:val="single"/>
    </w:rPr>
  </w:style>
  <w:style w:type="character" w:customStyle="1" w:styleId="label">
    <w:name w:val="label"/>
    <w:basedOn w:val="a0"/>
    <w:rsid w:val="001C513B"/>
  </w:style>
  <w:style w:type="paragraph" w:styleId="af6">
    <w:name w:val="caption"/>
    <w:basedOn w:val="a"/>
    <w:next w:val="a"/>
    <w:uiPriority w:val="35"/>
    <w:unhideWhenUsed/>
    <w:qFormat/>
    <w:rsid w:val="001C513B"/>
    <w:pPr>
      <w:spacing w:after="200" w:line="240" w:lineRule="auto"/>
    </w:pPr>
    <w:rPr>
      <w:i/>
      <w:iCs/>
      <w:color w:val="44546A" w:themeColor="text2"/>
      <w:sz w:val="18"/>
      <w:szCs w:val="18"/>
      <w:lang w:val="en-US"/>
    </w:rPr>
  </w:style>
  <w:style w:type="paragraph" w:styleId="af7">
    <w:name w:val="table of figures"/>
    <w:basedOn w:val="a"/>
    <w:next w:val="a"/>
    <w:uiPriority w:val="99"/>
    <w:unhideWhenUsed/>
    <w:rsid w:val="001C513B"/>
    <w:pPr>
      <w:spacing w:after="0" w:line="259" w:lineRule="auto"/>
    </w:pPr>
    <w:rPr>
      <w:lang w:val="en-US"/>
    </w:rPr>
  </w:style>
  <w:style w:type="paragraph" w:styleId="TOC">
    <w:name w:val="TOC Heading"/>
    <w:basedOn w:val="1"/>
    <w:next w:val="a"/>
    <w:uiPriority w:val="39"/>
    <w:unhideWhenUsed/>
    <w:qFormat/>
    <w:rsid w:val="001C513B"/>
    <w:pPr>
      <w:spacing w:line="259" w:lineRule="auto"/>
      <w:outlineLvl w:val="9"/>
    </w:pPr>
    <w:rPr>
      <w:lang w:val="en-US"/>
    </w:rPr>
  </w:style>
  <w:style w:type="paragraph" w:styleId="TOC1">
    <w:name w:val="toc 1"/>
    <w:basedOn w:val="a"/>
    <w:next w:val="a"/>
    <w:autoRedefine/>
    <w:uiPriority w:val="39"/>
    <w:unhideWhenUsed/>
    <w:rsid w:val="001C513B"/>
    <w:pPr>
      <w:spacing w:after="100" w:line="259" w:lineRule="auto"/>
    </w:pPr>
    <w:rPr>
      <w:lang w:val="en-US"/>
    </w:rPr>
  </w:style>
  <w:style w:type="paragraph" w:styleId="TOC2">
    <w:name w:val="toc 2"/>
    <w:basedOn w:val="a"/>
    <w:next w:val="a"/>
    <w:autoRedefine/>
    <w:uiPriority w:val="39"/>
    <w:unhideWhenUsed/>
    <w:rsid w:val="00F2589F"/>
    <w:pPr>
      <w:tabs>
        <w:tab w:val="right" w:leader="dot" w:pos="9350"/>
      </w:tabs>
      <w:spacing w:after="120" w:line="360" w:lineRule="auto"/>
      <w:ind w:left="216"/>
    </w:pPr>
    <w:rPr>
      <w:lang w:val="en-US"/>
    </w:rPr>
  </w:style>
  <w:style w:type="paragraph" w:styleId="TOC3">
    <w:name w:val="toc 3"/>
    <w:basedOn w:val="a"/>
    <w:next w:val="a"/>
    <w:autoRedefine/>
    <w:uiPriority w:val="39"/>
    <w:unhideWhenUsed/>
    <w:rsid w:val="001C513B"/>
    <w:pPr>
      <w:spacing w:after="100" w:line="259" w:lineRule="auto"/>
      <w:ind w:left="440"/>
    </w:pPr>
    <w:rPr>
      <w:lang w:val="en-US"/>
    </w:rPr>
  </w:style>
  <w:style w:type="paragraph" w:customStyle="1" w:styleId="31">
    <w:name w:val="标题 31"/>
    <w:basedOn w:val="Normal1"/>
    <w:next w:val="Normal1"/>
    <w:uiPriority w:val="99"/>
    <w:semiHidden/>
    <w:qFormat/>
    <w:rsid w:val="001C513B"/>
    <w:pPr>
      <w:keepNext/>
      <w:keepLines/>
      <w:suppressAutoHyphens w:val="0"/>
      <w:spacing w:after="200" w:line="360" w:lineRule="auto"/>
      <w:jc w:val="both"/>
      <w:outlineLvl w:val="2"/>
    </w:pPr>
    <w:rPr>
      <w:rFonts w:asciiTheme="minorHAnsi" w:eastAsia="宋体" w:hAnsiTheme="minorHAnsi"/>
      <w:color w:val="00000A"/>
      <w:lang w:val="en-GB" w:eastAsia="en-US" w:bidi="ar-SA"/>
    </w:rPr>
  </w:style>
  <w:style w:type="paragraph" w:customStyle="1" w:styleId="Heading1Calibri">
    <w:name w:val="Heading 1 Calibri"/>
    <w:basedOn w:val="a"/>
    <w:qFormat/>
    <w:rsid w:val="001C513B"/>
    <w:pPr>
      <w:keepNext/>
      <w:keepLines/>
      <w:spacing w:after="200" w:line="276" w:lineRule="auto"/>
      <w:jc w:val="both"/>
      <w:outlineLvl w:val="0"/>
    </w:pPr>
    <w:rPr>
      <w:rFonts w:eastAsiaTheme="majorEastAsia" w:cstheme="majorBidi"/>
      <w:b/>
      <w:bCs/>
      <w:color w:val="000000" w:themeColor="text1"/>
      <w:lang w:val="en-US" w:eastAsia="ja-JP"/>
    </w:rPr>
  </w:style>
  <w:style w:type="table" w:styleId="-4">
    <w:name w:val="Colorful List Accent 4"/>
    <w:basedOn w:val="a1"/>
    <w:uiPriority w:val="72"/>
    <w:semiHidden/>
    <w:unhideWhenUsed/>
    <w:rsid w:val="001C513B"/>
    <w:pPr>
      <w:spacing w:after="0" w:line="240" w:lineRule="auto"/>
    </w:pPr>
    <w:rPr>
      <w:rFonts w:eastAsiaTheme="minorHAnsi"/>
      <w:color w:val="000000" w:themeColor="text1"/>
      <w:lang w:val="en-GB" w:eastAsia="en-US" w:bidi="hi-IN"/>
    </w:rPr>
    <w:tblPr>
      <w:tblStyleRowBandSize w:val="1"/>
      <w:tblStyleColBandSize w:val="1"/>
      <w:tblInd w:w="0" w:type="nil"/>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paragraph" w:styleId="af8">
    <w:name w:val="Title"/>
    <w:basedOn w:val="a"/>
    <w:next w:val="a"/>
    <w:link w:val="af9"/>
    <w:uiPriority w:val="10"/>
    <w:qFormat/>
    <w:rsid w:val="001C513B"/>
    <w:pPr>
      <w:spacing w:before="240" w:after="60"/>
      <w:jc w:val="center"/>
      <w:outlineLvl w:val="0"/>
    </w:pPr>
    <w:rPr>
      <w:rFonts w:asciiTheme="majorHAnsi" w:eastAsiaTheme="majorEastAsia" w:hAnsiTheme="majorHAnsi" w:cstheme="majorBidi"/>
      <w:b/>
      <w:bCs/>
      <w:sz w:val="32"/>
      <w:szCs w:val="32"/>
    </w:rPr>
  </w:style>
  <w:style w:type="character" w:customStyle="1" w:styleId="af9">
    <w:name w:val="标题 字符"/>
    <w:basedOn w:val="a0"/>
    <w:link w:val="af8"/>
    <w:uiPriority w:val="10"/>
    <w:rsid w:val="001C513B"/>
    <w:rPr>
      <w:rFonts w:asciiTheme="majorHAnsi" w:eastAsiaTheme="majorEastAsia" w:hAnsiTheme="majorHAnsi" w:cstheme="majorBidi"/>
      <w:b/>
      <w:bCs/>
      <w:sz w:val="32"/>
      <w:szCs w:val="32"/>
      <w:lang w:val="en-GB"/>
    </w:rPr>
  </w:style>
  <w:style w:type="paragraph" w:styleId="afa">
    <w:name w:val="Subtitle"/>
    <w:basedOn w:val="a"/>
    <w:next w:val="a"/>
    <w:link w:val="afb"/>
    <w:uiPriority w:val="11"/>
    <w:qFormat/>
    <w:rsid w:val="001C513B"/>
    <w:pPr>
      <w:spacing w:before="240" w:after="60" w:line="312" w:lineRule="auto"/>
      <w:jc w:val="center"/>
      <w:outlineLvl w:val="1"/>
    </w:pPr>
    <w:rPr>
      <w:b/>
      <w:bCs/>
      <w:kern w:val="28"/>
      <w:sz w:val="32"/>
      <w:szCs w:val="32"/>
    </w:rPr>
  </w:style>
  <w:style w:type="character" w:customStyle="1" w:styleId="afb">
    <w:name w:val="副标题 字符"/>
    <w:basedOn w:val="a0"/>
    <w:link w:val="afa"/>
    <w:uiPriority w:val="11"/>
    <w:rsid w:val="001C513B"/>
    <w:rPr>
      <w:b/>
      <w:bCs/>
      <w:kern w:val="28"/>
      <w:sz w:val="32"/>
      <w:szCs w:val="32"/>
      <w:lang w:val="en-GB"/>
    </w:rPr>
  </w:style>
  <w:style w:type="paragraph" w:styleId="afc">
    <w:name w:val="Revision"/>
    <w:hidden/>
    <w:uiPriority w:val="99"/>
    <w:semiHidden/>
    <w:rsid w:val="001C513B"/>
    <w:pPr>
      <w:spacing w:after="0" w:line="240" w:lineRule="auto"/>
    </w:pPr>
    <w:rPr>
      <w:lang w:val="en-GB"/>
    </w:rPr>
  </w:style>
  <w:style w:type="numbering" w:customStyle="1" w:styleId="12">
    <w:name w:val="无列表1"/>
    <w:next w:val="a2"/>
    <w:uiPriority w:val="99"/>
    <w:semiHidden/>
    <w:unhideWhenUsed/>
    <w:rsid w:val="001C513B"/>
  </w:style>
  <w:style w:type="table" w:customStyle="1" w:styleId="TableGrid">
    <w:name w:val="TableGrid"/>
    <w:rsid w:val="001C513B"/>
    <w:pPr>
      <w:spacing w:after="0" w:line="240" w:lineRule="auto"/>
    </w:pPr>
    <w:rPr>
      <w:rFonts w:ascii="Calibri" w:eastAsia="等线" w:hAnsi="Calibri" w:cs="Calibri"/>
    </w:rPr>
    <w:tblPr>
      <w:tblCellMar>
        <w:top w:w="0" w:type="dxa"/>
        <w:left w:w="0" w:type="dxa"/>
        <w:bottom w:w="0" w:type="dxa"/>
        <w:right w:w="0" w:type="dxa"/>
      </w:tblCellMar>
    </w:tblPr>
  </w:style>
  <w:style w:type="table" w:styleId="afd">
    <w:name w:val="Table Grid"/>
    <w:basedOn w:val="a1"/>
    <w:uiPriority w:val="39"/>
    <w:unhideWhenUsed/>
    <w:rsid w:val="001C513B"/>
    <w:pPr>
      <w:spacing w:after="0" w:line="240" w:lineRule="auto"/>
    </w:pPr>
    <w:rPr>
      <w:rFonts w:ascii="Calibri" w:eastAsia="等线"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无格式表格 21"/>
    <w:basedOn w:val="a1"/>
    <w:next w:val="22"/>
    <w:uiPriority w:val="42"/>
    <w:rsid w:val="001C513B"/>
    <w:pPr>
      <w:spacing w:after="0" w:line="240" w:lineRule="auto"/>
    </w:pPr>
    <w:rPr>
      <w:rFonts w:ascii="Calibri" w:eastAsia="等线" w:hAnsi="Calibri" w:cs="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22">
    <w:name w:val="Plain Table 2"/>
    <w:basedOn w:val="a1"/>
    <w:uiPriority w:val="42"/>
    <w:rsid w:val="001C513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13">
    <w:name w:val="批注框文本 字符1"/>
    <w:basedOn w:val="a0"/>
    <w:uiPriority w:val="99"/>
    <w:semiHidden/>
    <w:rsid w:val="001C513B"/>
    <w:rPr>
      <w:sz w:val="18"/>
      <w:szCs w:val="18"/>
    </w:rPr>
  </w:style>
  <w:style w:type="table" w:customStyle="1" w:styleId="4-61">
    <w:name w:val="网格表 4 - 着色 61"/>
    <w:basedOn w:val="a1"/>
    <w:uiPriority w:val="49"/>
    <w:rsid w:val="001C513B"/>
    <w:pPr>
      <w:spacing w:after="0" w:line="240" w:lineRule="auto"/>
    </w:pPr>
    <w:rPr>
      <w:lang w:val="en-GB"/>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14">
    <w:name w:val="批注主题 字符1"/>
    <w:basedOn w:val="ad"/>
    <w:uiPriority w:val="99"/>
    <w:semiHidden/>
    <w:rsid w:val="001C513B"/>
    <w:rPr>
      <w:rFonts w:asciiTheme="minorHAnsi" w:eastAsiaTheme="minorEastAsia" w:hAnsiTheme="minorHAnsi" w:cstheme="minorBidi"/>
      <w:b/>
      <w:bCs/>
      <w:sz w:val="20"/>
      <w:szCs w:val="20"/>
      <w:lang w:val="en-GB"/>
    </w:rPr>
  </w:style>
  <w:style w:type="paragraph" w:styleId="afe">
    <w:name w:val="Bibliography"/>
    <w:basedOn w:val="a"/>
    <w:next w:val="a"/>
    <w:uiPriority w:val="37"/>
    <w:semiHidden/>
    <w:unhideWhenUsed/>
    <w:rsid w:val="001C513B"/>
    <w:pPr>
      <w:spacing w:line="259" w:lineRule="auto"/>
    </w:pPr>
  </w:style>
  <w:style w:type="character" w:customStyle="1" w:styleId="apple-converted-space">
    <w:name w:val="apple-converted-space"/>
    <w:basedOn w:val="a0"/>
    <w:rsid w:val="001C513B"/>
  </w:style>
  <w:style w:type="paragraph" w:customStyle="1" w:styleId="svarticle">
    <w:name w:val="svarticle"/>
    <w:basedOn w:val="a"/>
    <w:rsid w:val="001C513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pdicttext1">
    <w:name w:val="op_dict_text1"/>
    <w:basedOn w:val="a0"/>
    <w:rsid w:val="001C513B"/>
  </w:style>
  <w:style w:type="character" w:customStyle="1" w:styleId="opdicttext2">
    <w:name w:val="op_dict_text2"/>
    <w:basedOn w:val="a0"/>
    <w:rsid w:val="001C513B"/>
  </w:style>
  <w:style w:type="character" w:styleId="aff">
    <w:name w:val="Unresolved Mention"/>
    <w:basedOn w:val="a0"/>
    <w:uiPriority w:val="99"/>
    <w:semiHidden/>
    <w:unhideWhenUsed/>
    <w:rsid w:val="00B4364C"/>
    <w:rPr>
      <w:color w:val="605E5C"/>
      <w:shd w:val="clear" w:color="auto" w:fill="E1DFDD"/>
    </w:rPr>
  </w:style>
  <w:style w:type="table" w:styleId="4-6">
    <w:name w:val="Grid Table 4 Accent 6"/>
    <w:basedOn w:val="a1"/>
    <w:uiPriority w:val="49"/>
    <w:rsid w:val="00E40B2A"/>
    <w:pPr>
      <w:spacing w:after="0" w:line="240" w:lineRule="auto"/>
    </w:pPr>
    <w:rPr>
      <w:lang w:val="en-GB"/>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40">
    <w:name w:val="标题 4 字符"/>
    <w:basedOn w:val="a0"/>
    <w:link w:val="4"/>
    <w:uiPriority w:val="9"/>
    <w:rsid w:val="001E3029"/>
    <w:rPr>
      <w:rFonts w:asciiTheme="majorHAnsi" w:eastAsiaTheme="majorEastAsia" w:hAnsiTheme="majorHAnsi" w:cstheme="majorBidi"/>
      <w:i/>
      <w:iCs/>
      <w:color w:val="2F5496" w:themeColor="accent1" w:themeShade="BF"/>
      <w:lang w:val="en-GB"/>
    </w:rPr>
  </w:style>
  <w:style w:type="table" w:customStyle="1" w:styleId="TableGrid1">
    <w:name w:val="Table Grid1"/>
    <w:rsid w:val="00624970"/>
    <w:pPr>
      <w:spacing w:after="0" w:line="240" w:lineRule="auto"/>
    </w:pPr>
    <w:rPr>
      <w:rFonts w:ascii="Calibri" w:eastAsia="等线" w:hAnsi="Calibri" w:cs="Calibri"/>
    </w:rPr>
    <w:tblPr>
      <w:tblCellMar>
        <w:top w:w="0" w:type="dxa"/>
        <w:left w:w="0" w:type="dxa"/>
        <w:bottom w:w="0" w:type="dxa"/>
        <w:right w:w="0" w:type="dxa"/>
      </w:tblCellMar>
    </w:tblPr>
  </w:style>
  <w:style w:type="table" w:customStyle="1" w:styleId="TableGrid0">
    <w:name w:val="Table Grid0"/>
    <w:basedOn w:val="a1"/>
    <w:uiPriority w:val="39"/>
    <w:unhideWhenUsed/>
    <w:rsid w:val="00624970"/>
    <w:pPr>
      <w:spacing w:after="0" w:line="240" w:lineRule="auto"/>
    </w:pPr>
    <w:rPr>
      <w:rFonts w:ascii="Calibri" w:eastAsia="等线"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无格式表格 22"/>
    <w:basedOn w:val="a1"/>
    <w:uiPriority w:val="42"/>
    <w:rsid w:val="0062497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15">
    <w:name w:val="未处理的提及1"/>
    <w:basedOn w:val="a0"/>
    <w:uiPriority w:val="99"/>
    <w:semiHidden/>
    <w:unhideWhenUsed/>
    <w:rsid w:val="00624970"/>
    <w:rPr>
      <w:color w:val="605E5C"/>
      <w:shd w:val="clear" w:color="auto" w:fill="E1DFDD"/>
    </w:rPr>
  </w:style>
  <w:style w:type="table" w:customStyle="1" w:styleId="4-62">
    <w:name w:val="网格表 4 - 着色 62"/>
    <w:basedOn w:val="a1"/>
    <w:uiPriority w:val="49"/>
    <w:rsid w:val="00624970"/>
    <w:pPr>
      <w:spacing w:after="0" w:line="240" w:lineRule="auto"/>
    </w:pPr>
    <w:rPr>
      <w:lang w:val="en-GB"/>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aff0">
    <w:name w:val="Subtle Emphasis"/>
    <w:basedOn w:val="a0"/>
    <w:uiPriority w:val="19"/>
    <w:qFormat/>
    <w:rsid w:val="00B145BE"/>
    <w:rPr>
      <w:i/>
      <w:iCs/>
      <w:color w:val="808080" w:themeColor="text1" w:themeTint="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5792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tmp"/><Relationship Id="rId26" Type="http://schemas.openxmlformats.org/officeDocument/2006/relationships/image" Target="media/image14.tmp"/><Relationship Id="rId39" Type="http://schemas.openxmlformats.org/officeDocument/2006/relationships/image" Target="media/image26.jpeg"/><Relationship Id="rId21" Type="http://schemas.openxmlformats.org/officeDocument/2006/relationships/image" Target="media/image9.png"/><Relationship Id="rId34" Type="http://schemas.openxmlformats.org/officeDocument/2006/relationships/image" Target="media/image22.tmp"/><Relationship Id="rId42" Type="http://schemas.openxmlformats.org/officeDocument/2006/relationships/image" Target="media/image29.tmp"/><Relationship Id="rId47" Type="http://schemas.openxmlformats.org/officeDocument/2006/relationships/image" Target="media/image34.tmp"/><Relationship Id="rId50" Type="http://schemas.openxmlformats.org/officeDocument/2006/relationships/image" Target="media/image37.tmp"/><Relationship Id="rId55" Type="http://schemas.openxmlformats.org/officeDocument/2006/relationships/image" Target="media/image42.tmp"/><Relationship Id="rId63" Type="http://schemas.openxmlformats.org/officeDocument/2006/relationships/image" Target="media/image50.png"/><Relationship Id="rId68" Type="http://schemas.openxmlformats.org/officeDocument/2006/relationships/image" Target="media/image55.tmp"/><Relationship Id="rId76" Type="http://schemas.openxmlformats.org/officeDocument/2006/relationships/image" Target="media/image63.tmp"/><Relationship Id="rId84" Type="http://schemas.openxmlformats.org/officeDocument/2006/relationships/image" Target="media/image71.png"/><Relationship Id="rId7" Type="http://schemas.openxmlformats.org/officeDocument/2006/relationships/endnotes" Target="endnotes.xml"/><Relationship Id="rId71" Type="http://schemas.openxmlformats.org/officeDocument/2006/relationships/image" Target="media/image58.tmp"/><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footer" Target="footer2.xml"/><Relationship Id="rId24" Type="http://schemas.openxmlformats.org/officeDocument/2006/relationships/image" Target="media/image12.tmp"/><Relationship Id="rId32" Type="http://schemas.openxmlformats.org/officeDocument/2006/relationships/image" Target="media/image20.tmp"/><Relationship Id="rId37" Type="http://schemas.openxmlformats.org/officeDocument/2006/relationships/hyperlink" Target="https://www.google.com/search?rlz=1C1CHBD_en-GBGB768GB768&amp;biw=1008&amp;bih=542&amp;q=hexagonal&amp;spell=1&amp;sa=X&amp;ved=0ahUKEwjYlsy1veHjAhWJUxUIHQcED34QkeECCCwoAA" TargetMode="External"/><Relationship Id="rId40" Type="http://schemas.openxmlformats.org/officeDocument/2006/relationships/image" Target="media/image27.tmp"/><Relationship Id="rId45" Type="http://schemas.openxmlformats.org/officeDocument/2006/relationships/image" Target="media/image32.tmp"/><Relationship Id="rId53" Type="http://schemas.openxmlformats.org/officeDocument/2006/relationships/image" Target="media/image40.tmp"/><Relationship Id="rId58" Type="http://schemas.openxmlformats.org/officeDocument/2006/relationships/image" Target="media/image45.tmp"/><Relationship Id="rId66" Type="http://schemas.openxmlformats.org/officeDocument/2006/relationships/image" Target="media/image53.tmp"/><Relationship Id="rId74" Type="http://schemas.openxmlformats.org/officeDocument/2006/relationships/image" Target="media/image61.tmp"/><Relationship Id="rId79" Type="http://schemas.openxmlformats.org/officeDocument/2006/relationships/image" Target="media/image66.pn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7.tmp"/><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tmp"/><Relationship Id="rId30" Type="http://schemas.openxmlformats.org/officeDocument/2006/relationships/image" Target="media/image18.tmp"/><Relationship Id="rId35" Type="http://schemas.openxmlformats.org/officeDocument/2006/relationships/image" Target="media/image23.tmp"/><Relationship Id="rId43" Type="http://schemas.openxmlformats.org/officeDocument/2006/relationships/image" Target="media/image30.tmp"/><Relationship Id="rId48" Type="http://schemas.openxmlformats.org/officeDocument/2006/relationships/image" Target="media/image35.tmp"/><Relationship Id="rId56" Type="http://schemas.openxmlformats.org/officeDocument/2006/relationships/image" Target="media/image43.tmp"/><Relationship Id="rId64" Type="http://schemas.openxmlformats.org/officeDocument/2006/relationships/image" Target="media/image51.tmp"/><Relationship Id="rId69" Type="http://schemas.openxmlformats.org/officeDocument/2006/relationships/image" Target="media/image56.tmp"/><Relationship Id="rId77" Type="http://schemas.openxmlformats.org/officeDocument/2006/relationships/image" Target="media/image64.tmp"/><Relationship Id="rId8" Type="http://schemas.openxmlformats.org/officeDocument/2006/relationships/image" Target="media/image1.jpeg"/><Relationship Id="rId51" Type="http://schemas.openxmlformats.org/officeDocument/2006/relationships/image" Target="media/image38.tmp"/><Relationship Id="rId72" Type="http://schemas.openxmlformats.org/officeDocument/2006/relationships/image" Target="media/image59.tmp"/><Relationship Id="rId80" Type="http://schemas.openxmlformats.org/officeDocument/2006/relationships/image" Target="media/image67.tmp"/><Relationship Id="rId85" Type="http://schemas.openxmlformats.org/officeDocument/2006/relationships/header" Target="header3.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tmp"/><Relationship Id="rId25" Type="http://schemas.openxmlformats.org/officeDocument/2006/relationships/image" Target="media/image13.tmp"/><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image" Target="media/image33.tmp"/><Relationship Id="rId59" Type="http://schemas.openxmlformats.org/officeDocument/2006/relationships/image" Target="media/image46.tmp"/><Relationship Id="rId67" Type="http://schemas.openxmlformats.org/officeDocument/2006/relationships/image" Target="media/image54.png"/><Relationship Id="rId20" Type="http://schemas.openxmlformats.org/officeDocument/2006/relationships/image" Target="media/image8.tmp"/><Relationship Id="rId41" Type="http://schemas.openxmlformats.org/officeDocument/2006/relationships/image" Target="media/image28.tmp"/><Relationship Id="rId54" Type="http://schemas.openxmlformats.org/officeDocument/2006/relationships/image" Target="media/image41.tmp"/><Relationship Id="rId62" Type="http://schemas.openxmlformats.org/officeDocument/2006/relationships/image" Target="media/image49.tmp"/><Relationship Id="rId70" Type="http://schemas.openxmlformats.org/officeDocument/2006/relationships/image" Target="media/image57.tmp"/><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tmp"/><Relationship Id="rId36" Type="http://schemas.openxmlformats.org/officeDocument/2006/relationships/image" Target="media/image24.tmp"/><Relationship Id="rId49" Type="http://schemas.openxmlformats.org/officeDocument/2006/relationships/image" Target="media/image36.png"/><Relationship Id="rId57" Type="http://schemas.openxmlformats.org/officeDocument/2006/relationships/image" Target="media/image44.tmp"/><Relationship Id="rId10" Type="http://schemas.openxmlformats.org/officeDocument/2006/relationships/header" Target="header1.xml"/><Relationship Id="rId31" Type="http://schemas.openxmlformats.org/officeDocument/2006/relationships/image" Target="media/image19.jpeg"/><Relationship Id="rId44" Type="http://schemas.openxmlformats.org/officeDocument/2006/relationships/image" Target="media/image31.tmp"/><Relationship Id="rId52" Type="http://schemas.openxmlformats.org/officeDocument/2006/relationships/image" Target="media/image39.tmp"/><Relationship Id="rId60" Type="http://schemas.openxmlformats.org/officeDocument/2006/relationships/image" Target="media/image47.png"/><Relationship Id="rId65" Type="http://schemas.openxmlformats.org/officeDocument/2006/relationships/image" Target="media/image52.tmp"/><Relationship Id="rId73" Type="http://schemas.openxmlformats.org/officeDocument/2006/relationships/image" Target="media/image60.tmp"/><Relationship Id="rId78" Type="http://schemas.openxmlformats.org/officeDocument/2006/relationships/image" Target="media/image65.png"/><Relationship Id="rId81" Type="http://schemas.openxmlformats.org/officeDocument/2006/relationships/image" Target="media/image68.tmp"/><Relationship Id="rId86" Type="http://schemas.openxmlformats.org/officeDocument/2006/relationships/footer" Target="footer4.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5DEFDF-AD98-4BBB-A958-B31123BB65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4152</TotalTime>
  <Pages>197</Pages>
  <Words>213681</Words>
  <Characters>1217983</Characters>
  <Application>Microsoft Office Word</Application>
  <DocSecurity>0</DocSecurity>
  <Lines>10149</Lines>
  <Paragraphs>2857</Paragraphs>
  <ScaleCrop>false</ScaleCrop>
  <Company/>
  <LinksUpToDate>false</LinksUpToDate>
  <CharactersWithSpaces>1428807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黄 禹赫</dc:creator>
  <cp:keywords/>
  <dc:description/>
  <cp:lastModifiedBy>禹赫 黄</cp:lastModifiedBy>
  <cp:revision>396</cp:revision>
  <cp:lastPrinted>2019-10-15T16:15:00Z</cp:lastPrinted>
  <dcterms:created xsi:type="dcterms:W3CDTF">2019-07-16T10:48:00Z</dcterms:created>
  <dcterms:modified xsi:type="dcterms:W3CDTF">2020-07-06T10:06:00Z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http://www.zotero.org/styles/acta-biomaterialia</vt:lpwstr>
  </property>
  <property fmtid="{D5CDD505-2E9C-101B-9397-08002B2CF9AE}" pid="3" name="Mendeley Recent Style Name 0_1">
    <vt:lpwstr>Acta Biomaterialia</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http://www.zotero.org/styles/apa</vt:lpwstr>
  </property>
  <property fmtid="{D5CDD505-2E9C-101B-9397-08002B2CF9AE}" pid="9" name="Mendeley Recent Style Name 3_1">
    <vt:lpwstr>American Psychological Association 6th edition</vt:lpwstr>
  </property>
  <property fmtid="{D5CDD505-2E9C-101B-9397-08002B2CF9AE}" pid="10" name="Mendeley Recent Style Id 4_1">
    <vt:lpwstr>http://www.zotero.org/styles/american-sociological-association</vt:lpwstr>
  </property>
  <property fmtid="{D5CDD505-2E9C-101B-9397-08002B2CF9AE}" pid="11" name="Mendeley Recent Style Name 4_1">
    <vt:lpwstr>American Sociological Association</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10th edition - Harvard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5e8ac30c-e8e2-3e3a-b966-394c06e744d0</vt:lpwstr>
  </property>
  <property fmtid="{D5CDD505-2E9C-101B-9397-08002B2CF9AE}" pid="24" name="Mendeley Citation Style_1">
    <vt:lpwstr>http://www.zotero.org/styles/acta-biomaterialia</vt:lpwstr>
  </property>
</Properties>
</file>